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06"/>
        </w:tabs>
        <w:spacing w:before="10"/>
        <w:ind w:left="0" w:right="609" w:firstLine="0"/>
        <w:jc w:val="center"/>
        <w:rPr>
          <w:sz w:val="44"/>
          <w:highlight w:val="none"/>
        </w:rPr>
      </w:pPr>
      <w:r>
        <w:rPr>
          <w:sz w:val="44"/>
          <w:highlight w:val="none"/>
        </w:rPr>
        <w:drawing>
          <wp:inline distT="0" distB="0" distL="114300" distR="114300">
            <wp:extent cx="6326505" cy="8938895"/>
            <wp:effectExtent l="0" t="0" r="17145" b="14605"/>
            <wp:docPr id="26" name="图片 26" descr="e3a6e8c844c01d9ff1c444449dfdd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e3a6e8c844c01d9ff1c444449dfdde7"/>
                    <pic:cNvPicPr>
                      <a:picLocks noChangeAspect="1"/>
                    </pic:cNvPicPr>
                  </pic:nvPicPr>
                  <pic:blipFill>
                    <a:blip r:embed="rId14"/>
                    <a:stretch>
                      <a:fillRect/>
                    </a:stretch>
                  </pic:blipFill>
                  <pic:spPr>
                    <a:xfrm>
                      <a:off x="0" y="0"/>
                      <a:ext cx="6326505" cy="8938895"/>
                    </a:xfrm>
                    <a:prstGeom prst="rect">
                      <a:avLst/>
                    </a:prstGeom>
                  </pic:spPr>
                </pic:pic>
              </a:graphicData>
            </a:graphic>
          </wp:inline>
        </w:drawing>
      </w:r>
      <w:r>
        <w:rPr>
          <w:sz w:val="44"/>
          <w:highlight w:val="none"/>
        </w:rPr>
        <w:t>目</w:t>
      </w:r>
      <w:r>
        <w:rPr>
          <w:sz w:val="44"/>
          <w:highlight w:val="none"/>
        </w:rPr>
        <w:tab/>
      </w:r>
      <w:r>
        <w:rPr>
          <w:sz w:val="44"/>
          <w:highlight w:val="none"/>
        </w:rPr>
        <w:t>录</w:t>
      </w:r>
    </w:p>
    <w:sdt>
      <w:sdtPr>
        <w:rPr>
          <w:highlight w:val="none"/>
        </w:rPr>
        <w:id w:val="0"/>
        <w:docPartObj>
          <w:docPartGallery w:val="Table of Contents"/>
          <w:docPartUnique/>
        </w:docPartObj>
      </w:sdtPr>
      <w:sdtEndPr>
        <w:rPr>
          <w:rFonts w:hint="default"/>
          <w:highlight w:val="none"/>
          <w:lang w:val="en-US"/>
        </w:rPr>
      </w:sdtEndPr>
      <w:sdtContent>
        <w:p>
          <w:pPr>
            <w:pStyle w:val="15"/>
            <w:tabs>
              <w:tab w:val="right" w:leader="dot" w:pos="9721"/>
            </w:tabs>
            <w:spacing w:before="496"/>
            <w:rPr>
              <w:highlight w:val="none"/>
            </w:rPr>
          </w:pPr>
          <w:r>
            <w:rPr>
              <w:highlight w:val="none"/>
            </w:rPr>
            <w:fldChar w:fldCharType="begin"/>
          </w:r>
          <w:r>
            <w:rPr>
              <w:highlight w:val="none"/>
            </w:rPr>
            <w:instrText xml:space="preserve"> HYPERLINK \l "_TOC_250004" </w:instrText>
          </w:r>
          <w:r>
            <w:rPr>
              <w:highlight w:val="none"/>
            </w:rPr>
            <w:fldChar w:fldCharType="separate"/>
          </w:r>
          <w:r>
            <w:rPr>
              <w:highlight w:val="none"/>
            </w:rPr>
            <w:t>第一章</w:t>
          </w:r>
          <w:r>
            <w:rPr>
              <w:spacing w:val="-1"/>
              <w:highlight w:val="none"/>
            </w:rPr>
            <w:t xml:space="preserve"> </w:t>
          </w:r>
          <w:r>
            <w:rPr>
              <w:highlight w:val="none"/>
            </w:rPr>
            <w:t>投</w:t>
          </w:r>
          <w:r>
            <w:rPr>
              <w:spacing w:val="-3"/>
              <w:highlight w:val="none"/>
            </w:rPr>
            <w:t>标</w:t>
          </w:r>
          <w:r>
            <w:rPr>
              <w:highlight w:val="none"/>
            </w:rPr>
            <w:t>邀请</w:t>
          </w:r>
          <w:r>
            <w:rPr>
              <w:highlight w:val="none"/>
            </w:rPr>
            <w:tab/>
          </w:r>
          <w:r>
            <w:rPr>
              <w:rFonts w:hint="eastAsia"/>
              <w:highlight w:val="none"/>
              <w:lang w:val="en-US" w:eastAsia="zh-CN"/>
            </w:rPr>
            <w:t>1</w:t>
          </w:r>
          <w:r>
            <w:rPr>
              <w:highlight w:val="none"/>
            </w:rPr>
            <w:fldChar w:fldCharType="end"/>
          </w:r>
        </w:p>
        <w:p>
          <w:pPr>
            <w:pStyle w:val="15"/>
            <w:tabs>
              <w:tab w:val="right" w:leader="dot" w:pos="9721"/>
            </w:tabs>
            <w:spacing w:before="184"/>
            <w:rPr>
              <w:highlight w:val="none"/>
            </w:rPr>
          </w:pPr>
          <w:r>
            <w:rPr>
              <w:highlight w:val="none"/>
            </w:rPr>
            <w:fldChar w:fldCharType="begin"/>
          </w:r>
          <w:r>
            <w:rPr>
              <w:highlight w:val="none"/>
            </w:rPr>
            <w:instrText xml:space="preserve"> HYPERLINK \l "_TOC_250003" </w:instrText>
          </w:r>
          <w:r>
            <w:rPr>
              <w:highlight w:val="none"/>
            </w:rPr>
            <w:fldChar w:fldCharType="separate"/>
          </w:r>
          <w:r>
            <w:rPr>
              <w:highlight w:val="none"/>
            </w:rPr>
            <w:t>第二章</w:t>
          </w:r>
          <w:r>
            <w:rPr>
              <w:spacing w:val="-1"/>
              <w:highlight w:val="none"/>
            </w:rPr>
            <w:t xml:space="preserve"> </w:t>
          </w:r>
          <w:r>
            <w:rPr>
              <w:highlight w:val="none"/>
            </w:rPr>
            <w:t>投</w:t>
          </w:r>
          <w:r>
            <w:rPr>
              <w:spacing w:val="-3"/>
              <w:highlight w:val="none"/>
            </w:rPr>
            <w:t>标</w:t>
          </w:r>
          <w:r>
            <w:rPr>
              <w:highlight w:val="none"/>
            </w:rPr>
            <w:t>人须知</w:t>
          </w:r>
          <w:r>
            <w:rPr>
              <w:highlight w:val="none"/>
            </w:rPr>
            <w:tab/>
          </w:r>
          <w:r>
            <w:rPr>
              <w:rFonts w:hint="eastAsia"/>
              <w:highlight w:val="none"/>
              <w:lang w:val="en-US" w:eastAsia="zh-CN"/>
            </w:rPr>
            <w:t>4</w:t>
          </w:r>
          <w:r>
            <w:rPr>
              <w:highlight w:val="none"/>
            </w:rPr>
            <w:fldChar w:fldCharType="end"/>
          </w:r>
        </w:p>
        <w:p>
          <w:pPr>
            <w:pStyle w:val="15"/>
            <w:tabs>
              <w:tab w:val="right" w:leader="dot" w:pos="9721"/>
            </w:tabs>
            <w:rPr>
              <w:highlight w:val="none"/>
            </w:rPr>
          </w:pPr>
          <w:r>
            <w:rPr>
              <w:highlight w:val="none"/>
            </w:rPr>
            <w:fldChar w:fldCharType="begin"/>
          </w:r>
          <w:r>
            <w:rPr>
              <w:highlight w:val="none"/>
            </w:rPr>
            <w:instrText xml:space="preserve"> HYPERLINK \l "_TOC_250002" </w:instrText>
          </w:r>
          <w:r>
            <w:rPr>
              <w:highlight w:val="none"/>
            </w:rPr>
            <w:fldChar w:fldCharType="separate"/>
          </w:r>
          <w:r>
            <w:rPr>
              <w:highlight w:val="none"/>
            </w:rPr>
            <w:t>第三章</w:t>
          </w:r>
          <w:r>
            <w:rPr>
              <w:spacing w:val="-1"/>
              <w:highlight w:val="none"/>
            </w:rPr>
            <w:t xml:space="preserve"> </w:t>
          </w:r>
          <w:r>
            <w:rPr>
              <w:highlight w:val="none"/>
            </w:rPr>
            <w:t>采</w:t>
          </w:r>
          <w:r>
            <w:rPr>
              <w:spacing w:val="-3"/>
              <w:highlight w:val="none"/>
            </w:rPr>
            <w:t>购</w:t>
          </w:r>
          <w:r>
            <w:rPr>
              <w:highlight w:val="none"/>
            </w:rPr>
            <w:t>需求</w:t>
          </w:r>
          <w:r>
            <w:rPr>
              <w:highlight w:val="none"/>
            </w:rPr>
            <w:tab/>
          </w:r>
          <w:r>
            <w:rPr>
              <w:highlight w:val="none"/>
            </w:rPr>
            <w:t>2</w:t>
          </w:r>
          <w:r>
            <w:rPr>
              <w:rFonts w:hint="eastAsia"/>
              <w:highlight w:val="none"/>
              <w:lang w:val="en-US" w:eastAsia="zh-CN"/>
            </w:rPr>
            <w:t>2</w:t>
          </w:r>
          <w:r>
            <w:rPr>
              <w:highlight w:val="none"/>
            </w:rPr>
            <w:fldChar w:fldCharType="end"/>
          </w:r>
        </w:p>
        <w:p>
          <w:pPr>
            <w:pStyle w:val="15"/>
            <w:tabs>
              <w:tab w:val="right" w:leader="dot" w:pos="9721"/>
            </w:tabs>
            <w:rPr>
              <w:rFonts w:hint="default" w:eastAsia="宋体"/>
              <w:highlight w:val="none"/>
              <w:lang w:val="en-US" w:eastAsia="zh-CN"/>
            </w:rPr>
          </w:pPr>
          <w:r>
            <w:rPr>
              <w:highlight w:val="none"/>
            </w:rPr>
            <w:t>第四章</w:t>
          </w:r>
          <w:r>
            <w:rPr>
              <w:spacing w:val="-1"/>
              <w:highlight w:val="none"/>
            </w:rPr>
            <w:t xml:space="preserve"> </w:t>
          </w:r>
          <w:r>
            <w:rPr>
              <w:highlight w:val="none"/>
            </w:rPr>
            <w:t>评</w:t>
          </w:r>
          <w:r>
            <w:rPr>
              <w:spacing w:val="-3"/>
              <w:highlight w:val="none"/>
            </w:rPr>
            <w:t>标</w:t>
          </w:r>
          <w:r>
            <w:rPr>
              <w:highlight w:val="none"/>
            </w:rPr>
            <w:t>办法</w:t>
          </w:r>
          <w:r>
            <w:rPr>
              <w:highlight w:val="none"/>
            </w:rPr>
            <w:tab/>
          </w:r>
          <w:r>
            <w:rPr>
              <w:rFonts w:hint="eastAsia"/>
              <w:highlight w:val="none"/>
              <w:lang w:val="en-US" w:eastAsia="zh-CN"/>
            </w:rPr>
            <w:t>125</w:t>
          </w:r>
        </w:p>
        <w:p>
          <w:pPr>
            <w:pStyle w:val="15"/>
            <w:tabs>
              <w:tab w:val="right" w:leader="dot" w:pos="9721"/>
            </w:tabs>
            <w:rPr>
              <w:rFonts w:hint="default" w:eastAsia="宋体"/>
              <w:highlight w:val="none"/>
              <w:lang w:val="en-US" w:eastAsia="zh-CN"/>
            </w:rPr>
          </w:pPr>
          <w:r>
            <w:rPr>
              <w:highlight w:val="none"/>
            </w:rPr>
            <w:fldChar w:fldCharType="begin"/>
          </w:r>
          <w:r>
            <w:rPr>
              <w:highlight w:val="none"/>
            </w:rPr>
            <w:instrText xml:space="preserve"> HYPERLINK \l "_TOC_250001" </w:instrText>
          </w:r>
          <w:r>
            <w:rPr>
              <w:highlight w:val="none"/>
            </w:rPr>
            <w:fldChar w:fldCharType="separate"/>
          </w:r>
          <w:r>
            <w:rPr>
              <w:highlight w:val="none"/>
            </w:rPr>
            <w:t>第五章</w:t>
          </w:r>
          <w:r>
            <w:rPr>
              <w:spacing w:val="-1"/>
              <w:highlight w:val="none"/>
            </w:rPr>
            <w:t xml:space="preserve"> </w:t>
          </w:r>
          <w:r>
            <w:rPr>
              <w:highlight w:val="none"/>
            </w:rPr>
            <w:t>合</w:t>
          </w:r>
          <w:r>
            <w:rPr>
              <w:spacing w:val="-3"/>
              <w:highlight w:val="none"/>
            </w:rPr>
            <w:t>同</w:t>
          </w:r>
          <w:r>
            <w:rPr>
              <w:highlight w:val="none"/>
            </w:rPr>
            <w:t>文本</w:t>
          </w:r>
          <w:r>
            <w:rPr>
              <w:highlight w:val="none"/>
            </w:rPr>
            <w:tab/>
          </w:r>
          <w:r>
            <w:rPr>
              <w:rFonts w:hint="eastAsia"/>
              <w:highlight w:val="none"/>
              <w:lang w:val="en-US" w:eastAsia="zh-CN"/>
            </w:rPr>
            <w:t>1</w:t>
          </w:r>
          <w:r>
            <w:rPr>
              <w:highlight w:val="none"/>
            </w:rPr>
            <w:fldChar w:fldCharType="end"/>
          </w:r>
          <w:r>
            <w:rPr>
              <w:rFonts w:hint="eastAsia"/>
              <w:highlight w:val="none"/>
              <w:lang w:val="en-US" w:eastAsia="zh-CN"/>
            </w:rPr>
            <w:t>30</w:t>
          </w:r>
        </w:p>
        <w:p>
          <w:pPr>
            <w:pStyle w:val="15"/>
            <w:tabs>
              <w:tab w:val="right" w:leader="dot" w:pos="9721"/>
            </w:tabs>
            <w:rPr>
              <w:highlight w:val="none"/>
            </w:rPr>
          </w:pPr>
          <w:r>
            <w:rPr>
              <w:highlight w:val="none"/>
            </w:rPr>
            <w:fldChar w:fldCharType="begin"/>
          </w:r>
          <w:r>
            <w:rPr>
              <w:highlight w:val="none"/>
            </w:rPr>
            <w:instrText xml:space="preserve"> HYPERLINK \l "_TOC_250000" </w:instrText>
          </w:r>
          <w:r>
            <w:rPr>
              <w:highlight w:val="none"/>
            </w:rPr>
            <w:fldChar w:fldCharType="separate"/>
          </w:r>
          <w:r>
            <w:rPr>
              <w:highlight w:val="none"/>
            </w:rPr>
            <w:t>第六章</w:t>
          </w:r>
          <w:r>
            <w:rPr>
              <w:spacing w:val="-1"/>
              <w:highlight w:val="none"/>
            </w:rPr>
            <w:t xml:space="preserve"> </w:t>
          </w:r>
          <w:r>
            <w:rPr>
              <w:highlight w:val="none"/>
            </w:rPr>
            <w:t>投</w:t>
          </w:r>
          <w:r>
            <w:rPr>
              <w:spacing w:val="-3"/>
              <w:highlight w:val="none"/>
            </w:rPr>
            <w:t>标</w:t>
          </w:r>
          <w:r>
            <w:rPr>
              <w:highlight w:val="none"/>
            </w:rPr>
            <w:t>文件</w:t>
          </w:r>
          <w:r>
            <w:rPr>
              <w:spacing w:val="-3"/>
              <w:highlight w:val="none"/>
            </w:rPr>
            <w:t>格</w:t>
          </w:r>
          <w:r>
            <w:rPr>
              <w:highlight w:val="none"/>
            </w:rPr>
            <w:t>式要求</w:t>
          </w:r>
          <w:r>
            <w:rPr>
              <w:highlight w:val="none"/>
            </w:rPr>
            <w:tab/>
          </w:r>
          <w:r>
            <w:rPr>
              <w:rFonts w:hint="eastAsia"/>
              <w:highlight w:val="none"/>
              <w:lang w:val="en-US" w:eastAsia="zh-CN"/>
            </w:rPr>
            <w:t>1</w:t>
          </w:r>
          <w:r>
            <w:rPr>
              <w:highlight w:val="none"/>
            </w:rPr>
            <w:fldChar w:fldCharType="end"/>
          </w:r>
          <w:r>
            <w:rPr>
              <w:rFonts w:hint="eastAsia"/>
              <w:highlight w:val="none"/>
              <w:lang w:val="en-US" w:eastAsia="zh-CN"/>
            </w:rPr>
            <w:t>49</w:t>
          </w:r>
        </w:p>
      </w:sdtContent>
    </w:sdt>
    <w:p>
      <w:pPr>
        <w:spacing w:after="0"/>
        <w:rPr>
          <w:highlight w:val="none"/>
        </w:rPr>
        <w:sectPr>
          <w:footerReference r:id="rId5" w:type="default"/>
          <w:pgSz w:w="11900" w:h="16840"/>
          <w:pgMar w:top="1460" w:right="520" w:bottom="1300" w:left="1140" w:header="0" w:footer="1119" w:gutter="0"/>
          <w:pgNumType w:start="1"/>
          <w:cols w:space="720" w:num="1"/>
        </w:sectPr>
      </w:pPr>
    </w:p>
    <w:p>
      <w:pPr>
        <w:pStyle w:val="6"/>
        <w:rPr>
          <w:highlight w:val="none"/>
        </w:rPr>
      </w:pPr>
      <w:bookmarkStart w:id="0" w:name="_TOC_250004"/>
      <w:bookmarkEnd w:id="0"/>
      <w:r>
        <w:rPr>
          <w:highlight w:val="none"/>
        </w:rPr>
        <w:t>第一章 投标邀请</w:t>
      </w:r>
    </w:p>
    <w:p>
      <w:pPr>
        <w:pStyle w:val="8"/>
        <w:spacing w:before="135"/>
        <w:ind w:left="0" w:right="614"/>
        <w:jc w:val="center"/>
        <w:rPr>
          <w:highlight w:val="none"/>
        </w:rPr>
      </w:pPr>
      <w:bookmarkStart w:id="6" w:name="_GoBack"/>
      <w:bookmarkEnd w:id="6"/>
      <w:r>
        <w:rPr>
          <w:highlight w:val="none"/>
        </w:rPr>
        <mc:AlternateContent>
          <mc:Choice Requires="wps">
            <w:drawing>
              <wp:anchor distT="0" distB="0" distL="114300" distR="114300" simplePos="0" relativeHeight="251667456" behindDoc="1" locked="0" layoutInCell="1" allowOverlap="1">
                <wp:simplePos x="0" y="0"/>
                <wp:positionH relativeFrom="page">
                  <wp:posOffset>1071245</wp:posOffset>
                </wp:positionH>
                <wp:positionV relativeFrom="paragraph">
                  <wp:posOffset>418465</wp:posOffset>
                </wp:positionV>
                <wp:extent cx="5622290" cy="1492250"/>
                <wp:effectExtent l="4445" t="4445" r="12065" b="8255"/>
                <wp:wrapTopAndBottom/>
                <wp:docPr id="5" name="文本框 2"/>
                <wp:cNvGraphicFramePr/>
                <a:graphic xmlns:a="http://schemas.openxmlformats.org/drawingml/2006/main">
                  <a:graphicData uri="http://schemas.microsoft.com/office/word/2010/wordprocessingShape">
                    <wps:wsp>
                      <wps:cNvSpPr txBox="1"/>
                      <wps:spPr>
                        <a:xfrm>
                          <a:off x="0" y="0"/>
                          <a:ext cx="5622290" cy="1492250"/>
                        </a:xfrm>
                        <a:prstGeom prst="rect">
                          <a:avLst/>
                        </a:prstGeom>
                        <a:noFill/>
                        <a:ln w="6096" cap="flat" cmpd="sng">
                          <a:solidFill>
                            <a:srgbClr val="000000"/>
                          </a:solidFill>
                          <a:prstDash val="solid"/>
                          <a:miter/>
                          <a:headEnd type="none" w="med" len="med"/>
                          <a:tailEnd type="none" w="med" len="med"/>
                        </a:ln>
                      </wps:spPr>
                      <wps:txbx>
                        <w:txbxContent>
                          <w:p>
                            <w:pPr>
                              <w:pStyle w:val="5"/>
                              <w:spacing w:before="100"/>
                              <w:ind w:left="108"/>
                            </w:pPr>
                            <w:r>
                              <w:t>项目概况</w:t>
                            </w:r>
                          </w:p>
                          <w:p>
                            <w:pPr>
                              <w:pStyle w:val="5"/>
                              <w:spacing w:before="159" w:line="364" w:lineRule="auto"/>
                              <w:ind w:left="108" w:right="-15" w:firstLine="480"/>
                            </w:pPr>
                            <w:r>
                              <w:rPr>
                                <w:rFonts w:hint="eastAsia"/>
                                <w:spacing w:val="-13"/>
                                <w:u w:val="single"/>
                                <w:lang w:eastAsia="zh-CN"/>
                              </w:rPr>
                              <w:t>五指山市2020义务教育薄弱环节改善与能力提升项目设备购置(E 包)</w:t>
                            </w:r>
                            <w:r>
                              <w:rPr>
                                <w:spacing w:val="-12"/>
                                <w:u w:val="single"/>
                              </w:rPr>
                              <w:t xml:space="preserve"> </w:t>
                            </w:r>
                            <w:r>
                              <w:t>招标项目潜在投标人应在</w:t>
                            </w:r>
                            <w:r>
                              <w:rPr>
                                <w:rFonts w:hint="eastAsia"/>
                                <w:spacing w:val="-5"/>
                                <w:u w:val="single"/>
                                <w:lang w:eastAsia="zh-CN"/>
                              </w:rPr>
                              <w:t>海口市美兰区国兴大道五号海南大厦副楼915室</w:t>
                            </w:r>
                            <w:r>
                              <w:rPr>
                                <w:spacing w:val="-6"/>
                              </w:rPr>
                              <w:t xml:space="preserve">获取招标文件，并于 </w:t>
                            </w:r>
                            <w:r>
                              <w:rPr>
                                <w:highlight w:val="none"/>
                                <w:u w:val="single"/>
                              </w:rPr>
                              <w:t>2021年</w:t>
                            </w:r>
                            <w:r>
                              <w:rPr>
                                <w:rFonts w:hint="eastAsia"/>
                                <w:highlight w:val="none"/>
                                <w:u w:val="single"/>
                                <w:lang w:val="en-US" w:eastAsia="zh-CN"/>
                              </w:rPr>
                              <w:t>06</w:t>
                            </w:r>
                            <w:r>
                              <w:rPr>
                                <w:highlight w:val="none"/>
                                <w:u w:val="single"/>
                              </w:rPr>
                              <w:t>月</w:t>
                            </w:r>
                            <w:r>
                              <w:rPr>
                                <w:rFonts w:hint="eastAsia"/>
                                <w:highlight w:val="none"/>
                                <w:u w:val="single"/>
                                <w:lang w:val="en-US" w:eastAsia="zh-CN"/>
                              </w:rPr>
                              <w:t>16</w:t>
                            </w:r>
                            <w:r>
                              <w:rPr>
                                <w:highlight w:val="none"/>
                                <w:u w:val="single"/>
                              </w:rPr>
                              <w:t>日</w:t>
                            </w:r>
                            <w:r>
                              <w:rPr>
                                <w:rFonts w:hint="eastAsia"/>
                                <w:highlight w:val="none"/>
                                <w:u w:val="single"/>
                                <w:lang w:val="en-US" w:eastAsia="zh-CN"/>
                              </w:rPr>
                              <w:t>09</w:t>
                            </w:r>
                            <w:r>
                              <w:rPr>
                                <w:highlight w:val="none"/>
                                <w:u w:val="single"/>
                              </w:rPr>
                              <w:t>时</w:t>
                            </w:r>
                            <w:r>
                              <w:rPr>
                                <w:rFonts w:hint="eastAsia"/>
                                <w:highlight w:val="none"/>
                                <w:u w:val="single"/>
                                <w:lang w:val="en-US" w:eastAsia="zh-CN"/>
                              </w:rPr>
                              <w:t>30</w:t>
                            </w:r>
                            <w:r>
                              <w:rPr>
                                <w:highlight w:val="none"/>
                                <w:u w:val="single"/>
                              </w:rPr>
                              <w:t>分</w:t>
                            </w:r>
                            <w:r>
                              <w:t>（北京时间）前递交投标文件。</w:t>
                            </w:r>
                          </w:p>
                        </w:txbxContent>
                      </wps:txbx>
                      <wps:bodyPr lIns="0" tIns="0" rIns="0" bIns="0" upright="1"/>
                    </wps:wsp>
                  </a:graphicData>
                </a:graphic>
              </wp:anchor>
            </w:drawing>
          </mc:Choice>
          <mc:Fallback>
            <w:pict>
              <v:shape id="文本框 2" o:spid="_x0000_s1026" o:spt="202" type="#_x0000_t202" style="position:absolute;left:0pt;margin-left:84.35pt;margin-top:32.95pt;height:117.5pt;width:442.7pt;mso-position-horizontal-relative:page;mso-wrap-distance-bottom:0pt;mso-wrap-distance-top:0pt;z-index:-251649024;mso-width-relative:page;mso-height-relative:page;" filled="f" stroked="t" coordsize="21600,21600" o:gfxdata="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sTO7vXAAAACwEAAA8AAAAA&#10;AAAAAQAgAAAAIgAAAGRycy9kb3ducmV2LnhtbFBLAQIUABQAAAAIAIdO4kDYkFkKFQIAADIEAAAO&#10;AAAAAAAAAAEAIAAAACYBAABkcnMvZTJvRG9jLnhtbFBLBQYAAAAABgAGAFkBAACtBQAAAAA=&#10;">
                <v:fill on="f" focussize="0,0"/>
                <v:stroke weight="0.48pt" color="#000000" joinstyle="miter"/>
                <v:imagedata o:title=""/>
                <o:lock v:ext="edit" aspectratio="f"/>
                <v:textbox inset="0mm,0mm,0mm,0mm">
                  <w:txbxContent>
                    <w:p>
                      <w:pPr>
                        <w:pStyle w:val="5"/>
                        <w:spacing w:before="100"/>
                        <w:ind w:left="108"/>
                      </w:pPr>
                      <w:r>
                        <w:t>项目概况</w:t>
                      </w:r>
                    </w:p>
                    <w:p>
                      <w:pPr>
                        <w:pStyle w:val="5"/>
                        <w:spacing w:before="159" w:line="364" w:lineRule="auto"/>
                        <w:ind w:left="108" w:right="-15" w:firstLine="480"/>
                      </w:pPr>
                      <w:r>
                        <w:rPr>
                          <w:rFonts w:hint="eastAsia"/>
                          <w:spacing w:val="-13"/>
                          <w:u w:val="single"/>
                          <w:lang w:eastAsia="zh-CN"/>
                        </w:rPr>
                        <w:t>五指山市2020义务教育薄弱环节改善与能力提升项目设备购置(E 包)</w:t>
                      </w:r>
                      <w:r>
                        <w:rPr>
                          <w:spacing w:val="-12"/>
                          <w:u w:val="single"/>
                        </w:rPr>
                        <w:t xml:space="preserve"> </w:t>
                      </w:r>
                      <w:r>
                        <w:t>招标项目潜在投标人应在</w:t>
                      </w:r>
                      <w:r>
                        <w:rPr>
                          <w:rFonts w:hint="eastAsia"/>
                          <w:spacing w:val="-5"/>
                          <w:u w:val="single"/>
                          <w:lang w:eastAsia="zh-CN"/>
                        </w:rPr>
                        <w:t>海口市美兰区国兴大道五号海南大厦副楼915室</w:t>
                      </w:r>
                      <w:r>
                        <w:rPr>
                          <w:spacing w:val="-6"/>
                        </w:rPr>
                        <w:t xml:space="preserve">获取招标文件，并于 </w:t>
                      </w:r>
                      <w:r>
                        <w:rPr>
                          <w:highlight w:val="none"/>
                          <w:u w:val="single"/>
                        </w:rPr>
                        <w:t>2021年</w:t>
                      </w:r>
                      <w:r>
                        <w:rPr>
                          <w:rFonts w:hint="eastAsia"/>
                          <w:highlight w:val="none"/>
                          <w:u w:val="single"/>
                          <w:lang w:val="en-US" w:eastAsia="zh-CN"/>
                        </w:rPr>
                        <w:t>06</w:t>
                      </w:r>
                      <w:r>
                        <w:rPr>
                          <w:highlight w:val="none"/>
                          <w:u w:val="single"/>
                        </w:rPr>
                        <w:t>月</w:t>
                      </w:r>
                      <w:r>
                        <w:rPr>
                          <w:rFonts w:hint="eastAsia"/>
                          <w:highlight w:val="none"/>
                          <w:u w:val="single"/>
                          <w:lang w:val="en-US" w:eastAsia="zh-CN"/>
                        </w:rPr>
                        <w:t>16</w:t>
                      </w:r>
                      <w:r>
                        <w:rPr>
                          <w:highlight w:val="none"/>
                          <w:u w:val="single"/>
                        </w:rPr>
                        <w:t>日</w:t>
                      </w:r>
                      <w:r>
                        <w:rPr>
                          <w:rFonts w:hint="eastAsia"/>
                          <w:highlight w:val="none"/>
                          <w:u w:val="single"/>
                          <w:lang w:val="en-US" w:eastAsia="zh-CN"/>
                        </w:rPr>
                        <w:t>09</w:t>
                      </w:r>
                      <w:r>
                        <w:rPr>
                          <w:highlight w:val="none"/>
                          <w:u w:val="single"/>
                        </w:rPr>
                        <w:t>时</w:t>
                      </w:r>
                      <w:r>
                        <w:rPr>
                          <w:rFonts w:hint="eastAsia"/>
                          <w:highlight w:val="none"/>
                          <w:u w:val="single"/>
                          <w:lang w:val="en-US" w:eastAsia="zh-CN"/>
                        </w:rPr>
                        <w:t>30</w:t>
                      </w:r>
                      <w:r>
                        <w:rPr>
                          <w:highlight w:val="none"/>
                          <w:u w:val="single"/>
                        </w:rPr>
                        <w:t>分</w:t>
                      </w:r>
                      <w:r>
                        <w:t>（北京时间）前递交投标文件。</w:t>
                      </w:r>
                    </w:p>
                  </w:txbxContent>
                </v:textbox>
                <w10:wrap type="topAndBottom"/>
              </v:shape>
            </w:pict>
          </mc:Fallback>
        </mc:AlternateContent>
      </w:r>
      <w:r>
        <w:rPr>
          <w:highlight w:val="none"/>
        </w:rPr>
        <w:t>招标公告</w:t>
      </w:r>
    </w:p>
    <w:p>
      <w:pPr>
        <w:pStyle w:val="5"/>
        <w:spacing w:before="2"/>
        <w:rPr>
          <w:sz w:val="30"/>
          <w:highlight w:val="none"/>
        </w:rPr>
      </w:pPr>
    </w:p>
    <w:p>
      <w:pPr>
        <w:pStyle w:val="10"/>
        <w:ind w:left="662"/>
        <w:rPr>
          <w:sz w:val="38"/>
          <w:highlight w:val="none"/>
        </w:rPr>
      </w:pPr>
      <w:r>
        <w:rPr>
          <w:highlight w:val="none"/>
        </w:rPr>
        <w:t>一、项目基本情况</w:t>
      </w:r>
    </w:p>
    <w:p>
      <w:pPr>
        <w:pStyle w:val="5"/>
        <w:ind w:left="1140"/>
        <w:rPr>
          <w:highlight w:val="none"/>
        </w:rPr>
      </w:pPr>
    </w:p>
    <w:p>
      <w:pPr>
        <w:pStyle w:val="5"/>
        <w:ind w:left="1140"/>
        <w:rPr>
          <w:rFonts w:hint="eastAsia" w:eastAsia="宋体"/>
          <w:highlight w:val="none"/>
          <w:lang w:eastAsia="zh-CN"/>
        </w:rPr>
      </w:pPr>
      <w:r>
        <w:rPr>
          <w:highlight w:val="none"/>
        </w:rPr>
        <w:t>1.项目编号：</w:t>
      </w:r>
      <w:r>
        <w:rPr>
          <w:rFonts w:hint="eastAsia"/>
          <w:highlight w:val="none"/>
          <w:lang w:eastAsia="zh-CN"/>
        </w:rPr>
        <w:t>HNCC-2021-037</w:t>
      </w:r>
    </w:p>
    <w:p>
      <w:pPr>
        <w:pStyle w:val="5"/>
        <w:spacing w:before="160"/>
        <w:ind w:left="1140"/>
        <w:rPr>
          <w:rFonts w:hint="eastAsia"/>
          <w:highlight w:val="none"/>
          <w:lang w:eastAsia="zh-CN"/>
        </w:rPr>
      </w:pPr>
      <w:r>
        <w:rPr>
          <w:highlight w:val="none"/>
        </w:rPr>
        <w:t>2.项目名称：</w:t>
      </w:r>
      <w:r>
        <w:rPr>
          <w:rFonts w:hint="eastAsia"/>
          <w:highlight w:val="none"/>
          <w:lang w:eastAsia="zh-CN"/>
        </w:rPr>
        <w:t>五指山市2020义务教育薄弱环节改善与能力提升项目设备购置(E包)</w:t>
      </w:r>
    </w:p>
    <w:p>
      <w:pPr>
        <w:pStyle w:val="20"/>
        <w:numPr>
          <w:ilvl w:val="0"/>
          <w:numId w:val="0"/>
        </w:numPr>
        <w:tabs>
          <w:tab w:val="left" w:pos="1381"/>
        </w:tabs>
        <w:spacing w:before="160" w:after="0" w:line="240" w:lineRule="auto"/>
        <w:ind w:left="1139" w:leftChars="0" w:right="0" w:rightChars="0"/>
        <w:jc w:val="left"/>
        <w:rPr>
          <w:sz w:val="24"/>
          <w:highlight w:val="none"/>
        </w:rPr>
      </w:pPr>
      <w:r>
        <w:rPr>
          <w:sz w:val="24"/>
          <w:highlight w:val="none"/>
        </w:rPr>
        <w:t>3.预算金额：</w:t>
      </w:r>
      <w:r>
        <w:rPr>
          <w:rFonts w:hint="eastAsia"/>
          <w:sz w:val="24"/>
          <w:highlight w:val="none"/>
          <w:lang w:val="en-US" w:eastAsia="zh-CN"/>
        </w:rPr>
        <w:t>3157322.00元</w:t>
      </w:r>
    </w:p>
    <w:p>
      <w:pPr>
        <w:pStyle w:val="20"/>
        <w:numPr>
          <w:ilvl w:val="0"/>
          <w:numId w:val="0"/>
        </w:numPr>
        <w:tabs>
          <w:tab w:val="left" w:pos="1381"/>
        </w:tabs>
        <w:spacing w:before="160" w:after="0" w:line="240" w:lineRule="auto"/>
        <w:ind w:left="1139" w:leftChars="0" w:right="0" w:rightChars="0"/>
        <w:jc w:val="left"/>
        <w:rPr>
          <w:rFonts w:hint="eastAsia"/>
          <w:sz w:val="24"/>
          <w:highlight w:val="none"/>
          <w:lang w:val="en-US" w:eastAsia="zh-CN"/>
        </w:rPr>
      </w:pPr>
      <w:r>
        <w:rPr>
          <w:sz w:val="24"/>
          <w:highlight w:val="none"/>
        </w:rPr>
        <w:t>4.最高限价：</w:t>
      </w:r>
      <w:r>
        <w:rPr>
          <w:rFonts w:hint="eastAsia"/>
          <w:sz w:val="24"/>
          <w:highlight w:val="none"/>
          <w:lang w:val="en-US" w:eastAsia="zh-CN"/>
        </w:rPr>
        <w:t>3157322.00元</w:t>
      </w:r>
    </w:p>
    <w:p>
      <w:pPr>
        <w:pStyle w:val="20"/>
        <w:numPr>
          <w:ilvl w:val="0"/>
          <w:numId w:val="0"/>
        </w:numPr>
        <w:tabs>
          <w:tab w:val="left" w:pos="1381"/>
        </w:tabs>
        <w:spacing w:before="160" w:after="0" w:line="240" w:lineRule="auto"/>
        <w:ind w:left="1139" w:leftChars="0" w:right="0" w:rightChars="0"/>
        <w:jc w:val="left"/>
        <w:rPr>
          <w:rFonts w:hint="default"/>
          <w:sz w:val="24"/>
          <w:highlight w:val="none"/>
          <w:lang w:val="en-US" w:eastAsia="zh-CN"/>
        </w:rPr>
      </w:pPr>
      <w:r>
        <w:rPr>
          <w:rFonts w:hint="eastAsia"/>
          <w:sz w:val="24"/>
          <w:highlight w:val="none"/>
          <w:lang w:val="en-US" w:eastAsia="zh-CN"/>
        </w:rPr>
        <w:t>5.资金来源：中央部门资金</w:t>
      </w:r>
    </w:p>
    <w:p>
      <w:pPr>
        <w:pStyle w:val="20"/>
        <w:numPr>
          <w:ilvl w:val="0"/>
          <w:numId w:val="0"/>
        </w:numPr>
        <w:tabs>
          <w:tab w:val="left" w:pos="1381"/>
        </w:tabs>
        <w:spacing w:before="160" w:after="0" w:line="240" w:lineRule="auto"/>
        <w:ind w:left="1139" w:leftChars="0" w:right="0" w:rightChars="0"/>
        <w:jc w:val="left"/>
        <w:rPr>
          <w:sz w:val="24"/>
          <w:highlight w:val="none"/>
        </w:rPr>
      </w:pPr>
      <w:r>
        <w:rPr>
          <w:rFonts w:hint="eastAsia"/>
          <w:sz w:val="24"/>
          <w:highlight w:val="none"/>
          <w:lang w:val="en-US" w:eastAsia="zh-CN"/>
        </w:rPr>
        <w:t>6.</w:t>
      </w:r>
      <w:r>
        <w:rPr>
          <w:sz w:val="24"/>
          <w:highlight w:val="none"/>
        </w:rPr>
        <w:t>采购需求：详见第三章《采购需求》</w:t>
      </w:r>
    </w:p>
    <w:p>
      <w:pPr>
        <w:pStyle w:val="20"/>
        <w:numPr>
          <w:ilvl w:val="0"/>
          <w:numId w:val="0"/>
        </w:numPr>
        <w:tabs>
          <w:tab w:val="left" w:pos="1381"/>
        </w:tabs>
        <w:spacing w:before="160" w:after="0" w:line="240" w:lineRule="auto"/>
        <w:ind w:left="1100" w:leftChars="0" w:right="0" w:rightChars="0"/>
        <w:jc w:val="left"/>
        <w:rPr>
          <w:sz w:val="24"/>
          <w:highlight w:val="none"/>
        </w:rPr>
      </w:pPr>
      <w:r>
        <w:rPr>
          <w:rFonts w:hint="eastAsia"/>
          <w:sz w:val="24"/>
          <w:highlight w:val="none"/>
          <w:lang w:val="en-US" w:eastAsia="zh-CN"/>
        </w:rPr>
        <w:t>7.</w:t>
      </w:r>
      <w:r>
        <w:rPr>
          <w:sz w:val="24"/>
          <w:highlight w:val="none"/>
        </w:rPr>
        <w:t>合同履行期限（交付期）：</w:t>
      </w:r>
      <w:r>
        <w:rPr>
          <w:rFonts w:hint="eastAsia"/>
          <w:sz w:val="24"/>
          <w:highlight w:val="none"/>
          <w:lang w:val="en-US" w:eastAsia="zh-CN"/>
        </w:rPr>
        <w:t>合同签订之日起 30 个日历天内完成供货、验收。</w:t>
      </w:r>
    </w:p>
    <w:p>
      <w:pPr>
        <w:pStyle w:val="20"/>
        <w:numPr>
          <w:ilvl w:val="0"/>
          <w:numId w:val="0"/>
        </w:numPr>
        <w:tabs>
          <w:tab w:val="left" w:pos="1381"/>
        </w:tabs>
        <w:spacing w:before="160" w:after="0" w:line="240" w:lineRule="auto"/>
        <w:ind w:left="1100" w:leftChars="0" w:right="0" w:rightChars="0"/>
        <w:jc w:val="left"/>
        <w:rPr>
          <w:sz w:val="24"/>
          <w:highlight w:val="none"/>
        </w:rPr>
      </w:pPr>
      <w:r>
        <w:rPr>
          <w:rFonts w:hint="eastAsia"/>
          <w:sz w:val="24"/>
          <w:highlight w:val="none"/>
          <w:lang w:val="en-US" w:eastAsia="zh-CN"/>
        </w:rPr>
        <w:t>8.</w:t>
      </w:r>
      <w:r>
        <w:rPr>
          <w:sz w:val="24"/>
          <w:highlight w:val="none"/>
        </w:rPr>
        <w:t>交货地点：采购人指定地点</w:t>
      </w:r>
    </w:p>
    <w:p>
      <w:pPr>
        <w:pStyle w:val="20"/>
        <w:numPr>
          <w:ilvl w:val="0"/>
          <w:numId w:val="0"/>
        </w:numPr>
        <w:tabs>
          <w:tab w:val="left" w:pos="1381"/>
        </w:tabs>
        <w:spacing w:before="160" w:after="0" w:line="240" w:lineRule="auto"/>
        <w:ind w:left="1100" w:leftChars="0" w:right="0" w:rightChars="0"/>
        <w:jc w:val="left"/>
        <w:rPr>
          <w:highlight w:val="none"/>
        </w:rPr>
      </w:pPr>
      <w:r>
        <w:rPr>
          <w:rFonts w:hint="eastAsia"/>
          <w:sz w:val="24"/>
          <w:highlight w:val="none"/>
          <w:lang w:val="en-US" w:eastAsia="zh-CN"/>
        </w:rPr>
        <w:t>9.</w:t>
      </w:r>
      <w:r>
        <w:rPr>
          <w:sz w:val="24"/>
          <w:highlight w:val="none"/>
        </w:rPr>
        <w:t>本项目不接受联合体投标。</w:t>
      </w:r>
    </w:p>
    <w:p>
      <w:pPr>
        <w:pStyle w:val="10"/>
        <w:ind w:left="662"/>
        <w:rPr>
          <w:highlight w:val="none"/>
        </w:rPr>
      </w:pPr>
      <w:r>
        <w:rPr>
          <w:highlight w:val="none"/>
        </w:rPr>
        <w:t>二、申请人的资格要求</w:t>
      </w:r>
    </w:p>
    <w:p>
      <w:pPr>
        <w:pStyle w:val="20"/>
        <w:numPr>
          <w:ilvl w:val="0"/>
          <w:numId w:val="1"/>
        </w:numPr>
        <w:tabs>
          <w:tab w:val="left" w:pos="1381"/>
        </w:tabs>
        <w:spacing w:before="209" w:after="0" w:line="240" w:lineRule="auto"/>
        <w:ind w:left="1380" w:right="0" w:hanging="241"/>
        <w:jc w:val="left"/>
        <w:rPr>
          <w:sz w:val="24"/>
          <w:highlight w:val="none"/>
        </w:rPr>
      </w:pPr>
      <w:r>
        <w:rPr>
          <w:sz w:val="24"/>
          <w:highlight w:val="none"/>
        </w:rPr>
        <w:t>满足《中华人民共和国政府采购法》第二十二条规定；</w:t>
      </w:r>
    </w:p>
    <w:p>
      <w:pPr>
        <w:pStyle w:val="20"/>
        <w:numPr>
          <w:ilvl w:val="0"/>
          <w:numId w:val="0"/>
        </w:numPr>
        <w:tabs>
          <w:tab w:val="left" w:pos="1621"/>
        </w:tabs>
        <w:spacing w:before="161" w:after="0" w:line="364" w:lineRule="auto"/>
        <w:ind w:left="1140" w:leftChars="0" w:right="1271" w:rightChars="0"/>
        <w:jc w:val="both"/>
        <w:rPr>
          <w:sz w:val="24"/>
          <w:highlight w:val="none"/>
        </w:rPr>
      </w:pPr>
      <w:r>
        <w:rPr>
          <w:rFonts w:hint="eastAsia"/>
          <w:spacing w:val="-6"/>
          <w:sz w:val="24"/>
          <w:highlight w:val="none"/>
          <w:lang w:val="en-US" w:eastAsia="zh-CN"/>
        </w:rPr>
        <w:t>3.1、</w:t>
      </w:r>
      <w:r>
        <w:rPr>
          <w:spacing w:val="-6"/>
          <w:sz w:val="24"/>
          <w:highlight w:val="none"/>
        </w:rPr>
        <w:t>在中华人民共和国注册的、具有独立承担民事责任能力的法人企业</w:t>
      </w:r>
      <w:r>
        <w:rPr>
          <w:sz w:val="24"/>
          <w:highlight w:val="none"/>
        </w:rPr>
        <w:t>（</w:t>
      </w:r>
      <w:r>
        <w:rPr>
          <w:spacing w:val="-11"/>
          <w:sz w:val="24"/>
          <w:highlight w:val="none"/>
        </w:rPr>
        <w:t>提</w:t>
      </w:r>
      <w:r>
        <w:rPr>
          <w:spacing w:val="-19"/>
          <w:sz w:val="24"/>
          <w:highlight w:val="none"/>
        </w:rPr>
        <w:t>供营业执照副本复印件、税务登记证复印件、组织机构代码证复印件加盖公章</w:t>
      </w:r>
      <w:r>
        <w:rPr>
          <w:sz w:val="24"/>
          <w:highlight w:val="none"/>
        </w:rPr>
        <w:t>（如已办以上三证合一的企业仅需提供统一社会信用代码的营业执照即可）</w:t>
      </w:r>
      <w:r>
        <w:rPr>
          <w:rFonts w:hint="eastAsia"/>
          <w:sz w:val="24"/>
          <w:highlight w:val="none"/>
          <w:lang w:eastAsia="zh-CN"/>
        </w:rPr>
        <w:t>）</w:t>
      </w:r>
      <w:r>
        <w:rPr>
          <w:sz w:val="24"/>
          <w:highlight w:val="none"/>
        </w:rPr>
        <w:t>；</w:t>
      </w:r>
    </w:p>
    <w:p>
      <w:pPr>
        <w:pStyle w:val="20"/>
        <w:numPr>
          <w:ilvl w:val="0"/>
          <w:numId w:val="0"/>
        </w:numPr>
        <w:tabs>
          <w:tab w:val="left" w:pos="1621"/>
        </w:tabs>
        <w:spacing w:before="2" w:after="0" w:line="364" w:lineRule="auto"/>
        <w:ind w:left="1140" w:leftChars="0" w:right="1271" w:rightChars="0"/>
        <w:jc w:val="both"/>
        <w:rPr>
          <w:sz w:val="24"/>
          <w:highlight w:val="none"/>
        </w:rPr>
      </w:pPr>
      <w:r>
        <w:rPr>
          <w:rFonts w:hint="eastAsia"/>
          <w:sz w:val="24"/>
          <w:highlight w:val="none"/>
          <w:lang w:val="en-US" w:eastAsia="zh-CN"/>
        </w:rPr>
        <w:t>3.2、</w:t>
      </w:r>
      <w:r>
        <w:rPr>
          <w:sz w:val="24"/>
          <w:highlight w:val="none"/>
        </w:rPr>
        <w:t>具有良好的商业信誉和健全的财务会计制度（</w:t>
      </w:r>
      <w:r>
        <w:rPr>
          <w:spacing w:val="-18"/>
          <w:sz w:val="24"/>
          <w:highlight w:val="none"/>
        </w:rPr>
        <w:t>提供 2020 年</w:t>
      </w:r>
      <w:r>
        <w:rPr>
          <w:rFonts w:hint="eastAsia"/>
          <w:spacing w:val="-18"/>
          <w:sz w:val="24"/>
          <w:highlight w:val="none"/>
          <w:lang w:val="en-US" w:eastAsia="zh-CN"/>
        </w:rPr>
        <w:t>10月</w:t>
      </w:r>
      <w:r>
        <w:rPr>
          <w:rFonts w:hint="eastAsia"/>
          <w:spacing w:val="-23"/>
          <w:sz w:val="24"/>
          <w:highlight w:val="none"/>
          <w:lang w:val="en-US" w:eastAsia="zh-CN"/>
        </w:rPr>
        <w:t>至今</w:t>
      </w:r>
      <w:r>
        <w:rPr>
          <w:spacing w:val="-23"/>
          <w:sz w:val="24"/>
          <w:highlight w:val="none"/>
        </w:rPr>
        <w:t>任意</w:t>
      </w:r>
      <w:r>
        <w:rPr>
          <w:sz w:val="24"/>
          <w:highlight w:val="none"/>
        </w:rPr>
        <w:t>3</w:t>
      </w:r>
      <w:r>
        <w:rPr>
          <w:spacing w:val="-22"/>
          <w:sz w:val="24"/>
          <w:highlight w:val="none"/>
        </w:rPr>
        <w:t>个月</w:t>
      </w:r>
      <w:r>
        <w:rPr>
          <w:sz w:val="24"/>
          <w:highlight w:val="none"/>
        </w:rPr>
        <w:t>的企业财务报表，包括资产负债表、损益表、现金流量表复印件加盖公章）；</w:t>
      </w:r>
    </w:p>
    <w:p>
      <w:pPr>
        <w:pStyle w:val="20"/>
        <w:numPr>
          <w:ilvl w:val="0"/>
          <w:numId w:val="0"/>
        </w:numPr>
        <w:tabs>
          <w:tab w:val="left" w:pos="1621"/>
        </w:tabs>
        <w:spacing w:before="1" w:after="0" w:line="240" w:lineRule="auto"/>
        <w:ind w:right="0" w:rightChars="0" w:firstLine="1200" w:firstLineChars="500"/>
        <w:jc w:val="both"/>
        <w:rPr>
          <w:rFonts w:hint="eastAsia"/>
          <w:spacing w:val="-10"/>
          <w:sz w:val="24"/>
          <w:highlight w:val="none"/>
          <w:lang w:val="en-US" w:eastAsia="zh-CN"/>
        </w:rPr>
      </w:pPr>
      <w:r>
        <w:rPr>
          <w:rFonts w:hint="eastAsia"/>
          <w:sz w:val="24"/>
          <w:highlight w:val="none"/>
          <w:lang w:val="en-US" w:eastAsia="zh-CN"/>
        </w:rPr>
        <w:t>3.3、</w:t>
      </w:r>
      <w:r>
        <w:rPr>
          <w:sz w:val="24"/>
          <w:highlight w:val="none"/>
        </w:rPr>
        <w:t>具有依法缴纳税收和社会保障资金的良好记录（</w:t>
      </w:r>
      <w:r>
        <w:rPr>
          <w:spacing w:val="-10"/>
          <w:sz w:val="24"/>
          <w:highlight w:val="none"/>
        </w:rPr>
        <w:t>提供缴纳 2020 年</w:t>
      </w:r>
      <w:r>
        <w:rPr>
          <w:rFonts w:hint="eastAsia"/>
          <w:spacing w:val="-10"/>
          <w:sz w:val="24"/>
          <w:highlight w:val="none"/>
          <w:lang w:val="en-US" w:eastAsia="zh-CN"/>
        </w:rPr>
        <w:t>10月</w:t>
      </w:r>
    </w:p>
    <w:p>
      <w:pPr>
        <w:pStyle w:val="20"/>
        <w:numPr>
          <w:ilvl w:val="0"/>
          <w:numId w:val="0"/>
        </w:numPr>
        <w:tabs>
          <w:tab w:val="left" w:pos="1621"/>
        </w:tabs>
        <w:spacing w:before="1" w:after="0" w:line="240" w:lineRule="auto"/>
        <w:ind w:right="0" w:rightChars="0" w:firstLine="970" w:firstLineChars="500"/>
        <w:jc w:val="both"/>
        <w:rPr>
          <w:highlight w:val="none"/>
        </w:rPr>
      </w:pPr>
      <w:r>
        <w:rPr>
          <w:rFonts w:hint="eastAsia"/>
          <w:spacing w:val="-23"/>
          <w:sz w:val="24"/>
          <w:highlight w:val="none"/>
          <w:lang w:val="en-US" w:eastAsia="zh-CN"/>
        </w:rPr>
        <w:t>至今</w:t>
      </w:r>
      <w:r>
        <w:rPr>
          <w:spacing w:val="-12"/>
          <w:sz w:val="24"/>
          <w:highlight w:val="none"/>
        </w:rPr>
        <w:t>任意</w:t>
      </w:r>
      <w:r>
        <w:rPr>
          <w:highlight w:val="none"/>
        </w:rPr>
        <w:t>3 个月的税收、社保记录凭证复印件加盖公章，依法免税或不需要缴纳社会保障</w:t>
      </w:r>
    </w:p>
    <w:p>
      <w:pPr>
        <w:spacing w:after="0"/>
        <w:rPr>
          <w:highlight w:val="none"/>
        </w:rPr>
        <w:sectPr>
          <w:footerReference r:id="rId6" w:type="default"/>
          <w:pgSz w:w="11900" w:h="16840"/>
          <w:pgMar w:top="1460" w:right="520" w:bottom="1380" w:left="1140" w:header="0" w:footer="1119" w:gutter="0"/>
          <w:pgNumType w:fmt="decimal" w:start="1"/>
          <w:cols w:space="720" w:num="1"/>
        </w:sectPr>
      </w:pPr>
    </w:p>
    <w:p>
      <w:pPr>
        <w:pStyle w:val="5"/>
        <w:spacing w:before="39" w:line="364" w:lineRule="auto"/>
        <w:ind w:right="1271" w:firstLine="720" w:firstLineChars="300"/>
        <w:rPr>
          <w:highlight w:val="none"/>
        </w:rPr>
      </w:pPr>
      <w:r>
        <w:rPr>
          <w:highlight w:val="none"/>
        </w:rPr>
        <w:t xml:space="preserve">资金的投标人，提供相应文件证明其依法免税或不需要缴纳社会保障资金）； </w:t>
      </w:r>
    </w:p>
    <w:p>
      <w:pPr>
        <w:pStyle w:val="5"/>
        <w:spacing w:before="39" w:line="364" w:lineRule="auto"/>
        <w:ind w:left="719" w:leftChars="327" w:right="1271" w:firstLine="480" w:firstLineChars="200"/>
        <w:rPr>
          <w:highlight w:val="none"/>
        </w:rPr>
      </w:pPr>
      <w:r>
        <w:rPr>
          <w:rFonts w:hint="eastAsia"/>
          <w:highlight w:val="none"/>
          <w:lang w:val="en-US" w:eastAsia="zh-CN"/>
        </w:rPr>
        <w:t>3</w:t>
      </w:r>
      <w:r>
        <w:rPr>
          <w:highlight w:val="none"/>
        </w:rPr>
        <w:t>.4</w:t>
      </w:r>
      <w:r>
        <w:rPr>
          <w:rFonts w:hint="eastAsia"/>
          <w:highlight w:val="none"/>
          <w:lang w:eastAsia="zh-CN"/>
        </w:rPr>
        <w:t>、</w:t>
      </w:r>
      <w:r>
        <w:rPr>
          <w:spacing w:val="-8"/>
          <w:highlight w:val="none"/>
        </w:rPr>
        <w:t>提供参加政府采购活动前三年内，在经营活动中没有重大违法记录的声</w:t>
      </w:r>
      <w:r>
        <w:rPr>
          <w:highlight w:val="none"/>
        </w:rPr>
        <w:t>明函（加盖公章）；</w:t>
      </w:r>
    </w:p>
    <w:p>
      <w:pPr>
        <w:pStyle w:val="20"/>
        <w:numPr>
          <w:ilvl w:val="0"/>
          <w:numId w:val="0"/>
        </w:numPr>
        <w:tabs>
          <w:tab w:val="left" w:pos="1621"/>
        </w:tabs>
        <w:spacing w:before="161" w:after="0" w:line="364" w:lineRule="auto"/>
        <w:ind w:left="480" w:leftChars="218" w:right="1271" w:rightChars="0" w:firstLine="684" w:firstLineChars="300"/>
        <w:jc w:val="left"/>
        <w:rPr>
          <w:sz w:val="24"/>
          <w:highlight w:val="none"/>
        </w:rPr>
      </w:pPr>
      <w:r>
        <w:rPr>
          <w:rFonts w:hint="eastAsia"/>
          <w:spacing w:val="-6"/>
          <w:sz w:val="24"/>
          <w:highlight w:val="none"/>
          <w:lang w:val="en-US" w:eastAsia="zh-CN"/>
        </w:rPr>
        <w:t>3.5、</w:t>
      </w:r>
      <w:r>
        <w:rPr>
          <w:spacing w:val="-6"/>
          <w:sz w:val="24"/>
          <w:highlight w:val="none"/>
        </w:rPr>
        <w:t>参加政府采购活动前三年内，无环保类行政处罚记录。</w:t>
      </w:r>
      <w:r>
        <w:rPr>
          <w:sz w:val="24"/>
          <w:highlight w:val="none"/>
        </w:rPr>
        <w:t>（</w:t>
      </w:r>
      <w:r>
        <w:rPr>
          <w:spacing w:val="-2"/>
          <w:sz w:val="24"/>
          <w:highlight w:val="none"/>
        </w:rPr>
        <w:t>提供无环保类</w:t>
      </w:r>
      <w:r>
        <w:rPr>
          <w:sz w:val="24"/>
          <w:highlight w:val="none"/>
        </w:rPr>
        <w:t>行政处罚记录声明函，加盖公章）；</w:t>
      </w:r>
    </w:p>
    <w:p>
      <w:pPr>
        <w:pStyle w:val="20"/>
        <w:numPr>
          <w:ilvl w:val="0"/>
          <w:numId w:val="0"/>
        </w:numPr>
        <w:tabs>
          <w:tab w:val="left" w:pos="1621"/>
        </w:tabs>
        <w:spacing w:before="1" w:after="0" w:line="240" w:lineRule="auto"/>
        <w:ind w:left="1139" w:leftChars="0" w:right="0" w:rightChars="0"/>
        <w:jc w:val="left"/>
        <w:rPr>
          <w:sz w:val="24"/>
          <w:highlight w:val="none"/>
        </w:rPr>
      </w:pPr>
      <w:r>
        <w:rPr>
          <w:rFonts w:hint="eastAsia"/>
          <w:sz w:val="24"/>
          <w:highlight w:val="none"/>
          <w:lang w:val="en-US" w:eastAsia="zh-CN"/>
        </w:rPr>
        <w:t>3.6、</w:t>
      </w:r>
      <w:r>
        <w:rPr>
          <w:sz w:val="24"/>
          <w:highlight w:val="none"/>
        </w:rPr>
        <w:t>具有履行政府采购合同所必需的产品和专业技术能力；</w:t>
      </w:r>
    </w:p>
    <w:p>
      <w:pPr>
        <w:pStyle w:val="20"/>
        <w:numPr>
          <w:ilvl w:val="0"/>
          <w:numId w:val="0"/>
        </w:numPr>
        <w:tabs>
          <w:tab w:val="left" w:pos="1621"/>
        </w:tabs>
        <w:spacing w:before="160" w:after="0" w:line="364" w:lineRule="auto"/>
        <w:ind w:right="1269" w:rightChars="0" w:firstLine="1200" w:firstLineChars="500"/>
        <w:jc w:val="both"/>
        <w:rPr>
          <w:sz w:val="24"/>
          <w:highlight w:val="none"/>
        </w:rPr>
      </w:pPr>
      <w:r>
        <w:rPr>
          <w:rFonts w:hint="eastAsia"/>
          <w:sz w:val="24"/>
          <w:highlight w:val="none"/>
          <w:lang w:val="en-US" w:eastAsia="zh-CN"/>
        </w:rPr>
        <w:t>3.7、</w:t>
      </w:r>
      <w:r>
        <w:rPr>
          <w:sz w:val="24"/>
          <w:highlight w:val="none"/>
        </w:rPr>
        <w:t>投标人必须为未被列入信用中国网站(www.creditchina.gov.cn)</w:t>
      </w:r>
      <w:r>
        <w:rPr>
          <w:spacing w:val="-35"/>
          <w:sz w:val="24"/>
          <w:highlight w:val="none"/>
        </w:rPr>
        <w:t>的“失</w:t>
      </w:r>
      <w:r>
        <w:rPr>
          <w:spacing w:val="-10"/>
          <w:sz w:val="24"/>
          <w:highlight w:val="none"/>
        </w:rPr>
        <w:t>信被执行人”、“重大税收违法案件当事人名单”、“政府采购严重违法失信名</w:t>
      </w:r>
      <w:r>
        <w:rPr>
          <w:spacing w:val="-8"/>
          <w:sz w:val="24"/>
          <w:highlight w:val="none"/>
        </w:rPr>
        <w:t>单”和中国政府采购网</w:t>
      </w:r>
      <w:r>
        <w:rPr>
          <w:sz w:val="24"/>
          <w:highlight w:val="none"/>
        </w:rPr>
        <w:t>(www.ccgp.gov.cn)</w:t>
      </w:r>
      <w:r>
        <w:rPr>
          <w:spacing w:val="-8"/>
          <w:sz w:val="24"/>
          <w:highlight w:val="none"/>
        </w:rPr>
        <w:t xml:space="preserve"> 的“政府采购严重违法失信行为记录</w:t>
      </w:r>
      <w:r>
        <w:rPr>
          <w:spacing w:val="4"/>
          <w:sz w:val="24"/>
          <w:highlight w:val="none"/>
        </w:rPr>
        <w:t>名单”的供应商（</w:t>
      </w:r>
      <w:r>
        <w:rPr>
          <w:sz w:val="24"/>
          <w:highlight w:val="none"/>
        </w:rPr>
        <w:t>提供发布公告后至开标时间前的查询结果网页截图并加盖公章）。</w:t>
      </w:r>
    </w:p>
    <w:p>
      <w:pPr>
        <w:pStyle w:val="20"/>
        <w:numPr>
          <w:ilvl w:val="0"/>
          <w:numId w:val="1"/>
        </w:numPr>
        <w:tabs>
          <w:tab w:val="left" w:pos="1381"/>
        </w:tabs>
        <w:spacing w:before="3" w:after="0" w:line="240" w:lineRule="auto"/>
        <w:ind w:left="1380" w:right="0" w:hanging="241"/>
        <w:jc w:val="left"/>
        <w:rPr>
          <w:sz w:val="24"/>
          <w:highlight w:val="none"/>
        </w:rPr>
      </w:pPr>
      <w:r>
        <w:rPr>
          <w:sz w:val="24"/>
          <w:highlight w:val="none"/>
        </w:rPr>
        <w:t>落实政府采购政策需满足的资格要求：</w:t>
      </w:r>
      <w:r>
        <w:rPr>
          <w:sz w:val="24"/>
          <w:highlight w:val="none"/>
          <w:u w:val="single"/>
        </w:rPr>
        <w:t>/</w:t>
      </w:r>
      <w:r>
        <w:rPr>
          <w:sz w:val="24"/>
          <w:highlight w:val="none"/>
        </w:rPr>
        <w:t>。</w:t>
      </w:r>
    </w:p>
    <w:p>
      <w:pPr>
        <w:pStyle w:val="20"/>
        <w:numPr>
          <w:ilvl w:val="0"/>
          <w:numId w:val="1"/>
        </w:numPr>
        <w:tabs>
          <w:tab w:val="left" w:pos="1381"/>
        </w:tabs>
        <w:spacing w:before="161" w:after="0" w:line="240" w:lineRule="auto"/>
        <w:ind w:left="1380" w:right="0" w:hanging="241"/>
        <w:jc w:val="left"/>
        <w:rPr>
          <w:sz w:val="24"/>
          <w:highlight w:val="none"/>
        </w:rPr>
      </w:pPr>
      <w:r>
        <w:rPr>
          <w:sz w:val="24"/>
          <w:highlight w:val="none"/>
        </w:rPr>
        <w:t>本项目的特定资格要求：</w:t>
      </w:r>
      <w:r>
        <w:rPr>
          <w:sz w:val="24"/>
          <w:highlight w:val="none"/>
          <w:u w:val="single"/>
        </w:rPr>
        <w:t>/</w:t>
      </w:r>
      <w:r>
        <w:rPr>
          <w:sz w:val="24"/>
          <w:highlight w:val="none"/>
        </w:rPr>
        <w:t>。</w:t>
      </w:r>
    </w:p>
    <w:p>
      <w:pPr>
        <w:pStyle w:val="5"/>
        <w:spacing w:before="11"/>
        <w:rPr>
          <w:sz w:val="16"/>
          <w:highlight w:val="none"/>
        </w:rPr>
      </w:pPr>
    </w:p>
    <w:p>
      <w:pPr>
        <w:pStyle w:val="10"/>
        <w:ind w:left="662"/>
        <w:rPr>
          <w:highlight w:val="none"/>
        </w:rPr>
      </w:pPr>
      <w:r>
        <w:rPr>
          <w:highlight w:val="none"/>
        </w:rPr>
        <w:t>三、获取招标文件</w:t>
      </w:r>
    </w:p>
    <w:p>
      <w:pPr>
        <w:pStyle w:val="5"/>
        <w:spacing w:before="210" w:line="364" w:lineRule="auto"/>
        <w:ind w:left="659" w:right="1154" w:firstLine="480"/>
        <w:jc w:val="both"/>
        <w:rPr>
          <w:highlight w:val="none"/>
        </w:rPr>
      </w:pPr>
      <w:r>
        <w:rPr>
          <w:highlight w:val="none"/>
        </w:rPr>
        <w:t>1.时间：2021 年</w:t>
      </w:r>
      <w:r>
        <w:rPr>
          <w:rFonts w:hint="eastAsia"/>
          <w:highlight w:val="none"/>
          <w:u w:val="single"/>
          <w:lang w:val="en-US" w:eastAsia="zh-CN"/>
        </w:rPr>
        <w:t>05</w:t>
      </w:r>
      <w:r>
        <w:rPr>
          <w:highlight w:val="none"/>
        </w:rPr>
        <w:t>月</w:t>
      </w:r>
      <w:r>
        <w:rPr>
          <w:rFonts w:hint="eastAsia"/>
          <w:highlight w:val="none"/>
          <w:u w:val="single"/>
          <w:lang w:val="en-US" w:eastAsia="zh-CN"/>
        </w:rPr>
        <w:t>14</w:t>
      </w:r>
      <w:r>
        <w:rPr>
          <w:highlight w:val="none"/>
        </w:rPr>
        <w:t>日至 2021 年</w:t>
      </w:r>
      <w:r>
        <w:rPr>
          <w:highlight w:val="none"/>
          <w:u w:val="single"/>
        </w:rPr>
        <w:t xml:space="preserve"> </w:t>
      </w:r>
      <w:r>
        <w:rPr>
          <w:rFonts w:hint="eastAsia"/>
          <w:highlight w:val="none"/>
          <w:u w:val="single"/>
          <w:lang w:val="en-US" w:eastAsia="zh-CN"/>
        </w:rPr>
        <w:t xml:space="preserve">5 </w:t>
      </w:r>
      <w:r>
        <w:rPr>
          <w:highlight w:val="none"/>
        </w:rPr>
        <w:t>月</w:t>
      </w:r>
      <w:r>
        <w:rPr>
          <w:highlight w:val="none"/>
          <w:u w:val="single"/>
        </w:rPr>
        <w:t xml:space="preserve"> </w:t>
      </w:r>
      <w:r>
        <w:rPr>
          <w:rFonts w:hint="eastAsia"/>
          <w:highlight w:val="none"/>
          <w:u w:val="single"/>
          <w:lang w:val="en-US" w:eastAsia="zh-CN"/>
        </w:rPr>
        <w:t xml:space="preserve">20 </w:t>
      </w:r>
      <w:r>
        <w:rPr>
          <w:highlight w:val="none"/>
        </w:rPr>
        <w:t>日，每天上午 8:30 至 1</w:t>
      </w:r>
      <w:r>
        <w:rPr>
          <w:rFonts w:hint="eastAsia"/>
          <w:highlight w:val="none"/>
          <w:lang w:val="en-US" w:eastAsia="zh-CN"/>
        </w:rPr>
        <w:t>2</w:t>
      </w:r>
      <w:r>
        <w:rPr>
          <w:highlight w:val="none"/>
        </w:rPr>
        <w:t>:</w:t>
      </w:r>
      <w:r>
        <w:rPr>
          <w:rFonts w:hint="eastAsia"/>
          <w:highlight w:val="none"/>
          <w:lang w:val="en-US" w:eastAsia="zh-CN"/>
        </w:rPr>
        <w:t>0</w:t>
      </w:r>
      <w:r>
        <w:rPr>
          <w:highlight w:val="none"/>
        </w:rPr>
        <w:t>0，下午 14:30 至 17:30（北京时间，法定节假日除外）。</w:t>
      </w:r>
    </w:p>
    <w:p>
      <w:pPr>
        <w:pStyle w:val="20"/>
        <w:numPr>
          <w:ilvl w:val="0"/>
          <w:numId w:val="2"/>
        </w:numPr>
        <w:tabs>
          <w:tab w:val="left" w:pos="1381"/>
        </w:tabs>
        <w:spacing w:before="1" w:after="0" w:line="240" w:lineRule="auto"/>
        <w:ind w:left="1380" w:right="0" w:hanging="241"/>
        <w:jc w:val="both"/>
        <w:rPr>
          <w:sz w:val="24"/>
          <w:highlight w:val="none"/>
        </w:rPr>
      </w:pPr>
      <w:r>
        <w:rPr>
          <w:sz w:val="24"/>
          <w:highlight w:val="none"/>
        </w:rPr>
        <w:t>地点：</w:t>
      </w:r>
      <w:r>
        <w:rPr>
          <w:rFonts w:hint="eastAsia"/>
          <w:sz w:val="24"/>
          <w:highlight w:val="none"/>
          <w:lang w:eastAsia="zh-CN"/>
        </w:rPr>
        <w:t>海口市美兰区国兴大道五号海南大厦副楼915室</w:t>
      </w:r>
      <w:r>
        <w:rPr>
          <w:sz w:val="24"/>
          <w:highlight w:val="none"/>
        </w:rPr>
        <w:t>。</w:t>
      </w:r>
    </w:p>
    <w:p>
      <w:pPr>
        <w:pStyle w:val="20"/>
        <w:numPr>
          <w:ilvl w:val="0"/>
          <w:numId w:val="2"/>
        </w:numPr>
        <w:tabs>
          <w:tab w:val="left" w:pos="1381"/>
        </w:tabs>
        <w:spacing w:before="160" w:after="0" w:line="364" w:lineRule="auto"/>
        <w:ind w:left="660" w:right="1271" w:firstLine="480"/>
        <w:jc w:val="both"/>
        <w:rPr>
          <w:sz w:val="24"/>
          <w:highlight w:val="none"/>
        </w:rPr>
      </w:pPr>
      <w:r>
        <w:rPr>
          <w:spacing w:val="-16"/>
          <w:sz w:val="24"/>
          <w:highlight w:val="none"/>
        </w:rPr>
        <w:t>方式：</w:t>
      </w:r>
      <w:r>
        <w:rPr>
          <w:spacing w:val="-8"/>
          <w:sz w:val="24"/>
          <w:highlight w:val="none"/>
          <w:u w:val="single"/>
        </w:rPr>
        <w:t>现场购买，购买招标文件时必须出示企业法定代表人授权委托书原</w:t>
      </w:r>
      <w:r>
        <w:rPr>
          <w:spacing w:val="-19"/>
          <w:sz w:val="24"/>
          <w:highlight w:val="none"/>
          <w:u w:val="single"/>
        </w:rPr>
        <w:t>件和被授权人身份证原件(附法定代表人身份证明)，营业执照副本、组织机构代码证、税务登记证[如已办以上三证合一的企业仅需提供统一社会信用代码的营业执照即可]复印件加盖公章</w:t>
      </w:r>
      <w:r>
        <w:rPr>
          <w:spacing w:val="-19"/>
          <w:sz w:val="24"/>
          <w:highlight w:val="none"/>
        </w:rPr>
        <w:t>。</w:t>
      </w:r>
    </w:p>
    <w:p>
      <w:pPr>
        <w:pStyle w:val="20"/>
        <w:numPr>
          <w:ilvl w:val="0"/>
          <w:numId w:val="2"/>
        </w:numPr>
        <w:tabs>
          <w:tab w:val="left" w:pos="1381"/>
        </w:tabs>
        <w:spacing w:before="3" w:after="0" w:line="240" w:lineRule="auto"/>
        <w:ind w:left="1380" w:right="0" w:hanging="241"/>
        <w:jc w:val="both"/>
        <w:rPr>
          <w:sz w:val="24"/>
          <w:highlight w:val="none"/>
        </w:rPr>
      </w:pPr>
      <w:r>
        <w:rPr>
          <w:sz w:val="24"/>
          <w:highlight w:val="none"/>
        </w:rPr>
        <w:t>文件售价：</w:t>
      </w:r>
      <w:r>
        <w:rPr>
          <w:sz w:val="24"/>
          <w:highlight w:val="none"/>
          <w:u w:val="single"/>
        </w:rPr>
        <w:t>￥</w:t>
      </w:r>
      <w:r>
        <w:rPr>
          <w:rFonts w:hint="eastAsia"/>
          <w:sz w:val="24"/>
          <w:highlight w:val="none"/>
          <w:u w:val="single"/>
          <w:lang w:val="en-US" w:eastAsia="zh-CN"/>
        </w:rPr>
        <w:t>2</w:t>
      </w:r>
      <w:r>
        <w:rPr>
          <w:sz w:val="24"/>
          <w:highlight w:val="none"/>
          <w:u w:val="single"/>
        </w:rPr>
        <w:t>00.00</w:t>
      </w:r>
      <w:r>
        <w:rPr>
          <w:spacing w:val="-31"/>
          <w:sz w:val="24"/>
          <w:highlight w:val="none"/>
          <w:u w:val="single"/>
        </w:rPr>
        <w:t xml:space="preserve"> 元</w:t>
      </w:r>
      <w:r>
        <w:rPr>
          <w:sz w:val="24"/>
          <w:highlight w:val="none"/>
          <w:u w:val="single"/>
        </w:rPr>
        <w:t>/套，售后不退</w:t>
      </w:r>
      <w:r>
        <w:rPr>
          <w:sz w:val="24"/>
          <w:highlight w:val="none"/>
        </w:rPr>
        <w:t>。</w:t>
      </w:r>
    </w:p>
    <w:p>
      <w:pPr>
        <w:pStyle w:val="5"/>
        <w:spacing w:before="11"/>
        <w:rPr>
          <w:sz w:val="16"/>
          <w:highlight w:val="none"/>
        </w:rPr>
      </w:pPr>
    </w:p>
    <w:p>
      <w:pPr>
        <w:pStyle w:val="10"/>
        <w:ind w:left="662"/>
        <w:rPr>
          <w:highlight w:val="none"/>
        </w:rPr>
      </w:pPr>
      <w:r>
        <w:rPr>
          <w:highlight w:val="none"/>
        </w:rPr>
        <w:t>四、提交投标文件截止时间、开标时间和地点</w:t>
      </w:r>
    </w:p>
    <w:p>
      <w:pPr>
        <w:pStyle w:val="5"/>
        <w:spacing w:before="209"/>
        <w:ind w:left="1140"/>
        <w:rPr>
          <w:highlight w:val="none"/>
        </w:rPr>
      </w:pPr>
      <w:r>
        <w:rPr>
          <w:highlight w:val="none"/>
        </w:rPr>
        <w:t>1.提交投标文件截止时间：</w:t>
      </w:r>
      <w:r>
        <w:rPr>
          <w:highlight w:val="none"/>
          <w:u w:val="single"/>
        </w:rPr>
        <w:t>2021年</w:t>
      </w:r>
      <w:r>
        <w:rPr>
          <w:rFonts w:hint="eastAsia"/>
          <w:highlight w:val="none"/>
          <w:u w:val="single"/>
          <w:lang w:val="en-US" w:eastAsia="zh-CN"/>
        </w:rPr>
        <w:t>06</w:t>
      </w:r>
      <w:r>
        <w:rPr>
          <w:highlight w:val="none"/>
          <w:u w:val="single"/>
        </w:rPr>
        <w:t>月</w:t>
      </w:r>
      <w:r>
        <w:rPr>
          <w:rFonts w:hint="eastAsia"/>
          <w:highlight w:val="none"/>
          <w:u w:val="single"/>
          <w:lang w:val="en-US" w:eastAsia="zh-CN"/>
        </w:rPr>
        <w:t>16</w:t>
      </w:r>
      <w:r>
        <w:rPr>
          <w:highlight w:val="none"/>
          <w:u w:val="single"/>
        </w:rPr>
        <w:t>日</w:t>
      </w:r>
      <w:r>
        <w:rPr>
          <w:rFonts w:hint="eastAsia"/>
          <w:highlight w:val="none"/>
          <w:u w:val="single"/>
          <w:lang w:val="en-US" w:eastAsia="zh-CN"/>
        </w:rPr>
        <w:t>09</w:t>
      </w:r>
      <w:r>
        <w:rPr>
          <w:highlight w:val="none"/>
          <w:u w:val="single"/>
        </w:rPr>
        <w:t>时</w:t>
      </w:r>
      <w:r>
        <w:rPr>
          <w:rFonts w:hint="eastAsia"/>
          <w:highlight w:val="none"/>
          <w:u w:val="single"/>
          <w:lang w:val="en-US" w:eastAsia="zh-CN"/>
        </w:rPr>
        <w:t>30</w:t>
      </w:r>
      <w:r>
        <w:rPr>
          <w:highlight w:val="none"/>
          <w:u w:val="single"/>
        </w:rPr>
        <w:t>分</w:t>
      </w:r>
      <w:r>
        <w:rPr>
          <w:highlight w:val="none"/>
        </w:rPr>
        <w:t>（北京时间）；</w:t>
      </w:r>
    </w:p>
    <w:p>
      <w:pPr>
        <w:pStyle w:val="5"/>
        <w:spacing w:before="161"/>
        <w:ind w:left="1139"/>
        <w:jc w:val="both"/>
        <w:rPr>
          <w:highlight w:val="none"/>
        </w:rPr>
      </w:pPr>
      <w:r>
        <w:rPr>
          <w:highlight w:val="none"/>
        </w:rPr>
        <w:t>2.开标时间：</w:t>
      </w:r>
      <w:r>
        <w:rPr>
          <w:highlight w:val="none"/>
          <w:u w:val="single"/>
        </w:rPr>
        <w:t>2021年</w:t>
      </w:r>
      <w:r>
        <w:rPr>
          <w:rFonts w:hint="eastAsia"/>
          <w:highlight w:val="none"/>
          <w:u w:val="single"/>
          <w:lang w:val="en-US" w:eastAsia="zh-CN"/>
        </w:rPr>
        <w:t>06</w:t>
      </w:r>
      <w:r>
        <w:rPr>
          <w:highlight w:val="none"/>
          <w:u w:val="single"/>
        </w:rPr>
        <w:t>月</w:t>
      </w:r>
      <w:r>
        <w:rPr>
          <w:rFonts w:hint="eastAsia"/>
          <w:highlight w:val="none"/>
          <w:u w:val="single"/>
          <w:lang w:val="en-US" w:eastAsia="zh-CN"/>
        </w:rPr>
        <w:t>16</w:t>
      </w:r>
      <w:r>
        <w:rPr>
          <w:highlight w:val="none"/>
          <w:u w:val="single"/>
        </w:rPr>
        <w:t>日</w:t>
      </w:r>
      <w:r>
        <w:rPr>
          <w:rFonts w:hint="eastAsia"/>
          <w:highlight w:val="none"/>
          <w:u w:val="single"/>
          <w:lang w:val="en-US" w:eastAsia="zh-CN"/>
        </w:rPr>
        <w:t>09</w:t>
      </w:r>
      <w:r>
        <w:rPr>
          <w:highlight w:val="none"/>
          <w:u w:val="single"/>
        </w:rPr>
        <w:t>时</w:t>
      </w:r>
      <w:r>
        <w:rPr>
          <w:rFonts w:hint="eastAsia"/>
          <w:highlight w:val="none"/>
          <w:u w:val="single"/>
          <w:lang w:val="en-US" w:eastAsia="zh-CN"/>
        </w:rPr>
        <w:t>30</w:t>
      </w:r>
      <w:r>
        <w:rPr>
          <w:highlight w:val="none"/>
          <w:u w:val="single"/>
        </w:rPr>
        <w:t>分</w:t>
      </w:r>
      <w:r>
        <w:rPr>
          <w:highlight w:val="none"/>
        </w:rPr>
        <w:t>（北京时间）；</w:t>
      </w:r>
    </w:p>
    <w:p>
      <w:pPr>
        <w:pStyle w:val="5"/>
        <w:spacing w:before="160"/>
        <w:ind w:left="1140"/>
        <w:rPr>
          <w:highlight w:val="none"/>
        </w:rPr>
      </w:pPr>
      <w:r>
        <w:rPr>
          <w:highlight w:val="none"/>
        </w:rPr>
        <w:t>3.提交投标文件及开标地点：</w:t>
      </w:r>
      <w:r>
        <w:rPr>
          <w:highlight w:val="none"/>
          <w:u w:val="single"/>
        </w:rPr>
        <w:t>海口市海秀东路 74 号鸿泰大厦 14 层开标</w:t>
      </w:r>
      <w:r>
        <w:rPr>
          <w:rFonts w:hint="eastAsia"/>
          <w:highlight w:val="none"/>
          <w:u w:val="single"/>
          <w:lang w:val="en-US" w:eastAsia="zh-CN"/>
        </w:rPr>
        <w:t xml:space="preserve"> 3 </w:t>
      </w:r>
      <w:r>
        <w:rPr>
          <w:highlight w:val="none"/>
          <w:u w:val="single"/>
        </w:rPr>
        <w:t>室</w:t>
      </w:r>
      <w:r>
        <w:rPr>
          <w:highlight w:val="none"/>
        </w:rPr>
        <w:t>；</w:t>
      </w:r>
    </w:p>
    <w:p>
      <w:pPr>
        <w:pStyle w:val="5"/>
        <w:spacing w:before="12"/>
        <w:rPr>
          <w:sz w:val="16"/>
          <w:highlight w:val="none"/>
        </w:rPr>
      </w:pPr>
    </w:p>
    <w:p>
      <w:pPr>
        <w:pStyle w:val="10"/>
        <w:ind w:left="662"/>
        <w:rPr>
          <w:highlight w:val="none"/>
        </w:rPr>
      </w:pPr>
      <w:r>
        <w:rPr>
          <w:highlight w:val="none"/>
        </w:rPr>
        <w:t>五、公告期限</w:t>
      </w:r>
    </w:p>
    <w:p>
      <w:pPr>
        <w:pStyle w:val="5"/>
        <w:spacing w:before="209"/>
        <w:ind w:left="1140"/>
        <w:jc w:val="both"/>
        <w:rPr>
          <w:highlight w:val="none"/>
        </w:rPr>
      </w:pPr>
      <w:r>
        <w:rPr>
          <w:highlight w:val="none"/>
        </w:rPr>
        <w:t>自本项目招标公告发布之日起 5 个工作日。</w:t>
      </w:r>
    </w:p>
    <w:p>
      <w:pPr>
        <w:spacing w:after="0"/>
        <w:jc w:val="both"/>
        <w:rPr>
          <w:highlight w:val="none"/>
        </w:rPr>
        <w:sectPr>
          <w:pgSz w:w="11900" w:h="16840"/>
          <w:pgMar w:top="1480" w:right="520" w:bottom="1380" w:left="1140" w:header="0" w:footer="1119" w:gutter="0"/>
          <w:pgNumType w:fmt="decimal"/>
          <w:cols w:space="720" w:num="1"/>
        </w:sectPr>
      </w:pPr>
    </w:p>
    <w:p>
      <w:pPr>
        <w:pStyle w:val="10"/>
        <w:spacing w:before="35"/>
        <w:ind w:left="662"/>
        <w:rPr>
          <w:highlight w:val="none"/>
        </w:rPr>
      </w:pPr>
      <w:r>
        <w:rPr>
          <w:highlight w:val="none"/>
        </w:rPr>
        <w:t>六、其他补充事宜</w:t>
      </w:r>
    </w:p>
    <w:p>
      <w:pPr>
        <w:pStyle w:val="20"/>
        <w:numPr>
          <w:ilvl w:val="0"/>
          <w:numId w:val="3"/>
        </w:numPr>
        <w:tabs>
          <w:tab w:val="left" w:pos="1522"/>
        </w:tabs>
        <w:spacing w:before="209" w:after="0" w:line="364" w:lineRule="auto"/>
        <w:ind w:left="660" w:right="1274" w:firstLine="480"/>
        <w:jc w:val="both"/>
        <w:rPr>
          <w:sz w:val="24"/>
          <w:highlight w:val="none"/>
        </w:rPr>
      </w:pPr>
      <w:r>
        <w:rPr>
          <w:spacing w:val="25"/>
          <w:sz w:val="24"/>
          <w:highlight w:val="none"/>
        </w:rPr>
        <w:t>本项目采购信息指定发布媒体为： 海南省政府采购网</w:t>
      </w:r>
      <w:r>
        <w:rPr>
          <w:sz w:val="24"/>
          <w:highlight w:val="none"/>
        </w:rPr>
        <w:t>（</w:t>
      </w:r>
      <w:r>
        <w:rPr>
          <w:spacing w:val="-5"/>
          <w:sz w:val="24"/>
          <w:highlight w:val="none"/>
        </w:rPr>
        <w:t>网站</w:t>
      </w:r>
      <w:r>
        <w:rPr>
          <w:sz w:val="24"/>
          <w:highlight w:val="none"/>
        </w:rPr>
        <w:t>）</w:t>
      </w:r>
      <w:r>
        <w:rPr>
          <w:highlight w:val="none"/>
        </w:rPr>
        <w:fldChar w:fldCharType="begin"/>
      </w:r>
      <w:r>
        <w:rPr>
          <w:highlight w:val="none"/>
        </w:rPr>
        <w:instrText xml:space="preserve"> HYPERLINK "http://www.ccgp-hainan.gov.cn/" \h </w:instrText>
      </w:r>
      <w:r>
        <w:rPr>
          <w:highlight w:val="none"/>
        </w:rPr>
        <w:fldChar w:fldCharType="separate"/>
      </w:r>
      <w:r>
        <w:rPr>
          <w:sz w:val="24"/>
          <w:highlight w:val="none"/>
        </w:rPr>
        <w:t xml:space="preserve"> http://www.ccgp-hainan.gov.cn/</w:t>
      </w:r>
      <w:r>
        <w:rPr>
          <w:spacing w:val="-85"/>
          <w:sz w:val="24"/>
          <w:highlight w:val="none"/>
        </w:rPr>
        <w:t xml:space="preserve"> </w:t>
      </w:r>
      <w:r>
        <w:rPr>
          <w:spacing w:val="-85"/>
          <w:sz w:val="24"/>
          <w:highlight w:val="none"/>
        </w:rPr>
        <w:fldChar w:fldCharType="end"/>
      </w:r>
      <w:r>
        <w:rPr>
          <w:spacing w:val="20"/>
          <w:sz w:val="24"/>
          <w:highlight w:val="none"/>
        </w:rPr>
        <w:t>； 全国公共资源交易平台</w:t>
      </w:r>
      <w:r>
        <w:rPr>
          <w:sz w:val="24"/>
          <w:highlight w:val="none"/>
        </w:rPr>
        <w:t>（</w:t>
      </w:r>
      <w:r>
        <w:rPr>
          <w:spacing w:val="6"/>
          <w:sz w:val="24"/>
          <w:highlight w:val="none"/>
        </w:rPr>
        <w:t xml:space="preserve"> 海南省</w:t>
      </w:r>
      <w:r>
        <w:rPr>
          <w:sz w:val="24"/>
          <w:highlight w:val="none"/>
        </w:rPr>
        <w:t>）</w:t>
      </w:r>
      <w:r>
        <w:rPr>
          <w:spacing w:val="-49"/>
          <w:sz w:val="24"/>
          <w:highlight w:val="none"/>
        </w:rPr>
        <w:t xml:space="preserve"> ：</w:t>
      </w:r>
      <w:r>
        <w:rPr>
          <w:highlight w:val="none"/>
        </w:rPr>
        <w:fldChar w:fldCharType="begin"/>
      </w:r>
      <w:r>
        <w:rPr>
          <w:highlight w:val="none"/>
        </w:rPr>
        <w:instrText xml:space="preserve"> HYPERLINK "http://zw.hainan.gov.cn/ggzy/" \h </w:instrText>
      </w:r>
      <w:r>
        <w:rPr>
          <w:highlight w:val="none"/>
        </w:rPr>
        <w:fldChar w:fldCharType="separate"/>
      </w:r>
      <w:r>
        <w:rPr>
          <w:spacing w:val="-49"/>
          <w:sz w:val="24"/>
          <w:highlight w:val="none"/>
        </w:rPr>
        <w:t xml:space="preserve"> </w:t>
      </w:r>
      <w:r>
        <w:rPr>
          <w:sz w:val="24"/>
          <w:highlight w:val="none"/>
        </w:rPr>
        <w:t>http://zw.hainan.gov.cn/ggzy/</w:t>
      </w:r>
      <w:r>
        <w:rPr>
          <w:sz w:val="24"/>
          <w:highlight w:val="none"/>
        </w:rPr>
        <w:fldChar w:fldCharType="end"/>
      </w:r>
      <w:r>
        <w:rPr>
          <w:sz w:val="24"/>
          <w:highlight w:val="none"/>
        </w:rPr>
        <w:t>。</w:t>
      </w:r>
    </w:p>
    <w:p>
      <w:pPr>
        <w:pStyle w:val="20"/>
        <w:numPr>
          <w:ilvl w:val="0"/>
          <w:numId w:val="3"/>
        </w:numPr>
        <w:tabs>
          <w:tab w:val="left" w:pos="1488"/>
        </w:tabs>
        <w:spacing w:before="2" w:after="0" w:line="364" w:lineRule="auto"/>
        <w:ind w:left="660" w:right="1266" w:firstLine="480"/>
        <w:jc w:val="both"/>
        <w:rPr>
          <w:sz w:val="24"/>
          <w:highlight w:val="none"/>
        </w:rPr>
      </w:pPr>
      <w:r>
        <w:rPr>
          <w:sz w:val="24"/>
          <w:highlight w:val="none"/>
        </w:rPr>
        <w:t>有关本项目招标文件的补遗、澄清及变更信息以上述网站公告为准，采</w:t>
      </w:r>
      <w:r>
        <w:rPr>
          <w:spacing w:val="-6"/>
          <w:sz w:val="24"/>
          <w:highlight w:val="none"/>
        </w:rPr>
        <w:t>购代理机构不再另行通知，招标文件与更正公告的内容相互矛盾时，以最后发出的更正公告内容为准。</w:t>
      </w:r>
    </w:p>
    <w:p>
      <w:pPr>
        <w:pStyle w:val="20"/>
        <w:numPr>
          <w:ilvl w:val="0"/>
          <w:numId w:val="3"/>
        </w:numPr>
        <w:tabs>
          <w:tab w:val="left" w:pos="1381"/>
        </w:tabs>
        <w:spacing w:before="2" w:after="0" w:line="364" w:lineRule="auto"/>
        <w:ind w:left="660" w:right="1271" w:firstLine="480"/>
        <w:jc w:val="both"/>
        <w:rPr>
          <w:sz w:val="24"/>
          <w:highlight w:val="none"/>
        </w:rPr>
      </w:pPr>
      <w:r>
        <w:rPr>
          <w:spacing w:val="-7"/>
          <w:sz w:val="24"/>
          <w:highlight w:val="none"/>
        </w:rPr>
        <w:t>采购项目需要落实的政府采购政策：《政府采购促进中小企业发展管理办</w:t>
      </w:r>
      <w:r>
        <w:rPr>
          <w:spacing w:val="-11"/>
          <w:sz w:val="24"/>
          <w:highlight w:val="none"/>
        </w:rPr>
        <w:t>法》、《节能产品政府采购实施意见》、《关于环境标志产品政府采购实施的意见》、《关于信息安全产品实施政府采购的通知》、《关于促进残疾人就业政府</w:t>
      </w:r>
      <w:r>
        <w:rPr>
          <w:spacing w:val="-10"/>
          <w:sz w:val="24"/>
          <w:highlight w:val="none"/>
        </w:rPr>
        <w:t>采购政策的通知》、《财政部 司法部关于政府采购支持监狱企业发展有关问题的通知》、《政府采购进口产品管理办法》。</w:t>
      </w:r>
    </w:p>
    <w:p>
      <w:pPr>
        <w:pStyle w:val="10"/>
        <w:spacing w:before="13"/>
        <w:ind w:left="662"/>
        <w:rPr>
          <w:highlight w:val="none"/>
        </w:rPr>
      </w:pPr>
      <w:r>
        <w:rPr>
          <w:highlight w:val="none"/>
        </w:rPr>
        <w:t>七、对本次招标提出询问，请按以下方式联系。</w:t>
      </w:r>
    </w:p>
    <w:p>
      <w:pPr>
        <w:pStyle w:val="20"/>
        <w:numPr>
          <w:ilvl w:val="0"/>
          <w:numId w:val="4"/>
        </w:numPr>
        <w:tabs>
          <w:tab w:val="left" w:pos="1500"/>
        </w:tabs>
        <w:spacing w:before="92" w:after="0" w:line="240" w:lineRule="auto"/>
        <w:ind w:left="1500" w:right="0" w:hanging="360"/>
        <w:jc w:val="left"/>
        <w:rPr>
          <w:sz w:val="24"/>
          <w:highlight w:val="none"/>
        </w:rPr>
      </w:pPr>
      <w:r>
        <w:rPr>
          <w:sz w:val="24"/>
          <w:highlight w:val="none"/>
        </w:rPr>
        <w:t>采购人信息</w:t>
      </w:r>
    </w:p>
    <w:p>
      <w:pPr>
        <w:pStyle w:val="5"/>
        <w:tabs>
          <w:tab w:val="left" w:pos="1619"/>
        </w:tabs>
        <w:spacing w:before="160" w:line="240" w:lineRule="auto"/>
        <w:ind w:left="1140" w:right="6218"/>
        <w:rPr>
          <w:highlight w:val="none"/>
        </w:rPr>
      </w:pPr>
      <w:r>
        <w:rPr>
          <w:highlight w:val="none"/>
        </w:rPr>
        <w:t>名</w:t>
      </w:r>
      <w:r>
        <w:rPr>
          <w:highlight w:val="none"/>
        </w:rPr>
        <w:tab/>
      </w:r>
      <w:r>
        <w:rPr>
          <w:highlight w:val="none"/>
        </w:rPr>
        <w:t>称：</w:t>
      </w:r>
      <w:r>
        <w:rPr>
          <w:highlight w:val="none"/>
          <w:u w:val="none"/>
        </w:rPr>
        <w:t>五指山市教育局</w:t>
      </w:r>
      <w:r>
        <w:rPr>
          <w:highlight w:val="none"/>
        </w:rPr>
        <w:t xml:space="preserve"> </w:t>
      </w:r>
    </w:p>
    <w:p>
      <w:pPr>
        <w:pStyle w:val="5"/>
        <w:tabs>
          <w:tab w:val="left" w:pos="1619"/>
        </w:tabs>
        <w:spacing w:before="160" w:line="240" w:lineRule="auto"/>
        <w:ind w:left="1140" w:right="6218"/>
        <w:rPr>
          <w:highlight w:val="none"/>
          <w:u w:val="none"/>
        </w:rPr>
      </w:pPr>
      <w:r>
        <w:rPr>
          <w:highlight w:val="none"/>
        </w:rPr>
        <w:t>地</w:t>
      </w:r>
      <w:r>
        <w:rPr>
          <w:highlight w:val="none"/>
        </w:rPr>
        <w:tab/>
      </w:r>
      <w:r>
        <w:rPr>
          <w:highlight w:val="none"/>
        </w:rPr>
        <w:t>址：</w:t>
      </w:r>
      <w:r>
        <w:rPr>
          <w:highlight w:val="none"/>
          <w:u w:val="none"/>
        </w:rPr>
        <w:t>五指山市</w:t>
      </w:r>
    </w:p>
    <w:p>
      <w:pPr>
        <w:pStyle w:val="5"/>
        <w:tabs>
          <w:tab w:val="left" w:pos="1619"/>
        </w:tabs>
        <w:spacing w:before="160" w:line="240" w:lineRule="auto"/>
        <w:ind w:left="1140" w:right="6218"/>
        <w:rPr>
          <w:rFonts w:hint="default" w:eastAsia="宋体"/>
          <w:highlight w:val="none"/>
          <w:u w:val="single"/>
          <w:lang w:val="en-US" w:eastAsia="zh-CN"/>
        </w:rPr>
      </w:pPr>
      <w:r>
        <w:rPr>
          <w:highlight w:val="none"/>
          <w:u w:val="none"/>
        </w:rPr>
        <w:t>联系方式：</w:t>
      </w:r>
      <w:r>
        <w:rPr>
          <w:rFonts w:hint="eastAsia"/>
          <w:highlight w:val="none"/>
          <w:u w:val="none"/>
          <w:lang w:val="en-US" w:eastAsia="zh-CN"/>
        </w:rPr>
        <w:t>赵老师</w:t>
      </w:r>
    </w:p>
    <w:p>
      <w:pPr>
        <w:pStyle w:val="5"/>
        <w:tabs>
          <w:tab w:val="left" w:pos="1619"/>
        </w:tabs>
        <w:spacing w:before="160" w:line="240" w:lineRule="auto"/>
        <w:ind w:left="1140" w:right="6218"/>
        <w:rPr>
          <w:highlight w:val="none"/>
          <w:u w:val="single"/>
        </w:rPr>
      </w:pPr>
      <w:r>
        <w:rPr>
          <w:rFonts w:hint="eastAsia"/>
          <w:highlight w:val="none"/>
          <w:u w:val="none"/>
          <w:lang w:val="en-US" w:eastAsia="zh-CN"/>
        </w:rPr>
        <w:t>联系电话：</w:t>
      </w:r>
      <w:r>
        <w:rPr>
          <w:highlight w:val="none"/>
          <w:u w:val="none"/>
        </w:rPr>
        <w:t>0898-86628123</w:t>
      </w:r>
    </w:p>
    <w:p>
      <w:pPr>
        <w:pStyle w:val="20"/>
        <w:numPr>
          <w:ilvl w:val="0"/>
          <w:numId w:val="4"/>
        </w:numPr>
        <w:tabs>
          <w:tab w:val="left" w:pos="1500"/>
        </w:tabs>
        <w:spacing w:before="161" w:after="0" w:line="240" w:lineRule="auto"/>
        <w:ind w:left="1500" w:right="0" w:hanging="360"/>
        <w:jc w:val="left"/>
        <w:rPr>
          <w:sz w:val="24"/>
          <w:highlight w:val="none"/>
        </w:rPr>
      </w:pPr>
      <w:r>
        <w:rPr>
          <w:sz w:val="24"/>
          <w:highlight w:val="none"/>
        </w:rPr>
        <w:t>采购代理机构信息</w:t>
      </w:r>
    </w:p>
    <w:p>
      <w:pPr>
        <w:pStyle w:val="5"/>
        <w:tabs>
          <w:tab w:val="left" w:pos="1619"/>
        </w:tabs>
        <w:spacing w:before="160"/>
        <w:ind w:left="1140"/>
        <w:rPr>
          <w:highlight w:val="none"/>
        </w:rPr>
      </w:pPr>
      <w:r>
        <w:rPr>
          <w:highlight w:val="none"/>
        </w:rPr>
        <w:t>名</w:t>
      </w:r>
      <w:r>
        <w:rPr>
          <w:highlight w:val="none"/>
        </w:rPr>
        <w:tab/>
      </w:r>
      <w:r>
        <w:rPr>
          <w:highlight w:val="none"/>
        </w:rPr>
        <w:t>称：</w:t>
      </w:r>
      <w:r>
        <w:rPr>
          <w:rFonts w:hint="eastAsia"/>
          <w:highlight w:val="none"/>
          <w:lang w:val="en-US" w:eastAsia="zh-CN"/>
        </w:rPr>
        <w:t>海南诚采项目管理有限公司</w:t>
      </w:r>
    </w:p>
    <w:p>
      <w:pPr>
        <w:pStyle w:val="5"/>
        <w:tabs>
          <w:tab w:val="left" w:pos="1619"/>
        </w:tabs>
        <w:spacing w:before="161" w:line="240" w:lineRule="auto"/>
        <w:ind w:left="1140" w:right="1778" w:hanging="1"/>
        <w:rPr>
          <w:rFonts w:hint="eastAsia"/>
          <w:highlight w:val="none"/>
          <w:lang w:val="en-US" w:eastAsia="zh-CN"/>
        </w:rPr>
      </w:pPr>
      <w:r>
        <w:rPr>
          <w:highlight w:val="none"/>
        </w:rPr>
        <w:t>地</w:t>
      </w:r>
      <w:r>
        <w:rPr>
          <w:highlight w:val="none"/>
        </w:rPr>
        <w:tab/>
      </w:r>
      <w:r>
        <w:rPr>
          <w:highlight w:val="none"/>
        </w:rPr>
        <w:t>址：</w:t>
      </w:r>
      <w:r>
        <w:rPr>
          <w:rFonts w:hint="eastAsia"/>
          <w:highlight w:val="none"/>
          <w:lang w:val="en-US" w:eastAsia="zh-CN"/>
        </w:rPr>
        <w:t>海口市美兰区国兴大道五号海南大厦副楼915室</w:t>
      </w:r>
    </w:p>
    <w:p>
      <w:pPr>
        <w:pStyle w:val="5"/>
        <w:tabs>
          <w:tab w:val="left" w:pos="1619"/>
        </w:tabs>
        <w:spacing w:before="161" w:line="240" w:lineRule="auto"/>
        <w:ind w:left="1140" w:right="1778" w:hanging="1"/>
        <w:rPr>
          <w:highlight w:val="none"/>
          <w:u w:val="none"/>
        </w:rPr>
      </w:pPr>
      <w:r>
        <w:rPr>
          <w:highlight w:val="none"/>
        </w:rPr>
        <w:t>联系方式：</w:t>
      </w:r>
      <w:r>
        <w:rPr>
          <w:highlight w:val="none"/>
          <w:u w:val="none"/>
        </w:rPr>
        <w:t>王工</w:t>
      </w:r>
    </w:p>
    <w:p>
      <w:pPr>
        <w:pStyle w:val="5"/>
        <w:tabs>
          <w:tab w:val="left" w:pos="1619"/>
        </w:tabs>
        <w:spacing w:before="161" w:line="240" w:lineRule="auto"/>
        <w:ind w:left="1140" w:right="1778" w:hanging="1"/>
        <w:rPr>
          <w:rFonts w:hint="default" w:eastAsia="宋体"/>
          <w:highlight w:val="none"/>
          <w:u w:val="single"/>
          <w:lang w:val="en-US" w:eastAsia="zh-CN"/>
        </w:rPr>
      </w:pPr>
      <w:r>
        <w:rPr>
          <w:rFonts w:hint="eastAsia"/>
          <w:highlight w:val="none"/>
          <w:u w:val="none"/>
          <w:lang w:val="en-US" w:eastAsia="zh-CN"/>
        </w:rPr>
        <w:t>联系电话：18789754787</w:t>
      </w:r>
    </w:p>
    <w:p>
      <w:pPr>
        <w:pStyle w:val="20"/>
        <w:numPr>
          <w:ilvl w:val="0"/>
          <w:numId w:val="4"/>
        </w:numPr>
        <w:tabs>
          <w:tab w:val="left" w:pos="1500"/>
        </w:tabs>
        <w:spacing w:before="1" w:after="0" w:line="364" w:lineRule="auto"/>
        <w:ind w:left="1140" w:right="7178" w:firstLine="0"/>
        <w:jc w:val="left"/>
        <w:rPr>
          <w:sz w:val="24"/>
          <w:highlight w:val="none"/>
        </w:rPr>
      </w:pPr>
      <w:r>
        <w:rPr>
          <w:sz w:val="24"/>
          <w:highlight w:val="none"/>
        </w:rPr>
        <w:t>项目联系方式项目联系人：</w:t>
      </w:r>
      <w:r>
        <w:rPr>
          <w:spacing w:val="-9"/>
          <w:sz w:val="24"/>
          <w:highlight w:val="none"/>
          <w:u w:val="none"/>
        </w:rPr>
        <w:t>王工</w:t>
      </w:r>
    </w:p>
    <w:p>
      <w:pPr>
        <w:pStyle w:val="5"/>
        <w:tabs>
          <w:tab w:val="left" w:pos="1619"/>
        </w:tabs>
        <w:spacing w:before="1"/>
        <w:ind w:left="1140"/>
        <w:rPr>
          <w:highlight w:val="none"/>
        </w:rPr>
      </w:pPr>
      <w:r>
        <w:rPr>
          <w:highlight w:val="none"/>
        </w:rPr>
        <w:t>电</w:t>
      </w:r>
      <w:r>
        <w:rPr>
          <w:highlight w:val="none"/>
        </w:rPr>
        <w:tab/>
      </w:r>
      <w:r>
        <w:rPr>
          <w:highlight w:val="none"/>
        </w:rPr>
        <w:t>话：</w:t>
      </w:r>
      <w:r>
        <w:rPr>
          <w:rFonts w:hint="eastAsia"/>
          <w:highlight w:val="none"/>
          <w:u w:val="none"/>
          <w:lang w:val="en-US" w:eastAsia="zh-CN"/>
        </w:rPr>
        <w:t>18789754787</w:t>
      </w:r>
    </w:p>
    <w:p>
      <w:pPr>
        <w:spacing w:after="0"/>
        <w:rPr>
          <w:highlight w:val="none"/>
        </w:rPr>
        <w:sectPr>
          <w:pgSz w:w="11900" w:h="16840"/>
          <w:pgMar w:top="1540" w:right="520" w:bottom="1380" w:left="1140" w:header="0" w:footer="1119" w:gutter="0"/>
          <w:pgNumType w:fmt="decimal"/>
          <w:cols w:space="720" w:num="1"/>
        </w:sectPr>
      </w:pPr>
    </w:p>
    <w:p>
      <w:pPr>
        <w:pStyle w:val="5"/>
        <w:rPr>
          <w:sz w:val="28"/>
          <w:highlight w:val="none"/>
        </w:rPr>
      </w:pPr>
    </w:p>
    <w:p>
      <w:pPr>
        <w:pStyle w:val="5"/>
        <w:spacing w:before="8"/>
        <w:rPr>
          <w:sz w:val="29"/>
          <w:highlight w:val="none"/>
        </w:rPr>
      </w:pPr>
    </w:p>
    <w:p>
      <w:pPr>
        <w:pStyle w:val="10"/>
        <w:spacing w:before="1"/>
        <w:ind w:left="662"/>
        <w:rPr>
          <w:highlight w:val="none"/>
        </w:rPr>
      </w:pPr>
      <w:r>
        <w:rPr>
          <w:highlight w:val="none"/>
        </w:rPr>
        <w:t>一、总则</w:t>
      </w:r>
    </w:p>
    <w:p>
      <w:pPr>
        <w:pStyle w:val="6"/>
        <w:ind w:left="662" w:right="0"/>
        <w:jc w:val="left"/>
        <w:rPr>
          <w:highlight w:val="none"/>
        </w:rPr>
      </w:pPr>
      <w:bookmarkStart w:id="1" w:name="_TOC_250003"/>
      <w:r>
        <w:rPr>
          <w:highlight w:val="none"/>
        </w:rPr>
        <w:br w:type="column"/>
      </w:r>
      <w:bookmarkEnd w:id="1"/>
      <w:r>
        <w:rPr>
          <w:highlight w:val="none"/>
        </w:rPr>
        <w:t>第二章 投标人须知</w:t>
      </w:r>
    </w:p>
    <w:p>
      <w:pPr>
        <w:spacing w:after="0"/>
        <w:jc w:val="left"/>
        <w:rPr>
          <w:highlight w:val="none"/>
        </w:rPr>
        <w:sectPr>
          <w:pgSz w:w="11900" w:h="16840"/>
          <w:pgMar w:top="1460" w:right="520" w:bottom="1380" w:left="1140" w:header="0" w:footer="1119" w:gutter="0"/>
          <w:pgNumType w:fmt="decimal"/>
          <w:cols w:equalWidth="0" w:num="2">
            <w:col w:w="1828" w:space="447"/>
            <w:col w:w="7965"/>
          </w:cols>
        </w:sectPr>
      </w:pPr>
    </w:p>
    <w:p>
      <w:pPr>
        <w:pStyle w:val="5"/>
        <w:spacing w:before="6"/>
        <w:rPr>
          <w:sz w:val="23"/>
          <w:highlight w:val="none"/>
        </w:rPr>
      </w:pPr>
    </w:p>
    <w:p>
      <w:pPr>
        <w:pStyle w:val="20"/>
        <w:numPr>
          <w:ilvl w:val="1"/>
          <w:numId w:val="5"/>
        </w:numPr>
        <w:tabs>
          <w:tab w:val="left" w:pos="1148"/>
        </w:tabs>
        <w:spacing w:before="67" w:after="0" w:line="240" w:lineRule="auto"/>
        <w:ind w:left="1147" w:right="0" w:hanging="426"/>
        <w:jc w:val="both"/>
        <w:rPr>
          <w:sz w:val="24"/>
          <w:highlight w:val="none"/>
        </w:rPr>
      </w:pPr>
      <w:r>
        <w:rPr>
          <w:sz w:val="24"/>
          <w:highlight w:val="none"/>
        </w:rPr>
        <w:t>术语说明</w:t>
      </w:r>
    </w:p>
    <w:p>
      <w:pPr>
        <w:pStyle w:val="20"/>
        <w:numPr>
          <w:ilvl w:val="2"/>
          <w:numId w:val="5"/>
        </w:numPr>
        <w:tabs>
          <w:tab w:val="left" w:pos="1784"/>
        </w:tabs>
        <w:spacing w:before="158" w:after="0" w:line="364" w:lineRule="auto"/>
        <w:ind w:left="660" w:right="1271" w:firstLine="420"/>
        <w:jc w:val="both"/>
        <w:rPr>
          <w:sz w:val="24"/>
          <w:highlight w:val="none"/>
        </w:rPr>
      </w:pPr>
      <w:r>
        <w:rPr>
          <w:spacing w:val="-4"/>
          <w:sz w:val="24"/>
          <w:highlight w:val="none"/>
        </w:rPr>
        <w:t>“采购代理机构” 指本次采购活动的执行机构(</w:t>
      </w:r>
      <w:r>
        <w:rPr>
          <w:rFonts w:hint="eastAsia"/>
          <w:spacing w:val="-4"/>
          <w:sz w:val="24"/>
          <w:highlight w:val="none"/>
          <w:lang w:eastAsia="zh-CN"/>
        </w:rPr>
        <w:t>海南诚采项目管理有限公司</w:t>
      </w:r>
      <w:r>
        <w:rPr>
          <w:sz w:val="24"/>
          <w:highlight w:val="none"/>
        </w:rPr>
        <w:t>)。</w:t>
      </w:r>
    </w:p>
    <w:p>
      <w:pPr>
        <w:pStyle w:val="20"/>
        <w:numPr>
          <w:ilvl w:val="2"/>
          <w:numId w:val="5"/>
        </w:numPr>
        <w:tabs>
          <w:tab w:val="left" w:pos="1800"/>
        </w:tabs>
        <w:spacing w:before="1" w:after="0" w:line="240" w:lineRule="auto"/>
        <w:ind w:left="1800" w:right="0" w:hanging="720"/>
        <w:jc w:val="both"/>
        <w:rPr>
          <w:sz w:val="24"/>
          <w:highlight w:val="none"/>
        </w:rPr>
      </w:pPr>
      <w:r>
        <w:rPr>
          <w:spacing w:val="-4"/>
          <w:sz w:val="24"/>
          <w:highlight w:val="none"/>
        </w:rPr>
        <w:t>“采购单位”指招标文件中所述所有货物及相关服务的甲方。</w:t>
      </w:r>
    </w:p>
    <w:p>
      <w:pPr>
        <w:pStyle w:val="20"/>
        <w:numPr>
          <w:ilvl w:val="2"/>
          <w:numId w:val="5"/>
        </w:numPr>
        <w:tabs>
          <w:tab w:val="left" w:pos="1788"/>
        </w:tabs>
        <w:spacing w:before="160" w:after="0" w:line="364" w:lineRule="auto"/>
        <w:ind w:left="660" w:right="1151" w:firstLine="420"/>
        <w:jc w:val="both"/>
        <w:rPr>
          <w:sz w:val="24"/>
          <w:highlight w:val="none"/>
        </w:rPr>
      </w:pPr>
      <w:r>
        <w:rPr>
          <w:spacing w:val="-4"/>
          <w:sz w:val="24"/>
          <w:highlight w:val="none"/>
        </w:rPr>
        <w:t>“货物”是指投标人制造或组织符合招标文件要求的货物等。招标文</w:t>
      </w:r>
      <w:r>
        <w:rPr>
          <w:spacing w:val="-9"/>
          <w:sz w:val="24"/>
          <w:highlight w:val="none"/>
        </w:rPr>
        <w:t>件中没有提及采购货物来源地的，根据《政府采购法》的相关规定均应是本国货</w:t>
      </w:r>
      <w:r>
        <w:rPr>
          <w:spacing w:val="-11"/>
          <w:sz w:val="24"/>
          <w:highlight w:val="none"/>
        </w:rPr>
        <w:t>物，另有规定的除外。投标人所响应的货物必须是其合法生产的符合国家有关标</w:t>
      </w:r>
      <w:r>
        <w:rPr>
          <w:spacing w:val="-17"/>
          <w:sz w:val="24"/>
          <w:highlight w:val="none"/>
        </w:rPr>
        <w:t>准要求的货物，并能够按照货物合同规定的品牌、产地、质量、价格和有效期等。</w:t>
      </w:r>
    </w:p>
    <w:p>
      <w:pPr>
        <w:pStyle w:val="20"/>
        <w:numPr>
          <w:ilvl w:val="2"/>
          <w:numId w:val="5"/>
        </w:numPr>
        <w:tabs>
          <w:tab w:val="left" w:pos="1800"/>
        </w:tabs>
        <w:spacing w:before="3" w:after="0" w:line="364" w:lineRule="auto"/>
        <w:ind w:left="660" w:right="1271" w:firstLine="420"/>
        <w:jc w:val="left"/>
        <w:rPr>
          <w:sz w:val="24"/>
          <w:highlight w:val="none"/>
        </w:rPr>
      </w:pPr>
      <w:r>
        <w:rPr>
          <w:sz w:val="24"/>
          <w:highlight w:val="none"/>
        </w:rPr>
        <w:t>“服务”是指除货物以外的其他政府采购对象,其中包括：投标人须</w:t>
      </w:r>
      <w:r>
        <w:rPr>
          <w:spacing w:val="-11"/>
          <w:sz w:val="24"/>
          <w:highlight w:val="none"/>
        </w:rPr>
        <w:t>承担的运输、安装、技术支持、培训以及其它类似附加服务的义务。投标人除按</w:t>
      </w:r>
      <w:r>
        <w:rPr>
          <w:spacing w:val="-6"/>
          <w:sz w:val="24"/>
          <w:highlight w:val="none"/>
        </w:rPr>
        <w:t>照招标文件的要求提供货物及服务外，还应提供下列服务：货物的现场安装、启</w:t>
      </w:r>
      <w:r>
        <w:rPr>
          <w:spacing w:val="-10"/>
          <w:sz w:val="24"/>
          <w:highlight w:val="none"/>
        </w:rPr>
        <w:t>动和试运行；提供货物组装和维修所需的工具；在质量保证期内对所交付货物提供运行监督、维修、保养等；并就货物的安装、启动、运行、维护等对采购单位</w:t>
      </w:r>
      <w:r>
        <w:rPr>
          <w:sz w:val="24"/>
          <w:highlight w:val="none"/>
        </w:rPr>
        <w:t>人员进行必要的培训。以上服务的费用应包含在报价中，不单独进行支付。</w:t>
      </w:r>
    </w:p>
    <w:p>
      <w:pPr>
        <w:pStyle w:val="20"/>
        <w:numPr>
          <w:ilvl w:val="2"/>
          <w:numId w:val="5"/>
        </w:numPr>
        <w:tabs>
          <w:tab w:val="left" w:pos="1788"/>
        </w:tabs>
        <w:spacing w:before="3" w:after="0" w:line="364" w:lineRule="auto"/>
        <w:ind w:left="660" w:right="1271" w:firstLine="420"/>
        <w:jc w:val="left"/>
        <w:rPr>
          <w:sz w:val="24"/>
          <w:highlight w:val="none"/>
        </w:rPr>
      </w:pPr>
      <w:r>
        <w:rPr>
          <w:spacing w:val="-5"/>
          <w:sz w:val="24"/>
          <w:highlight w:val="none"/>
        </w:rPr>
        <w:t>“投标人”指响应招标、已按招标文件规定取得招标文件并参加投标</w:t>
      </w:r>
      <w:r>
        <w:rPr>
          <w:sz w:val="24"/>
          <w:highlight w:val="none"/>
        </w:rPr>
        <w:t>竞争的法人、其他组织或自然人。</w:t>
      </w:r>
    </w:p>
    <w:p>
      <w:pPr>
        <w:pStyle w:val="20"/>
        <w:numPr>
          <w:ilvl w:val="2"/>
          <w:numId w:val="5"/>
        </w:numPr>
        <w:tabs>
          <w:tab w:val="left" w:pos="1800"/>
        </w:tabs>
        <w:spacing w:before="2" w:after="0" w:line="240" w:lineRule="auto"/>
        <w:ind w:left="1800" w:right="0" w:hanging="720"/>
        <w:jc w:val="left"/>
        <w:rPr>
          <w:sz w:val="24"/>
          <w:highlight w:val="none"/>
        </w:rPr>
      </w:pPr>
      <w:r>
        <w:rPr>
          <w:sz w:val="24"/>
          <w:highlight w:val="none"/>
        </w:rPr>
        <w:t>“中标人”是指经评标委员会评审，授予合同的投标人。</w:t>
      </w:r>
    </w:p>
    <w:p>
      <w:pPr>
        <w:pStyle w:val="20"/>
        <w:numPr>
          <w:ilvl w:val="2"/>
          <w:numId w:val="5"/>
        </w:numPr>
        <w:tabs>
          <w:tab w:val="left" w:pos="1800"/>
        </w:tabs>
        <w:spacing w:before="160" w:after="0" w:line="240" w:lineRule="auto"/>
        <w:ind w:left="1800" w:right="0" w:hanging="720"/>
        <w:jc w:val="left"/>
        <w:rPr>
          <w:sz w:val="24"/>
          <w:highlight w:val="none"/>
        </w:rPr>
      </w:pPr>
      <w:r>
        <w:rPr>
          <w:sz w:val="24"/>
          <w:highlight w:val="none"/>
        </w:rPr>
        <w:t>招标文件中涉及的时间均为北京时间。</w:t>
      </w:r>
    </w:p>
    <w:p>
      <w:pPr>
        <w:pStyle w:val="20"/>
        <w:numPr>
          <w:ilvl w:val="1"/>
          <w:numId w:val="5"/>
        </w:numPr>
        <w:tabs>
          <w:tab w:val="left" w:pos="1088"/>
        </w:tabs>
        <w:spacing w:before="163" w:after="0" w:line="240" w:lineRule="auto"/>
        <w:ind w:left="1087" w:right="0" w:hanging="426"/>
        <w:jc w:val="both"/>
        <w:rPr>
          <w:sz w:val="24"/>
          <w:highlight w:val="none"/>
        </w:rPr>
      </w:pPr>
      <w:r>
        <w:rPr>
          <w:sz w:val="24"/>
          <w:highlight w:val="none"/>
        </w:rPr>
        <w:t>适用范围</w:t>
      </w:r>
    </w:p>
    <w:p>
      <w:pPr>
        <w:pStyle w:val="5"/>
        <w:spacing w:before="158"/>
        <w:ind w:left="1140"/>
        <w:rPr>
          <w:highlight w:val="none"/>
        </w:rPr>
      </w:pPr>
      <w:r>
        <w:rPr>
          <w:highlight w:val="none"/>
        </w:rPr>
        <w:t>本招标文件仅适用于采购代理机构组织的本次招标活动。</w:t>
      </w:r>
    </w:p>
    <w:p>
      <w:pPr>
        <w:pStyle w:val="20"/>
        <w:numPr>
          <w:ilvl w:val="1"/>
          <w:numId w:val="5"/>
        </w:numPr>
        <w:tabs>
          <w:tab w:val="left" w:pos="1088"/>
        </w:tabs>
        <w:spacing w:before="163" w:after="0" w:line="240" w:lineRule="auto"/>
        <w:ind w:left="1087" w:right="0" w:hanging="426"/>
        <w:jc w:val="left"/>
        <w:rPr>
          <w:sz w:val="24"/>
          <w:highlight w:val="none"/>
        </w:rPr>
      </w:pPr>
      <w:r>
        <w:rPr>
          <w:sz w:val="24"/>
          <w:highlight w:val="none"/>
        </w:rPr>
        <w:t>合格的供应商</w:t>
      </w:r>
    </w:p>
    <w:p>
      <w:pPr>
        <w:pStyle w:val="20"/>
        <w:numPr>
          <w:ilvl w:val="2"/>
          <w:numId w:val="5"/>
        </w:numPr>
        <w:tabs>
          <w:tab w:val="left" w:pos="1860"/>
        </w:tabs>
        <w:spacing w:before="158" w:after="0" w:line="240" w:lineRule="auto"/>
        <w:ind w:left="1860" w:right="0" w:hanging="720"/>
        <w:jc w:val="left"/>
        <w:rPr>
          <w:sz w:val="24"/>
          <w:highlight w:val="none"/>
        </w:rPr>
      </w:pPr>
      <w:r>
        <w:rPr>
          <w:sz w:val="24"/>
          <w:highlight w:val="none"/>
        </w:rPr>
        <w:t>申请人的资格要求</w:t>
      </w:r>
    </w:p>
    <w:p>
      <w:pPr>
        <w:pStyle w:val="20"/>
        <w:numPr>
          <w:ilvl w:val="3"/>
          <w:numId w:val="5"/>
        </w:numPr>
        <w:tabs>
          <w:tab w:val="left" w:pos="2040"/>
        </w:tabs>
        <w:spacing w:before="161" w:after="0" w:line="240" w:lineRule="auto"/>
        <w:ind w:left="2040" w:right="0" w:hanging="900"/>
        <w:jc w:val="left"/>
        <w:rPr>
          <w:sz w:val="24"/>
          <w:highlight w:val="none"/>
        </w:rPr>
      </w:pPr>
      <w:r>
        <w:rPr>
          <w:sz w:val="24"/>
          <w:highlight w:val="none"/>
        </w:rPr>
        <w:t>符合《中华人民共和国政府采购法》第二十二条规定的条件：</w:t>
      </w:r>
    </w:p>
    <w:p>
      <w:pPr>
        <w:pStyle w:val="20"/>
        <w:numPr>
          <w:ilvl w:val="0"/>
          <w:numId w:val="6"/>
        </w:numPr>
        <w:tabs>
          <w:tab w:val="left" w:pos="1681"/>
        </w:tabs>
        <w:spacing w:before="160" w:after="0" w:line="240" w:lineRule="auto"/>
        <w:ind w:left="1680" w:right="0" w:hanging="601"/>
        <w:jc w:val="left"/>
        <w:rPr>
          <w:sz w:val="24"/>
          <w:highlight w:val="none"/>
        </w:rPr>
      </w:pPr>
      <w:r>
        <w:rPr>
          <w:sz w:val="24"/>
          <w:highlight w:val="none"/>
        </w:rPr>
        <w:t>具有独立承担民事责任的能力。</w:t>
      </w:r>
    </w:p>
    <w:p>
      <w:pPr>
        <w:pStyle w:val="5"/>
        <w:spacing w:before="161" w:line="364" w:lineRule="auto"/>
        <w:ind w:left="660" w:right="1271" w:firstLine="480"/>
        <w:rPr>
          <w:highlight w:val="none"/>
        </w:rPr>
      </w:pPr>
      <w:r>
        <w:rPr>
          <w:spacing w:val="-4"/>
          <w:highlight w:val="none"/>
        </w:rPr>
        <w:t>投标人是企业</w:t>
      </w:r>
      <w:r>
        <w:rPr>
          <w:highlight w:val="none"/>
        </w:rPr>
        <w:t>（包括合伙企业</w:t>
      </w:r>
      <w:r>
        <w:rPr>
          <w:spacing w:val="-24"/>
          <w:highlight w:val="none"/>
        </w:rPr>
        <w:t>）</w:t>
      </w:r>
      <w:r>
        <w:rPr>
          <w:spacing w:val="-8"/>
          <w:highlight w:val="none"/>
        </w:rPr>
        <w:t>的，提供在工商部门注册的有效的“企业法</w:t>
      </w:r>
      <w:r>
        <w:rPr>
          <w:spacing w:val="-10"/>
          <w:highlight w:val="none"/>
        </w:rPr>
        <w:t>人营业执照”或“营业执照”；投标人是事业单位的，提供有效的“事业单位法</w:t>
      </w:r>
    </w:p>
    <w:p>
      <w:pPr>
        <w:spacing w:after="0" w:line="364" w:lineRule="auto"/>
        <w:rPr>
          <w:highlight w:val="none"/>
        </w:rPr>
        <w:sectPr>
          <w:type w:val="continuous"/>
          <w:pgSz w:w="11900" w:h="16840"/>
          <w:pgMar w:top="280" w:right="520" w:bottom="0" w:left="1140" w:header="720" w:footer="720" w:gutter="0"/>
          <w:pgNumType w:fmt="decimal"/>
          <w:cols w:space="720" w:num="1"/>
        </w:sectPr>
      </w:pPr>
    </w:p>
    <w:p>
      <w:pPr>
        <w:pStyle w:val="5"/>
        <w:spacing w:before="39" w:line="364" w:lineRule="auto"/>
        <w:ind w:left="660" w:right="1274"/>
        <w:jc w:val="both"/>
        <w:rPr>
          <w:highlight w:val="none"/>
        </w:rPr>
      </w:pPr>
      <w:r>
        <w:rPr>
          <w:spacing w:val="-10"/>
          <w:highlight w:val="none"/>
        </w:rPr>
        <w:t>人证书”；投标人是非企业专业服务机构的，如律师事务所，提供执业许可证等</w:t>
      </w:r>
      <w:r>
        <w:rPr>
          <w:spacing w:val="-7"/>
          <w:highlight w:val="none"/>
        </w:rPr>
        <w:t>证明文件；投标人是个体工商户的，提供有效的“个体工商户营业执照”；投标</w:t>
      </w:r>
      <w:r>
        <w:rPr>
          <w:spacing w:val="-13"/>
          <w:highlight w:val="none"/>
        </w:rPr>
        <w:t>人是自然人的，提供有效的自然人身份证明。要求提供的资料须是复印件加盖公</w:t>
      </w:r>
      <w:r>
        <w:rPr>
          <w:highlight w:val="none"/>
        </w:rPr>
        <w:t>章。</w:t>
      </w:r>
    </w:p>
    <w:p>
      <w:pPr>
        <w:pStyle w:val="5"/>
        <w:spacing w:before="2" w:line="364" w:lineRule="auto"/>
        <w:ind w:left="660" w:right="1271" w:firstLine="540"/>
        <w:rPr>
          <w:highlight w:val="none"/>
        </w:rPr>
      </w:pPr>
      <w:r>
        <w:rPr>
          <w:highlight w:val="none"/>
        </w:rPr>
        <w:t>如投标人是银行、保险、石油石化、电力、电信行业的，分支机构可参与</w:t>
      </w:r>
      <w:r>
        <w:rPr>
          <w:spacing w:val="-7"/>
          <w:highlight w:val="none"/>
        </w:rPr>
        <w:t>本项目的政府采购活动。招标文件中涉及要求提供“法定代表人”相关证明材料</w:t>
      </w:r>
      <w:r>
        <w:rPr>
          <w:highlight w:val="none"/>
        </w:rPr>
        <w:t>的，提供分支机构“负责人”的相关证明材料。</w:t>
      </w:r>
    </w:p>
    <w:p>
      <w:pPr>
        <w:pStyle w:val="5"/>
        <w:spacing w:before="2"/>
        <w:ind w:left="1140"/>
        <w:rPr>
          <w:highlight w:val="none"/>
        </w:rPr>
      </w:pPr>
      <w:r>
        <w:rPr>
          <w:highlight w:val="none"/>
        </w:rPr>
        <w:t>只有中国公民才能以自然人的身份参加本项目的政府采购活动。</w:t>
      </w:r>
    </w:p>
    <w:p>
      <w:pPr>
        <w:pStyle w:val="20"/>
        <w:numPr>
          <w:ilvl w:val="0"/>
          <w:numId w:val="6"/>
        </w:numPr>
        <w:tabs>
          <w:tab w:val="left" w:pos="1681"/>
        </w:tabs>
        <w:spacing w:before="161" w:after="0" w:line="240" w:lineRule="auto"/>
        <w:ind w:left="1680" w:right="0" w:hanging="601"/>
        <w:jc w:val="left"/>
        <w:rPr>
          <w:sz w:val="24"/>
          <w:highlight w:val="none"/>
        </w:rPr>
      </w:pPr>
      <w:r>
        <w:rPr>
          <w:sz w:val="24"/>
          <w:highlight w:val="none"/>
        </w:rPr>
        <w:t>具有良好的商业信誉和健全的财务会计制度。</w:t>
      </w:r>
    </w:p>
    <w:p>
      <w:pPr>
        <w:pStyle w:val="5"/>
        <w:spacing w:before="160" w:line="364" w:lineRule="auto"/>
        <w:ind w:left="660" w:right="1298" w:firstLine="480"/>
        <w:rPr>
          <w:highlight w:val="none"/>
        </w:rPr>
      </w:pPr>
      <w:r>
        <w:rPr>
          <w:spacing w:val="-21"/>
          <w:highlight w:val="none"/>
        </w:rPr>
        <w:t xml:space="preserve">提供 </w:t>
      </w:r>
      <w:r>
        <w:rPr>
          <w:highlight w:val="none"/>
        </w:rPr>
        <w:t>2020</w:t>
      </w:r>
      <w:r>
        <w:rPr>
          <w:spacing w:val="-25"/>
          <w:highlight w:val="none"/>
        </w:rPr>
        <w:t xml:space="preserve"> 年</w:t>
      </w:r>
      <w:r>
        <w:rPr>
          <w:rFonts w:hint="eastAsia" w:ascii="宋体" w:hAnsi="宋体" w:eastAsia="宋体" w:cs="宋体"/>
          <w:sz w:val="24"/>
          <w:szCs w:val="22"/>
          <w:highlight w:val="none"/>
          <w:lang w:val="en-US" w:eastAsia="zh-CN" w:bidi="zh-CN"/>
        </w:rPr>
        <w:t>10月至今</w:t>
      </w:r>
      <w:r>
        <w:rPr>
          <w:rFonts w:ascii="宋体" w:hAnsi="宋体" w:eastAsia="宋体" w:cs="宋体"/>
          <w:sz w:val="24"/>
          <w:szCs w:val="22"/>
          <w:highlight w:val="none"/>
          <w:lang w:val="zh-CN" w:eastAsia="zh-CN" w:bidi="zh-CN"/>
        </w:rPr>
        <w:t>任</w:t>
      </w:r>
      <w:r>
        <w:rPr>
          <w:spacing w:val="-25"/>
          <w:highlight w:val="none"/>
        </w:rPr>
        <w:t xml:space="preserve">意 </w:t>
      </w:r>
      <w:r>
        <w:rPr>
          <w:highlight w:val="none"/>
        </w:rPr>
        <w:t>3</w:t>
      </w:r>
      <w:r>
        <w:rPr>
          <w:spacing w:val="-9"/>
          <w:highlight w:val="none"/>
        </w:rPr>
        <w:t xml:space="preserve"> 个月的企业财务报表，包括资产负债表、损益表、现金</w:t>
      </w:r>
      <w:r>
        <w:rPr>
          <w:highlight w:val="none"/>
        </w:rPr>
        <w:t>流量表。提供的资料须加盖公章。</w:t>
      </w:r>
    </w:p>
    <w:p>
      <w:pPr>
        <w:pStyle w:val="20"/>
        <w:numPr>
          <w:ilvl w:val="0"/>
          <w:numId w:val="6"/>
        </w:numPr>
        <w:tabs>
          <w:tab w:val="left" w:pos="1681"/>
        </w:tabs>
        <w:spacing w:before="1" w:after="0" w:line="240" w:lineRule="auto"/>
        <w:ind w:left="1680" w:right="0" w:hanging="601"/>
        <w:jc w:val="left"/>
        <w:rPr>
          <w:sz w:val="24"/>
          <w:highlight w:val="none"/>
        </w:rPr>
      </w:pPr>
      <w:r>
        <w:rPr>
          <w:sz w:val="24"/>
          <w:highlight w:val="none"/>
        </w:rPr>
        <w:t>具有履行政府采购合同所必需的产品和专业技术能力。</w:t>
      </w:r>
    </w:p>
    <w:p>
      <w:pPr>
        <w:pStyle w:val="20"/>
        <w:numPr>
          <w:ilvl w:val="0"/>
          <w:numId w:val="6"/>
        </w:numPr>
        <w:tabs>
          <w:tab w:val="left" w:pos="1681"/>
        </w:tabs>
        <w:spacing w:before="161" w:after="0" w:line="240" w:lineRule="auto"/>
        <w:ind w:left="1680" w:right="0" w:hanging="601"/>
        <w:jc w:val="left"/>
        <w:rPr>
          <w:sz w:val="24"/>
          <w:highlight w:val="none"/>
        </w:rPr>
      </w:pPr>
      <w:r>
        <w:rPr>
          <w:sz w:val="24"/>
          <w:highlight w:val="none"/>
        </w:rPr>
        <w:t>有依法缴纳税收和社会保障资金的良好记录。</w:t>
      </w:r>
    </w:p>
    <w:p>
      <w:pPr>
        <w:pStyle w:val="5"/>
        <w:spacing w:before="160"/>
        <w:ind w:left="1140"/>
        <w:rPr>
          <w:highlight w:val="none"/>
        </w:rPr>
      </w:pPr>
      <w:r>
        <w:rPr>
          <w:highlight w:val="none"/>
        </w:rPr>
        <w:t>提供缴纳 2020 年</w:t>
      </w:r>
      <w:r>
        <w:rPr>
          <w:rFonts w:hint="eastAsia"/>
          <w:highlight w:val="none"/>
          <w:lang w:val="en-US" w:eastAsia="zh-CN"/>
        </w:rPr>
        <w:t>10月至今</w:t>
      </w:r>
      <w:r>
        <w:rPr>
          <w:highlight w:val="none"/>
        </w:rPr>
        <w:t>任意 3 个月的税收、社保记录凭证。提供的资料须加盖公</w:t>
      </w:r>
    </w:p>
    <w:p>
      <w:pPr>
        <w:pStyle w:val="5"/>
        <w:spacing w:before="161"/>
        <w:ind w:left="660"/>
        <w:rPr>
          <w:highlight w:val="none"/>
        </w:rPr>
      </w:pPr>
      <w:r>
        <w:rPr>
          <w:highlight w:val="none"/>
        </w:rPr>
        <w:t>章。</w:t>
      </w:r>
    </w:p>
    <w:p>
      <w:pPr>
        <w:pStyle w:val="5"/>
        <w:spacing w:before="160"/>
        <w:ind w:left="1140"/>
        <w:rPr>
          <w:highlight w:val="none"/>
        </w:rPr>
      </w:pPr>
      <w:r>
        <w:rPr>
          <w:highlight w:val="none"/>
        </w:rPr>
        <w:t>依法免税或不需要缴纳社会保障资金的投标人，提供相应文件证明其依法免</w:t>
      </w:r>
    </w:p>
    <w:p>
      <w:pPr>
        <w:pStyle w:val="5"/>
        <w:spacing w:before="161"/>
        <w:ind w:left="660"/>
        <w:rPr>
          <w:highlight w:val="none"/>
        </w:rPr>
      </w:pPr>
      <w:r>
        <w:rPr>
          <w:highlight w:val="none"/>
        </w:rPr>
        <w:t>税或不需要缴纳社会保障资金。</w:t>
      </w:r>
    </w:p>
    <w:p>
      <w:pPr>
        <w:pStyle w:val="20"/>
        <w:numPr>
          <w:ilvl w:val="0"/>
          <w:numId w:val="6"/>
        </w:numPr>
        <w:tabs>
          <w:tab w:val="left" w:pos="1681"/>
        </w:tabs>
        <w:spacing w:before="160" w:after="0" w:line="364" w:lineRule="auto"/>
        <w:ind w:left="1267" w:right="1838" w:hanging="188"/>
        <w:jc w:val="left"/>
        <w:rPr>
          <w:sz w:val="24"/>
          <w:highlight w:val="none"/>
        </w:rPr>
      </w:pPr>
      <w:r>
        <w:rPr>
          <w:spacing w:val="-1"/>
          <w:sz w:val="24"/>
          <w:highlight w:val="none"/>
        </w:rPr>
        <w:t>参加政府采购活动前三年内，在经营活动中没有重大违法记录。</w:t>
      </w:r>
      <w:r>
        <w:rPr>
          <w:sz w:val="24"/>
          <w:highlight w:val="none"/>
        </w:rPr>
        <w:t>提供无重大违法记录声明函，加盖公章。</w:t>
      </w:r>
    </w:p>
    <w:p>
      <w:pPr>
        <w:pStyle w:val="20"/>
        <w:numPr>
          <w:ilvl w:val="0"/>
          <w:numId w:val="6"/>
        </w:numPr>
        <w:tabs>
          <w:tab w:val="left" w:pos="1741"/>
        </w:tabs>
        <w:spacing w:before="2" w:after="0" w:line="240" w:lineRule="auto"/>
        <w:ind w:left="1740" w:right="0" w:hanging="601"/>
        <w:jc w:val="left"/>
        <w:rPr>
          <w:sz w:val="24"/>
          <w:highlight w:val="none"/>
        </w:rPr>
      </w:pPr>
      <w:r>
        <w:rPr>
          <w:sz w:val="24"/>
          <w:highlight w:val="none"/>
        </w:rPr>
        <w:t>法律、行政法规规定的其他条件。</w:t>
      </w:r>
    </w:p>
    <w:p>
      <w:pPr>
        <w:pStyle w:val="20"/>
        <w:numPr>
          <w:ilvl w:val="0"/>
          <w:numId w:val="6"/>
        </w:numPr>
        <w:tabs>
          <w:tab w:val="left" w:pos="1741"/>
        </w:tabs>
        <w:spacing w:before="160" w:after="0" w:line="240" w:lineRule="auto"/>
        <w:ind w:left="1740" w:right="0" w:hanging="601"/>
        <w:jc w:val="left"/>
        <w:rPr>
          <w:sz w:val="24"/>
          <w:highlight w:val="none"/>
        </w:rPr>
      </w:pPr>
      <w:r>
        <w:rPr>
          <w:sz w:val="24"/>
          <w:highlight w:val="none"/>
        </w:rPr>
        <w:t>投标人无不良信用记录。</w:t>
      </w:r>
    </w:p>
    <w:p>
      <w:pPr>
        <w:pStyle w:val="5"/>
        <w:spacing w:before="161" w:line="364" w:lineRule="auto"/>
        <w:ind w:left="660" w:right="1178" w:firstLine="480"/>
        <w:rPr>
          <w:highlight w:val="none"/>
        </w:rPr>
      </w:pPr>
      <w:r>
        <w:rPr>
          <w:highlight w:val="none"/>
        </w:rPr>
        <w:t>投标人必须为未被列入信用中国网站(www.creditchina.gov.cn)</w:t>
      </w:r>
      <w:r>
        <w:rPr>
          <w:spacing w:val="-20"/>
          <w:highlight w:val="none"/>
        </w:rPr>
        <w:t xml:space="preserve">的“失信被执行人”、“重大税收违法案件当事人名单”、“政府采购严重违法失信名单” </w:t>
      </w:r>
      <w:r>
        <w:rPr>
          <w:highlight w:val="none"/>
        </w:rPr>
        <w:t>和中国政府采购网(www.ccgp.gov.cn) 的“政府采购严重违法失信行为记录名单”的供应商（提供发布公告后至开标时间前的查询结果网页截图并加盖公章</w:t>
      </w:r>
      <w:r>
        <w:rPr>
          <w:spacing w:val="-14"/>
          <w:highlight w:val="none"/>
        </w:rPr>
        <w:t>）</w:t>
      </w:r>
    </w:p>
    <w:p>
      <w:pPr>
        <w:pStyle w:val="20"/>
        <w:numPr>
          <w:ilvl w:val="0"/>
          <w:numId w:val="6"/>
        </w:numPr>
        <w:tabs>
          <w:tab w:val="left" w:pos="1741"/>
        </w:tabs>
        <w:spacing w:before="2" w:after="0" w:line="364" w:lineRule="auto"/>
        <w:ind w:left="1140" w:right="2738" w:firstLine="0"/>
        <w:jc w:val="left"/>
        <w:rPr>
          <w:sz w:val="24"/>
          <w:highlight w:val="none"/>
        </w:rPr>
      </w:pPr>
      <w:r>
        <w:rPr>
          <w:spacing w:val="-1"/>
          <w:sz w:val="24"/>
          <w:highlight w:val="none"/>
        </w:rPr>
        <w:t>参加政府采购活动前三年内，无环保类行政处罚记录。</w:t>
      </w:r>
      <w:r>
        <w:rPr>
          <w:sz w:val="24"/>
          <w:highlight w:val="none"/>
        </w:rPr>
        <w:t>提供无环保类行政处罚记录声明函，加盖公章。</w:t>
      </w:r>
    </w:p>
    <w:p>
      <w:pPr>
        <w:pStyle w:val="20"/>
        <w:numPr>
          <w:ilvl w:val="0"/>
          <w:numId w:val="6"/>
        </w:numPr>
        <w:tabs>
          <w:tab w:val="left" w:pos="1741"/>
        </w:tabs>
        <w:spacing w:before="1" w:after="0" w:line="240" w:lineRule="auto"/>
        <w:ind w:left="1740" w:right="0" w:hanging="601"/>
        <w:jc w:val="left"/>
        <w:rPr>
          <w:sz w:val="24"/>
          <w:highlight w:val="none"/>
        </w:rPr>
      </w:pPr>
      <w:r>
        <w:rPr>
          <w:sz w:val="24"/>
          <w:highlight w:val="none"/>
        </w:rPr>
        <w:t>其他资格条件。</w:t>
      </w:r>
    </w:p>
    <w:p>
      <w:pPr>
        <w:spacing w:after="0" w:line="240" w:lineRule="auto"/>
        <w:jc w:val="left"/>
        <w:rPr>
          <w:sz w:val="24"/>
          <w:highlight w:val="none"/>
        </w:rPr>
        <w:sectPr>
          <w:pgSz w:w="11900" w:h="16840"/>
          <w:pgMar w:top="1480" w:right="520" w:bottom="1380" w:left="1140" w:header="0" w:footer="1119" w:gutter="0"/>
          <w:pgNumType w:fmt="decimal"/>
          <w:cols w:space="720" w:num="1"/>
        </w:sectPr>
      </w:pPr>
    </w:p>
    <w:p>
      <w:pPr>
        <w:pStyle w:val="20"/>
        <w:numPr>
          <w:ilvl w:val="2"/>
          <w:numId w:val="5"/>
        </w:numPr>
        <w:tabs>
          <w:tab w:val="left" w:pos="1800"/>
        </w:tabs>
        <w:spacing w:before="39" w:after="0" w:line="364" w:lineRule="auto"/>
        <w:ind w:left="660" w:right="1271" w:firstLine="480"/>
        <w:jc w:val="both"/>
        <w:rPr>
          <w:sz w:val="24"/>
          <w:highlight w:val="none"/>
        </w:rPr>
      </w:pPr>
      <w:r>
        <w:rPr>
          <w:spacing w:val="-4"/>
          <w:sz w:val="24"/>
          <w:highlight w:val="none"/>
        </w:rPr>
        <w:t>未为本项目提供整体设计、规范编制或者项目管理、监理、检测等服</w:t>
      </w:r>
      <w:r>
        <w:rPr>
          <w:sz w:val="24"/>
          <w:highlight w:val="none"/>
        </w:rPr>
        <w:t>务的投标人。</w:t>
      </w:r>
    </w:p>
    <w:p>
      <w:pPr>
        <w:pStyle w:val="20"/>
        <w:numPr>
          <w:ilvl w:val="1"/>
          <w:numId w:val="5"/>
        </w:numPr>
        <w:tabs>
          <w:tab w:val="left" w:pos="1088"/>
        </w:tabs>
        <w:spacing w:before="3" w:after="0" w:line="240" w:lineRule="auto"/>
        <w:ind w:left="1087" w:right="0" w:hanging="426"/>
        <w:jc w:val="both"/>
        <w:rPr>
          <w:sz w:val="24"/>
          <w:highlight w:val="none"/>
        </w:rPr>
      </w:pPr>
      <w:r>
        <w:rPr>
          <w:sz w:val="24"/>
          <w:highlight w:val="none"/>
        </w:rPr>
        <w:t>招标费用</w:t>
      </w:r>
    </w:p>
    <w:p>
      <w:pPr>
        <w:pStyle w:val="20"/>
        <w:numPr>
          <w:ilvl w:val="2"/>
          <w:numId w:val="5"/>
        </w:numPr>
        <w:tabs>
          <w:tab w:val="left" w:pos="1800"/>
        </w:tabs>
        <w:spacing w:before="159" w:after="0" w:line="364" w:lineRule="auto"/>
        <w:ind w:left="660" w:right="1269" w:firstLine="420"/>
        <w:jc w:val="both"/>
        <w:rPr>
          <w:sz w:val="24"/>
          <w:highlight w:val="none"/>
        </w:rPr>
      </w:pPr>
      <w:r>
        <w:rPr>
          <w:spacing w:val="-3"/>
          <w:sz w:val="24"/>
          <w:highlight w:val="none"/>
        </w:rPr>
        <w:t>本项目向中标人收取服务费。收取标准以中标金额为基数，参照《海南省物价局关于降低部分招标代理服务收费标准的通知》（琼价费管[2011]225 号）文件采用差额定率累进法收取。</w:t>
      </w:r>
    </w:p>
    <w:p>
      <w:pPr>
        <w:pStyle w:val="5"/>
        <w:spacing w:before="1"/>
        <w:ind w:left="1080"/>
        <w:rPr>
          <w:highlight w:val="none"/>
        </w:rPr>
      </w:pPr>
      <w:r>
        <w:rPr>
          <w:highlight w:val="none"/>
        </w:rPr>
        <w:t>缴纳方式：以公对公转账方式将服务费缴入指定账户（账号将另行通知）。</w:t>
      </w:r>
    </w:p>
    <w:p>
      <w:pPr>
        <w:pStyle w:val="20"/>
        <w:numPr>
          <w:ilvl w:val="2"/>
          <w:numId w:val="5"/>
        </w:numPr>
        <w:tabs>
          <w:tab w:val="left" w:pos="1740"/>
        </w:tabs>
        <w:spacing w:before="161" w:after="0" w:line="364" w:lineRule="auto"/>
        <w:ind w:left="660" w:right="1298" w:firstLine="420"/>
        <w:jc w:val="left"/>
        <w:rPr>
          <w:sz w:val="24"/>
          <w:highlight w:val="none"/>
        </w:rPr>
      </w:pPr>
      <w:r>
        <w:rPr>
          <w:spacing w:val="-1"/>
          <w:sz w:val="24"/>
          <w:highlight w:val="none"/>
        </w:rPr>
        <w:t>投标人中标后，须按招标文件的规定缴纳中标服务费，否则，采购代</w:t>
      </w:r>
      <w:r>
        <w:rPr>
          <w:sz w:val="24"/>
          <w:highlight w:val="none"/>
        </w:rPr>
        <w:t>理机构将不向其发出中标通知书。</w:t>
      </w:r>
    </w:p>
    <w:p>
      <w:pPr>
        <w:pStyle w:val="20"/>
        <w:numPr>
          <w:ilvl w:val="2"/>
          <w:numId w:val="5"/>
        </w:numPr>
        <w:tabs>
          <w:tab w:val="left" w:pos="1740"/>
        </w:tabs>
        <w:spacing w:before="1" w:after="0" w:line="364" w:lineRule="auto"/>
        <w:ind w:left="660" w:right="1298" w:firstLine="420"/>
        <w:jc w:val="left"/>
        <w:rPr>
          <w:sz w:val="24"/>
          <w:highlight w:val="none"/>
        </w:rPr>
      </w:pPr>
      <w:r>
        <w:rPr>
          <w:spacing w:val="-1"/>
          <w:sz w:val="24"/>
          <w:highlight w:val="none"/>
        </w:rPr>
        <w:t>不论招标结果如何，投标人应自行承担其准备和参加本次采购活动所</w:t>
      </w:r>
      <w:r>
        <w:rPr>
          <w:sz w:val="24"/>
          <w:highlight w:val="none"/>
        </w:rPr>
        <w:t>涉及的一切费用。</w:t>
      </w:r>
    </w:p>
    <w:p>
      <w:pPr>
        <w:pStyle w:val="20"/>
        <w:numPr>
          <w:ilvl w:val="1"/>
          <w:numId w:val="5"/>
        </w:numPr>
        <w:tabs>
          <w:tab w:val="left" w:pos="1088"/>
        </w:tabs>
        <w:spacing w:before="4" w:after="0" w:line="240" w:lineRule="auto"/>
        <w:ind w:left="1087" w:right="0" w:hanging="426"/>
        <w:jc w:val="left"/>
        <w:rPr>
          <w:sz w:val="24"/>
          <w:highlight w:val="none"/>
        </w:rPr>
      </w:pPr>
      <w:r>
        <w:rPr>
          <w:sz w:val="24"/>
          <w:highlight w:val="none"/>
        </w:rPr>
        <w:t>现场考察、答疑会</w:t>
      </w:r>
    </w:p>
    <w:p>
      <w:pPr>
        <w:pStyle w:val="20"/>
        <w:numPr>
          <w:ilvl w:val="2"/>
          <w:numId w:val="5"/>
        </w:numPr>
        <w:tabs>
          <w:tab w:val="left" w:pos="1800"/>
        </w:tabs>
        <w:spacing w:before="158" w:after="0" w:line="364" w:lineRule="auto"/>
        <w:ind w:left="660" w:right="1269" w:firstLine="420"/>
        <w:jc w:val="both"/>
        <w:rPr>
          <w:sz w:val="24"/>
          <w:highlight w:val="none"/>
        </w:rPr>
      </w:pPr>
      <w:r>
        <w:rPr>
          <w:spacing w:val="-3"/>
          <w:sz w:val="24"/>
          <w:highlight w:val="none"/>
        </w:rPr>
        <w:t>现场考察</w:t>
      </w:r>
      <w:r>
        <w:rPr>
          <w:sz w:val="24"/>
          <w:highlight w:val="none"/>
        </w:rPr>
        <w:t>（如有</w:t>
      </w:r>
      <w:r>
        <w:rPr>
          <w:spacing w:val="-10"/>
          <w:sz w:val="24"/>
          <w:highlight w:val="none"/>
        </w:rPr>
        <w:t>）</w:t>
      </w:r>
      <w:r>
        <w:rPr>
          <w:spacing w:val="-5"/>
          <w:sz w:val="24"/>
          <w:highlight w:val="none"/>
        </w:rPr>
        <w:t>，采购单位应在规定的时间、地点组织已报名的潜</w:t>
      </w:r>
      <w:r>
        <w:rPr>
          <w:spacing w:val="-4"/>
          <w:sz w:val="24"/>
          <w:highlight w:val="none"/>
        </w:rPr>
        <w:t>在投标人进行现场考察。</w:t>
      </w:r>
      <w:r>
        <w:rPr>
          <w:sz w:val="24"/>
          <w:highlight w:val="none"/>
        </w:rPr>
        <w:t>（</w:t>
      </w:r>
      <w:r>
        <w:rPr>
          <w:spacing w:val="-8"/>
          <w:sz w:val="24"/>
          <w:highlight w:val="none"/>
        </w:rPr>
        <w:t>组织时间、地点、联系人、联系电话：遵照招标公告或更正公告的相关约定。）</w:t>
      </w:r>
    </w:p>
    <w:p>
      <w:pPr>
        <w:pStyle w:val="20"/>
        <w:numPr>
          <w:ilvl w:val="2"/>
          <w:numId w:val="5"/>
        </w:numPr>
        <w:tabs>
          <w:tab w:val="left" w:pos="1800"/>
        </w:tabs>
        <w:spacing w:before="2" w:after="0" w:line="364" w:lineRule="auto"/>
        <w:ind w:left="660" w:right="1269" w:firstLine="420"/>
        <w:jc w:val="both"/>
        <w:rPr>
          <w:sz w:val="24"/>
          <w:highlight w:val="none"/>
        </w:rPr>
      </w:pPr>
      <w:r>
        <w:rPr>
          <w:spacing w:val="-4"/>
          <w:sz w:val="24"/>
          <w:highlight w:val="none"/>
        </w:rPr>
        <w:t>答疑会</w:t>
      </w:r>
      <w:r>
        <w:rPr>
          <w:sz w:val="24"/>
          <w:highlight w:val="none"/>
        </w:rPr>
        <w:t>（如有</w:t>
      </w:r>
      <w:r>
        <w:rPr>
          <w:spacing w:val="-9"/>
          <w:sz w:val="24"/>
          <w:highlight w:val="none"/>
        </w:rPr>
        <w:t>）</w:t>
      </w:r>
      <w:r>
        <w:rPr>
          <w:spacing w:val="-5"/>
          <w:sz w:val="24"/>
          <w:highlight w:val="none"/>
        </w:rPr>
        <w:t>，采购单位应在规定的时间、地点组织已报名的潜在</w:t>
      </w:r>
      <w:r>
        <w:rPr>
          <w:spacing w:val="-4"/>
          <w:sz w:val="24"/>
          <w:highlight w:val="none"/>
        </w:rPr>
        <w:t>投标人召开答疑会。</w:t>
      </w:r>
      <w:r>
        <w:rPr>
          <w:sz w:val="24"/>
          <w:highlight w:val="none"/>
        </w:rPr>
        <w:t>（</w:t>
      </w:r>
      <w:r>
        <w:rPr>
          <w:spacing w:val="-8"/>
          <w:sz w:val="24"/>
          <w:highlight w:val="none"/>
        </w:rPr>
        <w:t>组织时间、地点、联系人、联系电话：遵照招标公告或更正公告的相关约定。）</w:t>
      </w:r>
    </w:p>
    <w:p>
      <w:pPr>
        <w:pStyle w:val="20"/>
        <w:numPr>
          <w:ilvl w:val="2"/>
          <w:numId w:val="5"/>
        </w:numPr>
        <w:tabs>
          <w:tab w:val="left" w:pos="1800"/>
        </w:tabs>
        <w:spacing w:before="1" w:after="0" w:line="240" w:lineRule="auto"/>
        <w:ind w:left="1800" w:right="0" w:hanging="720"/>
        <w:jc w:val="both"/>
        <w:rPr>
          <w:sz w:val="24"/>
          <w:highlight w:val="none"/>
        </w:rPr>
      </w:pPr>
      <w:r>
        <w:rPr>
          <w:sz w:val="24"/>
          <w:highlight w:val="none"/>
        </w:rPr>
        <w:t>潜在投标人现场考察和参加答疑会所发生的费用自理。</w:t>
      </w:r>
    </w:p>
    <w:p>
      <w:pPr>
        <w:pStyle w:val="20"/>
        <w:numPr>
          <w:ilvl w:val="2"/>
          <w:numId w:val="5"/>
        </w:numPr>
        <w:tabs>
          <w:tab w:val="left" w:pos="1800"/>
        </w:tabs>
        <w:spacing w:before="161" w:after="0" w:line="364" w:lineRule="auto"/>
        <w:ind w:left="660" w:right="1271" w:firstLine="420"/>
        <w:jc w:val="both"/>
        <w:rPr>
          <w:sz w:val="24"/>
          <w:highlight w:val="none"/>
        </w:rPr>
      </w:pPr>
      <w:r>
        <w:rPr>
          <w:spacing w:val="-5"/>
          <w:sz w:val="24"/>
          <w:highlight w:val="none"/>
        </w:rPr>
        <w:t>除采购单位的原因外，投标人自行负责在现场考察中所发生的意外伤</w:t>
      </w:r>
      <w:r>
        <w:rPr>
          <w:sz w:val="24"/>
          <w:highlight w:val="none"/>
        </w:rPr>
        <w:t>害和财产损失。</w:t>
      </w:r>
    </w:p>
    <w:p>
      <w:pPr>
        <w:pStyle w:val="20"/>
        <w:numPr>
          <w:ilvl w:val="2"/>
          <w:numId w:val="5"/>
        </w:numPr>
        <w:tabs>
          <w:tab w:val="left" w:pos="1800"/>
        </w:tabs>
        <w:spacing w:before="1" w:after="0" w:line="364" w:lineRule="auto"/>
        <w:ind w:left="660" w:right="1271" w:firstLine="420"/>
        <w:jc w:val="both"/>
        <w:rPr>
          <w:sz w:val="24"/>
          <w:highlight w:val="none"/>
        </w:rPr>
      </w:pPr>
      <w:r>
        <w:rPr>
          <w:spacing w:val="-3"/>
          <w:sz w:val="24"/>
          <w:highlight w:val="none"/>
        </w:rPr>
        <w:t>采购单位在现场考察和答疑会中所提供的信息，供潜在投标人在编制</w:t>
      </w:r>
      <w:r>
        <w:rPr>
          <w:sz w:val="24"/>
          <w:highlight w:val="none"/>
        </w:rPr>
        <w:t>投标文件时参考。采购单位不对潜在投标人现场考察做出的判断和决策负责。</w:t>
      </w:r>
    </w:p>
    <w:p>
      <w:pPr>
        <w:pStyle w:val="20"/>
        <w:numPr>
          <w:ilvl w:val="1"/>
          <w:numId w:val="5"/>
        </w:numPr>
        <w:tabs>
          <w:tab w:val="left" w:pos="1148"/>
        </w:tabs>
        <w:spacing w:before="4" w:after="0" w:line="240" w:lineRule="auto"/>
        <w:ind w:left="1147" w:right="0" w:hanging="486"/>
        <w:jc w:val="both"/>
        <w:rPr>
          <w:sz w:val="24"/>
          <w:highlight w:val="none"/>
        </w:rPr>
      </w:pPr>
      <w:r>
        <w:rPr>
          <w:sz w:val="24"/>
          <w:highlight w:val="none"/>
        </w:rPr>
        <w:t>遵循标准</w:t>
      </w:r>
    </w:p>
    <w:p>
      <w:pPr>
        <w:pStyle w:val="20"/>
        <w:numPr>
          <w:ilvl w:val="2"/>
          <w:numId w:val="5"/>
        </w:numPr>
        <w:tabs>
          <w:tab w:val="left" w:pos="1800"/>
        </w:tabs>
        <w:spacing w:before="158" w:after="0" w:line="364" w:lineRule="auto"/>
        <w:ind w:left="660" w:right="1271" w:firstLine="420"/>
        <w:jc w:val="both"/>
        <w:rPr>
          <w:sz w:val="24"/>
          <w:highlight w:val="none"/>
        </w:rPr>
      </w:pPr>
      <w:r>
        <w:rPr>
          <w:spacing w:val="-5"/>
          <w:sz w:val="24"/>
          <w:highlight w:val="none"/>
        </w:rPr>
        <w:t>除专用术语外，与招标投标有关的文字语言均使用中文。必要时专用</w:t>
      </w:r>
      <w:r>
        <w:rPr>
          <w:spacing w:val="-8"/>
          <w:sz w:val="24"/>
          <w:highlight w:val="none"/>
        </w:rPr>
        <w:t>术语应附有中文注释。如投标人提交的支持文件或印刷文献是其他语言，应附有</w:t>
      </w:r>
      <w:r>
        <w:rPr>
          <w:sz w:val="24"/>
          <w:highlight w:val="none"/>
        </w:rPr>
        <w:t>相应的中文翻译本。</w:t>
      </w:r>
    </w:p>
    <w:p>
      <w:pPr>
        <w:pStyle w:val="20"/>
        <w:numPr>
          <w:ilvl w:val="2"/>
          <w:numId w:val="5"/>
        </w:numPr>
        <w:tabs>
          <w:tab w:val="left" w:pos="1800"/>
        </w:tabs>
        <w:spacing w:before="2" w:after="0" w:line="240" w:lineRule="auto"/>
        <w:ind w:left="1800" w:right="0" w:hanging="720"/>
        <w:jc w:val="both"/>
        <w:rPr>
          <w:sz w:val="24"/>
          <w:highlight w:val="none"/>
        </w:rPr>
      </w:pPr>
      <w:r>
        <w:rPr>
          <w:sz w:val="24"/>
          <w:highlight w:val="none"/>
        </w:rPr>
        <w:t>所有计量均采用中华人民共和国法定计量单位。</w:t>
      </w:r>
    </w:p>
    <w:p>
      <w:pPr>
        <w:spacing w:after="0" w:line="240" w:lineRule="auto"/>
        <w:jc w:val="both"/>
        <w:rPr>
          <w:sz w:val="24"/>
          <w:highlight w:val="none"/>
        </w:rPr>
        <w:sectPr>
          <w:pgSz w:w="11900" w:h="16840"/>
          <w:pgMar w:top="1480" w:right="520" w:bottom="1380" w:left="1140" w:header="0" w:footer="1119" w:gutter="0"/>
          <w:pgNumType w:fmt="decimal"/>
          <w:cols w:space="720" w:num="1"/>
        </w:sectPr>
      </w:pPr>
    </w:p>
    <w:p>
      <w:pPr>
        <w:pStyle w:val="10"/>
        <w:spacing w:before="35"/>
        <w:ind w:left="662"/>
        <w:rPr>
          <w:highlight w:val="none"/>
        </w:rPr>
      </w:pPr>
      <w:r>
        <w:rPr>
          <w:highlight w:val="none"/>
        </w:rPr>
        <w:t>二、招标文件</w:t>
      </w:r>
    </w:p>
    <w:p>
      <w:pPr>
        <w:pStyle w:val="20"/>
        <w:numPr>
          <w:ilvl w:val="1"/>
          <w:numId w:val="7"/>
        </w:numPr>
        <w:tabs>
          <w:tab w:val="left" w:pos="1088"/>
        </w:tabs>
        <w:spacing w:before="212" w:after="0" w:line="240" w:lineRule="auto"/>
        <w:ind w:left="1087" w:right="0" w:hanging="426"/>
        <w:jc w:val="left"/>
        <w:rPr>
          <w:sz w:val="24"/>
          <w:highlight w:val="none"/>
        </w:rPr>
      </w:pPr>
      <w:r>
        <w:rPr>
          <w:sz w:val="24"/>
          <w:highlight w:val="none"/>
        </w:rPr>
        <w:t>招标文件的组成</w:t>
      </w:r>
    </w:p>
    <w:p>
      <w:pPr>
        <w:pStyle w:val="20"/>
        <w:numPr>
          <w:ilvl w:val="2"/>
          <w:numId w:val="7"/>
        </w:numPr>
        <w:tabs>
          <w:tab w:val="left" w:pos="1800"/>
          <w:tab w:val="left" w:pos="2099"/>
        </w:tabs>
        <w:spacing w:before="158" w:after="0" w:line="364" w:lineRule="auto"/>
        <w:ind w:left="1140" w:right="5078" w:firstLine="0"/>
        <w:jc w:val="left"/>
        <w:rPr>
          <w:sz w:val="24"/>
          <w:highlight w:val="none"/>
        </w:rPr>
      </w:pPr>
      <w:r>
        <w:rPr>
          <w:sz w:val="24"/>
          <w:highlight w:val="none"/>
        </w:rPr>
        <w:t>招标文件由六部分组成，包括</w:t>
      </w:r>
      <w:r>
        <w:rPr>
          <w:spacing w:val="-16"/>
          <w:sz w:val="24"/>
          <w:highlight w:val="none"/>
        </w:rPr>
        <w:t xml:space="preserve">： </w:t>
      </w:r>
      <w:r>
        <w:rPr>
          <w:sz w:val="24"/>
          <w:highlight w:val="none"/>
        </w:rPr>
        <w:t>第一章</w:t>
      </w:r>
      <w:r>
        <w:rPr>
          <w:sz w:val="24"/>
          <w:highlight w:val="none"/>
        </w:rPr>
        <w:tab/>
      </w:r>
      <w:r>
        <w:rPr>
          <w:sz w:val="24"/>
          <w:highlight w:val="none"/>
        </w:rPr>
        <w:t>投标邀请</w:t>
      </w:r>
    </w:p>
    <w:p>
      <w:pPr>
        <w:pStyle w:val="5"/>
        <w:tabs>
          <w:tab w:val="left" w:pos="2099"/>
        </w:tabs>
        <w:spacing w:before="1" w:line="364" w:lineRule="auto"/>
        <w:ind w:left="1140" w:right="6938"/>
        <w:rPr>
          <w:highlight w:val="none"/>
        </w:rPr>
      </w:pPr>
      <w:r>
        <w:rPr>
          <w:highlight w:val="none"/>
        </w:rPr>
        <w:t>第二章</w:t>
      </w:r>
      <w:r>
        <w:rPr>
          <w:highlight w:val="none"/>
        </w:rPr>
        <w:tab/>
      </w:r>
      <w:r>
        <w:rPr>
          <w:highlight w:val="none"/>
        </w:rPr>
        <w:t>投标人须</w:t>
      </w:r>
      <w:r>
        <w:rPr>
          <w:spacing w:val="-17"/>
          <w:highlight w:val="none"/>
        </w:rPr>
        <w:t>知</w:t>
      </w:r>
      <w:r>
        <w:rPr>
          <w:highlight w:val="none"/>
        </w:rPr>
        <w:t>第三章</w:t>
      </w:r>
      <w:r>
        <w:rPr>
          <w:highlight w:val="none"/>
        </w:rPr>
        <w:tab/>
      </w:r>
      <w:r>
        <w:rPr>
          <w:highlight w:val="none"/>
        </w:rPr>
        <w:t>采购需求 第四章</w:t>
      </w:r>
      <w:r>
        <w:rPr>
          <w:highlight w:val="none"/>
        </w:rPr>
        <w:tab/>
      </w:r>
      <w:r>
        <w:rPr>
          <w:highlight w:val="none"/>
        </w:rPr>
        <w:t>评标办法 第五章</w:t>
      </w:r>
      <w:r>
        <w:rPr>
          <w:highlight w:val="none"/>
        </w:rPr>
        <w:tab/>
      </w:r>
      <w:r>
        <w:rPr>
          <w:highlight w:val="none"/>
        </w:rPr>
        <w:t>合同文本</w:t>
      </w:r>
    </w:p>
    <w:p>
      <w:pPr>
        <w:pStyle w:val="5"/>
        <w:tabs>
          <w:tab w:val="left" w:pos="2099"/>
        </w:tabs>
        <w:spacing w:before="2"/>
        <w:ind w:left="1140"/>
        <w:rPr>
          <w:highlight w:val="none"/>
        </w:rPr>
      </w:pPr>
      <w:r>
        <w:rPr>
          <w:highlight w:val="none"/>
        </w:rPr>
        <w:t>第六章</w:t>
      </w:r>
      <w:r>
        <w:rPr>
          <w:highlight w:val="none"/>
        </w:rPr>
        <w:tab/>
      </w:r>
      <w:r>
        <w:rPr>
          <w:highlight w:val="none"/>
        </w:rPr>
        <w:t>投标文件格式要求</w:t>
      </w:r>
    </w:p>
    <w:p>
      <w:pPr>
        <w:pStyle w:val="20"/>
        <w:numPr>
          <w:ilvl w:val="2"/>
          <w:numId w:val="7"/>
        </w:numPr>
        <w:tabs>
          <w:tab w:val="left" w:pos="1865"/>
        </w:tabs>
        <w:spacing w:before="161" w:after="0" w:line="364" w:lineRule="auto"/>
        <w:ind w:left="660" w:right="1271" w:firstLine="480"/>
        <w:jc w:val="both"/>
        <w:rPr>
          <w:sz w:val="24"/>
          <w:highlight w:val="none"/>
        </w:rPr>
      </w:pPr>
      <w:r>
        <w:rPr>
          <w:spacing w:val="3"/>
          <w:sz w:val="24"/>
          <w:highlight w:val="none"/>
        </w:rPr>
        <w:t>投标人被视为充分熟悉本采购项目所在地的与履行合同有关的各种</w:t>
      </w:r>
      <w:r>
        <w:rPr>
          <w:spacing w:val="-10"/>
          <w:sz w:val="24"/>
          <w:highlight w:val="none"/>
        </w:rPr>
        <w:t>情况，包括自然环境、气候条件、劳动力及公用设施等，本招标文件不再对上述</w:t>
      </w:r>
      <w:r>
        <w:rPr>
          <w:sz w:val="24"/>
          <w:highlight w:val="none"/>
        </w:rPr>
        <w:t>情况进行描述。</w:t>
      </w:r>
    </w:p>
    <w:p>
      <w:pPr>
        <w:pStyle w:val="20"/>
        <w:numPr>
          <w:ilvl w:val="2"/>
          <w:numId w:val="7"/>
        </w:numPr>
        <w:tabs>
          <w:tab w:val="left" w:pos="1860"/>
        </w:tabs>
        <w:spacing w:before="2" w:after="0" w:line="364" w:lineRule="auto"/>
        <w:ind w:left="660" w:right="1274" w:firstLine="480"/>
        <w:jc w:val="both"/>
        <w:rPr>
          <w:sz w:val="24"/>
          <w:highlight w:val="none"/>
        </w:rPr>
      </w:pPr>
      <w:r>
        <w:rPr>
          <w:spacing w:val="-6"/>
          <w:sz w:val="24"/>
          <w:highlight w:val="none"/>
        </w:rPr>
        <w:t>投标人必须详阅招标文件的所有条款、文件及表格格式。投标人若未</w:t>
      </w:r>
      <w:r>
        <w:rPr>
          <w:spacing w:val="-8"/>
          <w:sz w:val="24"/>
          <w:highlight w:val="none"/>
        </w:rPr>
        <w:t>按招标文件的要求和规范编制、提交投标文件，将有可能导致投标文件被拒绝接</w:t>
      </w:r>
      <w:r>
        <w:rPr>
          <w:sz w:val="24"/>
          <w:highlight w:val="none"/>
        </w:rPr>
        <w:t>受，所造成的负面后果由投标人负责。</w:t>
      </w:r>
    </w:p>
    <w:p>
      <w:pPr>
        <w:pStyle w:val="5"/>
        <w:spacing w:before="2"/>
        <w:rPr>
          <w:sz w:val="22"/>
          <w:highlight w:val="none"/>
        </w:rPr>
      </w:pPr>
    </w:p>
    <w:p>
      <w:pPr>
        <w:pStyle w:val="20"/>
        <w:numPr>
          <w:ilvl w:val="1"/>
          <w:numId w:val="7"/>
        </w:numPr>
        <w:tabs>
          <w:tab w:val="left" w:pos="1148"/>
        </w:tabs>
        <w:spacing w:before="1" w:after="0" w:line="240" w:lineRule="auto"/>
        <w:ind w:left="1147" w:right="0" w:hanging="426"/>
        <w:jc w:val="both"/>
        <w:rPr>
          <w:sz w:val="24"/>
          <w:highlight w:val="none"/>
        </w:rPr>
      </w:pPr>
      <w:r>
        <w:rPr>
          <w:sz w:val="24"/>
          <w:highlight w:val="none"/>
        </w:rPr>
        <w:t>招标文件的澄清和修改</w:t>
      </w:r>
    </w:p>
    <w:p>
      <w:pPr>
        <w:pStyle w:val="20"/>
        <w:numPr>
          <w:ilvl w:val="2"/>
          <w:numId w:val="7"/>
        </w:numPr>
        <w:tabs>
          <w:tab w:val="left" w:pos="1800"/>
        </w:tabs>
        <w:spacing w:before="158" w:after="0" w:line="364" w:lineRule="auto"/>
        <w:ind w:left="660" w:right="1271" w:firstLine="480"/>
        <w:jc w:val="both"/>
        <w:rPr>
          <w:sz w:val="24"/>
          <w:highlight w:val="none"/>
        </w:rPr>
      </w:pPr>
      <w:r>
        <w:rPr>
          <w:spacing w:val="-3"/>
          <w:sz w:val="24"/>
          <w:highlight w:val="none"/>
        </w:rPr>
        <w:t>投标人应仔细阅读和检查招标文件的全部内容。如发现缺项或招标文</w:t>
      </w:r>
      <w:r>
        <w:rPr>
          <w:sz w:val="24"/>
          <w:highlight w:val="none"/>
        </w:rPr>
        <w:t>件构成要件不全，应及时向采购代理机构提出，以便获得文件补全。</w:t>
      </w:r>
    </w:p>
    <w:p>
      <w:pPr>
        <w:pStyle w:val="20"/>
        <w:numPr>
          <w:ilvl w:val="2"/>
          <w:numId w:val="7"/>
        </w:numPr>
        <w:tabs>
          <w:tab w:val="left" w:pos="1800"/>
        </w:tabs>
        <w:spacing w:before="1" w:after="0" w:line="364" w:lineRule="auto"/>
        <w:ind w:left="660" w:right="1271" w:firstLine="480"/>
        <w:jc w:val="both"/>
        <w:rPr>
          <w:sz w:val="24"/>
          <w:highlight w:val="none"/>
        </w:rPr>
      </w:pPr>
      <w:r>
        <w:rPr>
          <w:spacing w:val="-6"/>
          <w:sz w:val="24"/>
          <w:highlight w:val="none"/>
        </w:rPr>
        <w:t>招标文件发出后，采购代理机构和采购单位可以对招标文件进行澄清</w:t>
      </w:r>
      <w:r>
        <w:rPr>
          <w:spacing w:val="-8"/>
          <w:sz w:val="24"/>
          <w:highlight w:val="none"/>
        </w:rPr>
        <w:t>和修改。澄清和修改的内容采购代理机构将以法定网站上公告的方式通知。</w:t>
      </w:r>
      <w:r>
        <w:rPr>
          <w:sz w:val="24"/>
          <w:highlight w:val="none"/>
        </w:rPr>
        <w:t>（</w:t>
      </w:r>
      <w:r>
        <w:rPr>
          <w:spacing w:val="-12"/>
          <w:sz w:val="24"/>
          <w:highlight w:val="none"/>
        </w:rPr>
        <w:t>网</w:t>
      </w:r>
      <w:r>
        <w:rPr>
          <w:sz w:val="24"/>
          <w:highlight w:val="none"/>
        </w:rPr>
        <w:t>址详见投标邀请）</w:t>
      </w:r>
    </w:p>
    <w:p>
      <w:pPr>
        <w:pStyle w:val="20"/>
        <w:numPr>
          <w:ilvl w:val="2"/>
          <w:numId w:val="7"/>
        </w:numPr>
        <w:tabs>
          <w:tab w:val="left" w:pos="1800"/>
        </w:tabs>
        <w:spacing w:before="2" w:after="0" w:line="240" w:lineRule="auto"/>
        <w:ind w:left="1800" w:right="0" w:hanging="660"/>
        <w:jc w:val="both"/>
        <w:rPr>
          <w:sz w:val="24"/>
          <w:highlight w:val="none"/>
        </w:rPr>
      </w:pPr>
      <w:r>
        <w:rPr>
          <w:sz w:val="24"/>
          <w:highlight w:val="none"/>
        </w:rPr>
        <w:t>当招标文件、更正公告等内容相互矛盾时，以最后发出的为准。</w:t>
      </w:r>
    </w:p>
    <w:p>
      <w:pPr>
        <w:pStyle w:val="20"/>
        <w:numPr>
          <w:ilvl w:val="2"/>
          <w:numId w:val="7"/>
        </w:numPr>
        <w:tabs>
          <w:tab w:val="left" w:pos="1800"/>
        </w:tabs>
        <w:spacing w:before="160" w:after="0" w:line="364" w:lineRule="auto"/>
        <w:ind w:left="660" w:right="1271" w:firstLine="480"/>
        <w:jc w:val="both"/>
        <w:rPr>
          <w:sz w:val="24"/>
          <w:highlight w:val="none"/>
        </w:rPr>
      </w:pPr>
      <w:r>
        <w:rPr>
          <w:spacing w:val="-3"/>
          <w:sz w:val="24"/>
          <w:highlight w:val="none"/>
        </w:rPr>
        <w:t>招标文件的澄清和更正内容是招标文件的组成部分，对投标人具有约</w:t>
      </w:r>
      <w:r>
        <w:rPr>
          <w:spacing w:val="-1"/>
          <w:sz w:val="24"/>
          <w:highlight w:val="none"/>
        </w:rPr>
        <w:t>束力, 投标人应及时关注并按澄清和更正文件的要求编制投标文件。</w:t>
      </w:r>
    </w:p>
    <w:p>
      <w:pPr>
        <w:pStyle w:val="20"/>
        <w:numPr>
          <w:ilvl w:val="2"/>
          <w:numId w:val="7"/>
        </w:numPr>
        <w:tabs>
          <w:tab w:val="left" w:pos="1800"/>
        </w:tabs>
        <w:spacing w:before="1" w:after="0" w:line="364" w:lineRule="auto"/>
        <w:ind w:left="660" w:right="1271" w:firstLine="480"/>
        <w:jc w:val="both"/>
        <w:rPr>
          <w:sz w:val="24"/>
          <w:highlight w:val="none"/>
        </w:rPr>
      </w:pPr>
      <w:r>
        <w:rPr>
          <w:spacing w:val="-3"/>
          <w:sz w:val="24"/>
          <w:highlight w:val="none"/>
        </w:rPr>
        <w:t>为了给投标人合理的时间修改和调整，采购代理机构可以延长递交投</w:t>
      </w:r>
      <w:r>
        <w:rPr>
          <w:sz w:val="24"/>
          <w:highlight w:val="none"/>
        </w:rPr>
        <w:t>标文件的截止日期，具体时间将在更正公告中写明。</w:t>
      </w:r>
    </w:p>
    <w:p>
      <w:pPr>
        <w:pStyle w:val="5"/>
        <w:rPr>
          <w:highlight w:val="none"/>
        </w:rPr>
      </w:pPr>
    </w:p>
    <w:p>
      <w:pPr>
        <w:pStyle w:val="5"/>
        <w:spacing w:before="2"/>
        <w:rPr>
          <w:sz w:val="29"/>
          <w:highlight w:val="none"/>
        </w:rPr>
      </w:pPr>
    </w:p>
    <w:p>
      <w:pPr>
        <w:pStyle w:val="10"/>
        <w:spacing w:before="1"/>
        <w:ind w:left="662"/>
        <w:rPr>
          <w:highlight w:val="none"/>
        </w:rPr>
      </w:pPr>
      <w:r>
        <w:rPr>
          <w:highlight w:val="none"/>
        </w:rPr>
        <w:t>三、投标文件</w:t>
      </w:r>
    </w:p>
    <w:p>
      <w:pPr>
        <w:spacing w:after="0"/>
        <w:rPr>
          <w:highlight w:val="none"/>
        </w:rPr>
        <w:sectPr>
          <w:pgSz w:w="11900" w:h="16840"/>
          <w:pgMar w:top="1540" w:right="520" w:bottom="1380" w:left="1140" w:header="0" w:footer="1119" w:gutter="0"/>
          <w:pgNumType w:fmt="decimal"/>
          <w:cols w:space="720" w:num="1"/>
        </w:sectPr>
      </w:pPr>
    </w:p>
    <w:p>
      <w:pPr>
        <w:pStyle w:val="20"/>
        <w:numPr>
          <w:ilvl w:val="1"/>
          <w:numId w:val="8"/>
        </w:numPr>
        <w:tabs>
          <w:tab w:val="left" w:pos="1088"/>
        </w:tabs>
        <w:spacing w:before="41" w:after="0" w:line="240" w:lineRule="auto"/>
        <w:ind w:left="1087" w:right="0" w:hanging="426"/>
        <w:jc w:val="left"/>
        <w:rPr>
          <w:sz w:val="24"/>
          <w:highlight w:val="none"/>
        </w:rPr>
      </w:pPr>
      <w:r>
        <w:rPr>
          <w:sz w:val="24"/>
          <w:highlight w:val="none"/>
        </w:rPr>
        <w:t>投标文件的组成</w:t>
      </w:r>
    </w:p>
    <w:p>
      <w:pPr>
        <w:pStyle w:val="20"/>
        <w:numPr>
          <w:ilvl w:val="2"/>
          <w:numId w:val="8"/>
        </w:numPr>
        <w:tabs>
          <w:tab w:val="left" w:pos="1800"/>
        </w:tabs>
        <w:spacing w:before="158" w:after="0" w:line="240" w:lineRule="auto"/>
        <w:ind w:left="1800" w:right="0" w:hanging="660"/>
        <w:jc w:val="left"/>
        <w:rPr>
          <w:sz w:val="24"/>
          <w:highlight w:val="none"/>
        </w:rPr>
      </w:pPr>
      <w:r>
        <w:rPr>
          <w:sz w:val="24"/>
          <w:highlight w:val="none"/>
        </w:rPr>
        <w:t>投标人应按不同包段分别编制投标文件。</w:t>
      </w:r>
    </w:p>
    <w:p>
      <w:pPr>
        <w:pStyle w:val="20"/>
        <w:numPr>
          <w:ilvl w:val="2"/>
          <w:numId w:val="8"/>
        </w:numPr>
        <w:tabs>
          <w:tab w:val="left" w:pos="1800"/>
        </w:tabs>
        <w:spacing w:before="161" w:after="0" w:line="364" w:lineRule="auto"/>
        <w:ind w:left="660" w:right="1269" w:firstLine="480"/>
        <w:jc w:val="left"/>
        <w:rPr>
          <w:sz w:val="24"/>
          <w:highlight w:val="none"/>
        </w:rPr>
      </w:pPr>
      <w:r>
        <w:rPr>
          <w:spacing w:val="-6"/>
          <w:sz w:val="24"/>
          <w:highlight w:val="none"/>
        </w:rPr>
        <w:t>投标文件应按“第六章、投标文件格式要求”要求编制，如有必要可</w:t>
      </w:r>
      <w:r>
        <w:rPr>
          <w:sz w:val="24"/>
          <w:highlight w:val="none"/>
        </w:rPr>
        <w:t>增加附页，并作为投标文件的组成部分。</w:t>
      </w:r>
    </w:p>
    <w:p>
      <w:pPr>
        <w:pStyle w:val="20"/>
        <w:numPr>
          <w:ilvl w:val="1"/>
          <w:numId w:val="8"/>
        </w:numPr>
        <w:tabs>
          <w:tab w:val="left" w:pos="1088"/>
        </w:tabs>
        <w:spacing w:before="3" w:after="0" w:line="240" w:lineRule="auto"/>
        <w:ind w:left="1087" w:right="0" w:hanging="426"/>
        <w:jc w:val="left"/>
        <w:rPr>
          <w:sz w:val="24"/>
          <w:highlight w:val="none"/>
        </w:rPr>
      </w:pPr>
      <w:r>
        <w:rPr>
          <w:sz w:val="24"/>
          <w:highlight w:val="none"/>
        </w:rPr>
        <w:t>报价</w:t>
      </w:r>
    </w:p>
    <w:p>
      <w:pPr>
        <w:pStyle w:val="20"/>
        <w:numPr>
          <w:ilvl w:val="2"/>
          <w:numId w:val="8"/>
        </w:numPr>
        <w:tabs>
          <w:tab w:val="left" w:pos="1800"/>
        </w:tabs>
        <w:spacing w:before="159" w:after="0" w:line="240" w:lineRule="auto"/>
        <w:ind w:left="1800" w:right="0" w:hanging="660"/>
        <w:jc w:val="left"/>
        <w:rPr>
          <w:sz w:val="24"/>
          <w:highlight w:val="none"/>
        </w:rPr>
      </w:pPr>
      <w:r>
        <w:rPr>
          <w:spacing w:val="-3"/>
          <w:sz w:val="24"/>
          <w:highlight w:val="none"/>
        </w:rPr>
        <w:t>报价均须以人民币为计算单位。只能有一个报价，不接受有选择的报</w:t>
      </w:r>
    </w:p>
    <w:p>
      <w:pPr>
        <w:pStyle w:val="5"/>
        <w:spacing w:before="160"/>
        <w:ind w:left="660"/>
        <w:rPr>
          <w:highlight w:val="none"/>
        </w:rPr>
      </w:pPr>
      <w:r>
        <w:rPr>
          <w:highlight w:val="none"/>
        </w:rPr>
        <w:t>价。</w:t>
      </w:r>
    </w:p>
    <w:p>
      <w:pPr>
        <w:pStyle w:val="20"/>
        <w:numPr>
          <w:ilvl w:val="1"/>
          <w:numId w:val="8"/>
        </w:numPr>
        <w:tabs>
          <w:tab w:val="left" w:pos="1088"/>
        </w:tabs>
        <w:spacing w:before="163" w:after="0" w:line="240" w:lineRule="auto"/>
        <w:ind w:left="1087" w:right="0" w:hanging="426"/>
        <w:jc w:val="both"/>
        <w:rPr>
          <w:sz w:val="24"/>
          <w:highlight w:val="none"/>
        </w:rPr>
      </w:pPr>
      <w:r>
        <w:rPr>
          <w:sz w:val="24"/>
          <w:highlight w:val="none"/>
        </w:rPr>
        <w:t>投标保证金</w:t>
      </w:r>
    </w:p>
    <w:p>
      <w:pPr>
        <w:pStyle w:val="20"/>
        <w:numPr>
          <w:ilvl w:val="2"/>
          <w:numId w:val="8"/>
        </w:numPr>
        <w:tabs>
          <w:tab w:val="left" w:pos="1882"/>
        </w:tabs>
        <w:spacing w:before="158" w:after="0" w:line="364" w:lineRule="auto"/>
        <w:ind w:left="660" w:right="1266" w:firstLine="480"/>
        <w:jc w:val="both"/>
        <w:rPr>
          <w:sz w:val="24"/>
          <w:highlight w:val="none"/>
        </w:rPr>
      </w:pPr>
      <w:r>
        <w:rPr>
          <w:sz w:val="24"/>
          <w:highlight w:val="none"/>
        </w:rPr>
        <w:t>投标保证金是参加本项目投标的必要条件，保证金金额：</w:t>
      </w:r>
      <w:r>
        <w:rPr>
          <w:spacing w:val="3"/>
          <w:sz w:val="24"/>
          <w:highlight w:val="none"/>
          <w:u w:val="single"/>
        </w:rPr>
        <w:t xml:space="preserve">20000.00 </w:t>
      </w:r>
      <w:r>
        <w:rPr>
          <w:sz w:val="24"/>
          <w:highlight w:val="none"/>
        </w:rPr>
        <w:t>元；保证金到账截止时间即提交投标文件截止时间（具体时间详见“第一章 投标邀请”）。</w:t>
      </w:r>
    </w:p>
    <w:p>
      <w:pPr>
        <w:pStyle w:val="20"/>
        <w:numPr>
          <w:ilvl w:val="2"/>
          <w:numId w:val="8"/>
        </w:numPr>
        <w:tabs>
          <w:tab w:val="left" w:pos="1800"/>
        </w:tabs>
        <w:spacing w:before="2" w:after="0" w:line="364" w:lineRule="auto"/>
        <w:ind w:left="660" w:right="1271" w:firstLine="480"/>
        <w:jc w:val="both"/>
        <w:rPr>
          <w:sz w:val="24"/>
          <w:highlight w:val="none"/>
        </w:rPr>
      </w:pPr>
      <w:r>
        <w:rPr>
          <w:spacing w:val="-5"/>
          <w:sz w:val="24"/>
          <w:highlight w:val="none"/>
        </w:rPr>
        <w:t>投标保证金缴纳方式：支票、汇票、本票、网上银行支付或者金融机</w:t>
      </w:r>
      <w:r>
        <w:rPr>
          <w:sz w:val="24"/>
          <w:highlight w:val="none"/>
        </w:rPr>
        <w:t>构、担保机构出具的保函等；支付银行账户为：</w:t>
      </w:r>
    </w:p>
    <w:p>
      <w:pPr>
        <w:pStyle w:val="5"/>
        <w:spacing w:before="3" w:line="364" w:lineRule="auto"/>
        <w:ind w:left="1144" w:right="4274"/>
        <w:rPr>
          <w:rFonts w:hint="eastAsia"/>
          <w:highlight w:val="none"/>
          <w:lang w:val="en-US" w:eastAsia="zh-CN"/>
        </w:rPr>
      </w:pPr>
      <w:r>
        <w:rPr>
          <w:highlight w:val="none"/>
        </w:rPr>
        <w:t>开户行：</w:t>
      </w:r>
      <w:r>
        <w:rPr>
          <w:rFonts w:hint="eastAsia"/>
          <w:highlight w:val="none"/>
          <w:lang w:val="en-US" w:eastAsia="zh-CN"/>
        </w:rPr>
        <w:t>招商银行股份有限公司海口分行</w:t>
      </w:r>
    </w:p>
    <w:p>
      <w:pPr>
        <w:pStyle w:val="5"/>
        <w:spacing w:before="3" w:line="364" w:lineRule="auto"/>
        <w:ind w:left="1144" w:right="4274"/>
        <w:rPr>
          <w:rFonts w:hint="eastAsia" w:eastAsia="宋体"/>
          <w:highlight w:val="none"/>
          <w:lang w:eastAsia="zh-CN"/>
        </w:rPr>
      </w:pPr>
      <w:r>
        <w:rPr>
          <w:highlight w:val="none"/>
        </w:rPr>
        <w:t>账户名：</w:t>
      </w:r>
      <w:r>
        <w:rPr>
          <w:rFonts w:hint="eastAsia"/>
          <w:highlight w:val="none"/>
          <w:lang w:eastAsia="zh-CN"/>
        </w:rPr>
        <w:t>海南诚采项目管理有限公司</w:t>
      </w:r>
    </w:p>
    <w:p>
      <w:pPr>
        <w:pStyle w:val="5"/>
        <w:spacing w:before="2"/>
        <w:ind w:left="1144"/>
        <w:rPr>
          <w:highlight w:val="none"/>
        </w:rPr>
      </w:pPr>
      <w:r>
        <w:rPr>
          <w:highlight w:val="none"/>
        </w:rPr>
        <w:t>账号：</w:t>
      </w:r>
      <w:r>
        <w:rPr>
          <w:rFonts w:hint="eastAsia" w:ascii="宋体" w:hAnsi="宋体" w:cs="宋体"/>
          <w:color w:val="000000"/>
          <w:kern w:val="0"/>
          <w:szCs w:val="21"/>
          <w:highlight w:val="none"/>
          <w:lang w:val="en-US" w:eastAsia="zh-CN"/>
        </w:rPr>
        <w:t>8989 0136 2910 902</w:t>
      </w:r>
    </w:p>
    <w:p>
      <w:pPr>
        <w:pStyle w:val="20"/>
        <w:numPr>
          <w:ilvl w:val="2"/>
          <w:numId w:val="8"/>
        </w:numPr>
        <w:tabs>
          <w:tab w:val="left" w:pos="1865"/>
        </w:tabs>
        <w:spacing w:before="158" w:after="0" w:line="364" w:lineRule="auto"/>
        <w:ind w:left="660" w:right="1271" w:firstLine="480"/>
        <w:jc w:val="left"/>
        <w:rPr>
          <w:sz w:val="24"/>
          <w:highlight w:val="none"/>
        </w:rPr>
      </w:pPr>
      <w:r>
        <w:rPr>
          <w:spacing w:val="3"/>
          <w:sz w:val="24"/>
          <w:highlight w:val="none"/>
        </w:rPr>
        <w:t>投标人必须在投标截止时间前将投标保证金提交到指定账户并注明项目名称（项目名称可简写）及项目编号。</w:t>
      </w:r>
    </w:p>
    <w:p>
      <w:pPr>
        <w:pStyle w:val="20"/>
        <w:numPr>
          <w:ilvl w:val="2"/>
          <w:numId w:val="8"/>
        </w:numPr>
        <w:tabs>
          <w:tab w:val="left" w:pos="1801"/>
        </w:tabs>
        <w:spacing w:before="1" w:after="0" w:line="240" w:lineRule="auto"/>
        <w:ind w:left="1800" w:right="0" w:hanging="661"/>
        <w:jc w:val="left"/>
        <w:rPr>
          <w:sz w:val="24"/>
          <w:highlight w:val="none"/>
        </w:rPr>
      </w:pPr>
      <w:r>
        <w:rPr>
          <w:sz w:val="24"/>
          <w:highlight w:val="none"/>
        </w:rPr>
        <w:t>若投标人不按规定提交投标保证金，其投标文件将被拒绝接收。</w:t>
      </w:r>
    </w:p>
    <w:p>
      <w:pPr>
        <w:pStyle w:val="20"/>
        <w:numPr>
          <w:ilvl w:val="1"/>
          <w:numId w:val="8"/>
        </w:numPr>
        <w:tabs>
          <w:tab w:val="left" w:pos="1088"/>
        </w:tabs>
        <w:spacing w:before="163" w:after="0" w:line="240" w:lineRule="auto"/>
        <w:ind w:left="1087" w:right="0" w:hanging="426"/>
        <w:jc w:val="left"/>
        <w:rPr>
          <w:sz w:val="24"/>
          <w:highlight w:val="none"/>
        </w:rPr>
      </w:pPr>
      <w:r>
        <w:rPr>
          <w:sz w:val="24"/>
          <w:highlight w:val="none"/>
        </w:rPr>
        <w:t>投标保证金的退还</w:t>
      </w:r>
    </w:p>
    <w:p>
      <w:pPr>
        <w:pStyle w:val="20"/>
        <w:numPr>
          <w:ilvl w:val="2"/>
          <w:numId w:val="8"/>
        </w:numPr>
        <w:tabs>
          <w:tab w:val="left" w:pos="1788"/>
        </w:tabs>
        <w:spacing w:before="158" w:after="0" w:line="364" w:lineRule="auto"/>
        <w:ind w:left="659" w:right="1271" w:firstLine="480"/>
        <w:jc w:val="left"/>
        <w:rPr>
          <w:sz w:val="24"/>
          <w:highlight w:val="none"/>
        </w:rPr>
      </w:pPr>
      <w:r>
        <w:rPr>
          <w:spacing w:val="-3"/>
          <w:sz w:val="24"/>
          <w:highlight w:val="none"/>
        </w:rPr>
        <w:t xml:space="preserve">中标人的投标保证金在其与采购人签订了采购合同之日起 </w:t>
      </w:r>
      <w:r>
        <w:rPr>
          <w:sz w:val="24"/>
          <w:highlight w:val="none"/>
        </w:rPr>
        <w:t>5</w:t>
      </w:r>
      <w:r>
        <w:rPr>
          <w:spacing w:val="-18"/>
          <w:sz w:val="24"/>
          <w:highlight w:val="none"/>
        </w:rPr>
        <w:t xml:space="preserve"> 个工作日</w:t>
      </w:r>
      <w:r>
        <w:rPr>
          <w:sz w:val="24"/>
          <w:highlight w:val="none"/>
        </w:rPr>
        <w:t>内无息退还。</w:t>
      </w:r>
    </w:p>
    <w:p>
      <w:pPr>
        <w:pStyle w:val="20"/>
        <w:numPr>
          <w:ilvl w:val="2"/>
          <w:numId w:val="8"/>
        </w:numPr>
        <w:tabs>
          <w:tab w:val="left" w:pos="1865"/>
        </w:tabs>
        <w:spacing w:before="1" w:after="0" w:line="364" w:lineRule="auto"/>
        <w:ind w:left="659" w:right="1271" w:firstLine="480"/>
        <w:jc w:val="left"/>
        <w:rPr>
          <w:sz w:val="24"/>
          <w:highlight w:val="none"/>
        </w:rPr>
      </w:pPr>
      <w:r>
        <w:rPr>
          <w:spacing w:val="3"/>
          <w:sz w:val="24"/>
          <w:highlight w:val="none"/>
        </w:rPr>
        <w:t>未中标的投标人的投标保证金将在采购代理机构发出中标通知书之</w:t>
      </w:r>
      <w:r>
        <w:rPr>
          <w:spacing w:val="-19"/>
          <w:sz w:val="24"/>
          <w:highlight w:val="none"/>
        </w:rPr>
        <w:t xml:space="preserve">日起 </w:t>
      </w:r>
      <w:r>
        <w:rPr>
          <w:sz w:val="24"/>
          <w:highlight w:val="none"/>
        </w:rPr>
        <w:t>5</w:t>
      </w:r>
      <w:r>
        <w:rPr>
          <w:spacing w:val="-8"/>
          <w:sz w:val="24"/>
          <w:highlight w:val="none"/>
        </w:rPr>
        <w:t xml:space="preserve"> 个工作日内无息退还。</w:t>
      </w:r>
    </w:p>
    <w:p>
      <w:pPr>
        <w:pStyle w:val="20"/>
        <w:numPr>
          <w:ilvl w:val="2"/>
          <w:numId w:val="8"/>
        </w:numPr>
        <w:tabs>
          <w:tab w:val="left" w:pos="1800"/>
        </w:tabs>
        <w:spacing w:before="1" w:after="0" w:line="240" w:lineRule="auto"/>
        <w:ind w:left="1800" w:right="0" w:hanging="660"/>
        <w:jc w:val="left"/>
        <w:rPr>
          <w:sz w:val="24"/>
          <w:highlight w:val="none"/>
        </w:rPr>
      </w:pPr>
      <w:r>
        <w:rPr>
          <w:sz w:val="24"/>
          <w:highlight w:val="none"/>
        </w:rPr>
        <w:t>发生下列情况之一，投标保证金将不予退还：</w:t>
      </w:r>
    </w:p>
    <w:p>
      <w:pPr>
        <w:pStyle w:val="20"/>
        <w:numPr>
          <w:ilvl w:val="0"/>
          <w:numId w:val="9"/>
        </w:numPr>
        <w:tabs>
          <w:tab w:val="left" w:pos="1741"/>
        </w:tabs>
        <w:spacing w:before="161" w:after="0" w:line="240" w:lineRule="auto"/>
        <w:ind w:left="1740" w:right="0" w:hanging="601"/>
        <w:jc w:val="left"/>
        <w:rPr>
          <w:sz w:val="24"/>
          <w:highlight w:val="none"/>
        </w:rPr>
      </w:pPr>
      <w:r>
        <w:rPr>
          <w:sz w:val="24"/>
          <w:highlight w:val="none"/>
        </w:rPr>
        <w:t>投标人在规定的投标有效期内撤销或修改其投标文件的；</w:t>
      </w:r>
    </w:p>
    <w:p>
      <w:pPr>
        <w:pStyle w:val="20"/>
        <w:numPr>
          <w:ilvl w:val="0"/>
          <w:numId w:val="9"/>
        </w:numPr>
        <w:tabs>
          <w:tab w:val="left" w:pos="1741"/>
        </w:tabs>
        <w:spacing w:before="160" w:after="0" w:line="364" w:lineRule="auto"/>
        <w:ind w:left="659" w:right="1276" w:firstLine="480"/>
        <w:jc w:val="left"/>
        <w:rPr>
          <w:sz w:val="24"/>
          <w:highlight w:val="none"/>
        </w:rPr>
      </w:pPr>
      <w:r>
        <w:rPr>
          <w:sz w:val="24"/>
          <w:highlight w:val="none"/>
        </w:rPr>
        <w:t>中标后无正当理由，在规定期限内不能或拒绝按规定签订政府采购合同的；</w:t>
      </w:r>
    </w:p>
    <w:p>
      <w:pPr>
        <w:pStyle w:val="20"/>
        <w:numPr>
          <w:ilvl w:val="0"/>
          <w:numId w:val="9"/>
        </w:numPr>
        <w:tabs>
          <w:tab w:val="left" w:pos="1741"/>
        </w:tabs>
        <w:spacing w:before="2" w:after="0" w:line="240" w:lineRule="auto"/>
        <w:ind w:left="1740" w:right="0" w:hanging="601"/>
        <w:jc w:val="left"/>
        <w:rPr>
          <w:sz w:val="24"/>
          <w:highlight w:val="none"/>
        </w:rPr>
      </w:pPr>
      <w:r>
        <w:rPr>
          <w:sz w:val="24"/>
          <w:highlight w:val="none"/>
        </w:rPr>
        <w:t>投标人提供虚假材料谋取中标、成交的；</w:t>
      </w:r>
    </w:p>
    <w:p>
      <w:pPr>
        <w:spacing w:after="0" w:line="240" w:lineRule="auto"/>
        <w:jc w:val="left"/>
        <w:rPr>
          <w:sz w:val="24"/>
          <w:highlight w:val="none"/>
        </w:rPr>
        <w:sectPr>
          <w:pgSz w:w="11900" w:h="16840"/>
          <w:pgMar w:top="1480" w:right="520" w:bottom="1380" w:left="1140" w:header="0" w:footer="1119" w:gutter="0"/>
          <w:pgNumType w:fmt="decimal"/>
          <w:cols w:space="720" w:num="1"/>
        </w:sectPr>
      </w:pPr>
    </w:p>
    <w:p>
      <w:pPr>
        <w:pStyle w:val="20"/>
        <w:numPr>
          <w:ilvl w:val="0"/>
          <w:numId w:val="9"/>
        </w:numPr>
        <w:tabs>
          <w:tab w:val="left" w:pos="1741"/>
        </w:tabs>
        <w:spacing w:before="39" w:after="0" w:line="240" w:lineRule="auto"/>
        <w:ind w:left="1740" w:right="0" w:hanging="601"/>
        <w:jc w:val="left"/>
        <w:rPr>
          <w:sz w:val="24"/>
          <w:highlight w:val="none"/>
        </w:rPr>
      </w:pPr>
      <w:r>
        <w:rPr>
          <w:sz w:val="24"/>
          <w:highlight w:val="none"/>
        </w:rPr>
        <w:t>与采购人、其它投标人或者采购代理机构恶意串通的；</w:t>
      </w:r>
    </w:p>
    <w:p>
      <w:pPr>
        <w:pStyle w:val="20"/>
        <w:numPr>
          <w:ilvl w:val="0"/>
          <w:numId w:val="9"/>
        </w:numPr>
        <w:tabs>
          <w:tab w:val="left" w:pos="1741"/>
        </w:tabs>
        <w:spacing w:before="160" w:after="0" w:line="364" w:lineRule="auto"/>
        <w:ind w:left="660" w:right="1276" w:firstLine="480"/>
        <w:jc w:val="left"/>
        <w:rPr>
          <w:sz w:val="24"/>
          <w:highlight w:val="none"/>
        </w:rPr>
      </w:pPr>
      <w:r>
        <w:rPr>
          <w:sz w:val="24"/>
          <w:highlight w:val="none"/>
        </w:rPr>
        <w:t>向采购人、采购代理机构、评标委员会成员行贿或者提供其他不正当利益的；</w:t>
      </w:r>
    </w:p>
    <w:p>
      <w:pPr>
        <w:pStyle w:val="20"/>
        <w:numPr>
          <w:ilvl w:val="0"/>
          <w:numId w:val="9"/>
        </w:numPr>
        <w:tabs>
          <w:tab w:val="left" w:pos="1741"/>
        </w:tabs>
        <w:spacing w:before="2" w:after="0" w:line="364" w:lineRule="auto"/>
        <w:ind w:left="660" w:right="1276" w:firstLine="480"/>
        <w:jc w:val="left"/>
        <w:rPr>
          <w:sz w:val="24"/>
          <w:highlight w:val="none"/>
        </w:rPr>
      </w:pPr>
      <w:r>
        <w:rPr>
          <w:sz w:val="24"/>
          <w:highlight w:val="none"/>
        </w:rPr>
        <w:t>将中标项目转让给他人，或者在投标文件中未说明，且未经采购代理机构和采购单位同意，将中标项目分包给他人的。</w:t>
      </w:r>
    </w:p>
    <w:p>
      <w:pPr>
        <w:pStyle w:val="20"/>
        <w:numPr>
          <w:ilvl w:val="1"/>
          <w:numId w:val="8"/>
        </w:numPr>
        <w:tabs>
          <w:tab w:val="left" w:pos="1088"/>
        </w:tabs>
        <w:spacing w:before="3" w:after="0" w:line="240" w:lineRule="auto"/>
        <w:ind w:left="1087" w:right="0" w:hanging="426"/>
        <w:jc w:val="left"/>
        <w:rPr>
          <w:sz w:val="24"/>
          <w:highlight w:val="none"/>
        </w:rPr>
      </w:pPr>
      <w:r>
        <w:rPr>
          <w:sz w:val="24"/>
          <w:highlight w:val="none"/>
        </w:rPr>
        <w:t>投标有效期</w:t>
      </w:r>
    </w:p>
    <w:p>
      <w:pPr>
        <w:pStyle w:val="5"/>
        <w:spacing w:before="158" w:line="367" w:lineRule="auto"/>
        <w:ind w:left="660" w:right="1271" w:firstLine="480"/>
        <w:jc w:val="both"/>
        <w:rPr>
          <w:highlight w:val="none"/>
        </w:rPr>
      </w:pPr>
      <w:r>
        <w:rPr>
          <w:highlight w:val="none"/>
        </w:rPr>
        <w:t>3.5.l</w:t>
      </w:r>
      <w:r>
        <w:rPr>
          <w:spacing w:val="-4"/>
          <w:highlight w:val="none"/>
        </w:rPr>
        <w:t xml:space="preserve"> 投标有效期为从递交投标文件的截止之日起 </w:t>
      </w:r>
      <w:r>
        <w:rPr>
          <w:highlight w:val="none"/>
        </w:rPr>
        <w:t>60</w:t>
      </w:r>
      <w:r>
        <w:rPr>
          <w:spacing w:val="-8"/>
          <w:highlight w:val="none"/>
        </w:rPr>
        <w:t xml:space="preserve"> 天，有效期短于此规</w:t>
      </w:r>
      <w:r>
        <w:rPr>
          <w:highlight w:val="none"/>
        </w:rPr>
        <w:t>定的投标文件将被视为无效。</w:t>
      </w:r>
    </w:p>
    <w:p>
      <w:pPr>
        <w:pStyle w:val="5"/>
        <w:spacing w:line="364" w:lineRule="auto"/>
        <w:ind w:left="660" w:right="1271" w:firstLine="480"/>
        <w:jc w:val="both"/>
        <w:rPr>
          <w:highlight w:val="none"/>
        </w:rPr>
      </w:pPr>
      <w:r>
        <w:rPr>
          <w:highlight w:val="none"/>
        </w:rPr>
        <w:t>3.5.2</w:t>
      </w:r>
      <w:r>
        <w:rPr>
          <w:spacing w:val="-12"/>
          <w:highlight w:val="none"/>
        </w:rPr>
        <w:t xml:space="preserve"> 在特殊情况下，采购代理机构可于投标有效期满之前，征得投标人同</w:t>
      </w:r>
      <w:r>
        <w:rPr>
          <w:spacing w:val="-9"/>
          <w:highlight w:val="none"/>
        </w:rPr>
        <w:t>意延长投标有效期，要求与答复均应以书面形式进行。投标人可以拒绝接受这一</w:t>
      </w:r>
      <w:r>
        <w:rPr>
          <w:spacing w:val="-8"/>
          <w:highlight w:val="none"/>
        </w:rPr>
        <w:t>要求而放弃报价，投标保证金将尽快无息退还。同意这一要求的投标人，无需也不允许修改其投标文件，但须相应延长投标有效期。受投标有效期制约的所有权</w:t>
      </w:r>
      <w:r>
        <w:rPr>
          <w:highlight w:val="none"/>
        </w:rPr>
        <w:t>利和义务均应延长至新的有效期。</w:t>
      </w:r>
    </w:p>
    <w:p>
      <w:pPr>
        <w:pStyle w:val="20"/>
        <w:numPr>
          <w:ilvl w:val="1"/>
          <w:numId w:val="8"/>
        </w:numPr>
        <w:tabs>
          <w:tab w:val="left" w:pos="1088"/>
        </w:tabs>
        <w:spacing w:before="1" w:after="0" w:line="240" w:lineRule="auto"/>
        <w:ind w:left="1087" w:right="0" w:hanging="426"/>
        <w:jc w:val="both"/>
        <w:rPr>
          <w:sz w:val="24"/>
          <w:highlight w:val="none"/>
        </w:rPr>
      </w:pPr>
      <w:r>
        <w:rPr>
          <w:sz w:val="24"/>
          <w:highlight w:val="none"/>
        </w:rPr>
        <w:t>投标文件的编制、数量及签署</w:t>
      </w:r>
    </w:p>
    <w:p>
      <w:pPr>
        <w:pStyle w:val="20"/>
        <w:numPr>
          <w:ilvl w:val="2"/>
          <w:numId w:val="8"/>
        </w:numPr>
        <w:tabs>
          <w:tab w:val="left" w:pos="1800"/>
        </w:tabs>
        <w:spacing w:before="158" w:after="0" w:line="240" w:lineRule="auto"/>
        <w:ind w:left="1800" w:right="0" w:hanging="661"/>
        <w:jc w:val="both"/>
        <w:rPr>
          <w:sz w:val="24"/>
          <w:highlight w:val="none"/>
        </w:rPr>
      </w:pPr>
      <w:r>
        <w:rPr>
          <w:w w:val="95"/>
          <w:sz w:val="24"/>
          <w:highlight w:val="none"/>
        </w:rPr>
        <w:t>投标文件的编制</w:t>
      </w:r>
    </w:p>
    <w:p>
      <w:pPr>
        <w:pStyle w:val="20"/>
        <w:numPr>
          <w:ilvl w:val="3"/>
          <w:numId w:val="8"/>
        </w:numPr>
        <w:tabs>
          <w:tab w:val="left" w:pos="2040"/>
        </w:tabs>
        <w:spacing w:before="160" w:after="0" w:line="364" w:lineRule="auto"/>
        <w:ind w:left="659" w:right="1271" w:firstLine="480"/>
        <w:jc w:val="both"/>
        <w:rPr>
          <w:sz w:val="24"/>
          <w:highlight w:val="none"/>
        </w:rPr>
      </w:pPr>
      <w:r>
        <w:rPr>
          <w:spacing w:val="-5"/>
          <w:sz w:val="24"/>
          <w:highlight w:val="none"/>
        </w:rPr>
        <w:t>投标文件由“资格证明材料”、“符合性证明材料及技术、商务等响应材料”和“其他投标材料（如有）”组成。</w:t>
      </w:r>
    </w:p>
    <w:p>
      <w:pPr>
        <w:pStyle w:val="20"/>
        <w:numPr>
          <w:ilvl w:val="3"/>
          <w:numId w:val="8"/>
        </w:numPr>
        <w:tabs>
          <w:tab w:val="left" w:pos="2040"/>
        </w:tabs>
        <w:spacing w:before="2" w:after="0" w:line="364" w:lineRule="auto"/>
        <w:ind w:left="659" w:right="1358" w:firstLine="480"/>
        <w:jc w:val="both"/>
        <w:rPr>
          <w:sz w:val="24"/>
          <w:highlight w:val="none"/>
        </w:rPr>
      </w:pPr>
      <w:r>
        <w:rPr>
          <w:spacing w:val="-2"/>
          <w:sz w:val="24"/>
          <w:highlight w:val="none"/>
        </w:rPr>
        <w:t>投标文件应按“第六章 投标文件格式要求”的要求及顺序组织编</w:t>
      </w:r>
      <w:r>
        <w:rPr>
          <w:sz w:val="24"/>
          <w:highlight w:val="none"/>
        </w:rPr>
        <w:t>写，如有必要可增加附页，并作为投标文件的组成部分。</w:t>
      </w:r>
    </w:p>
    <w:p>
      <w:pPr>
        <w:pStyle w:val="20"/>
        <w:numPr>
          <w:ilvl w:val="3"/>
          <w:numId w:val="8"/>
        </w:numPr>
        <w:tabs>
          <w:tab w:val="left" w:pos="2040"/>
        </w:tabs>
        <w:spacing w:before="1" w:after="0" w:line="364" w:lineRule="auto"/>
        <w:ind w:left="659" w:right="1271" w:firstLine="480"/>
        <w:jc w:val="both"/>
        <w:rPr>
          <w:sz w:val="24"/>
          <w:highlight w:val="none"/>
        </w:rPr>
      </w:pPr>
      <w:r>
        <w:rPr>
          <w:spacing w:val="-3"/>
          <w:sz w:val="24"/>
          <w:highlight w:val="none"/>
        </w:rPr>
        <w:t>投标人须在投标文件中正确地填写相对应的页码，不准确可能造成</w:t>
      </w:r>
      <w:r>
        <w:rPr>
          <w:spacing w:val="-6"/>
          <w:sz w:val="24"/>
          <w:highlight w:val="none"/>
        </w:rPr>
        <w:t>评标委员会无法直观定位应标内容而做出不利判断，投标人需独自承担可能产生</w:t>
      </w:r>
      <w:r>
        <w:rPr>
          <w:sz w:val="24"/>
          <w:highlight w:val="none"/>
        </w:rPr>
        <w:t>的各种不利结果。</w:t>
      </w:r>
    </w:p>
    <w:p>
      <w:pPr>
        <w:pStyle w:val="20"/>
        <w:numPr>
          <w:ilvl w:val="3"/>
          <w:numId w:val="8"/>
        </w:numPr>
        <w:tabs>
          <w:tab w:val="left" w:pos="1980"/>
        </w:tabs>
        <w:spacing w:before="2" w:after="0" w:line="364" w:lineRule="auto"/>
        <w:ind w:left="659" w:right="1298" w:firstLine="420"/>
        <w:jc w:val="both"/>
        <w:rPr>
          <w:sz w:val="24"/>
          <w:highlight w:val="none"/>
        </w:rPr>
      </w:pPr>
      <w:r>
        <w:rPr>
          <w:spacing w:val="-1"/>
          <w:sz w:val="24"/>
          <w:highlight w:val="none"/>
        </w:rPr>
        <w:t>投标人应在投标文件中提供证明其真实、合法身份和连续经营的相</w:t>
      </w:r>
      <w:r>
        <w:rPr>
          <w:sz w:val="24"/>
          <w:highlight w:val="none"/>
        </w:rPr>
        <w:t>关证明文件。</w:t>
      </w:r>
    </w:p>
    <w:p>
      <w:pPr>
        <w:pStyle w:val="20"/>
        <w:numPr>
          <w:ilvl w:val="3"/>
          <w:numId w:val="8"/>
        </w:numPr>
        <w:tabs>
          <w:tab w:val="left" w:pos="2040"/>
        </w:tabs>
        <w:spacing w:before="1" w:after="0" w:line="364" w:lineRule="auto"/>
        <w:ind w:left="659" w:right="1478" w:firstLine="420"/>
        <w:jc w:val="left"/>
        <w:rPr>
          <w:sz w:val="24"/>
          <w:highlight w:val="none"/>
        </w:rPr>
      </w:pPr>
      <w:r>
        <w:rPr>
          <w:spacing w:val="-1"/>
          <w:sz w:val="24"/>
          <w:highlight w:val="none"/>
        </w:rPr>
        <w:t>投标人应在投标文件中提供有资格参加本次采购活动的相关证明</w:t>
      </w:r>
      <w:r>
        <w:rPr>
          <w:sz w:val="24"/>
          <w:highlight w:val="none"/>
        </w:rPr>
        <w:t>文件。</w:t>
      </w:r>
    </w:p>
    <w:p>
      <w:pPr>
        <w:pStyle w:val="20"/>
        <w:numPr>
          <w:ilvl w:val="3"/>
          <w:numId w:val="8"/>
        </w:numPr>
        <w:tabs>
          <w:tab w:val="left" w:pos="2040"/>
        </w:tabs>
        <w:spacing w:before="1" w:after="0" w:line="364" w:lineRule="auto"/>
        <w:ind w:left="659" w:right="1271" w:firstLine="420"/>
        <w:jc w:val="left"/>
        <w:rPr>
          <w:sz w:val="24"/>
          <w:highlight w:val="none"/>
        </w:rPr>
      </w:pPr>
      <w:r>
        <w:rPr>
          <w:spacing w:val="-3"/>
          <w:sz w:val="24"/>
          <w:highlight w:val="none"/>
        </w:rPr>
        <w:t>投标人应在投标文件中提供证明其所投货物、服务的合格性和符合</w:t>
      </w:r>
      <w:r>
        <w:rPr>
          <w:sz w:val="24"/>
          <w:highlight w:val="none"/>
        </w:rPr>
        <w:t>招标文件规定的相关证明文件。</w:t>
      </w:r>
    </w:p>
    <w:p>
      <w:pPr>
        <w:spacing w:after="0" w:line="364" w:lineRule="auto"/>
        <w:jc w:val="left"/>
        <w:rPr>
          <w:sz w:val="24"/>
          <w:highlight w:val="none"/>
        </w:rPr>
        <w:sectPr>
          <w:pgSz w:w="11900" w:h="16840"/>
          <w:pgMar w:top="1480" w:right="520" w:bottom="1380" w:left="1140" w:header="0" w:footer="1119" w:gutter="0"/>
          <w:pgNumType w:fmt="decimal"/>
          <w:cols w:space="720" w:num="1"/>
        </w:sectPr>
      </w:pPr>
    </w:p>
    <w:p>
      <w:pPr>
        <w:pStyle w:val="20"/>
        <w:numPr>
          <w:ilvl w:val="3"/>
          <w:numId w:val="8"/>
        </w:numPr>
        <w:tabs>
          <w:tab w:val="left" w:pos="1980"/>
        </w:tabs>
        <w:spacing w:before="39" w:after="0" w:line="364" w:lineRule="auto"/>
        <w:ind w:left="660" w:right="1298" w:firstLine="420"/>
        <w:jc w:val="left"/>
        <w:rPr>
          <w:sz w:val="24"/>
          <w:highlight w:val="none"/>
        </w:rPr>
      </w:pPr>
      <w:r>
        <w:rPr>
          <w:spacing w:val="-1"/>
          <w:sz w:val="24"/>
          <w:highlight w:val="none"/>
        </w:rPr>
        <w:t>投标人在投标文件中提供的各种证明文件必须真实可靠而且合法有</w:t>
      </w:r>
      <w:r>
        <w:rPr>
          <w:sz w:val="24"/>
          <w:highlight w:val="none"/>
        </w:rPr>
        <w:t>效，并需加盖单位公章。</w:t>
      </w:r>
    </w:p>
    <w:p>
      <w:pPr>
        <w:pStyle w:val="20"/>
        <w:numPr>
          <w:ilvl w:val="3"/>
          <w:numId w:val="8"/>
        </w:numPr>
        <w:tabs>
          <w:tab w:val="left" w:pos="1980"/>
        </w:tabs>
        <w:spacing w:before="1" w:after="0" w:line="364" w:lineRule="auto"/>
        <w:ind w:left="660" w:right="1298" w:firstLine="420"/>
        <w:jc w:val="left"/>
        <w:rPr>
          <w:sz w:val="24"/>
          <w:highlight w:val="none"/>
        </w:rPr>
      </w:pPr>
      <w:r>
        <w:rPr>
          <w:spacing w:val="-1"/>
          <w:sz w:val="24"/>
          <w:highlight w:val="none"/>
        </w:rPr>
        <w:t>投标人应在投标文件中完整表达履行本采购项目的相关技术方案、</w:t>
      </w:r>
      <w:r>
        <w:rPr>
          <w:sz w:val="24"/>
          <w:highlight w:val="none"/>
        </w:rPr>
        <w:t>方法和措施，及证明其中标后具有良好履约能力的说明材料</w:t>
      </w:r>
    </w:p>
    <w:p>
      <w:pPr>
        <w:pStyle w:val="20"/>
        <w:numPr>
          <w:ilvl w:val="3"/>
          <w:numId w:val="8"/>
        </w:numPr>
        <w:tabs>
          <w:tab w:val="left" w:pos="1980"/>
        </w:tabs>
        <w:spacing w:before="1" w:after="0" w:line="240" w:lineRule="auto"/>
        <w:ind w:left="1980" w:right="0" w:hanging="900"/>
        <w:jc w:val="left"/>
        <w:rPr>
          <w:sz w:val="24"/>
          <w:highlight w:val="none"/>
        </w:rPr>
      </w:pPr>
      <w:r>
        <w:rPr>
          <w:sz w:val="24"/>
          <w:highlight w:val="none"/>
        </w:rPr>
        <w:t>其他投标人需要补充的材料。</w:t>
      </w:r>
    </w:p>
    <w:p>
      <w:pPr>
        <w:pStyle w:val="20"/>
        <w:numPr>
          <w:ilvl w:val="2"/>
          <w:numId w:val="8"/>
        </w:numPr>
        <w:tabs>
          <w:tab w:val="left" w:pos="1800"/>
        </w:tabs>
        <w:spacing w:before="161" w:after="0" w:line="240" w:lineRule="auto"/>
        <w:ind w:left="1800" w:right="0" w:hanging="660"/>
        <w:jc w:val="both"/>
        <w:rPr>
          <w:sz w:val="24"/>
          <w:highlight w:val="none"/>
        </w:rPr>
      </w:pPr>
      <w:r>
        <w:rPr>
          <w:sz w:val="24"/>
          <w:highlight w:val="none"/>
        </w:rPr>
        <w:t>投标文件的数量及签署</w:t>
      </w:r>
    </w:p>
    <w:p>
      <w:pPr>
        <w:pStyle w:val="20"/>
        <w:numPr>
          <w:ilvl w:val="3"/>
          <w:numId w:val="8"/>
        </w:numPr>
        <w:tabs>
          <w:tab w:val="left" w:pos="2040"/>
        </w:tabs>
        <w:spacing w:before="160" w:after="0" w:line="364" w:lineRule="auto"/>
        <w:ind w:left="660" w:right="1238" w:firstLine="480"/>
        <w:jc w:val="both"/>
        <w:rPr>
          <w:sz w:val="24"/>
          <w:highlight w:val="none"/>
        </w:rPr>
      </w:pPr>
      <w:r>
        <w:rPr>
          <w:spacing w:val="-1"/>
          <w:sz w:val="24"/>
          <w:highlight w:val="none"/>
        </w:rPr>
        <w:t>纸质版投标文件壹式伍份，固定装订。其中正本壹份，副本肆份。</w:t>
      </w:r>
      <w:r>
        <w:rPr>
          <w:sz w:val="24"/>
          <w:highlight w:val="none"/>
        </w:rPr>
        <w:t>投标文件电子版壹份；U</w:t>
      </w:r>
      <w:r>
        <w:rPr>
          <w:spacing w:val="-11"/>
          <w:sz w:val="24"/>
          <w:highlight w:val="none"/>
        </w:rPr>
        <w:t xml:space="preserve"> 盘或光盘。</w:t>
      </w:r>
    </w:p>
    <w:p>
      <w:pPr>
        <w:pStyle w:val="20"/>
        <w:numPr>
          <w:ilvl w:val="3"/>
          <w:numId w:val="8"/>
        </w:numPr>
        <w:tabs>
          <w:tab w:val="left" w:pos="2052"/>
        </w:tabs>
        <w:spacing w:before="2" w:after="0" w:line="364" w:lineRule="auto"/>
        <w:ind w:left="660" w:right="1274" w:firstLine="480"/>
        <w:jc w:val="both"/>
        <w:rPr>
          <w:sz w:val="24"/>
          <w:highlight w:val="none"/>
        </w:rPr>
      </w:pPr>
      <w:r>
        <w:rPr>
          <w:sz w:val="24"/>
          <w:highlight w:val="none"/>
        </w:rPr>
        <w:t>投标文件电子版（PDF</w:t>
      </w:r>
      <w:r>
        <w:rPr>
          <w:spacing w:val="-18"/>
          <w:sz w:val="24"/>
          <w:highlight w:val="none"/>
        </w:rPr>
        <w:t xml:space="preserve"> 格式</w:t>
      </w:r>
      <w:r>
        <w:rPr>
          <w:sz w:val="24"/>
          <w:highlight w:val="none"/>
        </w:rPr>
        <w:t>）</w:t>
      </w:r>
      <w:r>
        <w:rPr>
          <w:spacing w:val="-1"/>
          <w:sz w:val="24"/>
          <w:highlight w:val="none"/>
        </w:rPr>
        <w:t>必须与纸质版投标文件的正本保持一</w:t>
      </w:r>
      <w:r>
        <w:rPr>
          <w:sz w:val="24"/>
          <w:highlight w:val="none"/>
        </w:rPr>
        <w:t>致，否则自行承担由此带来的一切风险。</w:t>
      </w:r>
    </w:p>
    <w:p>
      <w:pPr>
        <w:pStyle w:val="20"/>
        <w:numPr>
          <w:ilvl w:val="3"/>
          <w:numId w:val="8"/>
        </w:numPr>
        <w:tabs>
          <w:tab w:val="left" w:pos="2040"/>
        </w:tabs>
        <w:spacing w:before="1" w:after="0" w:line="364" w:lineRule="auto"/>
        <w:ind w:left="660" w:right="1271" w:firstLine="480"/>
        <w:jc w:val="both"/>
        <w:rPr>
          <w:sz w:val="24"/>
          <w:highlight w:val="none"/>
        </w:rPr>
      </w:pPr>
      <w:r>
        <w:rPr>
          <w:spacing w:val="-3"/>
          <w:sz w:val="24"/>
          <w:highlight w:val="none"/>
        </w:rPr>
        <w:t>纸质版投标文件须按招标文件的要求执行，每份纸质版投标文件均</w:t>
      </w:r>
      <w:r>
        <w:rPr>
          <w:spacing w:val="-10"/>
          <w:sz w:val="24"/>
          <w:highlight w:val="none"/>
        </w:rPr>
        <w:t>须在封面上清楚标明“正本”或“副本”字样，“正本”和“副本”具有同等的法律效力；“正本”和“副本”之间如有差异，以正本为准。</w:t>
      </w:r>
    </w:p>
    <w:p>
      <w:pPr>
        <w:pStyle w:val="20"/>
        <w:numPr>
          <w:ilvl w:val="3"/>
          <w:numId w:val="8"/>
        </w:numPr>
        <w:tabs>
          <w:tab w:val="left" w:pos="1980"/>
        </w:tabs>
        <w:spacing w:before="2" w:after="0" w:line="364" w:lineRule="auto"/>
        <w:ind w:left="660" w:right="1274" w:firstLine="420"/>
        <w:jc w:val="both"/>
        <w:rPr>
          <w:sz w:val="24"/>
          <w:highlight w:val="none"/>
        </w:rPr>
      </w:pPr>
      <w:r>
        <w:rPr>
          <w:sz w:val="24"/>
          <w:highlight w:val="none"/>
        </w:rPr>
        <w:t>本招标文件第六章“投标文件格式要求”中涉及法定代表人或授权</w:t>
      </w:r>
      <w:r>
        <w:rPr>
          <w:spacing w:val="-9"/>
          <w:sz w:val="24"/>
          <w:highlight w:val="none"/>
        </w:rPr>
        <w:t>代表签名的资料，须经法定代表人或授权代表签字并加盖单位公章。投标文件中的任何行间重要插字、涂改和增删，必须由法定代表人或授权代表在旁边签字和</w:t>
      </w:r>
      <w:r>
        <w:rPr>
          <w:sz w:val="24"/>
          <w:highlight w:val="none"/>
        </w:rPr>
        <w:t>盖章方才有效。纸质投标文件应使用单位公章加盖骑缝章。</w:t>
      </w:r>
    </w:p>
    <w:p>
      <w:pPr>
        <w:pStyle w:val="20"/>
        <w:numPr>
          <w:ilvl w:val="2"/>
          <w:numId w:val="8"/>
        </w:numPr>
        <w:tabs>
          <w:tab w:val="left" w:pos="1800"/>
        </w:tabs>
        <w:spacing w:before="2" w:after="0" w:line="364" w:lineRule="auto"/>
        <w:ind w:left="660" w:right="1271" w:firstLine="480"/>
        <w:jc w:val="both"/>
        <w:rPr>
          <w:sz w:val="24"/>
          <w:highlight w:val="none"/>
        </w:rPr>
      </w:pPr>
      <w:r>
        <w:rPr>
          <w:spacing w:val="-6"/>
          <w:sz w:val="24"/>
          <w:highlight w:val="none"/>
        </w:rPr>
        <w:t>招标文件中《开标一览表》、《分项报价明细表》、《资格性审查响</w:t>
      </w:r>
      <w:r>
        <w:rPr>
          <w:spacing w:val="-11"/>
          <w:sz w:val="24"/>
          <w:highlight w:val="none"/>
        </w:rPr>
        <w:t>应表》、《符合性审查响应表》、《技术、商务响应表》、《技术、商务评分响应表》、《售后服务承诺书》等要求盖章的文件需单位加盖公章。</w:t>
      </w:r>
    </w:p>
    <w:p>
      <w:pPr>
        <w:pStyle w:val="10"/>
        <w:spacing w:before="58"/>
        <w:ind w:left="662"/>
        <w:rPr>
          <w:highlight w:val="none"/>
        </w:rPr>
      </w:pPr>
      <w:r>
        <w:rPr>
          <w:highlight w:val="none"/>
        </w:rPr>
        <w:t>四、投标文件的密封及递交</w:t>
      </w:r>
    </w:p>
    <w:p>
      <w:pPr>
        <w:pStyle w:val="20"/>
        <w:numPr>
          <w:ilvl w:val="1"/>
          <w:numId w:val="10"/>
        </w:numPr>
        <w:tabs>
          <w:tab w:val="left" w:pos="1088"/>
        </w:tabs>
        <w:spacing w:before="211" w:after="0" w:line="240" w:lineRule="auto"/>
        <w:ind w:left="1087" w:right="0" w:hanging="426"/>
        <w:jc w:val="left"/>
        <w:rPr>
          <w:sz w:val="24"/>
          <w:highlight w:val="none"/>
        </w:rPr>
      </w:pPr>
      <w:r>
        <w:rPr>
          <w:sz w:val="24"/>
          <w:highlight w:val="none"/>
        </w:rPr>
        <w:t>投标文件的密封及标记</w:t>
      </w:r>
    </w:p>
    <w:p>
      <w:pPr>
        <w:pStyle w:val="20"/>
        <w:numPr>
          <w:ilvl w:val="2"/>
          <w:numId w:val="10"/>
        </w:numPr>
        <w:tabs>
          <w:tab w:val="left" w:pos="1740"/>
        </w:tabs>
        <w:spacing w:before="160" w:after="0" w:line="240" w:lineRule="auto"/>
        <w:ind w:left="660" w:right="1274" w:firstLine="420"/>
        <w:jc w:val="both"/>
        <w:rPr>
          <w:rFonts w:hint="eastAsia"/>
          <w:sz w:val="24"/>
          <w:highlight w:val="none"/>
        </w:rPr>
      </w:pPr>
      <w:r>
        <w:rPr>
          <w:rFonts w:hint="eastAsia"/>
          <w:sz w:val="24"/>
          <w:highlight w:val="none"/>
        </w:rPr>
        <w:t>投标文件的递交，投标人须按以下方式密封、标记：</w:t>
      </w:r>
    </w:p>
    <w:p>
      <w:pPr>
        <w:pStyle w:val="20"/>
        <w:numPr>
          <w:ilvl w:val="2"/>
          <w:numId w:val="10"/>
        </w:numPr>
        <w:tabs>
          <w:tab w:val="left" w:pos="1740"/>
        </w:tabs>
        <w:spacing w:before="160" w:after="0" w:line="240" w:lineRule="auto"/>
        <w:ind w:left="660" w:right="1274" w:firstLine="420"/>
        <w:jc w:val="both"/>
        <w:rPr>
          <w:sz w:val="24"/>
          <w:highlight w:val="none"/>
        </w:rPr>
      </w:pPr>
      <w:r>
        <w:rPr>
          <w:sz w:val="24"/>
          <w:highlight w:val="none"/>
        </w:rPr>
        <w:t>投标人应将纸质版投标文件装订成册，且密封提交。</w:t>
      </w:r>
    </w:p>
    <w:p>
      <w:pPr>
        <w:pStyle w:val="20"/>
        <w:numPr>
          <w:ilvl w:val="2"/>
          <w:numId w:val="10"/>
        </w:numPr>
        <w:tabs>
          <w:tab w:val="left" w:pos="1740"/>
        </w:tabs>
        <w:spacing w:before="160" w:after="0" w:line="364" w:lineRule="auto"/>
        <w:ind w:left="660" w:right="1274" w:firstLine="420"/>
        <w:jc w:val="both"/>
        <w:rPr>
          <w:sz w:val="24"/>
          <w:highlight w:val="none"/>
        </w:rPr>
      </w:pPr>
      <w:r>
        <w:rPr>
          <w:sz w:val="24"/>
          <w:highlight w:val="none"/>
        </w:rPr>
        <w:t>投标人应将投标文件密封在投标专用袋（箱）中（正本一包，副本一</w:t>
      </w:r>
      <w:r>
        <w:rPr>
          <w:spacing w:val="-6"/>
          <w:sz w:val="24"/>
          <w:highlight w:val="none"/>
        </w:rPr>
        <w:t>包，电子版文件一包</w:t>
      </w:r>
      <w:r>
        <w:rPr>
          <w:spacing w:val="-28"/>
          <w:sz w:val="24"/>
          <w:highlight w:val="none"/>
        </w:rPr>
        <w:t>）</w:t>
      </w:r>
      <w:r>
        <w:rPr>
          <w:spacing w:val="-9"/>
          <w:sz w:val="24"/>
          <w:highlight w:val="none"/>
        </w:rPr>
        <w:t>，并在投标专用袋</w:t>
      </w:r>
      <w:r>
        <w:rPr>
          <w:sz w:val="24"/>
          <w:highlight w:val="none"/>
        </w:rPr>
        <w:t>（箱</w:t>
      </w:r>
      <w:r>
        <w:rPr>
          <w:spacing w:val="-29"/>
          <w:sz w:val="24"/>
          <w:highlight w:val="none"/>
        </w:rPr>
        <w:t>）</w:t>
      </w:r>
      <w:r>
        <w:rPr>
          <w:spacing w:val="-17"/>
          <w:sz w:val="24"/>
          <w:highlight w:val="none"/>
        </w:rPr>
        <w:t>上标明“正本”、“副本”、“投标文件电子版”字样，封口处应加盖骑缝章。</w:t>
      </w:r>
    </w:p>
    <w:p>
      <w:pPr>
        <w:pStyle w:val="20"/>
        <w:numPr>
          <w:ilvl w:val="2"/>
          <w:numId w:val="10"/>
        </w:numPr>
        <w:tabs>
          <w:tab w:val="left" w:pos="1800"/>
        </w:tabs>
        <w:spacing w:before="2" w:after="0" w:line="240" w:lineRule="auto"/>
        <w:ind w:left="1800" w:right="0" w:hanging="660"/>
        <w:jc w:val="both"/>
        <w:rPr>
          <w:sz w:val="24"/>
          <w:highlight w:val="none"/>
        </w:rPr>
      </w:pPr>
      <w:r>
        <w:rPr>
          <w:sz w:val="24"/>
          <w:highlight w:val="none"/>
        </w:rPr>
        <w:t>投标专用袋（箱）封面上须注明：</w:t>
      </w:r>
    </w:p>
    <w:p>
      <w:pPr>
        <w:pStyle w:val="5"/>
        <w:spacing w:before="161"/>
        <w:ind w:left="1140"/>
        <w:rPr>
          <w:highlight w:val="none"/>
        </w:rPr>
      </w:pPr>
      <w:r>
        <w:rPr>
          <w:highlight w:val="none"/>
        </w:rPr>
        <w:t>（l）项目编号及项目名称；</w:t>
      </w:r>
    </w:p>
    <w:p>
      <w:pPr>
        <w:spacing w:after="0"/>
        <w:rPr>
          <w:highlight w:val="none"/>
        </w:rPr>
        <w:sectPr>
          <w:pgSz w:w="11900" w:h="16840"/>
          <w:pgMar w:top="1480" w:right="520" w:bottom="1380" w:left="1140" w:header="0" w:footer="1119" w:gutter="0"/>
          <w:pgNumType w:fmt="decimal"/>
          <w:cols w:space="720" w:num="1"/>
        </w:sectPr>
      </w:pPr>
    </w:p>
    <w:p>
      <w:pPr>
        <w:pStyle w:val="20"/>
        <w:numPr>
          <w:ilvl w:val="0"/>
          <w:numId w:val="11"/>
        </w:numPr>
        <w:tabs>
          <w:tab w:val="left" w:pos="1727"/>
        </w:tabs>
        <w:spacing w:before="39" w:after="0" w:line="240" w:lineRule="auto"/>
        <w:ind w:left="1726" w:right="0" w:hanging="602"/>
        <w:jc w:val="left"/>
        <w:rPr>
          <w:sz w:val="24"/>
          <w:highlight w:val="none"/>
        </w:rPr>
      </w:pPr>
      <w:r>
        <w:rPr>
          <w:sz w:val="24"/>
          <w:highlight w:val="none"/>
        </w:rPr>
        <w:t>分包号（如有的话）；</w:t>
      </w:r>
    </w:p>
    <w:p>
      <w:pPr>
        <w:pStyle w:val="20"/>
        <w:numPr>
          <w:ilvl w:val="0"/>
          <w:numId w:val="11"/>
        </w:numPr>
        <w:tabs>
          <w:tab w:val="left" w:pos="1727"/>
        </w:tabs>
        <w:spacing w:before="160" w:after="0" w:line="240" w:lineRule="auto"/>
        <w:ind w:left="1726" w:right="0" w:hanging="602"/>
        <w:jc w:val="left"/>
        <w:rPr>
          <w:sz w:val="24"/>
          <w:highlight w:val="none"/>
        </w:rPr>
      </w:pPr>
      <w:r>
        <w:rPr>
          <w:sz w:val="24"/>
          <w:highlight w:val="none"/>
        </w:rPr>
        <w:t>标明：“开标前不得启封”</w:t>
      </w:r>
    </w:p>
    <w:p>
      <w:pPr>
        <w:pStyle w:val="20"/>
        <w:numPr>
          <w:ilvl w:val="0"/>
          <w:numId w:val="11"/>
        </w:numPr>
        <w:tabs>
          <w:tab w:val="left" w:pos="1741"/>
        </w:tabs>
        <w:spacing w:before="161" w:after="0" w:line="240" w:lineRule="auto"/>
        <w:ind w:left="1740" w:right="0" w:hanging="601"/>
        <w:jc w:val="left"/>
        <w:rPr>
          <w:sz w:val="24"/>
          <w:highlight w:val="none"/>
        </w:rPr>
      </w:pPr>
      <w:r>
        <w:rPr>
          <w:sz w:val="24"/>
          <w:highlight w:val="none"/>
        </w:rPr>
        <w:t>投标人的名称、地址、联系人、电话。</w:t>
      </w:r>
    </w:p>
    <w:p>
      <w:pPr>
        <w:pStyle w:val="20"/>
        <w:numPr>
          <w:ilvl w:val="2"/>
          <w:numId w:val="10"/>
        </w:numPr>
        <w:tabs>
          <w:tab w:val="left" w:pos="1740"/>
        </w:tabs>
        <w:spacing w:before="160" w:after="0" w:line="364" w:lineRule="auto"/>
        <w:ind w:left="660" w:right="1298" w:firstLine="420"/>
        <w:jc w:val="both"/>
        <w:rPr>
          <w:sz w:val="24"/>
          <w:highlight w:val="none"/>
        </w:rPr>
      </w:pPr>
      <w:r>
        <w:rPr>
          <w:spacing w:val="-1"/>
          <w:sz w:val="24"/>
          <w:highlight w:val="none"/>
        </w:rPr>
        <w:t>投标文件未密封的，采购代理机构将拒绝接收其投标文件。投标专用</w:t>
      </w:r>
      <w:r>
        <w:rPr>
          <w:sz w:val="24"/>
          <w:highlight w:val="none"/>
        </w:rPr>
        <w:t>袋（箱）</w:t>
      </w:r>
      <w:r>
        <w:rPr>
          <w:spacing w:val="-16"/>
          <w:sz w:val="24"/>
          <w:highlight w:val="none"/>
        </w:rPr>
        <w:t xml:space="preserve">未按第 </w:t>
      </w:r>
      <w:r>
        <w:rPr>
          <w:sz w:val="24"/>
          <w:highlight w:val="none"/>
        </w:rPr>
        <w:t>4.1.3、4.1.4</w:t>
      </w:r>
      <w:r>
        <w:rPr>
          <w:spacing w:val="-9"/>
          <w:sz w:val="24"/>
          <w:highlight w:val="none"/>
        </w:rPr>
        <w:t xml:space="preserve"> 条规定标注的，采购代理机构不对投标文件被错</w:t>
      </w:r>
      <w:r>
        <w:rPr>
          <w:sz w:val="24"/>
          <w:highlight w:val="none"/>
        </w:rPr>
        <w:t>放或先期启封负责。</w:t>
      </w:r>
    </w:p>
    <w:p>
      <w:pPr>
        <w:pStyle w:val="20"/>
        <w:numPr>
          <w:ilvl w:val="1"/>
          <w:numId w:val="10"/>
        </w:numPr>
        <w:tabs>
          <w:tab w:val="left" w:pos="1088"/>
        </w:tabs>
        <w:spacing w:before="5" w:after="0" w:line="240" w:lineRule="auto"/>
        <w:ind w:left="1087" w:right="0" w:hanging="426"/>
        <w:jc w:val="both"/>
        <w:rPr>
          <w:sz w:val="24"/>
          <w:highlight w:val="none"/>
        </w:rPr>
      </w:pPr>
      <w:r>
        <w:rPr>
          <w:sz w:val="24"/>
          <w:highlight w:val="none"/>
        </w:rPr>
        <w:t>投标文件的递交</w:t>
      </w:r>
    </w:p>
    <w:p>
      <w:pPr>
        <w:pStyle w:val="20"/>
        <w:numPr>
          <w:ilvl w:val="2"/>
          <w:numId w:val="10"/>
        </w:numPr>
        <w:tabs>
          <w:tab w:val="left" w:pos="1740"/>
        </w:tabs>
        <w:spacing w:before="158" w:after="0" w:line="240" w:lineRule="auto"/>
        <w:ind w:left="1740" w:right="0" w:hanging="660"/>
        <w:jc w:val="left"/>
        <w:rPr>
          <w:sz w:val="24"/>
          <w:highlight w:val="none"/>
        </w:rPr>
      </w:pPr>
      <w:r>
        <w:rPr>
          <w:spacing w:val="-1"/>
          <w:sz w:val="24"/>
          <w:highlight w:val="none"/>
        </w:rPr>
        <w:t>递交方式及地址：详见“第一章 投标邀请”。</w:t>
      </w:r>
    </w:p>
    <w:p>
      <w:pPr>
        <w:pStyle w:val="20"/>
        <w:numPr>
          <w:ilvl w:val="2"/>
          <w:numId w:val="10"/>
        </w:numPr>
        <w:tabs>
          <w:tab w:val="left" w:pos="1740"/>
        </w:tabs>
        <w:spacing w:before="160" w:after="0" w:line="364" w:lineRule="auto"/>
        <w:ind w:left="660" w:right="1298" w:firstLine="420"/>
        <w:jc w:val="left"/>
        <w:rPr>
          <w:sz w:val="24"/>
          <w:highlight w:val="none"/>
        </w:rPr>
      </w:pPr>
      <w:r>
        <w:rPr>
          <w:spacing w:val="-1"/>
          <w:sz w:val="24"/>
          <w:highlight w:val="none"/>
        </w:rPr>
        <w:t>逾期送达的，或者未送达指定地点，以及未按指定方式送达的投标文</w:t>
      </w:r>
      <w:r>
        <w:rPr>
          <w:sz w:val="24"/>
          <w:highlight w:val="none"/>
        </w:rPr>
        <w:t>件，采购代理机构不予受理。</w:t>
      </w:r>
    </w:p>
    <w:p>
      <w:pPr>
        <w:pStyle w:val="20"/>
        <w:numPr>
          <w:ilvl w:val="2"/>
          <w:numId w:val="10"/>
        </w:numPr>
        <w:tabs>
          <w:tab w:val="left" w:pos="1800"/>
        </w:tabs>
        <w:spacing w:before="1" w:after="0" w:line="364" w:lineRule="auto"/>
        <w:ind w:left="660" w:right="1271" w:firstLine="420"/>
        <w:jc w:val="left"/>
        <w:rPr>
          <w:sz w:val="24"/>
          <w:highlight w:val="none"/>
        </w:rPr>
      </w:pPr>
      <w:r>
        <w:rPr>
          <w:spacing w:val="-3"/>
          <w:sz w:val="24"/>
          <w:highlight w:val="none"/>
        </w:rPr>
        <w:t>采购代理机构可根据需要调整文件递交时间，文件递交时间改变将会</w:t>
      </w:r>
      <w:r>
        <w:rPr>
          <w:sz w:val="24"/>
          <w:highlight w:val="none"/>
        </w:rPr>
        <w:t>通过网络方式进行公告或书面通知已报名的投标人。</w:t>
      </w:r>
    </w:p>
    <w:p>
      <w:pPr>
        <w:pStyle w:val="20"/>
        <w:numPr>
          <w:ilvl w:val="2"/>
          <w:numId w:val="10"/>
        </w:numPr>
        <w:tabs>
          <w:tab w:val="left" w:pos="1740"/>
        </w:tabs>
        <w:spacing w:before="2" w:after="0" w:line="240" w:lineRule="auto"/>
        <w:ind w:left="1740" w:right="0" w:hanging="660"/>
        <w:jc w:val="left"/>
        <w:rPr>
          <w:sz w:val="24"/>
          <w:highlight w:val="none"/>
        </w:rPr>
      </w:pPr>
      <w:r>
        <w:rPr>
          <w:sz w:val="24"/>
          <w:highlight w:val="none"/>
        </w:rPr>
        <w:t>投标文件将不予退还。</w:t>
      </w:r>
    </w:p>
    <w:p>
      <w:pPr>
        <w:pStyle w:val="5"/>
        <w:spacing w:before="11"/>
        <w:rPr>
          <w:highlight w:val="none"/>
        </w:rPr>
      </w:pPr>
    </w:p>
    <w:p>
      <w:pPr>
        <w:pStyle w:val="20"/>
        <w:numPr>
          <w:ilvl w:val="1"/>
          <w:numId w:val="10"/>
        </w:numPr>
        <w:tabs>
          <w:tab w:val="left" w:pos="1148"/>
        </w:tabs>
        <w:spacing w:before="0" w:after="0" w:line="240" w:lineRule="auto"/>
        <w:ind w:left="1147" w:right="0" w:hanging="426"/>
        <w:jc w:val="left"/>
        <w:rPr>
          <w:sz w:val="24"/>
          <w:highlight w:val="none"/>
        </w:rPr>
      </w:pPr>
      <w:r>
        <w:rPr>
          <w:sz w:val="24"/>
          <w:highlight w:val="none"/>
        </w:rPr>
        <w:t>修改与重投</w:t>
      </w:r>
    </w:p>
    <w:p>
      <w:pPr>
        <w:pStyle w:val="20"/>
        <w:numPr>
          <w:ilvl w:val="2"/>
          <w:numId w:val="10"/>
        </w:numPr>
        <w:tabs>
          <w:tab w:val="left" w:pos="1800"/>
        </w:tabs>
        <w:spacing w:before="158" w:after="0" w:line="364" w:lineRule="auto"/>
        <w:ind w:left="660" w:right="1178" w:firstLine="480"/>
        <w:jc w:val="left"/>
        <w:rPr>
          <w:sz w:val="24"/>
          <w:highlight w:val="none"/>
        </w:rPr>
      </w:pPr>
      <w:r>
        <w:rPr>
          <w:sz w:val="24"/>
          <w:highlight w:val="none"/>
        </w:rPr>
        <w:t>投标人在递交投标文件截止时间前可修改或撤回其递交的投标文件。</w:t>
      </w:r>
      <w:r>
        <w:rPr>
          <w:spacing w:val="-1"/>
          <w:sz w:val="24"/>
          <w:highlight w:val="none"/>
        </w:rPr>
        <w:t xml:space="preserve">修改的响应内容应按规定密封、签署及标记“修改”字样，并按规定要求递交； </w:t>
      </w:r>
      <w:r>
        <w:rPr>
          <w:spacing w:val="-5"/>
          <w:sz w:val="24"/>
          <w:highlight w:val="none"/>
        </w:rPr>
        <w:t>撤回文件时应向采购代理机构提出撤回申请，经同意后将投标人所提交的投标文件原封退回。</w:t>
      </w:r>
    </w:p>
    <w:p>
      <w:pPr>
        <w:pStyle w:val="20"/>
        <w:numPr>
          <w:ilvl w:val="2"/>
          <w:numId w:val="10"/>
        </w:numPr>
        <w:tabs>
          <w:tab w:val="left" w:pos="1800"/>
        </w:tabs>
        <w:spacing w:before="0" w:after="0" w:line="296" w:lineRule="exact"/>
        <w:ind w:left="1800" w:right="0" w:hanging="660"/>
        <w:jc w:val="left"/>
        <w:rPr>
          <w:sz w:val="24"/>
          <w:highlight w:val="none"/>
        </w:rPr>
      </w:pPr>
      <w:r>
        <w:rPr>
          <w:sz w:val="24"/>
          <w:highlight w:val="none"/>
        </w:rPr>
        <w:t>投标人不得在递交投标文件截止时间以后修改投标文件。</w:t>
      </w:r>
    </w:p>
    <w:p>
      <w:pPr>
        <w:pStyle w:val="5"/>
        <w:spacing w:before="10"/>
        <w:rPr>
          <w:sz w:val="30"/>
          <w:highlight w:val="none"/>
        </w:rPr>
      </w:pPr>
    </w:p>
    <w:p>
      <w:pPr>
        <w:pStyle w:val="8"/>
        <w:spacing w:before="1"/>
        <w:rPr>
          <w:highlight w:val="none"/>
        </w:rPr>
      </w:pPr>
      <w:r>
        <w:rPr>
          <w:highlight w:val="none"/>
        </w:rPr>
        <w:t>五、开 标</w:t>
      </w:r>
    </w:p>
    <w:p>
      <w:pPr>
        <w:pStyle w:val="5"/>
        <w:spacing w:before="11"/>
        <w:rPr>
          <w:sz w:val="26"/>
          <w:highlight w:val="none"/>
        </w:rPr>
      </w:pPr>
    </w:p>
    <w:p>
      <w:pPr>
        <w:pStyle w:val="20"/>
        <w:numPr>
          <w:ilvl w:val="1"/>
          <w:numId w:val="12"/>
        </w:numPr>
        <w:tabs>
          <w:tab w:val="left" w:pos="1208"/>
        </w:tabs>
        <w:spacing w:before="0" w:after="0" w:line="240" w:lineRule="auto"/>
        <w:ind w:left="1207" w:right="0" w:hanging="486"/>
        <w:jc w:val="left"/>
        <w:rPr>
          <w:sz w:val="24"/>
          <w:highlight w:val="none"/>
        </w:rPr>
      </w:pPr>
      <w:r>
        <w:rPr>
          <w:sz w:val="24"/>
          <w:highlight w:val="none"/>
        </w:rPr>
        <w:t>开标时间和地点</w:t>
      </w:r>
    </w:p>
    <w:p>
      <w:pPr>
        <w:pStyle w:val="20"/>
        <w:numPr>
          <w:ilvl w:val="2"/>
          <w:numId w:val="12"/>
        </w:numPr>
        <w:tabs>
          <w:tab w:val="left" w:pos="1800"/>
        </w:tabs>
        <w:spacing w:before="158" w:after="0" w:line="364" w:lineRule="auto"/>
        <w:ind w:left="660" w:right="1271" w:firstLine="420"/>
        <w:jc w:val="left"/>
        <w:rPr>
          <w:sz w:val="24"/>
          <w:highlight w:val="none"/>
        </w:rPr>
      </w:pPr>
      <w:r>
        <w:rPr>
          <w:sz w:val="24"/>
          <w:highlight w:val="none"/>
        </w:rPr>
        <w:t>采购代理机构将按照招标公告或更正公告约定的时间和地点进行公</w:t>
      </w:r>
      <w:r>
        <w:rPr>
          <w:spacing w:val="-7"/>
          <w:sz w:val="24"/>
          <w:highlight w:val="none"/>
        </w:rPr>
        <w:t>开开标, 采购代理机构有权邀请政府采购监管部门、纪检、监察、审计等有关单</w:t>
      </w:r>
      <w:r>
        <w:rPr>
          <w:sz w:val="24"/>
          <w:highlight w:val="none"/>
        </w:rPr>
        <w:t>位代表出席开标会。</w:t>
      </w:r>
    </w:p>
    <w:p>
      <w:pPr>
        <w:pStyle w:val="20"/>
        <w:numPr>
          <w:ilvl w:val="2"/>
          <w:numId w:val="12"/>
        </w:numPr>
        <w:tabs>
          <w:tab w:val="left" w:pos="1800"/>
        </w:tabs>
        <w:spacing w:before="2" w:after="0" w:line="364" w:lineRule="auto"/>
        <w:ind w:left="660" w:right="1271" w:firstLine="420"/>
        <w:jc w:val="left"/>
        <w:rPr>
          <w:sz w:val="24"/>
          <w:highlight w:val="none"/>
        </w:rPr>
      </w:pPr>
      <w:r>
        <w:rPr>
          <w:spacing w:val="-4"/>
          <w:sz w:val="24"/>
          <w:highlight w:val="none"/>
        </w:rPr>
        <w:t>开标由采购人或采购代理机构主持，邀请投标人参加。评标委员会成</w:t>
      </w:r>
      <w:r>
        <w:rPr>
          <w:sz w:val="24"/>
          <w:highlight w:val="none"/>
        </w:rPr>
        <w:t>员不得参加开标活动。</w:t>
      </w:r>
    </w:p>
    <w:p>
      <w:pPr>
        <w:pStyle w:val="20"/>
        <w:numPr>
          <w:ilvl w:val="2"/>
          <w:numId w:val="12"/>
        </w:numPr>
        <w:tabs>
          <w:tab w:val="left" w:pos="1800"/>
        </w:tabs>
        <w:spacing w:before="1" w:after="0" w:line="240" w:lineRule="auto"/>
        <w:ind w:left="1800" w:right="0" w:hanging="720"/>
        <w:jc w:val="left"/>
        <w:rPr>
          <w:sz w:val="24"/>
          <w:highlight w:val="none"/>
        </w:rPr>
      </w:pPr>
      <w:r>
        <w:rPr>
          <w:sz w:val="24"/>
          <w:highlight w:val="none"/>
        </w:rPr>
        <w:t>出席开标现场的代表必须携带身份证。</w:t>
      </w:r>
    </w:p>
    <w:p>
      <w:pPr>
        <w:spacing w:after="0" w:line="240" w:lineRule="auto"/>
        <w:jc w:val="left"/>
        <w:rPr>
          <w:sz w:val="24"/>
          <w:highlight w:val="none"/>
        </w:rPr>
        <w:sectPr>
          <w:pgSz w:w="11900" w:h="16840"/>
          <w:pgMar w:top="1480" w:right="520" w:bottom="1380" w:left="1140" w:header="0" w:footer="1119" w:gutter="0"/>
          <w:pgNumType w:fmt="decimal"/>
          <w:cols w:space="720" w:num="1"/>
        </w:sectPr>
      </w:pPr>
    </w:p>
    <w:p>
      <w:pPr>
        <w:pStyle w:val="20"/>
        <w:numPr>
          <w:ilvl w:val="2"/>
          <w:numId w:val="12"/>
        </w:numPr>
        <w:tabs>
          <w:tab w:val="left" w:pos="1740"/>
        </w:tabs>
        <w:spacing w:before="39" w:after="0" w:line="367" w:lineRule="auto"/>
        <w:ind w:left="660" w:right="1298" w:firstLine="420"/>
        <w:jc w:val="left"/>
        <w:rPr>
          <w:sz w:val="24"/>
          <w:highlight w:val="none"/>
        </w:rPr>
      </w:pPr>
      <w:r>
        <w:rPr>
          <w:spacing w:val="-1"/>
          <w:sz w:val="24"/>
          <w:highlight w:val="none"/>
        </w:rPr>
        <w:t>投标人应派其法定代表人或其授权代表准时参加开标会，并代表投标</w:t>
      </w:r>
      <w:r>
        <w:rPr>
          <w:sz w:val="24"/>
          <w:highlight w:val="none"/>
        </w:rPr>
        <w:t>人进行签到、确认开标报告等工作，否则其投标将被视作无效。</w:t>
      </w:r>
    </w:p>
    <w:p>
      <w:pPr>
        <w:pStyle w:val="5"/>
        <w:spacing w:line="364" w:lineRule="auto"/>
        <w:ind w:left="660" w:right="1298" w:firstLine="240"/>
        <w:rPr>
          <w:highlight w:val="none"/>
        </w:rPr>
      </w:pPr>
      <w:r>
        <w:rPr>
          <w:highlight w:val="none"/>
        </w:rPr>
        <w:t>（</w:t>
      </w:r>
      <w:r>
        <w:rPr>
          <w:spacing w:val="-13"/>
          <w:highlight w:val="none"/>
        </w:rPr>
        <w:t xml:space="preserve">注：以上 </w:t>
      </w:r>
      <w:r>
        <w:rPr>
          <w:highlight w:val="none"/>
        </w:rPr>
        <w:t>5.1.1、5.1.2</w:t>
      </w:r>
      <w:r>
        <w:rPr>
          <w:spacing w:val="-9"/>
          <w:highlight w:val="none"/>
        </w:rPr>
        <w:t xml:space="preserve"> 项如更正公告有新的约定，则按最后更正公告的约</w:t>
      </w:r>
      <w:r>
        <w:rPr>
          <w:highlight w:val="none"/>
        </w:rPr>
        <w:t>定进行。）</w:t>
      </w:r>
    </w:p>
    <w:p>
      <w:pPr>
        <w:pStyle w:val="20"/>
        <w:numPr>
          <w:ilvl w:val="1"/>
          <w:numId w:val="12"/>
        </w:numPr>
        <w:tabs>
          <w:tab w:val="left" w:pos="1208"/>
        </w:tabs>
        <w:spacing w:before="155" w:after="0" w:line="240" w:lineRule="auto"/>
        <w:ind w:left="1207" w:right="0" w:hanging="486"/>
        <w:jc w:val="left"/>
        <w:rPr>
          <w:sz w:val="24"/>
          <w:highlight w:val="none"/>
        </w:rPr>
      </w:pPr>
      <w:r>
        <w:rPr>
          <w:sz w:val="24"/>
          <w:highlight w:val="none"/>
        </w:rPr>
        <w:t>开标程序</w:t>
      </w:r>
    </w:p>
    <w:p>
      <w:pPr>
        <w:pStyle w:val="5"/>
        <w:spacing w:before="6"/>
        <w:rPr>
          <w:highlight w:val="none"/>
        </w:rPr>
      </w:pPr>
    </w:p>
    <w:p>
      <w:pPr>
        <w:pStyle w:val="5"/>
        <w:spacing w:line="364" w:lineRule="auto"/>
        <w:ind w:left="660" w:right="1274" w:firstLine="506"/>
        <w:rPr>
          <w:highlight w:val="none"/>
        </w:rPr>
      </w:pPr>
      <w:r>
        <w:rPr>
          <w:spacing w:val="-9"/>
          <w:highlight w:val="none"/>
        </w:rPr>
        <w:t>到递交投标文件截止时间，递交投标文件的投标人不足三家的，不开标，项</w:t>
      </w:r>
      <w:r>
        <w:rPr>
          <w:highlight w:val="none"/>
        </w:rPr>
        <w:t>目按废标处理。达到三家的按以下程序进行开标。</w:t>
      </w:r>
    </w:p>
    <w:p>
      <w:pPr>
        <w:pStyle w:val="20"/>
        <w:numPr>
          <w:ilvl w:val="2"/>
          <w:numId w:val="12"/>
        </w:numPr>
        <w:tabs>
          <w:tab w:val="left" w:pos="1860"/>
        </w:tabs>
        <w:spacing w:before="1" w:after="0" w:line="240" w:lineRule="auto"/>
        <w:ind w:left="1860" w:right="0" w:hanging="721"/>
        <w:jc w:val="left"/>
        <w:rPr>
          <w:sz w:val="24"/>
          <w:highlight w:val="none"/>
        </w:rPr>
      </w:pPr>
      <w:r>
        <w:rPr>
          <w:sz w:val="24"/>
          <w:highlight w:val="none"/>
        </w:rPr>
        <w:t>按招标公告或更正公告规定的时间进行签到。</w:t>
      </w:r>
    </w:p>
    <w:p>
      <w:pPr>
        <w:pStyle w:val="20"/>
        <w:numPr>
          <w:ilvl w:val="2"/>
          <w:numId w:val="12"/>
        </w:numPr>
        <w:tabs>
          <w:tab w:val="left" w:pos="1860"/>
        </w:tabs>
        <w:spacing w:before="161" w:after="0" w:line="240" w:lineRule="auto"/>
        <w:ind w:left="1860" w:right="0" w:hanging="721"/>
        <w:jc w:val="left"/>
        <w:rPr>
          <w:sz w:val="24"/>
          <w:highlight w:val="none"/>
        </w:rPr>
      </w:pPr>
      <w:r>
        <w:rPr>
          <w:sz w:val="24"/>
          <w:highlight w:val="none"/>
        </w:rPr>
        <w:t>宣布开标纪律及参会人员。</w:t>
      </w:r>
    </w:p>
    <w:p>
      <w:pPr>
        <w:pStyle w:val="20"/>
        <w:numPr>
          <w:ilvl w:val="2"/>
          <w:numId w:val="12"/>
        </w:numPr>
        <w:tabs>
          <w:tab w:val="left" w:pos="1800"/>
        </w:tabs>
        <w:spacing w:before="160" w:after="0" w:line="364" w:lineRule="auto"/>
        <w:ind w:left="659" w:right="1271" w:firstLine="480"/>
        <w:jc w:val="left"/>
        <w:rPr>
          <w:sz w:val="24"/>
          <w:highlight w:val="none"/>
        </w:rPr>
      </w:pPr>
      <w:r>
        <w:rPr>
          <w:spacing w:val="-6"/>
          <w:sz w:val="24"/>
          <w:highlight w:val="none"/>
        </w:rPr>
        <w:t>公布投标人名称，由投标人或者其推选的代表检查投标文件的密封情</w:t>
      </w:r>
      <w:r>
        <w:rPr>
          <w:sz w:val="24"/>
          <w:highlight w:val="none"/>
        </w:rPr>
        <w:t>况。经确认无误后，由采购人或采购代理机构工作人员当众拆封。</w:t>
      </w:r>
    </w:p>
    <w:p>
      <w:pPr>
        <w:pStyle w:val="20"/>
        <w:numPr>
          <w:ilvl w:val="2"/>
          <w:numId w:val="12"/>
        </w:numPr>
        <w:tabs>
          <w:tab w:val="left" w:pos="1800"/>
        </w:tabs>
        <w:spacing w:before="2" w:after="0" w:line="240" w:lineRule="auto"/>
        <w:ind w:left="1800" w:right="0" w:hanging="661"/>
        <w:jc w:val="left"/>
        <w:rPr>
          <w:sz w:val="24"/>
          <w:highlight w:val="none"/>
        </w:rPr>
      </w:pPr>
      <w:r>
        <w:rPr>
          <w:sz w:val="24"/>
          <w:highlight w:val="none"/>
        </w:rPr>
        <w:t>唱标，投标人浏览唱标信息。</w:t>
      </w:r>
    </w:p>
    <w:p>
      <w:pPr>
        <w:pStyle w:val="20"/>
        <w:numPr>
          <w:ilvl w:val="2"/>
          <w:numId w:val="12"/>
        </w:numPr>
        <w:tabs>
          <w:tab w:val="left" w:pos="1860"/>
        </w:tabs>
        <w:spacing w:before="160" w:after="0" w:line="240" w:lineRule="auto"/>
        <w:ind w:left="1860" w:right="0" w:hanging="721"/>
        <w:jc w:val="left"/>
        <w:rPr>
          <w:sz w:val="24"/>
          <w:highlight w:val="none"/>
        </w:rPr>
      </w:pPr>
      <w:r>
        <w:rPr>
          <w:sz w:val="24"/>
          <w:highlight w:val="none"/>
        </w:rPr>
        <w:t>产生开标报告，阅读开标报告，签署开标报告。</w:t>
      </w:r>
    </w:p>
    <w:p>
      <w:pPr>
        <w:pStyle w:val="20"/>
        <w:numPr>
          <w:ilvl w:val="2"/>
          <w:numId w:val="12"/>
        </w:numPr>
        <w:tabs>
          <w:tab w:val="left" w:pos="1860"/>
        </w:tabs>
        <w:spacing w:before="161" w:after="0" w:line="240" w:lineRule="auto"/>
        <w:ind w:left="1860" w:right="0" w:hanging="721"/>
        <w:jc w:val="both"/>
        <w:rPr>
          <w:sz w:val="24"/>
          <w:highlight w:val="none"/>
        </w:rPr>
      </w:pPr>
      <w:r>
        <w:rPr>
          <w:sz w:val="24"/>
          <w:highlight w:val="none"/>
        </w:rPr>
        <w:t>开标结束。</w:t>
      </w:r>
    </w:p>
    <w:p>
      <w:pPr>
        <w:pStyle w:val="20"/>
        <w:numPr>
          <w:ilvl w:val="2"/>
          <w:numId w:val="12"/>
        </w:numPr>
        <w:tabs>
          <w:tab w:val="left" w:pos="1740"/>
        </w:tabs>
        <w:spacing w:before="160" w:after="0" w:line="364" w:lineRule="auto"/>
        <w:ind w:left="659" w:right="1271" w:firstLine="420"/>
        <w:jc w:val="both"/>
        <w:rPr>
          <w:sz w:val="24"/>
          <w:highlight w:val="none"/>
        </w:rPr>
      </w:pPr>
      <w:r>
        <w:rPr>
          <w:sz w:val="24"/>
          <w:highlight w:val="none"/>
        </w:rPr>
        <w:t>开标过程应当由采购人或采购代理机构负责记录，由参加开标的各投</w:t>
      </w:r>
      <w:r>
        <w:rPr>
          <w:spacing w:val="-5"/>
          <w:sz w:val="24"/>
          <w:highlight w:val="none"/>
        </w:rPr>
        <w:t>标人和相关工作人员签字确认后随招标文件一并存档。投标人代表对开标过程和</w:t>
      </w:r>
      <w:r>
        <w:rPr>
          <w:spacing w:val="-9"/>
          <w:sz w:val="24"/>
          <w:highlight w:val="none"/>
        </w:rPr>
        <w:t>开标报告有疑义，以及认为采购人、采购代理机构相关工作人员有需要回避的情</w:t>
      </w:r>
      <w:r>
        <w:rPr>
          <w:spacing w:val="-12"/>
          <w:sz w:val="24"/>
          <w:highlight w:val="none"/>
        </w:rPr>
        <w:t>形的，应当场提出询问或者回避申请。采购人、采购代理机构对投标人代表提出的询问或者回避申请应当及时处理。</w:t>
      </w:r>
    </w:p>
    <w:p>
      <w:pPr>
        <w:pStyle w:val="20"/>
        <w:numPr>
          <w:ilvl w:val="1"/>
          <w:numId w:val="12"/>
        </w:numPr>
        <w:tabs>
          <w:tab w:val="left" w:pos="1208"/>
        </w:tabs>
        <w:spacing w:before="161" w:after="0" w:line="240" w:lineRule="auto"/>
        <w:ind w:left="1207" w:right="0" w:hanging="486"/>
        <w:jc w:val="both"/>
        <w:rPr>
          <w:sz w:val="24"/>
          <w:highlight w:val="none"/>
        </w:rPr>
      </w:pPr>
      <w:r>
        <w:rPr>
          <w:sz w:val="24"/>
          <w:highlight w:val="none"/>
        </w:rPr>
        <w:t>出现下列情形之一的，将导致投标人本次投标无效。</w:t>
      </w:r>
    </w:p>
    <w:p>
      <w:pPr>
        <w:pStyle w:val="20"/>
        <w:numPr>
          <w:ilvl w:val="0"/>
          <w:numId w:val="13"/>
        </w:numPr>
        <w:tabs>
          <w:tab w:val="left" w:pos="1681"/>
        </w:tabs>
        <w:spacing w:before="159" w:after="0" w:line="240" w:lineRule="auto"/>
        <w:ind w:left="1680" w:right="0" w:hanging="601"/>
        <w:jc w:val="left"/>
        <w:rPr>
          <w:sz w:val="24"/>
          <w:highlight w:val="none"/>
        </w:rPr>
      </w:pPr>
      <w:r>
        <w:rPr>
          <w:sz w:val="24"/>
          <w:highlight w:val="none"/>
        </w:rPr>
        <w:t>投标文件未按规定要求提交的；</w:t>
      </w:r>
    </w:p>
    <w:p>
      <w:pPr>
        <w:pStyle w:val="20"/>
        <w:numPr>
          <w:ilvl w:val="0"/>
          <w:numId w:val="13"/>
        </w:numPr>
        <w:tabs>
          <w:tab w:val="left" w:pos="1681"/>
        </w:tabs>
        <w:spacing w:before="160" w:after="0" w:line="240" w:lineRule="auto"/>
        <w:ind w:left="1680" w:right="0" w:hanging="601"/>
        <w:jc w:val="left"/>
        <w:rPr>
          <w:sz w:val="24"/>
          <w:highlight w:val="none"/>
        </w:rPr>
      </w:pPr>
      <w:r>
        <w:rPr>
          <w:sz w:val="24"/>
          <w:highlight w:val="none"/>
        </w:rPr>
        <w:t>相关人员未按时进行开标签到的；</w:t>
      </w:r>
    </w:p>
    <w:p>
      <w:pPr>
        <w:pStyle w:val="20"/>
        <w:numPr>
          <w:ilvl w:val="0"/>
          <w:numId w:val="13"/>
        </w:numPr>
        <w:tabs>
          <w:tab w:val="left" w:pos="1689"/>
        </w:tabs>
        <w:spacing w:before="161" w:after="0" w:line="364" w:lineRule="auto"/>
        <w:ind w:left="1087" w:right="1350" w:firstLine="0"/>
        <w:jc w:val="left"/>
        <w:rPr>
          <w:sz w:val="24"/>
          <w:highlight w:val="none"/>
        </w:rPr>
      </w:pPr>
      <w:r>
        <w:rPr>
          <w:spacing w:val="-1"/>
          <w:sz w:val="24"/>
          <w:highlight w:val="none"/>
        </w:rPr>
        <w:t xml:space="preserve">不满足“申请人的资格要求”或未按要求提供“申请人的资格要求” </w:t>
      </w:r>
      <w:r>
        <w:rPr>
          <w:sz w:val="24"/>
          <w:highlight w:val="none"/>
        </w:rPr>
        <w:t>中的有效证明文件的；</w:t>
      </w:r>
    </w:p>
    <w:p>
      <w:pPr>
        <w:pStyle w:val="20"/>
        <w:numPr>
          <w:ilvl w:val="0"/>
          <w:numId w:val="13"/>
        </w:numPr>
        <w:tabs>
          <w:tab w:val="left" w:pos="1689"/>
        </w:tabs>
        <w:spacing w:before="34" w:after="0" w:line="240" w:lineRule="auto"/>
        <w:ind w:left="1688" w:right="0" w:hanging="602"/>
        <w:jc w:val="left"/>
        <w:rPr>
          <w:sz w:val="24"/>
          <w:highlight w:val="none"/>
        </w:rPr>
      </w:pPr>
      <w:r>
        <w:rPr>
          <w:sz w:val="24"/>
          <w:highlight w:val="none"/>
        </w:rPr>
        <w:t>未按招标文件要求提交投标保证金的；</w:t>
      </w:r>
    </w:p>
    <w:p>
      <w:pPr>
        <w:pStyle w:val="20"/>
        <w:numPr>
          <w:ilvl w:val="0"/>
          <w:numId w:val="13"/>
        </w:numPr>
        <w:tabs>
          <w:tab w:val="left" w:pos="1689"/>
        </w:tabs>
        <w:spacing w:before="132" w:after="0" w:line="240" w:lineRule="auto"/>
        <w:ind w:left="1688" w:right="0" w:hanging="602"/>
        <w:jc w:val="left"/>
        <w:rPr>
          <w:sz w:val="24"/>
          <w:highlight w:val="none"/>
        </w:rPr>
      </w:pPr>
      <w:r>
        <w:rPr>
          <w:sz w:val="24"/>
          <w:highlight w:val="none"/>
        </w:rPr>
        <w:t>投标文件未按招标文件规定要求及给定的格式填写、签署及盖章的；</w:t>
      </w:r>
    </w:p>
    <w:p>
      <w:pPr>
        <w:pStyle w:val="20"/>
        <w:numPr>
          <w:ilvl w:val="0"/>
          <w:numId w:val="13"/>
        </w:numPr>
        <w:tabs>
          <w:tab w:val="left" w:pos="1689"/>
        </w:tabs>
        <w:spacing w:before="134" w:after="0" w:line="240" w:lineRule="auto"/>
        <w:ind w:left="1688" w:right="0" w:hanging="602"/>
        <w:jc w:val="left"/>
        <w:rPr>
          <w:sz w:val="24"/>
          <w:highlight w:val="none"/>
        </w:rPr>
      </w:pPr>
      <w:r>
        <w:rPr>
          <w:sz w:val="24"/>
          <w:highlight w:val="none"/>
        </w:rPr>
        <w:t>报价超过招标文件中规定的预算金额或者最高限价的；</w:t>
      </w:r>
    </w:p>
    <w:p>
      <w:pPr>
        <w:pStyle w:val="20"/>
        <w:numPr>
          <w:ilvl w:val="0"/>
          <w:numId w:val="13"/>
        </w:numPr>
        <w:tabs>
          <w:tab w:val="left" w:pos="1695"/>
        </w:tabs>
        <w:spacing w:before="132" w:after="0" w:line="343" w:lineRule="auto"/>
        <w:ind w:left="1087" w:right="1271" w:firstLine="0"/>
        <w:jc w:val="left"/>
        <w:rPr>
          <w:sz w:val="24"/>
          <w:highlight w:val="none"/>
        </w:rPr>
      </w:pPr>
      <w:r>
        <w:rPr>
          <w:sz w:val="24"/>
          <w:highlight w:val="none"/>
        </w:rPr>
        <w:t xml:space="preserve">评标委员会认为投标人的报价明显低于其他通过符合性审查投标人， </w:t>
      </w:r>
      <w:r>
        <w:rPr>
          <w:spacing w:val="-4"/>
          <w:sz w:val="24"/>
          <w:highlight w:val="none"/>
        </w:rPr>
        <w:t>有可能影响产品质量或者不能诚信履约的，且投标人不能按评标委员会的要</w:t>
      </w:r>
    </w:p>
    <w:p>
      <w:pPr>
        <w:spacing w:after="0" w:line="343" w:lineRule="auto"/>
        <w:jc w:val="left"/>
        <w:rPr>
          <w:sz w:val="24"/>
          <w:highlight w:val="none"/>
        </w:rPr>
        <w:sectPr>
          <w:pgSz w:w="11900" w:h="16840"/>
          <w:pgMar w:top="1480" w:right="520" w:bottom="1380" w:left="1140" w:header="0" w:footer="1119" w:gutter="0"/>
          <w:pgNumType w:fmt="decimal"/>
          <w:cols w:space="720" w:num="1"/>
        </w:sectPr>
      </w:pPr>
    </w:p>
    <w:p>
      <w:pPr>
        <w:pStyle w:val="5"/>
        <w:spacing w:before="52"/>
        <w:ind w:left="1087"/>
        <w:rPr>
          <w:highlight w:val="none"/>
        </w:rPr>
      </w:pPr>
      <w:r>
        <w:rPr>
          <w:highlight w:val="none"/>
        </w:rPr>
        <w:t>求证明其报价合理性的。</w:t>
      </w:r>
    </w:p>
    <w:p>
      <w:pPr>
        <w:pStyle w:val="20"/>
        <w:numPr>
          <w:ilvl w:val="0"/>
          <w:numId w:val="13"/>
        </w:numPr>
        <w:tabs>
          <w:tab w:val="left" w:pos="1689"/>
        </w:tabs>
        <w:spacing w:before="132" w:after="0" w:line="240" w:lineRule="auto"/>
        <w:ind w:left="1688" w:right="0" w:hanging="602"/>
        <w:jc w:val="left"/>
        <w:rPr>
          <w:sz w:val="24"/>
          <w:highlight w:val="none"/>
        </w:rPr>
      </w:pPr>
      <w:r>
        <w:rPr>
          <w:sz w:val="24"/>
          <w:highlight w:val="none"/>
        </w:rPr>
        <w:t>不满足招标文件中规定的其他实质性要求和条件的；</w:t>
      </w:r>
    </w:p>
    <w:p>
      <w:pPr>
        <w:pStyle w:val="20"/>
        <w:numPr>
          <w:ilvl w:val="0"/>
          <w:numId w:val="13"/>
        </w:numPr>
        <w:tabs>
          <w:tab w:val="left" w:pos="1689"/>
        </w:tabs>
        <w:spacing w:before="132" w:after="0" w:line="240" w:lineRule="auto"/>
        <w:ind w:left="1688" w:right="0" w:hanging="602"/>
        <w:jc w:val="left"/>
        <w:rPr>
          <w:sz w:val="24"/>
          <w:highlight w:val="none"/>
        </w:rPr>
      </w:pPr>
      <w:r>
        <w:rPr>
          <w:sz w:val="24"/>
          <w:highlight w:val="none"/>
        </w:rPr>
        <w:t>投标文件含有采购人不能接受的附加条件的；</w:t>
      </w:r>
    </w:p>
    <w:p>
      <w:pPr>
        <w:pStyle w:val="20"/>
        <w:numPr>
          <w:ilvl w:val="0"/>
          <w:numId w:val="0"/>
        </w:numPr>
        <w:tabs>
          <w:tab w:val="left" w:pos="1689"/>
        </w:tabs>
        <w:spacing w:before="132" w:after="0" w:line="240" w:lineRule="auto"/>
        <w:ind w:left="1086" w:leftChars="0" w:right="0" w:rightChars="0"/>
        <w:jc w:val="left"/>
        <w:rPr>
          <w:sz w:val="24"/>
          <w:highlight w:val="none"/>
        </w:rPr>
      </w:pPr>
      <w:r>
        <w:rPr>
          <w:rFonts w:hint="eastAsia"/>
          <w:sz w:val="24"/>
          <w:highlight w:val="none"/>
          <w:lang w:eastAsia="zh-CN"/>
        </w:rPr>
        <w:t>（</w:t>
      </w:r>
      <w:r>
        <w:rPr>
          <w:rFonts w:hint="eastAsia"/>
          <w:sz w:val="24"/>
          <w:highlight w:val="none"/>
          <w:lang w:val="en-US" w:eastAsia="zh-CN"/>
        </w:rPr>
        <w:t>10</w:t>
      </w:r>
      <w:r>
        <w:rPr>
          <w:rFonts w:hint="eastAsia"/>
          <w:sz w:val="24"/>
          <w:highlight w:val="none"/>
          <w:lang w:eastAsia="zh-CN"/>
        </w:rPr>
        <w:t>）</w:t>
      </w:r>
      <w:r>
        <w:rPr>
          <w:sz w:val="24"/>
          <w:highlight w:val="none"/>
        </w:rPr>
        <w:t>属于招标文件中规定的串通投标的情形的；</w:t>
      </w:r>
    </w:p>
    <w:p>
      <w:pPr>
        <w:pStyle w:val="20"/>
        <w:numPr>
          <w:ilvl w:val="0"/>
          <w:numId w:val="0"/>
        </w:numPr>
        <w:tabs>
          <w:tab w:val="left" w:pos="1809"/>
        </w:tabs>
        <w:spacing w:before="132" w:after="0" w:line="240" w:lineRule="auto"/>
        <w:ind w:left="1086" w:leftChars="0" w:right="0" w:rightChars="0"/>
        <w:jc w:val="left"/>
        <w:rPr>
          <w:sz w:val="24"/>
          <w:highlight w:val="none"/>
        </w:rPr>
      </w:pPr>
      <w:r>
        <w:rPr>
          <w:rFonts w:hint="eastAsia"/>
          <w:sz w:val="24"/>
          <w:highlight w:val="none"/>
          <w:lang w:eastAsia="zh-CN"/>
        </w:rPr>
        <w:t>（</w:t>
      </w:r>
      <w:r>
        <w:rPr>
          <w:rFonts w:hint="eastAsia"/>
          <w:sz w:val="24"/>
          <w:highlight w:val="none"/>
          <w:lang w:val="en-US" w:eastAsia="zh-CN"/>
        </w:rPr>
        <w:t>11</w:t>
      </w:r>
      <w:r>
        <w:rPr>
          <w:rFonts w:hint="eastAsia"/>
          <w:sz w:val="24"/>
          <w:highlight w:val="none"/>
          <w:lang w:eastAsia="zh-CN"/>
        </w:rPr>
        <w:t>）</w:t>
      </w:r>
      <w:r>
        <w:rPr>
          <w:sz w:val="24"/>
          <w:highlight w:val="none"/>
        </w:rPr>
        <w:t>法律、法规和招标文件规定的其他投标无效的情形。</w:t>
      </w:r>
    </w:p>
    <w:p>
      <w:pPr>
        <w:pStyle w:val="5"/>
        <w:spacing w:before="12"/>
        <w:rPr>
          <w:sz w:val="31"/>
          <w:highlight w:val="none"/>
        </w:rPr>
      </w:pPr>
    </w:p>
    <w:p>
      <w:pPr>
        <w:pStyle w:val="8"/>
        <w:rPr>
          <w:highlight w:val="none"/>
        </w:rPr>
      </w:pPr>
      <w:r>
        <w:rPr>
          <w:highlight w:val="none"/>
        </w:rPr>
        <w:t>六、资格审查</w:t>
      </w:r>
    </w:p>
    <w:p>
      <w:pPr>
        <w:pStyle w:val="20"/>
        <w:numPr>
          <w:ilvl w:val="1"/>
          <w:numId w:val="14"/>
        </w:numPr>
        <w:tabs>
          <w:tab w:val="left" w:pos="1088"/>
        </w:tabs>
        <w:spacing w:before="186" w:after="0" w:line="240" w:lineRule="auto"/>
        <w:ind w:left="1087" w:right="0" w:hanging="426"/>
        <w:jc w:val="both"/>
        <w:rPr>
          <w:sz w:val="24"/>
          <w:highlight w:val="none"/>
        </w:rPr>
      </w:pPr>
      <w:r>
        <w:rPr>
          <w:sz w:val="24"/>
          <w:highlight w:val="none"/>
        </w:rPr>
        <w:t>资格审查人员</w:t>
      </w:r>
    </w:p>
    <w:p>
      <w:pPr>
        <w:pStyle w:val="5"/>
        <w:spacing w:before="158"/>
        <w:ind w:left="1140"/>
        <w:rPr>
          <w:highlight w:val="none"/>
        </w:rPr>
      </w:pPr>
      <w:r>
        <w:rPr>
          <w:highlight w:val="none"/>
        </w:rPr>
        <w:t>采购人或者采购代理机构对投标人的资格进行审查。</w:t>
      </w:r>
    </w:p>
    <w:p>
      <w:pPr>
        <w:pStyle w:val="20"/>
        <w:numPr>
          <w:ilvl w:val="1"/>
          <w:numId w:val="14"/>
        </w:numPr>
        <w:tabs>
          <w:tab w:val="left" w:pos="1088"/>
        </w:tabs>
        <w:spacing w:before="163" w:after="0" w:line="240" w:lineRule="auto"/>
        <w:ind w:left="1087" w:right="0" w:hanging="426"/>
        <w:jc w:val="both"/>
        <w:rPr>
          <w:sz w:val="24"/>
          <w:highlight w:val="none"/>
        </w:rPr>
      </w:pPr>
      <w:r>
        <w:rPr>
          <w:sz w:val="24"/>
          <w:highlight w:val="none"/>
        </w:rPr>
        <w:t>审查程序</w:t>
      </w:r>
    </w:p>
    <w:p>
      <w:pPr>
        <w:pStyle w:val="20"/>
        <w:numPr>
          <w:ilvl w:val="2"/>
          <w:numId w:val="14"/>
        </w:numPr>
        <w:tabs>
          <w:tab w:val="left" w:pos="1800"/>
        </w:tabs>
        <w:spacing w:before="158" w:after="0" w:line="367" w:lineRule="auto"/>
        <w:ind w:left="659" w:right="1271" w:firstLine="480"/>
        <w:jc w:val="both"/>
        <w:rPr>
          <w:sz w:val="24"/>
          <w:highlight w:val="none"/>
        </w:rPr>
      </w:pPr>
      <w:r>
        <w:rPr>
          <w:spacing w:val="-3"/>
          <w:sz w:val="24"/>
          <w:highlight w:val="none"/>
        </w:rPr>
        <w:t>资格审查人员对投标人所提交的投标文件进行资格审查。只有对招标</w:t>
      </w:r>
      <w:r>
        <w:rPr>
          <w:spacing w:val="-4"/>
          <w:sz w:val="24"/>
          <w:highlight w:val="none"/>
        </w:rPr>
        <w:t>文件所列各项资格性审查条款做出实质性响应的投标文件才能通过审查。资格审</w:t>
      </w:r>
      <w:r>
        <w:rPr>
          <w:spacing w:val="-1"/>
          <w:sz w:val="24"/>
          <w:highlight w:val="none"/>
        </w:rPr>
        <w:t>查的内容只要有一条不满足，则投标文件无效。</w:t>
      </w:r>
    </w:p>
    <w:p>
      <w:pPr>
        <w:pStyle w:val="20"/>
        <w:numPr>
          <w:ilvl w:val="2"/>
          <w:numId w:val="14"/>
        </w:numPr>
        <w:tabs>
          <w:tab w:val="left" w:pos="1800"/>
        </w:tabs>
        <w:spacing w:before="57" w:after="0" w:line="374" w:lineRule="auto"/>
        <w:ind w:left="659" w:right="1274" w:firstLine="480"/>
        <w:jc w:val="both"/>
        <w:rPr>
          <w:sz w:val="24"/>
          <w:highlight w:val="none"/>
        </w:rPr>
      </w:pPr>
      <w:r>
        <w:rPr>
          <w:spacing w:val="-6"/>
          <w:sz w:val="24"/>
          <w:highlight w:val="none"/>
        </w:rPr>
        <w:t>投标人需在《资格性审查响应表》中指出评审点的评判依据，即投标文件中哪些起止页码范围响应了对应的评审点。由于投标人未响应此表，或未正</w:t>
      </w:r>
      <w:r>
        <w:rPr>
          <w:spacing w:val="-7"/>
          <w:sz w:val="24"/>
          <w:highlight w:val="none"/>
        </w:rPr>
        <w:t>确地响应评审点的起止页码，导致审查人员无法加以正确审查的，投标人需独自</w:t>
      </w:r>
      <w:r>
        <w:rPr>
          <w:sz w:val="24"/>
          <w:highlight w:val="none"/>
        </w:rPr>
        <w:t>承担可能产生的各种不利结果。</w:t>
      </w:r>
    </w:p>
    <w:p>
      <w:pPr>
        <w:pStyle w:val="20"/>
        <w:numPr>
          <w:ilvl w:val="2"/>
          <w:numId w:val="14"/>
        </w:numPr>
        <w:tabs>
          <w:tab w:val="left" w:pos="1800"/>
        </w:tabs>
        <w:spacing w:before="0" w:after="0" w:line="244" w:lineRule="exact"/>
        <w:ind w:left="1800" w:right="0" w:hanging="661"/>
        <w:jc w:val="both"/>
        <w:rPr>
          <w:sz w:val="24"/>
          <w:highlight w:val="none"/>
        </w:rPr>
      </w:pPr>
      <w:r>
        <w:rPr>
          <w:spacing w:val="-3"/>
          <w:sz w:val="24"/>
          <w:highlight w:val="none"/>
        </w:rPr>
        <w:t>审查人员根据招标文件中要求的“申请人的资格要求”对投标人进行</w:t>
      </w:r>
    </w:p>
    <w:p>
      <w:pPr>
        <w:pStyle w:val="5"/>
        <w:spacing w:before="161" w:line="364" w:lineRule="auto"/>
        <w:ind w:left="659" w:right="1269"/>
        <w:jc w:val="both"/>
        <w:rPr>
          <w:highlight w:val="none"/>
        </w:rPr>
      </w:pPr>
      <w:r>
        <w:rPr>
          <w:spacing w:val="-11"/>
          <w:highlight w:val="none"/>
        </w:rPr>
        <w:t>资格审查，只有对“申请人的资格要求”所列各项所要求提供的证明材料做出有</w:t>
      </w:r>
      <w:r>
        <w:rPr>
          <w:highlight w:val="none"/>
        </w:rPr>
        <w:t>效响应的投标文件才能通过审查。对是否有效响应招标文件的要求有争议的投</w:t>
      </w:r>
      <w:r>
        <w:rPr>
          <w:spacing w:val="-10"/>
          <w:highlight w:val="none"/>
        </w:rPr>
        <w:t>标，资格审查人员将以记名方式表决，得票超过半数的投标人有资格进入下一阶段的评审，否则将被淘汰。</w:t>
      </w:r>
    </w:p>
    <w:p>
      <w:pPr>
        <w:pStyle w:val="20"/>
        <w:numPr>
          <w:ilvl w:val="2"/>
          <w:numId w:val="14"/>
        </w:numPr>
        <w:tabs>
          <w:tab w:val="left" w:pos="1800"/>
        </w:tabs>
        <w:spacing w:before="2" w:after="0" w:line="240" w:lineRule="auto"/>
        <w:ind w:left="1800" w:right="0" w:hanging="661"/>
        <w:jc w:val="both"/>
        <w:rPr>
          <w:sz w:val="24"/>
          <w:highlight w:val="none"/>
        </w:rPr>
      </w:pPr>
      <w:r>
        <w:rPr>
          <w:sz w:val="24"/>
          <w:highlight w:val="none"/>
        </w:rPr>
        <w:t>通过资格审查的投标人不足三家的，按废标处理。</w:t>
      </w:r>
    </w:p>
    <w:p>
      <w:pPr>
        <w:pStyle w:val="20"/>
        <w:numPr>
          <w:ilvl w:val="2"/>
          <w:numId w:val="14"/>
        </w:numPr>
        <w:tabs>
          <w:tab w:val="left" w:pos="1800"/>
        </w:tabs>
        <w:spacing w:before="161" w:after="0" w:line="364" w:lineRule="auto"/>
        <w:ind w:left="659" w:right="1271" w:firstLine="480"/>
        <w:jc w:val="both"/>
        <w:rPr>
          <w:sz w:val="24"/>
          <w:highlight w:val="none"/>
        </w:rPr>
      </w:pPr>
      <w:r>
        <w:rPr>
          <w:spacing w:val="-3"/>
          <w:sz w:val="24"/>
          <w:highlight w:val="none"/>
        </w:rPr>
        <w:t>提供相同品牌产品的不同投标人参加同一合同项下投标的，按一家投</w:t>
      </w:r>
      <w:r>
        <w:rPr>
          <w:spacing w:val="-9"/>
          <w:sz w:val="24"/>
          <w:highlight w:val="none"/>
        </w:rPr>
        <w:t>标人计算。非单一产品采购项目，多家投标人提供的核心产品品牌相同的，按一家投标人计算。核心产品详见“采购需求”。</w:t>
      </w:r>
    </w:p>
    <w:p>
      <w:pPr>
        <w:pStyle w:val="10"/>
        <w:spacing w:before="57"/>
        <w:ind w:left="662"/>
        <w:jc w:val="both"/>
        <w:rPr>
          <w:highlight w:val="none"/>
        </w:rPr>
      </w:pPr>
      <w:r>
        <w:rPr>
          <w:highlight w:val="none"/>
        </w:rPr>
        <w:t>七、评 标</w:t>
      </w:r>
    </w:p>
    <w:p>
      <w:pPr>
        <w:pStyle w:val="20"/>
        <w:numPr>
          <w:ilvl w:val="1"/>
          <w:numId w:val="15"/>
        </w:numPr>
        <w:tabs>
          <w:tab w:val="left" w:pos="1088"/>
        </w:tabs>
        <w:spacing w:before="212" w:after="0" w:line="240" w:lineRule="auto"/>
        <w:ind w:left="1087" w:right="0" w:hanging="426"/>
        <w:jc w:val="both"/>
        <w:rPr>
          <w:sz w:val="24"/>
          <w:highlight w:val="none"/>
        </w:rPr>
      </w:pPr>
      <w:r>
        <w:rPr>
          <w:sz w:val="24"/>
          <w:highlight w:val="none"/>
        </w:rPr>
        <w:t>评标委员会</w:t>
      </w:r>
    </w:p>
    <w:p>
      <w:pPr>
        <w:spacing w:after="0" w:line="240" w:lineRule="auto"/>
        <w:jc w:val="both"/>
        <w:rPr>
          <w:sz w:val="24"/>
          <w:highlight w:val="none"/>
        </w:rPr>
        <w:sectPr>
          <w:pgSz w:w="11900" w:h="16840"/>
          <w:pgMar w:top="1500" w:right="520" w:bottom="1380" w:left="1140" w:header="0" w:footer="1119" w:gutter="0"/>
          <w:pgNumType w:fmt="decimal"/>
          <w:cols w:space="720" w:num="1"/>
        </w:sectPr>
      </w:pPr>
    </w:p>
    <w:p>
      <w:pPr>
        <w:pStyle w:val="5"/>
        <w:spacing w:before="44" w:line="374" w:lineRule="auto"/>
        <w:ind w:left="660" w:right="1178" w:firstLine="480"/>
        <w:rPr>
          <w:highlight w:val="none"/>
        </w:rPr>
      </w:pPr>
      <w:r>
        <w:rPr>
          <w:spacing w:val="-5"/>
          <w:highlight w:val="none"/>
        </w:rPr>
        <w:t>评标委员会由采购单位代表</w:t>
      </w:r>
      <w:r>
        <w:rPr>
          <w:color w:val="auto"/>
          <w:spacing w:val="-5"/>
          <w:highlight w:val="none"/>
        </w:rPr>
        <w:t xml:space="preserve"> </w:t>
      </w:r>
      <w:r>
        <w:rPr>
          <w:color w:val="auto"/>
          <w:highlight w:val="none"/>
        </w:rPr>
        <w:t>1</w:t>
      </w:r>
      <w:r>
        <w:rPr>
          <w:color w:val="auto"/>
          <w:spacing w:val="-17"/>
          <w:highlight w:val="none"/>
        </w:rPr>
        <w:t xml:space="preserve"> 名和评审专家 </w:t>
      </w:r>
      <w:r>
        <w:rPr>
          <w:color w:val="auto"/>
          <w:highlight w:val="none"/>
        </w:rPr>
        <w:t>4</w:t>
      </w:r>
      <w:r>
        <w:rPr>
          <w:color w:val="auto"/>
          <w:spacing w:val="-31"/>
          <w:highlight w:val="none"/>
        </w:rPr>
        <w:t xml:space="preserve"> 名共 </w:t>
      </w:r>
      <w:r>
        <w:rPr>
          <w:color w:val="auto"/>
          <w:highlight w:val="none"/>
        </w:rPr>
        <w:t>5</w:t>
      </w:r>
      <w:r>
        <w:rPr>
          <w:color w:val="auto"/>
          <w:spacing w:val="-9"/>
          <w:highlight w:val="none"/>
        </w:rPr>
        <w:t xml:space="preserve"> 人组成</w:t>
      </w:r>
      <w:r>
        <w:rPr>
          <w:spacing w:val="-9"/>
          <w:highlight w:val="none"/>
        </w:rPr>
        <w:t>，其中，技术、</w:t>
      </w:r>
      <w:r>
        <w:rPr>
          <w:spacing w:val="2"/>
          <w:highlight w:val="none"/>
        </w:rPr>
        <w:t xml:space="preserve">经济等方面的专家人数不得少于成员总数的 </w:t>
      </w:r>
      <w:r>
        <w:rPr>
          <w:highlight w:val="none"/>
        </w:rPr>
        <w:t>2/3</w:t>
      </w:r>
      <w:r>
        <w:rPr>
          <w:spacing w:val="2"/>
          <w:highlight w:val="none"/>
        </w:rPr>
        <w:t>。评标委员会负责具体评标事务，根据有关法律法规和招标文件规定独立履行评标委员会职责。</w:t>
      </w:r>
    </w:p>
    <w:p>
      <w:pPr>
        <w:pStyle w:val="20"/>
        <w:numPr>
          <w:ilvl w:val="1"/>
          <w:numId w:val="15"/>
        </w:numPr>
        <w:tabs>
          <w:tab w:val="left" w:pos="1088"/>
        </w:tabs>
        <w:spacing w:before="3" w:after="0" w:line="240" w:lineRule="auto"/>
        <w:ind w:left="1087" w:right="0" w:hanging="426"/>
        <w:jc w:val="left"/>
        <w:rPr>
          <w:sz w:val="24"/>
          <w:highlight w:val="none"/>
        </w:rPr>
      </w:pPr>
      <w:r>
        <w:rPr>
          <w:sz w:val="24"/>
          <w:highlight w:val="none"/>
        </w:rPr>
        <w:t>原则和方法</w:t>
      </w:r>
    </w:p>
    <w:p>
      <w:pPr>
        <w:pStyle w:val="20"/>
        <w:numPr>
          <w:ilvl w:val="2"/>
          <w:numId w:val="15"/>
        </w:numPr>
        <w:tabs>
          <w:tab w:val="left" w:pos="1800"/>
        </w:tabs>
        <w:spacing w:before="105" w:after="0" w:line="240" w:lineRule="auto"/>
        <w:ind w:left="1800" w:right="0" w:hanging="720"/>
        <w:jc w:val="left"/>
        <w:rPr>
          <w:sz w:val="24"/>
          <w:highlight w:val="none"/>
        </w:rPr>
      </w:pPr>
      <w:r>
        <w:rPr>
          <w:sz w:val="24"/>
          <w:highlight w:val="none"/>
        </w:rPr>
        <w:t>评标活动应遵循客观、公正、审慎的原则。</w:t>
      </w:r>
    </w:p>
    <w:p>
      <w:pPr>
        <w:pStyle w:val="20"/>
        <w:numPr>
          <w:ilvl w:val="2"/>
          <w:numId w:val="15"/>
        </w:numPr>
        <w:tabs>
          <w:tab w:val="left" w:pos="1800"/>
        </w:tabs>
        <w:spacing w:before="161" w:after="0" w:line="240" w:lineRule="auto"/>
        <w:ind w:left="1800" w:right="0" w:hanging="720"/>
        <w:jc w:val="left"/>
        <w:rPr>
          <w:sz w:val="24"/>
          <w:highlight w:val="none"/>
        </w:rPr>
      </w:pPr>
      <w:r>
        <w:rPr>
          <w:sz w:val="24"/>
          <w:highlight w:val="none"/>
        </w:rPr>
        <w:t>评标委员会将按本招标文件中规定的评标方法进行评标。</w:t>
      </w:r>
    </w:p>
    <w:p>
      <w:pPr>
        <w:pStyle w:val="20"/>
        <w:numPr>
          <w:ilvl w:val="2"/>
          <w:numId w:val="15"/>
        </w:numPr>
        <w:tabs>
          <w:tab w:val="left" w:pos="1800"/>
        </w:tabs>
        <w:spacing w:before="160" w:after="0" w:line="240" w:lineRule="auto"/>
        <w:ind w:left="1800" w:right="0" w:hanging="720"/>
        <w:jc w:val="left"/>
        <w:rPr>
          <w:sz w:val="24"/>
          <w:highlight w:val="none"/>
        </w:rPr>
      </w:pPr>
      <w:r>
        <w:rPr>
          <w:sz w:val="24"/>
          <w:highlight w:val="none"/>
        </w:rPr>
        <w:t>评标委员会各成员应当独立对每个投标人的投标文件进行评价。</w:t>
      </w:r>
    </w:p>
    <w:p>
      <w:pPr>
        <w:pStyle w:val="20"/>
        <w:numPr>
          <w:ilvl w:val="2"/>
          <w:numId w:val="15"/>
        </w:numPr>
        <w:tabs>
          <w:tab w:val="left" w:pos="1740"/>
        </w:tabs>
        <w:spacing w:before="161" w:after="0" w:line="364" w:lineRule="auto"/>
        <w:ind w:left="660" w:right="1298" w:firstLine="420"/>
        <w:jc w:val="left"/>
        <w:rPr>
          <w:sz w:val="24"/>
          <w:highlight w:val="none"/>
        </w:rPr>
      </w:pPr>
      <w:r>
        <w:rPr>
          <w:sz w:val="24"/>
          <w:highlight w:val="none"/>
        </w:rPr>
        <w:t>评审过程分为符合性审查、澄清说明补正（如需）</w:t>
      </w:r>
      <w:r>
        <w:rPr>
          <w:spacing w:val="-2"/>
          <w:sz w:val="24"/>
          <w:highlight w:val="none"/>
        </w:rPr>
        <w:t>、综合评审、推荐</w:t>
      </w:r>
      <w:r>
        <w:rPr>
          <w:sz w:val="24"/>
          <w:highlight w:val="none"/>
        </w:rPr>
        <w:t>中标候选人。</w:t>
      </w:r>
    </w:p>
    <w:p>
      <w:pPr>
        <w:pStyle w:val="20"/>
        <w:numPr>
          <w:ilvl w:val="2"/>
          <w:numId w:val="15"/>
        </w:numPr>
        <w:tabs>
          <w:tab w:val="left" w:pos="1800"/>
        </w:tabs>
        <w:spacing w:before="1" w:after="0" w:line="240" w:lineRule="auto"/>
        <w:ind w:left="1800" w:right="0" w:hanging="720"/>
        <w:jc w:val="left"/>
        <w:rPr>
          <w:sz w:val="24"/>
          <w:highlight w:val="none"/>
        </w:rPr>
      </w:pPr>
      <w:r>
        <w:rPr>
          <w:sz w:val="24"/>
          <w:highlight w:val="none"/>
        </w:rPr>
        <w:t>评标过程中的一些约定事项：</w:t>
      </w:r>
    </w:p>
    <w:p>
      <w:pPr>
        <w:pStyle w:val="20"/>
        <w:numPr>
          <w:ilvl w:val="0"/>
          <w:numId w:val="16"/>
        </w:numPr>
        <w:tabs>
          <w:tab w:val="left" w:pos="1681"/>
        </w:tabs>
        <w:spacing w:before="160" w:after="0" w:line="240" w:lineRule="auto"/>
        <w:ind w:left="1680" w:right="0" w:hanging="601"/>
        <w:jc w:val="left"/>
        <w:rPr>
          <w:sz w:val="24"/>
          <w:highlight w:val="none"/>
        </w:rPr>
      </w:pPr>
      <w:r>
        <w:rPr>
          <w:sz w:val="24"/>
          <w:highlight w:val="none"/>
        </w:rPr>
        <w:t>计算百分数时，保留百分数小数点后两位有效数字。</w:t>
      </w:r>
    </w:p>
    <w:p>
      <w:pPr>
        <w:pStyle w:val="20"/>
        <w:numPr>
          <w:ilvl w:val="0"/>
          <w:numId w:val="16"/>
        </w:numPr>
        <w:tabs>
          <w:tab w:val="left" w:pos="1681"/>
        </w:tabs>
        <w:spacing w:before="161" w:after="0" w:line="240" w:lineRule="auto"/>
        <w:ind w:left="1680" w:right="0" w:hanging="601"/>
        <w:jc w:val="left"/>
        <w:rPr>
          <w:sz w:val="24"/>
          <w:highlight w:val="none"/>
        </w:rPr>
      </w:pPr>
      <w:r>
        <w:rPr>
          <w:sz w:val="24"/>
          <w:highlight w:val="none"/>
        </w:rPr>
        <w:t>计算最终得分时，保留小数点后</w:t>
      </w:r>
      <w:r>
        <w:rPr>
          <w:rFonts w:hint="eastAsia"/>
          <w:sz w:val="24"/>
          <w:highlight w:val="none"/>
          <w:lang w:val="en-US" w:eastAsia="zh-CN"/>
        </w:rPr>
        <w:t>两</w:t>
      </w:r>
      <w:r>
        <w:rPr>
          <w:sz w:val="24"/>
          <w:highlight w:val="none"/>
        </w:rPr>
        <w:t>位有效数字。</w:t>
      </w:r>
    </w:p>
    <w:p>
      <w:pPr>
        <w:pStyle w:val="20"/>
        <w:numPr>
          <w:ilvl w:val="0"/>
          <w:numId w:val="16"/>
        </w:numPr>
        <w:tabs>
          <w:tab w:val="left" w:pos="1681"/>
        </w:tabs>
        <w:spacing w:before="160" w:after="0" w:line="240" w:lineRule="auto"/>
        <w:ind w:left="1680" w:right="0" w:hanging="601"/>
        <w:jc w:val="left"/>
        <w:rPr>
          <w:sz w:val="24"/>
          <w:highlight w:val="none"/>
        </w:rPr>
      </w:pPr>
      <w:r>
        <w:rPr>
          <w:sz w:val="24"/>
          <w:highlight w:val="none"/>
        </w:rPr>
        <w:t>所有专家评分的算术平均值加上价格得分为投标单位的最终得分。</w:t>
      </w:r>
    </w:p>
    <w:p>
      <w:pPr>
        <w:pStyle w:val="20"/>
        <w:numPr>
          <w:ilvl w:val="0"/>
          <w:numId w:val="16"/>
        </w:numPr>
        <w:tabs>
          <w:tab w:val="left" w:pos="1681"/>
        </w:tabs>
        <w:spacing w:before="161" w:after="0" w:line="240" w:lineRule="auto"/>
        <w:ind w:left="1680" w:right="0" w:hanging="601"/>
        <w:jc w:val="left"/>
        <w:rPr>
          <w:sz w:val="24"/>
          <w:highlight w:val="none"/>
        </w:rPr>
      </w:pPr>
      <w:r>
        <w:rPr>
          <w:sz w:val="24"/>
          <w:highlight w:val="none"/>
        </w:rPr>
        <w:t>评标中如有未考虑到的问题，由评标委员会集体研究处理。</w:t>
      </w:r>
    </w:p>
    <w:p>
      <w:pPr>
        <w:pStyle w:val="20"/>
        <w:numPr>
          <w:ilvl w:val="1"/>
          <w:numId w:val="15"/>
        </w:numPr>
        <w:tabs>
          <w:tab w:val="left" w:pos="1088"/>
        </w:tabs>
        <w:spacing w:before="163" w:after="0" w:line="240" w:lineRule="auto"/>
        <w:ind w:left="1087" w:right="0" w:hanging="426"/>
        <w:jc w:val="both"/>
        <w:rPr>
          <w:sz w:val="24"/>
          <w:highlight w:val="none"/>
        </w:rPr>
      </w:pPr>
      <w:r>
        <w:rPr>
          <w:sz w:val="24"/>
          <w:highlight w:val="none"/>
        </w:rPr>
        <w:t>符合性审查</w:t>
      </w:r>
    </w:p>
    <w:p>
      <w:pPr>
        <w:pStyle w:val="20"/>
        <w:numPr>
          <w:ilvl w:val="2"/>
          <w:numId w:val="15"/>
        </w:numPr>
        <w:tabs>
          <w:tab w:val="left" w:pos="1800"/>
        </w:tabs>
        <w:spacing w:before="158" w:after="0" w:line="367" w:lineRule="auto"/>
        <w:ind w:left="660" w:right="1266" w:firstLine="420"/>
        <w:jc w:val="both"/>
        <w:rPr>
          <w:sz w:val="24"/>
          <w:highlight w:val="none"/>
        </w:rPr>
      </w:pPr>
      <w:r>
        <w:rPr>
          <w:spacing w:val="-2"/>
          <w:sz w:val="24"/>
          <w:highlight w:val="none"/>
        </w:rPr>
        <w:t>评标委员会将依据符合性审查条款规定的评审标准，对投标人所提交</w:t>
      </w:r>
      <w:r>
        <w:rPr>
          <w:spacing w:val="-9"/>
          <w:sz w:val="24"/>
          <w:highlight w:val="none"/>
        </w:rPr>
        <w:t>的投标文件进行符合性审查。符合性审查的内容只要有一条不满足，则投标文件</w:t>
      </w:r>
      <w:r>
        <w:rPr>
          <w:sz w:val="24"/>
          <w:highlight w:val="none"/>
        </w:rPr>
        <w:t>无效。</w:t>
      </w:r>
    </w:p>
    <w:p>
      <w:pPr>
        <w:pStyle w:val="20"/>
        <w:numPr>
          <w:ilvl w:val="2"/>
          <w:numId w:val="15"/>
        </w:numPr>
        <w:tabs>
          <w:tab w:val="left" w:pos="1800"/>
        </w:tabs>
        <w:spacing w:before="57" w:after="0" w:line="374" w:lineRule="auto"/>
        <w:ind w:left="660" w:right="1274" w:firstLine="480"/>
        <w:jc w:val="both"/>
        <w:rPr>
          <w:sz w:val="24"/>
          <w:highlight w:val="none"/>
        </w:rPr>
      </w:pPr>
      <w:r>
        <w:rPr>
          <w:spacing w:val="-6"/>
          <w:sz w:val="24"/>
          <w:highlight w:val="none"/>
        </w:rPr>
        <w:t>投标人需在《符合性审查响应表》中指出评审点的评判依据，即投标文件中哪些起止页码范围响应了对应的评审点。由于投标人未响应此表，或未正</w:t>
      </w:r>
      <w:r>
        <w:rPr>
          <w:spacing w:val="-7"/>
          <w:sz w:val="24"/>
          <w:highlight w:val="none"/>
        </w:rPr>
        <w:t>确地响应评审点的起止页码，导致评标委员会无法加以正确评判的，投标人需独</w:t>
      </w:r>
      <w:r>
        <w:rPr>
          <w:sz w:val="24"/>
          <w:highlight w:val="none"/>
        </w:rPr>
        <w:t>自承担可能产生的各种不利结果。</w:t>
      </w:r>
    </w:p>
    <w:p>
      <w:pPr>
        <w:pStyle w:val="20"/>
        <w:numPr>
          <w:ilvl w:val="2"/>
          <w:numId w:val="15"/>
        </w:numPr>
        <w:tabs>
          <w:tab w:val="left" w:pos="1865"/>
        </w:tabs>
        <w:spacing w:before="2" w:after="0" w:line="374" w:lineRule="auto"/>
        <w:ind w:left="660" w:right="1154" w:firstLine="480"/>
        <w:jc w:val="both"/>
        <w:rPr>
          <w:sz w:val="24"/>
          <w:highlight w:val="none"/>
        </w:rPr>
      </w:pPr>
      <w:r>
        <w:rPr>
          <w:spacing w:val="3"/>
          <w:sz w:val="24"/>
          <w:highlight w:val="none"/>
        </w:rPr>
        <w:t>评标委员会根据招标文件中符合性审查条款对投标人的符合性进行</w:t>
      </w:r>
      <w:r>
        <w:rPr>
          <w:spacing w:val="-10"/>
          <w:sz w:val="24"/>
          <w:highlight w:val="none"/>
        </w:rPr>
        <w:t>审查，只有对招标文件所列各项符合性审查条款做出实质性响应的投标文件才能</w:t>
      </w:r>
      <w:r>
        <w:rPr>
          <w:spacing w:val="-12"/>
          <w:sz w:val="24"/>
          <w:highlight w:val="none"/>
        </w:rPr>
        <w:t>通过审查。对是否实质性响应招标文件的要求有争议的投标，评标委员会将以记</w:t>
      </w:r>
      <w:r>
        <w:rPr>
          <w:spacing w:val="-18"/>
          <w:sz w:val="24"/>
          <w:highlight w:val="none"/>
        </w:rPr>
        <w:t>名方式表决，得票超过半数的投标人有资格进入下一阶段的评审，否则将被淘汰。</w:t>
      </w:r>
    </w:p>
    <w:p>
      <w:pPr>
        <w:pStyle w:val="20"/>
        <w:numPr>
          <w:ilvl w:val="2"/>
          <w:numId w:val="15"/>
        </w:numPr>
        <w:tabs>
          <w:tab w:val="left" w:pos="1767"/>
        </w:tabs>
        <w:spacing w:before="1" w:after="0" w:line="374" w:lineRule="auto"/>
        <w:ind w:left="660" w:right="1271" w:firstLine="420"/>
        <w:jc w:val="both"/>
        <w:rPr>
          <w:sz w:val="24"/>
          <w:highlight w:val="none"/>
        </w:rPr>
      </w:pPr>
      <w:r>
        <w:rPr>
          <w:spacing w:val="-1"/>
          <w:sz w:val="24"/>
          <w:highlight w:val="none"/>
        </w:rPr>
        <w:t>通过符合性审查的投标人不足三家的，按废标处理。投标人数量计算</w:t>
      </w:r>
      <w:r>
        <w:rPr>
          <w:spacing w:val="-30"/>
          <w:sz w:val="24"/>
          <w:highlight w:val="none"/>
        </w:rPr>
        <w:t xml:space="preserve">见 </w:t>
      </w:r>
      <w:r>
        <w:rPr>
          <w:sz w:val="24"/>
          <w:highlight w:val="none"/>
        </w:rPr>
        <w:t>6.2.5</w:t>
      </w:r>
      <w:r>
        <w:rPr>
          <w:spacing w:val="-13"/>
          <w:sz w:val="24"/>
          <w:highlight w:val="none"/>
        </w:rPr>
        <w:t xml:space="preserve"> 条规定。</w:t>
      </w:r>
    </w:p>
    <w:p>
      <w:pPr>
        <w:spacing w:after="0" w:line="374" w:lineRule="auto"/>
        <w:jc w:val="both"/>
        <w:rPr>
          <w:sz w:val="24"/>
          <w:highlight w:val="none"/>
        </w:rPr>
        <w:sectPr>
          <w:pgSz w:w="11900" w:h="16840"/>
          <w:pgMar w:top="1540" w:right="520" w:bottom="1380" w:left="1140" w:header="0" w:footer="1119" w:gutter="0"/>
          <w:pgNumType w:fmt="decimal"/>
          <w:cols w:space="720" w:num="1"/>
        </w:sectPr>
      </w:pPr>
    </w:p>
    <w:p>
      <w:pPr>
        <w:pStyle w:val="20"/>
        <w:numPr>
          <w:ilvl w:val="2"/>
          <w:numId w:val="15"/>
        </w:numPr>
        <w:tabs>
          <w:tab w:val="left" w:pos="1800"/>
        </w:tabs>
        <w:spacing w:before="39" w:after="0" w:line="240" w:lineRule="auto"/>
        <w:ind w:left="660" w:right="1271" w:firstLine="480"/>
        <w:jc w:val="left"/>
        <w:rPr>
          <w:spacing w:val="-1"/>
          <w:sz w:val="24"/>
          <w:highlight w:val="none"/>
        </w:rPr>
      </w:pPr>
      <w:r>
        <w:rPr>
          <w:spacing w:val="-5"/>
          <w:sz w:val="24"/>
          <w:highlight w:val="none"/>
        </w:rPr>
        <w:t>在评审过程中，评标委员会发现投标人有下列表现形式之一的，视为</w:t>
      </w:r>
      <w:r>
        <w:rPr>
          <w:spacing w:val="-1"/>
          <w:sz w:val="24"/>
          <w:highlight w:val="none"/>
        </w:rPr>
        <w:t>投标人串通投标，其投标无效，具体表现形式如下：</w:t>
      </w:r>
    </w:p>
    <w:p>
      <w:pPr>
        <w:pStyle w:val="20"/>
        <w:numPr>
          <w:ilvl w:val="2"/>
          <w:numId w:val="15"/>
        </w:numPr>
        <w:tabs>
          <w:tab w:val="left" w:pos="1800"/>
        </w:tabs>
        <w:spacing w:before="39" w:after="0" w:line="240" w:lineRule="auto"/>
        <w:ind w:left="660" w:right="1271" w:firstLine="480"/>
        <w:jc w:val="left"/>
        <w:rPr>
          <w:spacing w:val="-1"/>
          <w:sz w:val="24"/>
          <w:highlight w:val="none"/>
        </w:rPr>
      </w:pPr>
      <w:r>
        <w:rPr>
          <w:spacing w:val="-1"/>
          <w:sz w:val="24"/>
          <w:highlight w:val="none"/>
        </w:rPr>
        <w:t>不同投标人的投标文件由同一单位或者个人编制；</w:t>
      </w:r>
    </w:p>
    <w:p>
      <w:pPr>
        <w:pStyle w:val="20"/>
        <w:numPr>
          <w:ilvl w:val="2"/>
          <w:numId w:val="15"/>
        </w:numPr>
        <w:tabs>
          <w:tab w:val="left" w:pos="1800"/>
        </w:tabs>
        <w:spacing w:before="39" w:after="0" w:line="240" w:lineRule="auto"/>
        <w:ind w:left="660" w:right="1271" w:firstLine="480"/>
        <w:jc w:val="left"/>
        <w:rPr>
          <w:spacing w:val="-1"/>
          <w:sz w:val="24"/>
          <w:highlight w:val="none"/>
        </w:rPr>
      </w:pPr>
      <w:r>
        <w:rPr>
          <w:spacing w:val="-1"/>
          <w:sz w:val="24"/>
          <w:highlight w:val="none"/>
        </w:rPr>
        <w:t>不同投标人委托同一单位或者个人办理投标事宜；</w:t>
      </w:r>
    </w:p>
    <w:p>
      <w:pPr>
        <w:pStyle w:val="20"/>
        <w:numPr>
          <w:ilvl w:val="0"/>
          <w:numId w:val="17"/>
        </w:numPr>
        <w:tabs>
          <w:tab w:val="left" w:pos="1681"/>
        </w:tabs>
        <w:spacing w:before="161" w:after="0" w:line="240" w:lineRule="auto"/>
        <w:ind w:left="1680" w:right="0" w:hanging="601"/>
        <w:jc w:val="left"/>
        <w:rPr>
          <w:sz w:val="24"/>
          <w:highlight w:val="none"/>
        </w:rPr>
      </w:pPr>
      <w:r>
        <w:rPr>
          <w:sz w:val="24"/>
          <w:highlight w:val="none"/>
        </w:rPr>
        <w:t>不同投标人的投标文件载明的项目管理成员或者联系人员为同一人；</w:t>
      </w:r>
    </w:p>
    <w:p>
      <w:pPr>
        <w:pStyle w:val="20"/>
        <w:numPr>
          <w:ilvl w:val="0"/>
          <w:numId w:val="17"/>
        </w:numPr>
        <w:tabs>
          <w:tab w:val="left" w:pos="1681"/>
        </w:tabs>
        <w:spacing w:before="160" w:after="0" w:line="240" w:lineRule="auto"/>
        <w:ind w:left="1680" w:right="0" w:hanging="601"/>
        <w:jc w:val="left"/>
        <w:rPr>
          <w:sz w:val="24"/>
          <w:highlight w:val="none"/>
        </w:rPr>
      </w:pPr>
      <w:r>
        <w:rPr>
          <w:sz w:val="24"/>
          <w:highlight w:val="none"/>
        </w:rPr>
        <w:t>不同投标人的投标文件异常一致或者投标报价呈规律性差异；</w:t>
      </w:r>
    </w:p>
    <w:p>
      <w:pPr>
        <w:pStyle w:val="20"/>
        <w:numPr>
          <w:ilvl w:val="0"/>
          <w:numId w:val="17"/>
        </w:numPr>
        <w:tabs>
          <w:tab w:val="left" w:pos="1681"/>
        </w:tabs>
        <w:spacing w:before="161" w:after="0" w:line="240" w:lineRule="auto"/>
        <w:ind w:left="1680" w:right="0" w:hanging="601"/>
        <w:jc w:val="left"/>
        <w:rPr>
          <w:sz w:val="24"/>
          <w:highlight w:val="none"/>
        </w:rPr>
      </w:pPr>
      <w:r>
        <w:rPr>
          <w:sz w:val="24"/>
          <w:highlight w:val="none"/>
        </w:rPr>
        <w:t>不同投标人的投标文件相互混装；</w:t>
      </w:r>
    </w:p>
    <w:p>
      <w:pPr>
        <w:pStyle w:val="20"/>
        <w:numPr>
          <w:ilvl w:val="0"/>
          <w:numId w:val="17"/>
        </w:numPr>
        <w:tabs>
          <w:tab w:val="left" w:pos="1681"/>
        </w:tabs>
        <w:spacing w:before="160" w:after="0" w:line="240" w:lineRule="auto"/>
        <w:ind w:left="1680" w:right="0" w:hanging="601"/>
        <w:jc w:val="left"/>
        <w:rPr>
          <w:sz w:val="24"/>
          <w:highlight w:val="none"/>
        </w:rPr>
      </w:pPr>
      <w:r>
        <w:rPr>
          <w:sz w:val="24"/>
          <w:highlight w:val="none"/>
        </w:rPr>
        <w:t>不同投标人的投标保证金从同一单位或者个人的账户转出；</w:t>
      </w:r>
    </w:p>
    <w:p>
      <w:pPr>
        <w:pStyle w:val="20"/>
        <w:numPr>
          <w:ilvl w:val="0"/>
          <w:numId w:val="17"/>
        </w:numPr>
        <w:tabs>
          <w:tab w:val="left" w:pos="1681"/>
        </w:tabs>
        <w:spacing w:before="161" w:after="0" w:line="240" w:lineRule="auto"/>
        <w:ind w:left="1680" w:right="0" w:hanging="601"/>
        <w:jc w:val="left"/>
        <w:rPr>
          <w:sz w:val="24"/>
          <w:highlight w:val="none"/>
        </w:rPr>
      </w:pPr>
      <w:r>
        <w:rPr>
          <w:sz w:val="24"/>
          <w:highlight w:val="none"/>
        </w:rPr>
        <w:t>不同投标人的标书硬件特征码一致。</w:t>
      </w:r>
    </w:p>
    <w:p>
      <w:pPr>
        <w:pStyle w:val="5"/>
        <w:spacing w:before="11"/>
        <w:rPr>
          <w:highlight w:val="none"/>
        </w:rPr>
      </w:pPr>
    </w:p>
    <w:p>
      <w:pPr>
        <w:pStyle w:val="20"/>
        <w:numPr>
          <w:ilvl w:val="1"/>
          <w:numId w:val="15"/>
        </w:numPr>
        <w:tabs>
          <w:tab w:val="left" w:pos="1088"/>
        </w:tabs>
        <w:spacing w:before="0" w:after="0" w:line="240" w:lineRule="auto"/>
        <w:ind w:left="1087" w:right="0" w:hanging="426"/>
        <w:jc w:val="both"/>
        <w:rPr>
          <w:sz w:val="24"/>
          <w:highlight w:val="none"/>
        </w:rPr>
      </w:pPr>
      <w:r>
        <w:rPr>
          <w:sz w:val="24"/>
          <w:highlight w:val="none"/>
        </w:rPr>
        <w:t>澄清、说明、补正</w:t>
      </w:r>
    </w:p>
    <w:p>
      <w:pPr>
        <w:pStyle w:val="20"/>
        <w:numPr>
          <w:ilvl w:val="2"/>
          <w:numId w:val="15"/>
        </w:numPr>
        <w:tabs>
          <w:tab w:val="left" w:pos="1800"/>
        </w:tabs>
        <w:spacing w:before="158" w:after="0" w:line="364" w:lineRule="auto"/>
        <w:ind w:left="660" w:right="1271" w:firstLine="420"/>
        <w:jc w:val="both"/>
        <w:rPr>
          <w:sz w:val="24"/>
          <w:highlight w:val="none"/>
        </w:rPr>
      </w:pPr>
      <w:r>
        <w:rPr>
          <w:spacing w:val="-3"/>
          <w:sz w:val="24"/>
          <w:highlight w:val="none"/>
        </w:rPr>
        <w:t>评标委员会对于投标文件中含义不明确、同类问题表述不一致或者有</w:t>
      </w:r>
      <w:r>
        <w:rPr>
          <w:spacing w:val="-7"/>
          <w:sz w:val="24"/>
          <w:highlight w:val="none"/>
        </w:rPr>
        <w:t>明显文字和计算错误的内容或数据，应当以书面形式要求投标人在规定的时限内</w:t>
      </w:r>
      <w:r>
        <w:rPr>
          <w:sz w:val="24"/>
          <w:highlight w:val="none"/>
        </w:rPr>
        <w:t>做出必要的澄清、说明或者补正。</w:t>
      </w:r>
    </w:p>
    <w:p>
      <w:pPr>
        <w:pStyle w:val="20"/>
        <w:numPr>
          <w:ilvl w:val="2"/>
          <w:numId w:val="15"/>
        </w:numPr>
        <w:tabs>
          <w:tab w:val="left" w:pos="1800"/>
        </w:tabs>
        <w:spacing w:before="2" w:after="0" w:line="240" w:lineRule="auto"/>
        <w:ind w:left="1800" w:right="0" w:hanging="720"/>
        <w:jc w:val="both"/>
        <w:rPr>
          <w:sz w:val="24"/>
          <w:highlight w:val="none"/>
        </w:rPr>
      </w:pPr>
      <w:r>
        <w:rPr>
          <w:sz w:val="24"/>
          <w:highlight w:val="none"/>
        </w:rPr>
        <w:t>投标报价有计算上或累加上的算术错误，修正错误的原则如下：</w:t>
      </w:r>
    </w:p>
    <w:p>
      <w:pPr>
        <w:pStyle w:val="20"/>
        <w:numPr>
          <w:ilvl w:val="0"/>
          <w:numId w:val="18"/>
        </w:numPr>
        <w:tabs>
          <w:tab w:val="left" w:pos="1621"/>
        </w:tabs>
        <w:spacing w:before="161" w:after="0" w:line="364" w:lineRule="auto"/>
        <w:ind w:left="660" w:right="1274" w:firstLine="360"/>
        <w:jc w:val="left"/>
        <w:rPr>
          <w:sz w:val="24"/>
          <w:highlight w:val="none"/>
        </w:rPr>
      </w:pPr>
      <w:r>
        <w:rPr>
          <w:spacing w:val="-2"/>
          <w:sz w:val="24"/>
          <w:highlight w:val="none"/>
        </w:rPr>
        <w:t>投标文件中开标一览表内容与投标文件中相应内容不一致的，以开标</w:t>
      </w:r>
      <w:r>
        <w:rPr>
          <w:spacing w:val="-4"/>
          <w:sz w:val="24"/>
          <w:highlight w:val="none"/>
        </w:rPr>
        <w:t>一览表为准；</w:t>
      </w:r>
    </w:p>
    <w:p>
      <w:pPr>
        <w:pStyle w:val="20"/>
        <w:numPr>
          <w:ilvl w:val="0"/>
          <w:numId w:val="18"/>
        </w:numPr>
        <w:tabs>
          <w:tab w:val="left" w:pos="1621"/>
        </w:tabs>
        <w:spacing w:before="1" w:after="0" w:line="240" w:lineRule="auto"/>
        <w:ind w:left="1620" w:right="0" w:hanging="601"/>
        <w:jc w:val="left"/>
        <w:rPr>
          <w:sz w:val="24"/>
          <w:highlight w:val="none"/>
        </w:rPr>
      </w:pPr>
      <w:r>
        <w:rPr>
          <w:sz w:val="24"/>
          <w:highlight w:val="none"/>
        </w:rPr>
        <w:t>大写金额和小写金额不一致的，以大写金额为准；</w:t>
      </w:r>
    </w:p>
    <w:p>
      <w:pPr>
        <w:pStyle w:val="20"/>
        <w:numPr>
          <w:ilvl w:val="0"/>
          <w:numId w:val="18"/>
        </w:numPr>
        <w:tabs>
          <w:tab w:val="left" w:pos="1621"/>
        </w:tabs>
        <w:spacing w:before="160" w:after="0" w:line="364" w:lineRule="auto"/>
        <w:ind w:left="660" w:right="1178" w:firstLine="360"/>
        <w:jc w:val="left"/>
        <w:rPr>
          <w:sz w:val="24"/>
          <w:highlight w:val="none"/>
        </w:rPr>
      </w:pPr>
      <w:r>
        <w:rPr>
          <w:spacing w:val="-1"/>
          <w:sz w:val="24"/>
          <w:highlight w:val="none"/>
        </w:rPr>
        <w:t xml:space="preserve">单价金额小数点或者百分比有明显错位的，以开标一览表的总价为准， </w:t>
      </w:r>
      <w:r>
        <w:rPr>
          <w:sz w:val="24"/>
          <w:highlight w:val="none"/>
        </w:rPr>
        <w:t>并修改单价；</w:t>
      </w:r>
    </w:p>
    <w:p>
      <w:pPr>
        <w:pStyle w:val="20"/>
        <w:numPr>
          <w:ilvl w:val="0"/>
          <w:numId w:val="18"/>
        </w:numPr>
        <w:tabs>
          <w:tab w:val="left" w:pos="1621"/>
        </w:tabs>
        <w:spacing w:before="2" w:after="0" w:line="240" w:lineRule="auto"/>
        <w:ind w:left="1620" w:right="0" w:hanging="601"/>
        <w:jc w:val="left"/>
        <w:rPr>
          <w:sz w:val="24"/>
          <w:highlight w:val="none"/>
        </w:rPr>
      </w:pPr>
      <w:r>
        <w:rPr>
          <w:sz w:val="24"/>
          <w:highlight w:val="none"/>
        </w:rPr>
        <w:t>总价金额与按单价汇总金额不一致的，以单价金额计算结果为准。</w:t>
      </w:r>
    </w:p>
    <w:p>
      <w:pPr>
        <w:pStyle w:val="5"/>
        <w:spacing w:before="160" w:line="364" w:lineRule="auto"/>
        <w:ind w:left="660" w:right="1274" w:firstLine="480"/>
        <w:jc w:val="both"/>
        <w:rPr>
          <w:highlight w:val="none"/>
        </w:rPr>
      </w:pPr>
      <w:r>
        <w:rPr>
          <w:spacing w:val="-7"/>
          <w:highlight w:val="none"/>
        </w:rPr>
        <w:t>同时出现两种以上不一致的，按照前款规定的顺序修正。修正后的报价采用</w:t>
      </w:r>
      <w:r>
        <w:rPr>
          <w:spacing w:val="-12"/>
          <w:highlight w:val="none"/>
        </w:rPr>
        <w:t>书面形式，并加盖公章，或者由法定代表人或其授权的代表签字确认后产生约束</w:t>
      </w:r>
      <w:r>
        <w:rPr>
          <w:highlight w:val="none"/>
        </w:rPr>
        <w:t>力，投标人不确认的，其投标无效。</w:t>
      </w:r>
    </w:p>
    <w:p>
      <w:pPr>
        <w:pStyle w:val="20"/>
        <w:numPr>
          <w:ilvl w:val="2"/>
          <w:numId w:val="15"/>
        </w:numPr>
        <w:tabs>
          <w:tab w:val="left" w:pos="1740"/>
        </w:tabs>
        <w:spacing w:before="2" w:after="0" w:line="364" w:lineRule="auto"/>
        <w:ind w:left="660" w:right="1298" w:firstLine="420"/>
        <w:jc w:val="left"/>
        <w:rPr>
          <w:sz w:val="24"/>
          <w:highlight w:val="none"/>
        </w:rPr>
      </w:pPr>
      <w:r>
        <w:rPr>
          <w:spacing w:val="-1"/>
          <w:sz w:val="24"/>
          <w:highlight w:val="none"/>
        </w:rPr>
        <w:t>投标人的澄清、说明或者补正应当采用书面形式，并加盖公章，或者</w:t>
      </w:r>
      <w:r>
        <w:rPr>
          <w:sz w:val="24"/>
          <w:highlight w:val="none"/>
        </w:rPr>
        <w:t>由法定代表人或者授权的代表签字。</w:t>
      </w:r>
    </w:p>
    <w:p>
      <w:pPr>
        <w:pStyle w:val="20"/>
        <w:numPr>
          <w:ilvl w:val="2"/>
          <w:numId w:val="15"/>
        </w:numPr>
        <w:tabs>
          <w:tab w:val="left" w:pos="1800"/>
        </w:tabs>
        <w:spacing w:before="1" w:after="0" w:line="364" w:lineRule="auto"/>
        <w:ind w:left="660" w:right="1271" w:firstLine="420"/>
        <w:jc w:val="left"/>
        <w:rPr>
          <w:sz w:val="24"/>
          <w:highlight w:val="none"/>
        </w:rPr>
      </w:pPr>
      <w:r>
        <w:rPr>
          <w:spacing w:val="-7"/>
          <w:sz w:val="24"/>
          <w:highlight w:val="none"/>
        </w:rPr>
        <w:t>澄清、说明或补正的内容不得超出投标文件的范围或者改变投标文件</w:t>
      </w:r>
      <w:r>
        <w:rPr>
          <w:sz w:val="24"/>
          <w:highlight w:val="none"/>
        </w:rPr>
        <w:t>的实质性内容。</w:t>
      </w:r>
    </w:p>
    <w:p>
      <w:pPr>
        <w:pStyle w:val="20"/>
        <w:numPr>
          <w:ilvl w:val="2"/>
          <w:numId w:val="15"/>
        </w:numPr>
        <w:tabs>
          <w:tab w:val="left" w:pos="1800"/>
        </w:tabs>
        <w:spacing w:before="1" w:after="0" w:line="364" w:lineRule="auto"/>
        <w:ind w:left="660" w:right="1271" w:firstLine="420"/>
        <w:jc w:val="left"/>
        <w:rPr>
          <w:sz w:val="24"/>
          <w:highlight w:val="none"/>
        </w:rPr>
      </w:pPr>
      <w:r>
        <w:rPr>
          <w:spacing w:val="-21"/>
          <w:sz w:val="24"/>
          <w:highlight w:val="none"/>
        </w:rPr>
        <w:t xml:space="preserve">未按 </w:t>
      </w:r>
      <w:r>
        <w:rPr>
          <w:sz w:val="24"/>
          <w:highlight w:val="none"/>
        </w:rPr>
        <w:t>7.4.4</w:t>
      </w:r>
      <w:r>
        <w:rPr>
          <w:spacing w:val="-12"/>
          <w:sz w:val="24"/>
          <w:highlight w:val="none"/>
        </w:rPr>
        <w:t xml:space="preserve"> 条要求或未在规定时间内进行澄清、说明、补正的，其投</w:t>
      </w:r>
      <w:r>
        <w:rPr>
          <w:sz w:val="24"/>
          <w:highlight w:val="none"/>
        </w:rPr>
        <w:t>标文件按无效处理。</w:t>
      </w:r>
    </w:p>
    <w:p>
      <w:pPr>
        <w:spacing w:after="0" w:line="364" w:lineRule="auto"/>
        <w:jc w:val="left"/>
        <w:rPr>
          <w:sz w:val="24"/>
          <w:highlight w:val="none"/>
        </w:rPr>
        <w:sectPr>
          <w:pgSz w:w="11900" w:h="16840"/>
          <w:pgMar w:top="1480" w:right="520" w:bottom="1380" w:left="1140" w:header="0" w:footer="1119" w:gutter="0"/>
          <w:pgNumType w:fmt="decimal"/>
          <w:cols w:space="720" w:num="1"/>
        </w:sectPr>
      </w:pPr>
    </w:p>
    <w:p>
      <w:pPr>
        <w:pStyle w:val="20"/>
        <w:numPr>
          <w:ilvl w:val="1"/>
          <w:numId w:val="15"/>
        </w:numPr>
        <w:tabs>
          <w:tab w:val="left" w:pos="1208"/>
        </w:tabs>
        <w:spacing w:before="41" w:after="0" w:line="240" w:lineRule="auto"/>
        <w:ind w:left="1207" w:right="0" w:hanging="486"/>
        <w:jc w:val="both"/>
        <w:rPr>
          <w:sz w:val="24"/>
          <w:highlight w:val="none"/>
        </w:rPr>
      </w:pPr>
      <w:r>
        <w:rPr>
          <w:sz w:val="24"/>
          <w:highlight w:val="none"/>
        </w:rPr>
        <w:t>综合评审</w:t>
      </w:r>
    </w:p>
    <w:p>
      <w:pPr>
        <w:pStyle w:val="20"/>
        <w:numPr>
          <w:ilvl w:val="2"/>
          <w:numId w:val="15"/>
        </w:numPr>
        <w:tabs>
          <w:tab w:val="left" w:pos="1740"/>
        </w:tabs>
        <w:spacing w:before="158" w:after="0" w:line="364" w:lineRule="auto"/>
        <w:ind w:left="660" w:right="1274" w:firstLine="420"/>
        <w:jc w:val="both"/>
        <w:rPr>
          <w:sz w:val="24"/>
          <w:highlight w:val="none"/>
        </w:rPr>
      </w:pPr>
      <w:r>
        <w:rPr>
          <w:sz w:val="24"/>
          <w:highlight w:val="none"/>
        </w:rPr>
        <w:t>评标委员会将对投标人递交的投标文件进行综合评审并打分。投标人</w:t>
      </w:r>
      <w:r>
        <w:rPr>
          <w:spacing w:val="-11"/>
          <w:sz w:val="24"/>
          <w:highlight w:val="none"/>
        </w:rPr>
        <w:t>需在《技术、商务评分响应表》中指出评分点的评判依据，即投标文件中哪些起</w:t>
      </w:r>
      <w:r>
        <w:rPr>
          <w:sz w:val="24"/>
          <w:highlight w:val="none"/>
        </w:rPr>
        <w:t>止页码范围响应了对应的评分点。</w:t>
      </w:r>
    </w:p>
    <w:p>
      <w:pPr>
        <w:pStyle w:val="20"/>
        <w:numPr>
          <w:ilvl w:val="2"/>
          <w:numId w:val="15"/>
        </w:numPr>
        <w:tabs>
          <w:tab w:val="left" w:pos="1800"/>
        </w:tabs>
        <w:spacing w:before="2" w:after="0" w:line="364" w:lineRule="auto"/>
        <w:ind w:left="660" w:right="1271" w:firstLine="420"/>
        <w:jc w:val="both"/>
        <w:rPr>
          <w:sz w:val="24"/>
          <w:highlight w:val="none"/>
        </w:rPr>
      </w:pPr>
      <w:r>
        <w:rPr>
          <w:spacing w:val="-4"/>
          <w:sz w:val="24"/>
          <w:highlight w:val="none"/>
        </w:rPr>
        <w:t>由于投标人未响应此表，或未正确地响应评分点的起止页码，导致评</w:t>
      </w:r>
      <w:r>
        <w:rPr>
          <w:sz w:val="24"/>
          <w:highlight w:val="none"/>
        </w:rPr>
        <w:t>标委员会无法加以正确评判的，投标人需独自承担可能产生的各种不利结果。</w:t>
      </w:r>
    </w:p>
    <w:p>
      <w:pPr>
        <w:pStyle w:val="20"/>
        <w:numPr>
          <w:ilvl w:val="2"/>
          <w:numId w:val="15"/>
        </w:numPr>
        <w:tabs>
          <w:tab w:val="left" w:pos="1740"/>
        </w:tabs>
        <w:spacing w:before="1" w:after="0" w:line="364" w:lineRule="auto"/>
        <w:ind w:left="660" w:right="1298" w:firstLine="420"/>
        <w:jc w:val="both"/>
        <w:rPr>
          <w:sz w:val="24"/>
          <w:highlight w:val="none"/>
        </w:rPr>
      </w:pPr>
      <w:r>
        <w:rPr>
          <w:sz w:val="24"/>
          <w:highlight w:val="none"/>
        </w:rPr>
        <w:t>对小型或微型企业投标的扶持（</w:t>
      </w:r>
      <w:r>
        <w:rPr>
          <w:spacing w:val="-1"/>
          <w:sz w:val="24"/>
          <w:highlight w:val="none"/>
        </w:rPr>
        <w:t>监狱企业、残疾人福利性单位视同小</w:t>
      </w:r>
      <w:r>
        <w:rPr>
          <w:sz w:val="24"/>
          <w:highlight w:val="none"/>
        </w:rPr>
        <w:t>型、微型企业）：</w:t>
      </w:r>
    </w:p>
    <w:p>
      <w:pPr>
        <w:pStyle w:val="5"/>
        <w:spacing w:before="2" w:line="364" w:lineRule="auto"/>
        <w:ind w:left="660" w:right="1271" w:firstLine="420"/>
        <w:jc w:val="both"/>
        <w:rPr>
          <w:highlight w:val="none"/>
        </w:rPr>
      </w:pPr>
      <w:r>
        <w:rPr>
          <w:spacing w:val="-4"/>
          <w:highlight w:val="none"/>
        </w:rPr>
        <w:t xml:space="preserve">本项目对小型和微型企业的投标报价给予 </w:t>
      </w:r>
      <w:r>
        <w:rPr>
          <w:highlight w:val="none"/>
        </w:rPr>
        <w:t>6%</w:t>
      </w:r>
      <w:r>
        <w:rPr>
          <w:spacing w:val="-32"/>
          <w:highlight w:val="none"/>
        </w:rPr>
        <w:t>的扣除</w:t>
      </w:r>
      <w:r>
        <w:rPr>
          <w:highlight w:val="none"/>
        </w:rPr>
        <w:t>（</w:t>
      </w:r>
      <w:r>
        <w:rPr>
          <w:spacing w:val="-2"/>
          <w:highlight w:val="none"/>
        </w:rPr>
        <w:t>包括成员全部为小型或</w:t>
      </w:r>
      <w:r>
        <w:rPr>
          <w:highlight w:val="none"/>
        </w:rPr>
        <w:t>微型企业的联合体），用扣除后的价格参与评审。</w:t>
      </w:r>
    </w:p>
    <w:p>
      <w:pPr>
        <w:pStyle w:val="5"/>
        <w:spacing w:before="1" w:line="364" w:lineRule="auto"/>
        <w:ind w:left="660" w:right="1271" w:firstLine="420"/>
        <w:jc w:val="both"/>
        <w:rPr>
          <w:highlight w:val="none"/>
        </w:rPr>
      </w:pPr>
      <w:r>
        <w:rPr>
          <w:spacing w:val="-4"/>
          <w:highlight w:val="none"/>
        </w:rPr>
        <w:t>若投标人为联合体，且联合体协议中约定小型、微型企业的协议合同金额占</w:t>
      </w:r>
      <w:r>
        <w:rPr>
          <w:spacing w:val="-6"/>
          <w:highlight w:val="none"/>
        </w:rPr>
        <w:t xml:space="preserve">到联合体协议合同总金额 </w:t>
      </w:r>
      <w:r>
        <w:rPr>
          <w:highlight w:val="none"/>
        </w:rPr>
        <w:t>30%</w:t>
      </w:r>
      <w:r>
        <w:rPr>
          <w:spacing w:val="-11"/>
          <w:highlight w:val="none"/>
        </w:rPr>
        <w:t xml:space="preserve">以上的，对联合体投标报价给予 </w:t>
      </w:r>
      <w:r>
        <w:rPr>
          <w:highlight w:val="none"/>
        </w:rPr>
        <w:t>2%</w:t>
      </w:r>
      <w:r>
        <w:rPr>
          <w:spacing w:val="-9"/>
          <w:highlight w:val="none"/>
        </w:rPr>
        <w:t>的价格扣除，用</w:t>
      </w:r>
      <w:r>
        <w:rPr>
          <w:highlight w:val="none"/>
        </w:rPr>
        <w:t>扣除后的价格参与评审。</w:t>
      </w:r>
    </w:p>
    <w:p>
      <w:pPr>
        <w:pStyle w:val="5"/>
        <w:spacing w:before="4" w:line="364" w:lineRule="auto"/>
        <w:ind w:left="660" w:right="1271" w:firstLine="420"/>
        <w:jc w:val="both"/>
        <w:rPr>
          <w:highlight w:val="none"/>
        </w:rPr>
      </w:pPr>
      <w:r>
        <w:rPr>
          <w:highlight w:val="none"/>
        </w:rPr>
        <w:t>（注：1</w:t>
      </w:r>
      <w:r>
        <w:rPr>
          <w:spacing w:val="-1"/>
          <w:highlight w:val="none"/>
        </w:rPr>
        <w:t>、中小企业应当按要求在投标文件中提供《中小企业声明函》。小型、微型企业提供中型、大型企业制造的货物的，视同为中型、大型企业。2、监狱企业应当在投标文件中提供由省级以上监狱管理局、戒毒管理局(含新疆生</w:t>
      </w:r>
      <w:r>
        <w:rPr>
          <w:spacing w:val="-4"/>
          <w:highlight w:val="none"/>
        </w:rPr>
        <w:t>产建设兵团)出具的属于监狱企业的证明文件。</w:t>
      </w:r>
      <w:r>
        <w:rPr>
          <w:highlight w:val="none"/>
        </w:rPr>
        <w:t>3</w:t>
      </w:r>
      <w:r>
        <w:rPr>
          <w:spacing w:val="-8"/>
          <w:highlight w:val="none"/>
        </w:rPr>
        <w:t>、残疾人福利性单位应当在投标</w:t>
      </w:r>
      <w:r>
        <w:rPr>
          <w:highlight w:val="none"/>
        </w:rPr>
        <w:t>文件中提供《残疾人福利性单位声明函》。）</w:t>
      </w:r>
    </w:p>
    <w:p>
      <w:pPr>
        <w:pStyle w:val="20"/>
        <w:numPr>
          <w:ilvl w:val="2"/>
          <w:numId w:val="15"/>
        </w:numPr>
        <w:tabs>
          <w:tab w:val="left" w:pos="1740"/>
        </w:tabs>
        <w:spacing w:before="1" w:after="0" w:line="364" w:lineRule="auto"/>
        <w:ind w:left="660" w:right="1274" w:firstLine="420"/>
        <w:jc w:val="both"/>
        <w:rPr>
          <w:sz w:val="24"/>
          <w:highlight w:val="none"/>
        </w:rPr>
      </w:pPr>
      <w:r>
        <w:rPr>
          <w:sz w:val="24"/>
          <w:highlight w:val="none"/>
        </w:rPr>
        <w:t>评标委员会认为投标人的报价明显低于其他通过符合性审查投标人的</w:t>
      </w:r>
      <w:r>
        <w:rPr>
          <w:spacing w:val="-10"/>
          <w:sz w:val="24"/>
          <w:highlight w:val="none"/>
        </w:rPr>
        <w:t>报价，有可能影响产品质量或者不能诚信履约的，应当要求其在评标现场合理的</w:t>
      </w:r>
      <w:r>
        <w:rPr>
          <w:spacing w:val="-8"/>
          <w:sz w:val="24"/>
          <w:highlight w:val="none"/>
        </w:rPr>
        <w:t>时间内提供书面说明，必要时提交相关证明材料；投标人不能证明其报价合理性</w:t>
      </w:r>
      <w:r>
        <w:rPr>
          <w:sz w:val="24"/>
          <w:highlight w:val="none"/>
        </w:rPr>
        <w:t>的，将作为无效投标处理。</w:t>
      </w:r>
    </w:p>
    <w:p>
      <w:pPr>
        <w:pStyle w:val="20"/>
        <w:numPr>
          <w:ilvl w:val="2"/>
          <w:numId w:val="15"/>
        </w:numPr>
        <w:tabs>
          <w:tab w:val="left" w:pos="1740"/>
        </w:tabs>
        <w:spacing w:before="108" w:after="0" w:line="386" w:lineRule="auto"/>
        <w:ind w:left="660" w:right="1271" w:firstLine="360"/>
        <w:jc w:val="both"/>
        <w:rPr>
          <w:sz w:val="24"/>
          <w:highlight w:val="none"/>
        </w:rPr>
      </w:pPr>
      <w:r>
        <w:rPr>
          <w:sz w:val="24"/>
          <w:highlight w:val="none"/>
        </w:rPr>
        <w:t>综合评分法中的价格分统一采用低价优先法计算，即满足招标文件要</w:t>
      </w:r>
      <w:r>
        <w:rPr>
          <w:spacing w:val="-6"/>
          <w:sz w:val="24"/>
          <w:highlight w:val="none"/>
        </w:rPr>
        <w:t>求且投标价格最低的投标报价为评标基准价，其价格分为满分。其他投标人的价</w:t>
      </w:r>
      <w:r>
        <w:rPr>
          <w:sz w:val="24"/>
          <w:highlight w:val="none"/>
        </w:rPr>
        <w:t>格分统一按照下列公式计算：</w:t>
      </w:r>
    </w:p>
    <w:p>
      <w:pPr>
        <w:pStyle w:val="5"/>
        <w:spacing w:line="279" w:lineRule="exact"/>
        <w:ind w:left="1020"/>
        <w:rPr>
          <w:highlight w:val="none"/>
        </w:rPr>
      </w:pPr>
      <w:r>
        <w:rPr>
          <w:highlight w:val="none"/>
        </w:rPr>
        <w:t>投标报价得分=(评标基准价／投标报价)×价格权值×100</w:t>
      </w:r>
    </w:p>
    <w:p>
      <w:pPr>
        <w:pStyle w:val="5"/>
        <w:spacing w:before="169"/>
        <w:ind w:left="662"/>
        <w:rPr>
          <w:highlight w:val="none"/>
        </w:rPr>
      </w:pPr>
      <w:r>
        <w:rPr>
          <w:highlight w:val="none"/>
        </w:rPr>
        <w:t>价格评审：</w:t>
      </w:r>
    </w:p>
    <w:p>
      <w:pPr>
        <w:pStyle w:val="20"/>
        <w:numPr>
          <w:ilvl w:val="2"/>
          <w:numId w:val="15"/>
        </w:numPr>
        <w:tabs>
          <w:tab w:val="left" w:pos="1680"/>
        </w:tabs>
        <w:spacing w:before="173" w:after="0" w:line="240" w:lineRule="auto"/>
        <w:ind w:left="1680" w:right="0" w:hanging="665"/>
        <w:jc w:val="left"/>
        <w:rPr>
          <w:sz w:val="24"/>
          <w:highlight w:val="none"/>
        </w:rPr>
      </w:pPr>
      <w:r>
        <w:rPr>
          <w:sz w:val="24"/>
          <w:highlight w:val="none"/>
        </w:rPr>
        <w:t>评审因素权重分配</w:t>
      </w:r>
    </w:p>
    <w:p>
      <w:pPr>
        <w:spacing w:after="0" w:line="240" w:lineRule="auto"/>
        <w:jc w:val="left"/>
        <w:rPr>
          <w:sz w:val="24"/>
          <w:highlight w:val="none"/>
        </w:rPr>
        <w:sectPr>
          <w:pgSz w:w="11900" w:h="16840"/>
          <w:pgMar w:top="1480" w:right="520" w:bottom="1380" w:left="1140" w:header="0" w:footer="1119" w:gutter="0"/>
          <w:pgNumType w:fmt="decimal"/>
          <w:cols w:space="720" w:num="1"/>
        </w:sectPr>
      </w:pPr>
    </w:p>
    <w:tbl>
      <w:tblPr>
        <w:tblStyle w:val="17"/>
        <w:tblW w:w="0" w:type="auto"/>
        <w:tblInd w:w="109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99"/>
        <w:gridCol w:w="3259"/>
        <w:gridCol w:w="29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9" w:hRule="atLeast"/>
        </w:trPr>
        <w:tc>
          <w:tcPr>
            <w:tcW w:w="1699" w:type="dxa"/>
            <w:shd w:val="clear" w:color="auto" w:fill="D9D9D9"/>
          </w:tcPr>
          <w:p>
            <w:pPr>
              <w:pStyle w:val="21"/>
              <w:spacing w:before="143"/>
              <w:ind w:left="369"/>
              <w:rPr>
                <w:sz w:val="24"/>
                <w:highlight w:val="none"/>
              </w:rPr>
            </w:pPr>
            <w:r>
              <w:rPr>
                <w:sz w:val="24"/>
                <w:highlight w:val="none"/>
              </w:rPr>
              <w:t>评审因素</w:t>
            </w:r>
          </w:p>
        </w:tc>
        <w:tc>
          <w:tcPr>
            <w:tcW w:w="3259" w:type="dxa"/>
            <w:shd w:val="clear" w:color="auto" w:fill="D9D9D9"/>
          </w:tcPr>
          <w:p>
            <w:pPr>
              <w:pStyle w:val="21"/>
              <w:spacing w:before="143"/>
              <w:ind w:left="649" w:right="635"/>
              <w:jc w:val="center"/>
              <w:rPr>
                <w:sz w:val="24"/>
                <w:highlight w:val="none"/>
              </w:rPr>
            </w:pPr>
            <w:r>
              <w:rPr>
                <w:sz w:val="24"/>
                <w:highlight w:val="none"/>
              </w:rPr>
              <w:t>技术、商务等评分</w:t>
            </w:r>
          </w:p>
        </w:tc>
        <w:tc>
          <w:tcPr>
            <w:tcW w:w="2978" w:type="dxa"/>
            <w:tcBorders>
              <w:right w:val="single" w:color="000000" w:sz="4" w:space="0"/>
            </w:tcBorders>
            <w:shd w:val="clear" w:color="auto" w:fill="D9D9D9"/>
          </w:tcPr>
          <w:p>
            <w:pPr>
              <w:pStyle w:val="21"/>
              <w:spacing w:before="143"/>
              <w:ind w:left="987" w:right="977"/>
              <w:jc w:val="center"/>
              <w:rPr>
                <w:sz w:val="24"/>
                <w:highlight w:val="none"/>
              </w:rPr>
            </w:pPr>
            <w:r>
              <w:rPr>
                <w:sz w:val="24"/>
                <w:highlight w:val="none"/>
              </w:rPr>
              <w:t>价格评分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trPr>
        <w:tc>
          <w:tcPr>
            <w:tcW w:w="1699" w:type="dxa"/>
          </w:tcPr>
          <w:p>
            <w:pPr>
              <w:pStyle w:val="21"/>
              <w:tabs>
                <w:tab w:val="left" w:pos="1089"/>
              </w:tabs>
              <w:spacing w:before="146"/>
              <w:ind w:left="369"/>
              <w:rPr>
                <w:sz w:val="24"/>
                <w:highlight w:val="none"/>
              </w:rPr>
            </w:pPr>
            <w:r>
              <w:rPr>
                <w:sz w:val="24"/>
                <w:highlight w:val="none"/>
              </w:rPr>
              <w:t>权</w:t>
            </w:r>
            <w:r>
              <w:rPr>
                <w:sz w:val="24"/>
                <w:highlight w:val="none"/>
              </w:rPr>
              <w:tab/>
            </w:r>
            <w:r>
              <w:rPr>
                <w:sz w:val="24"/>
                <w:highlight w:val="none"/>
              </w:rPr>
              <w:t>重</w:t>
            </w:r>
          </w:p>
        </w:tc>
        <w:tc>
          <w:tcPr>
            <w:tcW w:w="3259" w:type="dxa"/>
          </w:tcPr>
          <w:p>
            <w:pPr>
              <w:pStyle w:val="21"/>
              <w:spacing w:before="146"/>
              <w:ind w:left="649" w:right="635"/>
              <w:jc w:val="center"/>
              <w:rPr>
                <w:sz w:val="24"/>
                <w:highlight w:val="none"/>
              </w:rPr>
            </w:pPr>
            <w:r>
              <w:rPr>
                <w:sz w:val="24"/>
                <w:highlight w:val="none"/>
              </w:rPr>
              <w:t>70%</w:t>
            </w:r>
          </w:p>
        </w:tc>
        <w:tc>
          <w:tcPr>
            <w:tcW w:w="2978" w:type="dxa"/>
            <w:tcBorders>
              <w:right w:val="single" w:color="000000" w:sz="4" w:space="0"/>
            </w:tcBorders>
          </w:tcPr>
          <w:p>
            <w:pPr>
              <w:pStyle w:val="21"/>
              <w:spacing w:before="146"/>
              <w:ind w:left="987" w:right="977"/>
              <w:jc w:val="center"/>
              <w:rPr>
                <w:sz w:val="24"/>
                <w:highlight w:val="none"/>
              </w:rPr>
            </w:pPr>
            <w:r>
              <w:rPr>
                <w:sz w:val="24"/>
                <w:highlight w:val="none"/>
              </w:rPr>
              <w:t>30%</w:t>
            </w:r>
          </w:p>
        </w:tc>
      </w:tr>
    </w:tbl>
    <w:p>
      <w:pPr>
        <w:pStyle w:val="5"/>
        <w:rPr>
          <w:sz w:val="6"/>
          <w:highlight w:val="none"/>
        </w:rPr>
      </w:pPr>
    </w:p>
    <w:p>
      <w:pPr>
        <w:pStyle w:val="20"/>
        <w:numPr>
          <w:ilvl w:val="2"/>
          <w:numId w:val="15"/>
        </w:numPr>
        <w:tabs>
          <w:tab w:val="left" w:pos="1748"/>
        </w:tabs>
        <w:spacing w:before="69" w:after="0" w:line="372" w:lineRule="auto"/>
        <w:ind w:left="660" w:right="1274" w:firstLine="362"/>
        <w:jc w:val="left"/>
        <w:rPr>
          <w:sz w:val="24"/>
          <w:highlight w:val="none"/>
        </w:rPr>
      </w:pPr>
      <w:r>
        <w:rPr>
          <w:sz w:val="24"/>
          <w:highlight w:val="none"/>
        </w:rPr>
        <w:t>评标委员会对投标文件的各项评审因素进行评价、打分，经汇总各评审因素得分（价格评分除外）后取平均值，再与价格评分相加即得综合得分。</w:t>
      </w:r>
    </w:p>
    <w:p>
      <w:pPr>
        <w:pStyle w:val="20"/>
        <w:numPr>
          <w:ilvl w:val="1"/>
          <w:numId w:val="15"/>
        </w:numPr>
        <w:tabs>
          <w:tab w:val="left" w:pos="1208"/>
        </w:tabs>
        <w:spacing w:before="98" w:after="0" w:line="240" w:lineRule="auto"/>
        <w:ind w:left="1207" w:right="0" w:hanging="486"/>
        <w:jc w:val="left"/>
        <w:rPr>
          <w:sz w:val="24"/>
          <w:highlight w:val="none"/>
        </w:rPr>
      </w:pPr>
      <w:r>
        <w:rPr>
          <w:sz w:val="24"/>
          <w:highlight w:val="none"/>
        </w:rPr>
        <w:t>推荐中标候选人</w:t>
      </w:r>
    </w:p>
    <w:p>
      <w:pPr>
        <w:pStyle w:val="20"/>
        <w:numPr>
          <w:ilvl w:val="2"/>
          <w:numId w:val="15"/>
        </w:numPr>
        <w:tabs>
          <w:tab w:val="left" w:pos="1740"/>
        </w:tabs>
        <w:spacing w:before="158" w:after="0" w:line="364" w:lineRule="auto"/>
        <w:ind w:left="660" w:right="1178" w:firstLine="420"/>
        <w:jc w:val="left"/>
        <w:rPr>
          <w:sz w:val="24"/>
          <w:highlight w:val="none"/>
        </w:rPr>
      </w:pPr>
      <w:r>
        <w:rPr>
          <w:sz w:val="24"/>
          <w:highlight w:val="none"/>
        </w:rPr>
        <w:t>评标委员会向采购单位推荐不少于三名中标候选人，依据对各投标文</w:t>
      </w:r>
      <w:r>
        <w:rPr>
          <w:spacing w:val="-8"/>
          <w:sz w:val="24"/>
          <w:highlight w:val="none"/>
        </w:rPr>
        <w:t>件的评审结果，按得分由高到低顺序排列。得分相同的，按投标报价由低到高顺</w:t>
      </w:r>
      <w:r>
        <w:rPr>
          <w:spacing w:val="-9"/>
          <w:sz w:val="24"/>
          <w:highlight w:val="none"/>
        </w:rPr>
        <w:t xml:space="preserve">序排列。得分且投标报价相同的并列。投标文件满足招标文件全部实质性要求， </w:t>
      </w:r>
      <w:r>
        <w:rPr>
          <w:sz w:val="24"/>
          <w:highlight w:val="none"/>
        </w:rPr>
        <w:t>且按照评审因素的量化指标评审得分最高的投标人为排名第一的中标候选人。</w:t>
      </w:r>
    </w:p>
    <w:p>
      <w:pPr>
        <w:pStyle w:val="20"/>
        <w:numPr>
          <w:ilvl w:val="2"/>
          <w:numId w:val="15"/>
        </w:numPr>
        <w:tabs>
          <w:tab w:val="left" w:pos="1740"/>
        </w:tabs>
        <w:spacing w:before="3" w:after="0" w:line="364" w:lineRule="auto"/>
        <w:ind w:left="660" w:right="1274" w:firstLine="420"/>
        <w:jc w:val="both"/>
        <w:rPr>
          <w:sz w:val="24"/>
          <w:highlight w:val="none"/>
        </w:rPr>
      </w:pPr>
      <w:r>
        <w:rPr>
          <w:sz w:val="24"/>
          <w:highlight w:val="none"/>
        </w:rPr>
        <w:t>提供同品牌产品且通过资格审查、符合性审查的不同投标人参加同一</w:t>
      </w:r>
      <w:r>
        <w:rPr>
          <w:spacing w:val="-9"/>
          <w:sz w:val="24"/>
          <w:highlight w:val="none"/>
        </w:rPr>
        <w:t>合同项下投标的，评审后得分最高的同品牌投标人获得中标人推荐资格；评审得</w:t>
      </w:r>
      <w:r>
        <w:rPr>
          <w:sz w:val="24"/>
          <w:highlight w:val="none"/>
        </w:rPr>
        <w:t>分相同的，评标委员会推选投标价低的投标人获得中标人推荐资格。</w:t>
      </w:r>
    </w:p>
    <w:p>
      <w:pPr>
        <w:pStyle w:val="20"/>
        <w:numPr>
          <w:ilvl w:val="1"/>
          <w:numId w:val="15"/>
        </w:numPr>
        <w:tabs>
          <w:tab w:val="left" w:pos="1208"/>
        </w:tabs>
        <w:spacing w:before="160" w:after="0" w:line="240" w:lineRule="auto"/>
        <w:ind w:left="1207" w:right="0" w:hanging="486"/>
        <w:jc w:val="both"/>
        <w:rPr>
          <w:sz w:val="24"/>
          <w:highlight w:val="none"/>
        </w:rPr>
      </w:pPr>
      <w:r>
        <w:rPr>
          <w:sz w:val="24"/>
          <w:highlight w:val="none"/>
        </w:rPr>
        <w:t>中标人的确定</w:t>
      </w:r>
    </w:p>
    <w:p>
      <w:pPr>
        <w:pStyle w:val="20"/>
        <w:numPr>
          <w:ilvl w:val="2"/>
          <w:numId w:val="15"/>
        </w:numPr>
        <w:tabs>
          <w:tab w:val="left" w:pos="1800"/>
        </w:tabs>
        <w:spacing w:before="158" w:after="0" w:line="364" w:lineRule="auto"/>
        <w:ind w:left="660" w:right="1274" w:firstLine="420"/>
        <w:jc w:val="left"/>
        <w:rPr>
          <w:sz w:val="24"/>
          <w:highlight w:val="none"/>
        </w:rPr>
      </w:pPr>
      <w:r>
        <w:rPr>
          <w:sz w:val="24"/>
          <w:highlight w:val="none"/>
        </w:rPr>
        <w:t>采购单位按照评标报告中推荐的中标候选投标人的顺序依法确定中</w:t>
      </w:r>
      <w:r>
        <w:rPr>
          <w:spacing w:val="-12"/>
          <w:sz w:val="24"/>
          <w:highlight w:val="none"/>
        </w:rPr>
        <w:t>标人。中标候选人并列的，由采购人或者采购人委托评标委员会确定投标价低的</w:t>
      </w:r>
      <w:r>
        <w:rPr>
          <w:sz w:val="24"/>
          <w:highlight w:val="none"/>
        </w:rPr>
        <w:t>中标候选人为中标人。</w:t>
      </w:r>
    </w:p>
    <w:p>
      <w:pPr>
        <w:pStyle w:val="20"/>
        <w:numPr>
          <w:ilvl w:val="2"/>
          <w:numId w:val="15"/>
        </w:numPr>
        <w:tabs>
          <w:tab w:val="left" w:pos="1800"/>
        </w:tabs>
        <w:spacing w:before="2" w:after="0" w:line="364" w:lineRule="auto"/>
        <w:ind w:left="660" w:right="1358" w:firstLine="420"/>
        <w:jc w:val="left"/>
        <w:rPr>
          <w:sz w:val="24"/>
          <w:highlight w:val="none"/>
        </w:rPr>
      </w:pPr>
      <w:r>
        <w:rPr>
          <w:spacing w:val="-2"/>
          <w:sz w:val="24"/>
          <w:highlight w:val="none"/>
        </w:rPr>
        <w:t>采购代理机构依据采购单位的确认结果，在“第一章 投标邀请”中</w:t>
      </w:r>
      <w:r>
        <w:rPr>
          <w:sz w:val="24"/>
          <w:highlight w:val="none"/>
        </w:rPr>
        <w:t>规定的信息发布媒体上发布中标公告。</w:t>
      </w:r>
    </w:p>
    <w:p>
      <w:pPr>
        <w:pStyle w:val="20"/>
        <w:numPr>
          <w:ilvl w:val="2"/>
          <w:numId w:val="15"/>
        </w:numPr>
        <w:tabs>
          <w:tab w:val="left" w:pos="1740"/>
        </w:tabs>
        <w:spacing w:before="1" w:after="0" w:line="364" w:lineRule="auto"/>
        <w:ind w:left="660" w:right="1271" w:firstLine="420"/>
        <w:jc w:val="both"/>
        <w:rPr>
          <w:sz w:val="24"/>
          <w:highlight w:val="none"/>
        </w:rPr>
      </w:pPr>
      <w:r>
        <w:rPr>
          <w:sz w:val="24"/>
          <w:highlight w:val="none"/>
        </w:rPr>
        <w:t>对中标结果提出质疑的，若所公告的中标结果确实存在问题的，采购</w:t>
      </w:r>
      <w:r>
        <w:rPr>
          <w:spacing w:val="-5"/>
          <w:sz w:val="24"/>
          <w:highlight w:val="none"/>
        </w:rPr>
        <w:t>单位将按照中标候选人的推荐排序重新公告中标结果，或按相关规定依法重新进</w:t>
      </w:r>
      <w:r>
        <w:rPr>
          <w:sz w:val="24"/>
          <w:highlight w:val="none"/>
        </w:rPr>
        <w:t>行招标，确保公正性。</w:t>
      </w:r>
    </w:p>
    <w:p>
      <w:pPr>
        <w:pStyle w:val="20"/>
        <w:numPr>
          <w:ilvl w:val="2"/>
          <w:numId w:val="15"/>
        </w:numPr>
        <w:tabs>
          <w:tab w:val="left" w:pos="1800"/>
        </w:tabs>
        <w:spacing w:before="2" w:after="0" w:line="364" w:lineRule="auto"/>
        <w:ind w:left="660" w:right="1154" w:firstLine="420"/>
        <w:jc w:val="left"/>
        <w:rPr>
          <w:sz w:val="24"/>
          <w:highlight w:val="none"/>
        </w:rPr>
      </w:pPr>
      <w:r>
        <w:rPr>
          <w:sz w:val="24"/>
          <w:highlight w:val="none"/>
        </w:rPr>
        <w:t xml:space="preserve">如确定的中标人因不可抗力或者自身原因不能履行政府采购合同的， </w:t>
      </w:r>
      <w:r>
        <w:rPr>
          <w:spacing w:val="-8"/>
          <w:sz w:val="24"/>
          <w:highlight w:val="none"/>
        </w:rPr>
        <w:t>采购单位将按中标候选人名单排序，确定下一候选人为中标供应商</w:t>
      </w:r>
      <w:r>
        <w:rPr>
          <w:sz w:val="24"/>
          <w:highlight w:val="none"/>
        </w:rPr>
        <w:t>（以此类推</w:t>
      </w:r>
      <w:r>
        <w:rPr>
          <w:spacing w:val="-43"/>
          <w:sz w:val="24"/>
          <w:highlight w:val="none"/>
        </w:rPr>
        <w:t xml:space="preserve">）， </w:t>
      </w:r>
      <w:r>
        <w:rPr>
          <w:sz w:val="24"/>
          <w:highlight w:val="none"/>
        </w:rPr>
        <w:t>也可以重新开展政府采购活动。</w:t>
      </w:r>
    </w:p>
    <w:p>
      <w:pPr>
        <w:pStyle w:val="5"/>
        <w:rPr>
          <w:sz w:val="17"/>
          <w:highlight w:val="none"/>
        </w:rPr>
      </w:pPr>
    </w:p>
    <w:p>
      <w:pPr>
        <w:pStyle w:val="10"/>
        <w:ind w:left="662"/>
        <w:rPr>
          <w:highlight w:val="none"/>
        </w:rPr>
      </w:pPr>
      <w:r>
        <w:rPr>
          <w:highlight w:val="none"/>
        </w:rPr>
        <w:t>八、合同授予</w:t>
      </w:r>
    </w:p>
    <w:p>
      <w:pPr>
        <w:pStyle w:val="5"/>
        <w:spacing w:before="9"/>
        <w:rPr>
          <w:sz w:val="28"/>
          <w:highlight w:val="none"/>
        </w:rPr>
      </w:pPr>
    </w:p>
    <w:p>
      <w:pPr>
        <w:pStyle w:val="20"/>
        <w:numPr>
          <w:ilvl w:val="1"/>
          <w:numId w:val="19"/>
        </w:numPr>
        <w:tabs>
          <w:tab w:val="left" w:pos="1208"/>
        </w:tabs>
        <w:spacing w:before="0" w:after="0" w:line="240" w:lineRule="auto"/>
        <w:ind w:left="1207" w:right="0" w:hanging="486"/>
        <w:jc w:val="both"/>
        <w:rPr>
          <w:sz w:val="24"/>
          <w:highlight w:val="none"/>
        </w:rPr>
      </w:pPr>
      <w:r>
        <w:rPr>
          <w:sz w:val="24"/>
          <w:highlight w:val="none"/>
        </w:rPr>
        <w:t>中标通知</w:t>
      </w:r>
    </w:p>
    <w:p>
      <w:pPr>
        <w:spacing w:after="0" w:line="240" w:lineRule="auto"/>
        <w:jc w:val="both"/>
        <w:rPr>
          <w:sz w:val="24"/>
          <w:highlight w:val="none"/>
        </w:rPr>
        <w:sectPr>
          <w:pgSz w:w="11900" w:h="16840"/>
          <w:pgMar w:top="1440" w:right="520" w:bottom="1380" w:left="1140" w:header="0" w:footer="1119" w:gutter="0"/>
          <w:pgNumType w:fmt="decimal"/>
          <w:cols w:space="720" w:num="1"/>
        </w:sectPr>
      </w:pPr>
    </w:p>
    <w:p>
      <w:pPr>
        <w:pStyle w:val="20"/>
        <w:numPr>
          <w:ilvl w:val="2"/>
          <w:numId w:val="19"/>
        </w:numPr>
        <w:tabs>
          <w:tab w:val="left" w:pos="1800"/>
        </w:tabs>
        <w:spacing w:before="39" w:after="0" w:line="364" w:lineRule="auto"/>
        <w:ind w:left="660" w:right="1271" w:firstLine="420"/>
        <w:jc w:val="left"/>
        <w:rPr>
          <w:sz w:val="24"/>
          <w:highlight w:val="none"/>
        </w:rPr>
      </w:pPr>
      <w:r>
        <w:rPr>
          <w:spacing w:val="-4"/>
          <w:sz w:val="24"/>
          <w:highlight w:val="none"/>
        </w:rPr>
        <w:t>根据采购人确定的中标结果，采代理机构将向中标人发出中标通知</w:t>
      </w:r>
      <w:r>
        <w:rPr>
          <w:sz w:val="24"/>
          <w:highlight w:val="none"/>
        </w:rPr>
        <w:t>书。</w:t>
      </w:r>
    </w:p>
    <w:p>
      <w:pPr>
        <w:pStyle w:val="20"/>
        <w:numPr>
          <w:ilvl w:val="2"/>
          <w:numId w:val="19"/>
        </w:numPr>
        <w:tabs>
          <w:tab w:val="left" w:pos="1800"/>
        </w:tabs>
        <w:spacing w:before="1" w:after="0" w:line="364" w:lineRule="auto"/>
        <w:ind w:left="660" w:right="1178" w:firstLine="420"/>
        <w:jc w:val="left"/>
        <w:rPr>
          <w:sz w:val="24"/>
          <w:highlight w:val="none"/>
        </w:rPr>
      </w:pPr>
      <w:r>
        <w:rPr>
          <w:spacing w:val="-2"/>
          <w:sz w:val="24"/>
          <w:highlight w:val="none"/>
        </w:rPr>
        <w:t>中标通知书对采购单位和中标人具有同等法律效力。中标通知书发出</w:t>
      </w:r>
      <w:r>
        <w:rPr>
          <w:spacing w:val="-3"/>
          <w:sz w:val="24"/>
          <w:highlight w:val="none"/>
        </w:rPr>
        <w:t>后，采购单位改变中标结果，或者中标人放弃中标，应当承担相应的法律责任。</w:t>
      </w:r>
    </w:p>
    <w:p>
      <w:pPr>
        <w:pStyle w:val="20"/>
        <w:numPr>
          <w:ilvl w:val="2"/>
          <w:numId w:val="19"/>
        </w:numPr>
        <w:tabs>
          <w:tab w:val="left" w:pos="1740"/>
        </w:tabs>
        <w:spacing w:before="1" w:after="0" w:line="240" w:lineRule="auto"/>
        <w:ind w:left="1740" w:right="0" w:hanging="660"/>
        <w:jc w:val="left"/>
        <w:rPr>
          <w:sz w:val="24"/>
          <w:highlight w:val="none"/>
        </w:rPr>
      </w:pPr>
      <w:r>
        <w:rPr>
          <w:sz w:val="24"/>
          <w:highlight w:val="none"/>
        </w:rPr>
        <w:t>中标通知书是政府采购合同的组成部分。</w:t>
      </w:r>
    </w:p>
    <w:p>
      <w:pPr>
        <w:pStyle w:val="5"/>
        <w:spacing w:before="12"/>
        <w:rPr>
          <w:highlight w:val="none"/>
        </w:rPr>
      </w:pPr>
    </w:p>
    <w:p>
      <w:pPr>
        <w:pStyle w:val="20"/>
        <w:numPr>
          <w:ilvl w:val="1"/>
          <w:numId w:val="19"/>
        </w:numPr>
        <w:tabs>
          <w:tab w:val="left" w:pos="1208"/>
        </w:tabs>
        <w:spacing w:before="0" w:after="0" w:line="240" w:lineRule="auto"/>
        <w:ind w:left="1207" w:right="0" w:hanging="486"/>
        <w:jc w:val="both"/>
        <w:rPr>
          <w:sz w:val="24"/>
          <w:highlight w:val="none"/>
        </w:rPr>
      </w:pPr>
      <w:r>
        <w:rPr>
          <w:sz w:val="24"/>
          <w:highlight w:val="none"/>
        </w:rPr>
        <w:t>履约保证</w:t>
      </w:r>
    </w:p>
    <w:p>
      <w:pPr>
        <w:pStyle w:val="20"/>
        <w:numPr>
          <w:ilvl w:val="2"/>
          <w:numId w:val="19"/>
        </w:numPr>
        <w:tabs>
          <w:tab w:val="left" w:pos="1860"/>
        </w:tabs>
        <w:spacing w:before="158" w:after="0" w:line="364" w:lineRule="auto"/>
        <w:ind w:left="660" w:right="1271" w:firstLine="480"/>
        <w:jc w:val="both"/>
        <w:rPr>
          <w:sz w:val="24"/>
          <w:highlight w:val="none"/>
        </w:rPr>
      </w:pPr>
      <w:r>
        <w:rPr>
          <w:spacing w:val="-11"/>
          <w:sz w:val="24"/>
          <w:highlight w:val="none"/>
        </w:rPr>
        <w:t>在签订合同前，供应商应在收到中标通知书，根据采购人的要求缴纳</w:t>
      </w:r>
      <w:r>
        <w:rPr>
          <w:spacing w:val="-10"/>
          <w:sz w:val="24"/>
          <w:highlight w:val="none"/>
        </w:rPr>
        <w:t>中标金额的</w:t>
      </w:r>
      <w:r>
        <w:rPr>
          <w:sz w:val="24"/>
          <w:highlight w:val="none"/>
        </w:rPr>
        <w:t>10%</w:t>
      </w:r>
      <w:r>
        <w:rPr>
          <w:spacing w:val="-2"/>
          <w:sz w:val="24"/>
          <w:highlight w:val="none"/>
        </w:rPr>
        <w:t>的履约保证金</w:t>
      </w:r>
      <w:r>
        <w:rPr>
          <w:sz w:val="24"/>
          <w:highlight w:val="none"/>
        </w:rPr>
        <w:t>（具体帐号再另行通知</w:t>
      </w:r>
      <w:r>
        <w:rPr>
          <w:spacing w:val="-10"/>
          <w:sz w:val="24"/>
          <w:highlight w:val="none"/>
        </w:rPr>
        <w:t>）</w:t>
      </w:r>
      <w:r>
        <w:rPr>
          <w:spacing w:val="-5"/>
          <w:sz w:val="24"/>
          <w:highlight w:val="none"/>
        </w:rPr>
        <w:t>。设备验收合格后，经采</w:t>
      </w:r>
      <w:r>
        <w:rPr>
          <w:sz w:val="24"/>
          <w:highlight w:val="none"/>
        </w:rPr>
        <w:t>购人确认后,采购人将履约保证金退还中标供应商。中标供应商如未能按合同要求供货或设备验收不合格，采购人有权从履约保证金中取得补偿。</w:t>
      </w:r>
    </w:p>
    <w:p>
      <w:pPr>
        <w:pStyle w:val="20"/>
        <w:numPr>
          <w:ilvl w:val="2"/>
          <w:numId w:val="19"/>
        </w:numPr>
        <w:tabs>
          <w:tab w:val="left" w:pos="1860"/>
        </w:tabs>
        <w:spacing w:before="2" w:after="0" w:line="364" w:lineRule="auto"/>
        <w:ind w:left="659" w:right="1269" w:firstLine="480"/>
        <w:jc w:val="both"/>
        <w:rPr>
          <w:sz w:val="24"/>
          <w:highlight w:val="none"/>
        </w:rPr>
      </w:pPr>
      <w:r>
        <w:rPr>
          <w:spacing w:val="-2"/>
          <w:sz w:val="24"/>
          <w:highlight w:val="none"/>
        </w:rPr>
        <w:t>中标供应商不能在中标通知书发出后、</w:t>
      </w:r>
      <w:r>
        <w:rPr>
          <w:sz w:val="24"/>
          <w:highlight w:val="none"/>
        </w:rPr>
        <w:t>8.3.1</w:t>
      </w:r>
      <w:r>
        <w:rPr>
          <w:spacing w:val="-9"/>
          <w:sz w:val="24"/>
          <w:highlight w:val="none"/>
        </w:rPr>
        <w:t xml:space="preserve"> 条规定的签订合同时间</w:t>
      </w:r>
      <w:r>
        <w:rPr>
          <w:spacing w:val="-14"/>
          <w:sz w:val="24"/>
          <w:highlight w:val="none"/>
        </w:rPr>
        <w:t>前缴纳履约保证金的，视为放弃中标，其投标保证金不予退还，给采购单位造成的损失超过投标保证金数额的，中标供应商还应当对超过部分予以赔偿。</w:t>
      </w:r>
    </w:p>
    <w:p>
      <w:pPr>
        <w:pStyle w:val="20"/>
        <w:numPr>
          <w:ilvl w:val="2"/>
          <w:numId w:val="19"/>
        </w:numPr>
        <w:tabs>
          <w:tab w:val="left" w:pos="1860"/>
        </w:tabs>
        <w:spacing w:before="2" w:after="0" w:line="240" w:lineRule="auto"/>
        <w:ind w:left="1860" w:right="0" w:hanging="721"/>
        <w:jc w:val="both"/>
        <w:rPr>
          <w:sz w:val="24"/>
          <w:highlight w:val="none"/>
        </w:rPr>
      </w:pPr>
      <w:r>
        <w:rPr>
          <w:sz w:val="24"/>
          <w:highlight w:val="none"/>
        </w:rPr>
        <w:t>中标供应商的履约保证金将在合同履约完毕，且已签署验收合格的</w:t>
      </w:r>
    </w:p>
    <w:p>
      <w:pPr>
        <w:pStyle w:val="5"/>
        <w:spacing w:before="160" w:line="364" w:lineRule="auto"/>
        <w:ind w:left="659" w:right="1271"/>
        <w:rPr>
          <w:highlight w:val="none"/>
        </w:rPr>
      </w:pPr>
      <w:r>
        <w:rPr>
          <w:spacing w:val="-9"/>
          <w:highlight w:val="none"/>
        </w:rPr>
        <w:t>《项目验收单》，可办理履约保证的退还而且是无息的，任何形式的履约保证都不能中途退还。</w:t>
      </w:r>
    </w:p>
    <w:p>
      <w:pPr>
        <w:pStyle w:val="20"/>
        <w:numPr>
          <w:ilvl w:val="1"/>
          <w:numId w:val="19"/>
        </w:numPr>
        <w:tabs>
          <w:tab w:val="left" w:pos="1208"/>
        </w:tabs>
        <w:spacing w:before="160" w:after="0" w:line="240" w:lineRule="auto"/>
        <w:ind w:left="1207" w:right="0" w:hanging="486"/>
        <w:jc w:val="left"/>
        <w:rPr>
          <w:sz w:val="24"/>
          <w:highlight w:val="none"/>
        </w:rPr>
      </w:pPr>
      <w:r>
        <w:rPr>
          <w:sz w:val="24"/>
          <w:highlight w:val="none"/>
        </w:rPr>
        <w:t>合同签订</w:t>
      </w:r>
    </w:p>
    <w:p>
      <w:pPr>
        <w:pStyle w:val="20"/>
        <w:numPr>
          <w:ilvl w:val="2"/>
          <w:numId w:val="19"/>
        </w:numPr>
        <w:tabs>
          <w:tab w:val="left" w:pos="1860"/>
        </w:tabs>
        <w:spacing w:before="158" w:after="0" w:line="240" w:lineRule="auto"/>
        <w:ind w:left="1860" w:right="0" w:hanging="720"/>
        <w:jc w:val="both"/>
        <w:rPr>
          <w:sz w:val="24"/>
          <w:highlight w:val="none"/>
        </w:rPr>
      </w:pPr>
      <w:r>
        <w:rPr>
          <w:spacing w:val="-4"/>
          <w:sz w:val="24"/>
          <w:highlight w:val="none"/>
        </w:rPr>
        <w:t xml:space="preserve">合同签订周期：中标通知书发出后 </w:t>
      </w:r>
      <w:r>
        <w:rPr>
          <w:sz w:val="24"/>
          <w:highlight w:val="none"/>
        </w:rPr>
        <w:t>30</w:t>
      </w:r>
      <w:r>
        <w:rPr>
          <w:spacing w:val="-9"/>
          <w:sz w:val="24"/>
          <w:highlight w:val="none"/>
        </w:rPr>
        <w:t xml:space="preserve"> 个日历天内。</w:t>
      </w:r>
    </w:p>
    <w:p>
      <w:pPr>
        <w:pStyle w:val="20"/>
        <w:numPr>
          <w:ilvl w:val="2"/>
          <w:numId w:val="19"/>
        </w:numPr>
        <w:tabs>
          <w:tab w:val="left" w:pos="1860"/>
        </w:tabs>
        <w:spacing w:before="161" w:after="0" w:line="364" w:lineRule="auto"/>
        <w:ind w:left="660" w:right="1271" w:firstLine="480"/>
        <w:jc w:val="both"/>
        <w:rPr>
          <w:sz w:val="24"/>
          <w:highlight w:val="none"/>
        </w:rPr>
      </w:pPr>
      <w:r>
        <w:rPr>
          <w:spacing w:val="-6"/>
          <w:sz w:val="24"/>
          <w:highlight w:val="none"/>
        </w:rPr>
        <w:t>采购单位应当自中标通知书发出后规定的时间内，按照招标文件和中</w:t>
      </w:r>
      <w:r>
        <w:rPr>
          <w:spacing w:val="-8"/>
          <w:sz w:val="24"/>
          <w:highlight w:val="none"/>
        </w:rPr>
        <w:t>标人投标文件的约定，与中标人签订政府采购合同。所签政府采购合同不得对招</w:t>
      </w:r>
      <w:r>
        <w:rPr>
          <w:sz w:val="24"/>
          <w:highlight w:val="none"/>
        </w:rPr>
        <w:t>标文件和中标人的投标文件作实质性修改。</w:t>
      </w:r>
    </w:p>
    <w:p>
      <w:pPr>
        <w:pStyle w:val="20"/>
        <w:numPr>
          <w:ilvl w:val="2"/>
          <w:numId w:val="19"/>
        </w:numPr>
        <w:tabs>
          <w:tab w:val="left" w:pos="1860"/>
        </w:tabs>
        <w:spacing w:before="1" w:after="0" w:line="364" w:lineRule="auto"/>
        <w:ind w:left="660" w:right="1274" w:firstLine="480"/>
        <w:jc w:val="both"/>
        <w:rPr>
          <w:sz w:val="24"/>
          <w:highlight w:val="none"/>
        </w:rPr>
      </w:pPr>
      <w:r>
        <w:rPr>
          <w:sz w:val="24"/>
          <w:highlight w:val="none"/>
        </w:rPr>
        <w:t xml:space="preserve">中标人应按中标通知书规定的时间、地点与采购单位签订成交合同, </w:t>
      </w:r>
      <w:r>
        <w:rPr>
          <w:spacing w:val="-7"/>
          <w:sz w:val="24"/>
          <w:highlight w:val="none"/>
        </w:rPr>
        <w:t>否则投标保证金将不予退还，给采购人和采购代理机构造成损失的，供应商还应</w:t>
      </w:r>
      <w:r>
        <w:rPr>
          <w:sz w:val="24"/>
          <w:highlight w:val="none"/>
        </w:rPr>
        <w:t>承担赔偿责任。</w:t>
      </w:r>
    </w:p>
    <w:p>
      <w:pPr>
        <w:pStyle w:val="20"/>
        <w:numPr>
          <w:ilvl w:val="2"/>
          <w:numId w:val="19"/>
        </w:numPr>
        <w:tabs>
          <w:tab w:val="left" w:pos="1800"/>
        </w:tabs>
        <w:spacing w:before="2" w:after="0" w:line="364" w:lineRule="auto"/>
        <w:ind w:left="660" w:right="1238" w:firstLine="420"/>
        <w:jc w:val="both"/>
        <w:rPr>
          <w:sz w:val="24"/>
          <w:highlight w:val="none"/>
        </w:rPr>
      </w:pPr>
      <w:r>
        <w:rPr>
          <w:spacing w:val="-1"/>
          <w:sz w:val="24"/>
          <w:highlight w:val="none"/>
        </w:rPr>
        <w:t xml:space="preserve">采购单位不得向中标人提出任何不合理的要求作为签订合同的条件， </w:t>
      </w:r>
      <w:r>
        <w:rPr>
          <w:sz w:val="24"/>
          <w:highlight w:val="none"/>
        </w:rPr>
        <w:t>不得与中标人私下订立背离合同实质性内容的协议。</w:t>
      </w:r>
    </w:p>
    <w:p>
      <w:pPr>
        <w:pStyle w:val="20"/>
        <w:numPr>
          <w:ilvl w:val="2"/>
          <w:numId w:val="19"/>
        </w:numPr>
        <w:tabs>
          <w:tab w:val="left" w:pos="1800"/>
        </w:tabs>
        <w:spacing w:before="1" w:after="0" w:line="364" w:lineRule="auto"/>
        <w:ind w:left="660" w:right="1271" w:firstLine="420"/>
        <w:jc w:val="both"/>
        <w:rPr>
          <w:sz w:val="24"/>
          <w:highlight w:val="none"/>
        </w:rPr>
      </w:pPr>
      <w:r>
        <w:rPr>
          <w:spacing w:val="-7"/>
          <w:sz w:val="24"/>
          <w:highlight w:val="none"/>
        </w:rPr>
        <w:t>招标文件、中标人的投标文件及评审过程中有关澄清文件均应作为合</w:t>
      </w:r>
      <w:r>
        <w:rPr>
          <w:sz w:val="24"/>
          <w:highlight w:val="none"/>
        </w:rPr>
        <w:t>同附件。</w:t>
      </w:r>
    </w:p>
    <w:p>
      <w:pPr>
        <w:spacing w:after="0" w:line="364" w:lineRule="auto"/>
        <w:jc w:val="both"/>
        <w:rPr>
          <w:sz w:val="24"/>
          <w:highlight w:val="none"/>
        </w:rPr>
        <w:sectPr>
          <w:pgSz w:w="11900" w:h="16840"/>
          <w:pgMar w:top="1480" w:right="520" w:bottom="1380" w:left="1140" w:header="0" w:footer="1119" w:gutter="0"/>
          <w:pgNumType w:fmt="decimal"/>
          <w:cols w:space="720" w:num="1"/>
        </w:sectPr>
      </w:pPr>
    </w:p>
    <w:p>
      <w:pPr>
        <w:pStyle w:val="8"/>
        <w:tabs>
          <w:tab w:val="left" w:pos="1948"/>
        </w:tabs>
        <w:spacing w:before="27"/>
        <w:rPr>
          <w:highlight w:val="none"/>
        </w:rPr>
      </w:pPr>
      <w:r>
        <w:rPr>
          <w:highlight w:val="none"/>
        </w:rPr>
        <w:t>九、监</w:t>
      </w:r>
      <w:r>
        <w:rPr>
          <w:highlight w:val="none"/>
        </w:rPr>
        <w:tab/>
      </w:r>
      <w:r>
        <w:rPr>
          <w:highlight w:val="none"/>
        </w:rPr>
        <w:t>督</w:t>
      </w:r>
    </w:p>
    <w:p>
      <w:pPr>
        <w:pStyle w:val="5"/>
        <w:spacing w:before="11"/>
        <w:rPr>
          <w:sz w:val="26"/>
          <w:highlight w:val="none"/>
        </w:rPr>
      </w:pPr>
    </w:p>
    <w:p>
      <w:pPr>
        <w:pStyle w:val="20"/>
        <w:numPr>
          <w:ilvl w:val="1"/>
          <w:numId w:val="20"/>
        </w:numPr>
        <w:tabs>
          <w:tab w:val="left" w:pos="1208"/>
        </w:tabs>
        <w:spacing w:before="0" w:after="0" w:line="240" w:lineRule="auto"/>
        <w:ind w:left="1207" w:right="0" w:hanging="486"/>
        <w:jc w:val="left"/>
        <w:rPr>
          <w:sz w:val="24"/>
          <w:highlight w:val="none"/>
        </w:rPr>
      </w:pPr>
      <w:r>
        <w:rPr>
          <w:sz w:val="24"/>
          <w:highlight w:val="none"/>
        </w:rPr>
        <w:t>适用法规</w:t>
      </w:r>
    </w:p>
    <w:p>
      <w:pPr>
        <w:pStyle w:val="20"/>
        <w:numPr>
          <w:ilvl w:val="2"/>
          <w:numId w:val="20"/>
        </w:numPr>
        <w:tabs>
          <w:tab w:val="left" w:pos="1800"/>
        </w:tabs>
        <w:spacing w:before="158" w:after="0" w:line="364" w:lineRule="auto"/>
        <w:ind w:left="660" w:right="1271" w:firstLine="420"/>
        <w:jc w:val="left"/>
        <w:rPr>
          <w:sz w:val="24"/>
          <w:highlight w:val="none"/>
        </w:rPr>
      </w:pPr>
      <w:r>
        <w:rPr>
          <w:spacing w:val="-4"/>
          <w:sz w:val="24"/>
          <w:highlight w:val="none"/>
        </w:rPr>
        <w:t>政府采购项目的招标活动受《中华人民共和国政府采购法》和相关法</w:t>
      </w:r>
      <w:r>
        <w:rPr>
          <w:sz w:val="24"/>
          <w:highlight w:val="none"/>
        </w:rPr>
        <w:t>律法规的约束，以确保政府采购活动的公开、公平和公正。</w:t>
      </w:r>
    </w:p>
    <w:p>
      <w:pPr>
        <w:pStyle w:val="20"/>
        <w:numPr>
          <w:ilvl w:val="1"/>
          <w:numId w:val="20"/>
        </w:numPr>
        <w:tabs>
          <w:tab w:val="left" w:pos="1208"/>
        </w:tabs>
        <w:spacing w:before="160" w:after="0" w:line="240" w:lineRule="auto"/>
        <w:ind w:left="1207" w:right="0" w:hanging="486"/>
        <w:jc w:val="left"/>
        <w:rPr>
          <w:sz w:val="24"/>
          <w:highlight w:val="none"/>
        </w:rPr>
      </w:pPr>
      <w:r>
        <w:rPr>
          <w:sz w:val="24"/>
          <w:highlight w:val="none"/>
        </w:rPr>
        <w:t>信息发布</w:t>
      </w:r>
    </w:p>
    <w:p>
      <w:pPr>
        <w:pStyle w:val="20"/>
        <w:numPr>
          <w:ilvl w:val="2"/>
          <w:numId w:val="20"/>
        </w:numPr>
        <w:tabs>
          <w:tab w:val="left" w:pos="1920"/>
        </w:tabs>
        <w:spacing w:before="158" w:after="0" w:line="364" w:lineRule="auto"/>
        <w:ind w:left="660" w:right="1298" w:firstLine="540"/>
        <w:jc w:val="left"/>
        <w:rPr>
          <w:sz w:val="24"/>
          <w:highlight w:val="none"/>
        </w:rPr>
      </w:pPr>
      <w:r>
        <w:rPr>
          <w:spacing w:val="-1"/>
          <w:sz w:val="24"/>
          <w:highlight w:val="none"/>
        </w:rPr>
        <w:t>招标活动过程中需对外发布的信息均统一发布到“第一章 投标邀</w:t>
      </w:r>
      <w:r>
        <w:rPr>
          <w:spacing w:val="-3"/>
          <w:sz w:val="24"/>
          <w:highlight w:val="none"/>
        </w:rPr>
        <w:t>请”中指定的信息发布媒体上，投标人可从前“第一章 投标邀请”中指定的信</w:t>
      </w:r>
      <w:r>
        <w:rPr>
          <w:sz w:val="24"/>
          <w:highlight w:val="none"/>
        </w:rPr>
        <w:t>息发布媒体获取信息。</w:t>
      </w:r>
    </w:p>
    <w:p>
      <w:pPr>
        <w:pStyle w:val="20"/>
        <w:numPr>
          <w:ilvl w:val="1"/>
          <w:numId w:val="20"/>
        </w:numPr>
        <w:tabs>
          <w:tab w:val="left" w:pos="1208"/>
        </w:tabs>
        <w:spacing w:before="160" w:after="0" w:line="240" w:lineRule="auto"/>
        <w:ind w:left="1207" w:right="0" w:hanging="486"/>
        <w:jc w:val="left"/>
        <w:rPr>
          <w:sz w:val="24"/>
          <w:highlight w:val="none"/>
        </w:rPr>
      </w:pPr>
      <w:r>
        <w:rPr>
          <w:sz w:val="24"/>
          <w:highlight w:val="none"/>
        </w:rPr>
        <w:t>纪律要求</w:t>
      </w:r>
    </w:p>
    <w:p>
      <w:pPr>
        <w:pStyle w:val="20"/>
        <w:numPr>
          <w:ilvl w:val="2"/>
          <w:numId w:val="20"/>
        </w:numPr>
        <w:tabs>
          <w:tab w:val="left" w:pos="1920"/>
        </w:tabs>
        <w:spacing w:before="158" w:after="0" w:line="364" w:lineRule="auto"/>
        <w:ind w:left="660" w:right="1358" w:firstLine="540"/>
        <w:jc w:val="left"/>
        <w:rPr>
          <w:sz w:val="24"/>
          <w:highlight w:val="none"/>
        </w:rPr>
      </w:pPr>
      <w:r>
        <w:rPr>
          <w:spacing w:val="-1"/>
          <w:sz w:val="24"/>
          <w:highlight w:val="none"/>
        </w:rPr>
        <w:t>采购单位不得泄漏招标投标活动中应当保密的情况和资料，不得与</w:t>
      </w:r>
      <w:r>
        <w:rPr>
          <w:sz w:val="24"/>
          <w:highlight w:val="none"/>
        </w:rPr>
        <w:t>投标人串通损害国家利益、社会公共利益或者他人合法权益。</w:t>
      </w:r>
    </w:p>
    <w:p>
      <w:pPr>
        <w:pStyle w:val="20"/>
        <w:numPr>
          <w:ilvl w:val="2"/>
          <w:numId w:val="20"/>
        </w:numPr>
        <w:tabs>
          <w:tab w:val="left" w:pos="1920"/>
        </w:tabs>
        <w:spacing w:before="1" w:after="0" w:line="364" w:lineRule="auto"/>
        <w:ind w:left="660" w:right="1154" w:firstLine="540"/>
        <w:jc w:val="left"/>
        <w:rPr>
          <w:sz w:val="24"/>
          <w:highlight w:val="none"/>
        </w:rPr>
      </w:pPr>
      <w:r>
        <w:rPr>
          <w:sz w:val="24"/>
          <w:highlight w:val="none"/>
        </w:rPr>
        <w:t>投标人不得相互串通投标或者与采购单位串通投标，不得向采购单</w:t>
      </w:r>
      <w:r>
        <w:rPr>
          <w:spacing w:val="-6"/>
          <w:sz w:val="24"/>
          <w:highlight w:val="none"/>
        </w:rPr>
        <w:t>位或者评标委员会成员行贿谋取中标，不得以他人名义投标或者以其他方式弄虚</w:t>
      </w:r>
      <w:r>
        <w:rPr>
          <w:spacing w:val="-18"/>
          <w:sz w:val="24"/>
          <w:highlight w:val="none"/>
        </w:rPr>
        <w:t xml:space="preserve">作假骗取中标；投标人不得以任何方式干扰、影响评标工作。以上行为一经发现， </w:t>
      </w:r>
      <w:r>
        <w:rPr>
          <w:sz w:val="24"/>
          <w:highlight w:val="none"/>
        </w:rPr>
        <w:t>已经中标的，取消中标资格，未中标的，取消参评资格，并记入不良行为记录。</w:t>
      </w:r>
    </w:p>
    <w:p>
      <w:pPr>
        <w:pStyle w:val="20"/>
        <w:numPr>
          <w:ilvl w:val="2"/>
          <w:numId w:val="20"/>
        </w:numPr>
        <w:tabs>
          <w:tab w:val="left" w:pos="1920"/>
        </w:tabs>
        <w:spacing w:before="3" w:after="0" w:line="364" w:lineRule="auto"/>
        <w:ind w:left="660" w:right="1178" w:firstLine="540"/>
        <w:jc w:val="left"/>
        <w:rPr>
          <w:sz w:val="24"/>
          <w:highlight w:val="none"/>
        </w:rPr>
      </w:pPr>
      <w:r>
        <w:rPr>
          <w:sz w:val="24"/>
          <w:highlight w:val="none"/>
        </w:rPr>
        <w:t>评标委员会成员不得收受他人的财物或者其他好处，不得向他人透</w:t>
      </w:r>
      <w:r>
        <w:rPr>
          <w:spacing w:val="-1"/>
          <w:sz w:val="24"/>
          <w:highlight w:val="none"/>
        </w:rPr>
        <w:t xml:space="preserve">漏对投标文件的评审和比较、中标候选人的推荐情况以及评标有关的其他情况； </w:t>
      </w:r>
      <w:r>
        <w:rPr>
          <w:spacing w:val="-8"/>
          <w:sz w:val="24"/>
          <w:highlight w:val="none"/>
        </w:rPr>
        <w:t>在评标活动中，评标委员会成员不得擅离职守，影响评标程序正常进行；不得使</w:t>
      </w:r>
      <w:r>
        <w:rPr>
          <w:spacing w:val="-13"/>
          <w:sz w:val="24"/>
          <w:highlight w:val="none"/>
        </w:rPr>
        <w:t>用未规定的评审因素和标准进行评标；不得发表有失公正和不负责任的言论，不</w:t>
      </w:r>
      <w:r>
        <w:rPr>
          <w:spacing w:val="-16"/>
          <w:sz w:val="24"/>
          <w:highlight w:val="none"/>
        </w:rPr>
        <w:t>得相互串通和压制他人意见，不得将个人倾向性意见诱导、暗示或强加于他人认同。</w:t>
      </w:r>
    </w:p>
    <w:p>
      <w:pPr>
        <w:pStyle w:val="20"/>
        <w:numPr>
          <w:ilvl w:val="2"/>
          <w:numId w:val="20"/>
        </w:numPr>
        <w:tabs>
          <w:tab w:val="left" w:pos="1920"/>
        </w:tabs>
        <w:spacing w:before="3" w:after="0" w:line="364" w:lineRule="auto"/>
        <w:ind w:left="660" w:right="1271" w:firstLine="540"/>
        <w:jc w:val="left"/>
        <w:rPr>
          <w:sz w:val="24"/>
          <w:highlight w:val="none"/>
        </w:rPr>
      </w:pPr>
      <w:r>
        <w:rPr>
          <w:sz w:val="24"/>
          <w:highlight w:val="none"/>
        </w:rPr>
        <w:t>与评标活动有关的工作人员不得收受他人的财物或者其他好处，不</w:t>
      </w:r>
      <w:r>
        <w:rPr>
          <w:spacing w:val="-7"/>
          <w:sz w:val="24"/>
          <w:highlight w:val="none"/>
        </w:rPr>
        <w:t>得向他人透漏对投标文件的评审和比较、中标候选人的推荐情况以及评标有关的</w:t>
      </w:r>
      <w:r>
        <w:rPr>
          <w:spacing w:val="-11"/>
          <w:sz w:val="24"/>
          <w:highlight w:val="none"/>
        </w:rPr>
        <w:t>其他情况。在评标活动中，与评标活动有关的工作人员不得擅离职守，不得利用</w:t>
      </w:r>
      <w:r>
        <w:rPr>
          <w:sz w:val="24"/>
          <w:highlight w:val="none"/>
        </w:rPr>
        <w:t>职务之便，干扰评标活动，影响评标程序正常进行。</w:t>
      </w:r>
    </w:p>
    <w:p>
      <w:pPr>
        <w:pStyle w:val="20"/>
        <w:numPr>
          <w:ilvl w:val="1"/>
          <w:numId w:val="20"/>
        </w:numPr>
        <w:tabs>
          <w:tab w:val="left" w:pos="1208"/>
        </w:tabs>
        <w:spacing w:before="161" w:after="0" w:line="240" w:lineRule="auto"/>
        <w:ind w:left="1207" w:right="0" w:hanging="486"/>
        <w:jc w:val="left"/>
        <w:rPr>
          <w:sz w:val="24"/>
          <w:highlight w:val="none"/>
        </w:rPr>
      </w:pPr>
      <w:r>
        <w:rPr>
          <w:sz w:val="24"/>
          <w:highlight w:val="none"/>
        </w:rPr>
        <w:t>质疑</w:t>
      </w:r>
    </w:p>
    <w:p>
      <w:pPr>
        <w:pStyle w:val="20"/>
        <w:numPr>
          <w:ilvl w:val="2"/>
          <w:numId w:val="20"/>
        </w:numPr>
        <w:tabs>
          <w:tab w:val="left" w:pos="1920"/>
        </w:tabs>
        <w:spacing w:before="158" w:after="0" w:line="367" w:lineRule="auto"/>
        <w:ind w:left="660" w:right="1271" w:firstLine="540"/>
        <w:jc w:val="left"/>
        <w:rPr>
          <w:sz w:val="24"/>
          <w:highlight w:val="none"/>
        </w:rPr>
      </w:pPr>
      <w:r>
        <w:rPr>
          <w:sz w:val="24"/>
          <w:highlight w:val="none"/>
        </w:rPr>
        <w:t>投标人认为招标文件、采购过程和中标结果使自己的权益受到损害</w:t>
      </w:r>
      <w:r>
        <w:rPr>
          <w:spacing w:val="-10"/>
          <w:sz w:val="24"/>
          <w:highlight w:val="none"/>
        </w:rPr>
        <w:t xml:space="preserve">的，可以在知道或者应知其权益受到损害之日起 </w:t>
      </w:r>
      <w:r>
        <w:rPr>
          <w:sz w:val="24"/>
          <w:highlight w:val="none"/>
        </w:rPr>
        <w:t>7</w:t>
      </w:r>
      <w:r>
        <w:rPr>
          <w:spacing w:val="-12"/>
          <w:sz w:val="24"/>
          <w:highlight w:val="none"/>
        </w:rPr>
        <w:t xml:space="preserve"> 个工作日内，以书面形式向采</w:t>
      </w:r>
    </w:p>
    <w:p>
      <w:pPr>
        <w:spacing w:after="0" w:line="367" w:lineRule="auto"/>
        <w:jc w:val="left"/>
        <w:rPr>
          <w:sz w:val="24"/>
          <w:highlight w:val="none"/>
        </w:rPr>
        <w:sectPr>
          <w:pgSz w:w="11900" w:h="16840"/>
          <w:pgMar w:top="1520" w:right="520" w:bottom="1380" w:left="1140" w:header="0" w:footer="1119" w:gutter="0"/>
          <w:pgNumType w:fmt="decimal"/>
          <w:cols w:space="720" w:num="1"/>
        </w:sectPr>
      </w:pPr>
    </w:p>
    <w:p>
      <w:pPr>
        <w:pStyle w:val="5"/>
        <w:spacing w:before="39" w:line="364" w:lineRule="auto"/>
        <w:ind w:left="660" w:right="1274"/>
        <w:rPr>
          <w:highlight w:val="none"/>
        </w:rPr>
      </w:pPr>
      <w:r>
        <w:rPr>
          <w:spacing w:val="-7"/>
          <w:highlight w:val="none"/>
        </w:rPr>
        <w:t>购代理机构提出质疑。如对招标文件中“申请人的资格要求”及“采购需求”部分有质疑的，投标人应直接向采购人提出。</w:t>
      </w:r>
    </w:p>
    <w:p>
      <w:pPr>
        <w:pStyle w:val="5"/>
        <w:spacing w:before="1" w:line="364" w:lineRule="auto"/>
        <w:ind w:left="660" w:right="1358" w:firstLine="540"/>
        <w:rPr>
          <w:highlight w:val="none"/>
        </w:rPr>
      </w:pPr>
      <w:r>
        <w:rPr>
          <w:highlight w:val="none"/>
        </w:rPr>
        <w:t>其中对招标文件提出质疑的，“应知其权益受到损害之日”为投标人确认投标之日。</w:t>
      </w:r>
    </w:p>
    <w:p>
      <w:pPr>
        <w:pStyle w:val="20"/>
        <w:numPr>
          <w:ilvl w:val="2"/>
          <w:numId w:val="20"/>
        </w:numPr>
        <w:tabs>
          <w:tab w:val="left" w:pos="1920"/>
        </w:tabs>
        <w:spacing w:before="1" w:after="0" w:line="364" w:lineRule="auto"/>
        <w:ind w:left="660" w:right="1358" w:firstLine="540"/>
        <w:jc w:val="left"/>
        <w:rPr>
          <w:sz w:val="24"/>
          <w:highlight w:val="none"/>
        </w:rPr>
      </w:pPr>
      <w:r>
        <w:rPr>
          <w:spacing w:val="-1"/>
          <w:sz w:val="24"/>
          <w:highlight w:val="none"/>
        </w:rPr>
        <w:t>投标人在法定质疑期内必须一次性提出针对同一采购程序环节的质</w:t>
      </w:r>
      <w:r>
        <w:rPr>
          <w:sz w:val="24"/>
          <w:highlight w:val="none"/>
        </w:rPr>
        <w:t>疑，采购人、采购代理机构不受理投标人针对同一采购程序环节的再次质疑。</w:t>
      </w:r>
    </w:p>
    <w:p>
      <w:pPr>
        <w:pStyle w:val="20"/>
        <w:numPr>
          <w:ilvl w:val="2"/>
          <w:numId w:val="20"/>
        </w:numPr>
        <w:tabs>
          <w:tab w:val="left" w:pos="1920"/>
        </w:tabs>
        <w:spacing w:before="2" w:after="0" w:line="240" w:lineRule="auto"/>
        <w:ind w:left="1920" w:right="0" w:hanging="720"/>
        <w:jc w:val="left"/>
        <w:rPr>
          <w:sz w:val="24"/>
          <w:highlight w:val="none"/>
        </w:rPr>
      </w:pPr>
      <w:r>
        <w:rPr>
          <w:sz w:val="24"/>
          <w:highlight w:val="none"/>
        </w:rPr>
        <w:t>质疑函的递交</w:t>
      </w:r>
    </w:p>
    <w:p>
      <w:pPr>
        <w:pStyle w:val="5"/>
        <w:spacing w:before="160" w:line="364" w:lineRule="auto"/>
        <w:ind w:left="660" w:right="1274" w:firstLine="480"/>
        <w:rPr>
          <w:highlight w:val="none"/>
        </w:rPr>
      </w:pPr>
      <w:r>
        <w:rPr>
          <w:spacing w:val="-21"/>
          <w:highlight w:val="none"/>
        </w:rPr>
        <w:t>递交方式及所需证件：质疑人根据“质疑函范本”的要求递交纸质质疑函</w:t>
      </w:r>
      <w:r>
        <w:rPr>
          <w:highlight w:val="none"/>
        </w:rPr>
        <w:t>（</w:t>
      </w:r>
      <w:r>
        <w:rPr>
          <w:spacing w:val="-14"/>
          <w:highlight w:val="none"/>
        </w:rPr>
        <w:t>质</w:t>
      </w:r>
      <w:r>
        <w:rPr>
          <w:highlight w:val="none"/>
        </w:rPr>
        <w:t>疑函范本请登录海南省政府采购网网下载，下载网址：</w:t>
      </w:r>
    </w:p>
    <w:p>
      <w:pPr>
        <w:pStyle w:val="5"/>
        <w:spacing w:before="1" w:line="364" w:lineRule="auto"/>
        <w:ind w:left="1199" w:right="3818" w:hanging="540"/>
        <w:rPr>
          <w:highlight w:val="none"/>
        </w:rPr>
      </w:pPr>
      <w:r>
        <w:rPr>
          <w:highlight w:val="none"/>
        </w:rPr>
        <w:fldChar w:fldCharType="begin"/>
      </w:r>
      <w:r>
        <w:rPr>
          <w:highlight w:val="none"/>
        </w:rPr>
        <w:instrText xml:space="preserve"> HYPERLINK "http://www.ccgp-hainan.gov.cn/wjxz/929.jhtml" \h </w:instrText>
      </w:r>
      <w:r>
        <w:rPr>
          <w:highlight w:val="none"/>
        </w:rPr>
        <w:fldChar w:fldCharType="separate"/>
      </w:r>
      <w:r>
        <w:rPr>
          <w:highlight w:val="none"/>
        </w:rPr>
        <w:t>http://www.ccgp-hainan.gov.cn/wjxz/929.jhtml</w:t>
      </w:r>
      <w:r>
        <w:rPr>
          <w:highlight w:val="none"/>
        </w:rPr>
        <w:fldChar w:fldCharType="end"/>
      </w:r>
      <w:r>
        <w:rPr>
          <w:highlight w:val="none"/>
        </w:rPr>
        <w:t>）。递交地点：</w:t>
      </w:r>
    </w:p>
    <w:p>
      <w:pPr>
        <w:pStyle w:val="20"/>
        <w:numPr>
          <w:ilvl w:val="0"/>
          <w:numId w:val="21"/>
        </w:numPr>
        <w:tabs>
          <w:tab w:val="left" w:pos="1801"/>
        </w:tabs>
        <w:spacing w:before="160" w:after="0" w:line="240" w:lineRule="auto"/>
        <w:ind w:left="1800" w:right="0" w:hanging="602"/>
        <w:jc w:val="left"/>
        <w:rPr>
          <w:sz w:val="24"/>
          <w:highlight w:val="none"/>
        </w:rPr>
      </w:pPr>
      <w:r>
        <w:rPr>
          <w:spacing w:val="-4"/>
          <w:sz w:val="24"/>
          <w:highlight w:val="none"/>
        </w:rPr>
        <w:t>采购代理机构：</w:t>
      </w:r>
      <w:r>
        <w:rPr>
          <w:rFonts w:hint="eastAsia"/>
          <w:spacing w:val="-4"/>
          <w:sz w:val="24"/>
          <w:highlight w:val="none"/>
          <w:lang w:eastAsia="zh-CN"/>
        </w:rPr>
        <w:t>海口市美兰区国兴大道五号海南大厦副楼915室</w:t>
      </w:r>
    </w:p>
    <w:p>
      <w:pPr>
        <w:pStyle w:val="20"/>
        <w:numPr>
          <w:ilvl w:val="0"/>
          <w:numId w:val="21"/>
        </w:numPr>
        <w:tabs>
          <w:tab w:val="left" w:pos="1801"/>
        </w:tabs>
        <w:spacing w:before="160" w:after="0" w:line="240" w:lineRule="auto"/>
        <w:ind w:left="1800" w:right="0" w:hanging="602"/>
        <w:jc w:val="left"/>
        <w:rPr>
          <w:sz w:val="24"/>
          <w:highlight w:val="none"/>
        </w:rPr>
      </w:pPr>
      <w:r>
        <w:rPr>
          <w:spacing w:val="-1"/>
          <w:sz w:val="24"/>
          <w:highlight w:val="none"/>
        </w:rPr>
        <w:t>采购人：见“第一章 投标邀请”中“采购人地址”。</w:t>
      </w:r>
    </w:p>
    <w:p>
      <w:pPr>
        <w:pStyle w:val="20"/>
        <w:numPr>
          <w:ilvl w:val="2"/>
          <w:numId w:val="20"/>
        </w:numPr>
        <w:tabs>
          <w:tab w:val="left" w:pos="1920"/>
        </w:tabs>
        <w:spacing w:before="163" w:after="0" w:line="364" w:lineRule="auto"/>
        <w:ind w:left="660" w:right="1178" w:firstLine="540"/>
        <w:jc w:val="left"/>
        <w:rPr>
          <w:sz w:val="24"/>
          <w:highlight w:val="none"/>
        </w:rPr>
      </w:pPr>
      <w:r>
        <w:rPr>
          <w:spacing w:val="-3"/>
          <w:sz w:val="24"/>
          <w:highlight w:val="none"/>
        </w:rPr>
        <w:t xml:space="preserve">采购代理机构应当在收到投标人的书面质疑后 </w:t>
      </w:r>
      <w:r>
        <w:rPr>
          <w:sz w:val="24"/>
          <w:highlight w:val="none"/>
        </w:rPr>
        <w:t>7</w:t>
      </w:r>
      <w:r>
        <w:rPr>
          <w:spacing w:val="-8"/>
          <w:sz w:val="24"/>
          <w:highlight w:val="none"/>
        </w:rPr>
        <w:t xml:space="preserve"> 个工作日内，依照</w:t>
      </w:r>
      <w:r>
        <w:rPr>
          <w:spacing w:val="-9"/>
          <w:sz w:val="24"/>
          <w:highlight w:val="none"/>
        </w:rPr>
        <w:t xml:space="preserve">政府采购法第五十一条、第五十三条的规定就采购单位委托授权范围内的事项， </w:t>
      </w:r>
      <w:r>
        <w:rPr>
          <w:spacing w:val="-5"/>
          <w:sz w:val="24"/>
          <w:highlight w:val="none"/>
        </w:rPr>
        <w:t>以书面形式向质疑人和其他有关投标人做出答复，但答复的内容不得涉及商业秘密。</w:t>
      </w:r>
    </w:p>
    <w:p>
      <w:pPr>
        <w:pStyle w:val="20"/>
        <w:numPr>
          <w:ilvl w:val="1"/>
          <w:numId w:val="20"/>
        </w:numPr>
        <w:tabs>
          <w:tab w:val="left" w:pos="1208"/>
        </w:tabs>
        <w:spacing w:before="159" w:after="0" w:line="240" w:lineRule="auto"/>
        <w:ind w:left="1207" w:right="0" w:hanging="486"/>
        <w:jc w:val="left"/>
        <w:rPr>
          <w:sz w:val="24"/>
          <w:highlight w:val="none"/>
        </w:rPr>
      </w:pPr>
      <w:r>
        <w:rPr>
          <w:sz w:val="24"/>
          <w:highlight w:val="none"/>
        </w:rPr>
        <w:t>投诉</w:t>
      </w:r>
    </w:p>
    <w:p>
      <w:pPr>
        <w:pStyle w:val="20"/>
        <w:numPr>
          <w:ilvl w:val="2"/>
          <w:numId w:val="20"/>
        </w:numPr>
        <w:tabs>
          <w:tab w:val="left" w:pos="1920"/>
        </w:tabs>
        <w:spacing w:before="158" w:after="0" w:line="364" w:lineRule="auto"/>
        <w:ind w:left="660" w:right="1271" w:firstLine="540"/>
        <w:jc w:val="left"/>
        <w:rPr>
          <w:sz w:val="24"/>
          <w:highlight w:val="none"/>
        </w:rPr>
      </w:pPr>
      <w:r>
        <w:rPr>
          <w:sz w:val="24"/>
          <w:highlight w:val="none"/>
        </w:rPr>
        <w:t>质疑供应商对采购人、采购代理机构的答复不满意或者采购人、采</w:t>
      </w:r>
      <w:r>
        <w:rPr>
          <w:spacing w:val="-6"/>
          <w:sz w:val="24"/>
          <w:highlight w:val="none"/>
        </w:rPr>
        <w:t>购代理机构未在规定的时间内作出答复的，可以在答复期满后十五个工作日内向</w:t>
      </w:r>
      <w:r>
        <w:rPr>
          <w:sz w:val="24"/>
          <w:highlight w:val="none"/>
        </w:rPr>
        <w:t>政府采购监督管理部门投诉。</w:t>
      </w:r>
    </w:p>
    <w:p>
      <w:pPr>
        <w:pStyle w:val="5"/>
        <w:spacing w:before="3"/>
        <w:rPr>
          <w:highlight w:val="none"/>
        </w:rPr>
      </w:pPr>
    </w:p>
    <w:p>
      <w:pPr>
        <w:pStyle w:val="8"/>
        <w:tabs>
          <w:tab w:val="left" w:pos="1948"/>
        </w:tabs>
        <w:rPr>
          <w:highlight w:val="none"/>
        </w:rPr>
      </w:pPr>
      <w:r>
        <w:rPr>
          <w:highlight w:val="none"/>
        </w:rPr>
        <w:t>十、其</w:t>
      </w:r>
      <w:r>
        <w:rPr>
          <w:highlight w:val="none"/>
        </w:rPr>
        <w:tab/>
      </w:r>
      <w:r>
        <w:rPr>
          <w:highlight w:val="none"/>
        </w:rPr>
        <w:t>它</w:t>
      </w:r>
    </w:p>
    <w:p>
      <w:pPr>
        <w:pStyle w:val="5"/>
        <w:spacing w:before="11"/>
        <w:rPr>
          <w:sz w:val="26"/>
          <w:highlight w:val="none"/>
        </w:rPr>
      </w:pPr>
    </w:p>
    <w:p>
      <w:pPr>
        <w:pStyle w:val="20"/>
        <w:numPr>
          <w:ilvl w:val="1"/>
          <w:numId w:val="22"/>
        </w:numPr>
        <w:tabs>
          <w:tab w:val="left" w:pos="1328"/>
        </w:tabs>
        <w:spacing w:before="0" w:after="0" w:line="240" w:lineRule="auto"/>
        <w:ind w:left="1327" w:right="0" w:hanging="606"/>
        <w:jc w:val="left"/>
        <w:rPr>
          <w:sz w:val="24"/>
          <w:highlight w:val="none"/>
        </w:rPr>
      </w:pPr>
      <w:r>
        <w:rPr>
          <w:sz w:val="24"/>
          <w:highlight w:val="none"/>
        </w:rPr>
        <w:t>不良行为</w:t>
      </w:r>
    </w:p>
    <w:p>
      <w:pPr>
        <w:pStyle w:val="20"/>
        <w:numPr>
          <w:ilvl w:val="2"/>
          <w:numId w:val="22"/>
        </w:numPr>
        <w:tabs>
          <w:tab w:val="left" w:pos="1860"/>
        </w:tabs>
        <w:spacing w:before="158" w:after="0" w:line="240" w:lineRule="auto"/>
        <w:ind w:left="1860" w:right="0" w:hanging="780"/>
        <w:jc w:val="left"/>
        <w:rPr>
          <w:sz w:val="24"/>
          <w:highlight w:val="none"/>
        </w:rPr>
      </w:pPr>
      <w:r>
        <w:rPr>
          <w:sz w:val="24"/>
          <w:highlight w:val="none"/>
        </w:rPr>
        <w:t>投标人存在的以下情况，将被认定为不良行为：</w:t>
      </w:r>
    </w:p>
    <w:p>
      <w:pPr>
        <w:pStyle w:val="5"/>
        <w:spacing w:before="161" w:line="364" w:lineRule="auto"/>
        <w:ind w:left="1080" w:right="1838"/>
        <w:rPr>
          <w:highlight w:val="none"/>
        </w:rPr>
      </w:pPr>
      <w:r>
        <w:rPr>
          <w:highlight w:val="none"/>
        </w:rPr>
        <w:t>(1)</w:t>
      </w:r>
      <w:r>
        <w:rPr>
          <w:spacing w:val="-1"/>
          <w:highlight w:val="none"/>
        </w:rPr>
        <w:t xml:space="preserve">投标人在投标活动中存在违反规定提供虚假、无效证件等行为的； </w:t>
      </w:r>
      <w:r>
        <w:rPr>
          <w:highlight w:val="none"/>
        </w:rPr>
        <w:t>(2)投标人有低于企业成本价，明显有恶意过高或过低报价行为的;</w:t>
      </w:r>
    </w:p>
    <w:p>
      <w:pPr>
        <w:pStyle w:val="5"/>
        <w:spacing w:before="161" w:line="364" w:lineRule="auto"/>
        <w:ind w:left="1080" w:right="1838"/>
        <w:rPr>
          <w:highlight w:val="none"/>
        </w:rPr>
      </w:pPr>
      <w:r>
        <w:rPr>
          <w:highlight w:val="none"/>
        </w:rPr>
        <w:t xml:space="preserve"> (3)投标人在参加投标活动时，有围标、串标、陪标等行为的；</w:t>
      </w:r>
    </w:p>
    <w:p>
      <w:pPr>
        <w:spacing w:after="0" w:line="364" w:lineRule="auto"/>
        <w:rPr>
          <w:highlight w:val="none"/>
        </w:rPr>
        <w:sectPr>
          <w:pgSz w:w="11900" w:h="16840"/>
          <w:pgMar w:top="1480" w:right="520" w:bottom="1380" w:left="1140" w:header="0" w:footer="1119" w:gutter="0"/>
          <w:pgNumType w:fmt="decimal"/>
          <w:cols w:space="720" w:num="1"/>
        </w:sectPr>
      </w:pPr>
    </w:p>
    <w:p>
      <w:pPr>
        <w:pStyle w:val="20"/>
        <w:numPr>
          <w:ilvl w:val="0"/>
          <w:numId w:val="23"/>
        </w:numPr>
        <w:tabs>
          <w:tab w:val="left" w:pos="1441"/>
        </w:tabs>
        <w:spacing w:before="39" w:after="0" w:line="240" w:lineRule="auto"/>
        <w:ind w:left="1440" w:right="0" w:hanging="361"/>
        <w:jc w:val="left"/>
        <w:rPr>
          <w:sz w:val="24"/>
          <w:highlight w:val="none"/>
        </w:rPr>
      </w:pPr>
      <w:r>
        <w:rPr>
          <w:sz w:val="24"/>
          <w:highlight w:val="none"/>
        </w:rPr>
        <w:t>投标人不遵守投标会场纪律,扰乱招投标秩序的;</w:t>
      </w:r>
    </w:p>
    <w:p>
      <w:pPr>
        <w:pStyle w:val="20"/>
        <w:numPr>
          <w:ilvl w:val="0"/>
          <w:numId w:val="23"/>
        </w:numPr>
        <w:tabs>
          <w:tab w:val="left" w:pos="1441"/>
        </w:tabs>
        <w:spacing w:before="160" w:after="0" w:line="364" w:lineRule="auto"/>
        <w:ind w:left="1080" w:right="3038" w:firstLine="0"/>
        <w:jc w:val="left"/>
        <w:rPr>
          <w:sz w:val="24"/>
          <w:highlight w:val="none"/>
        </w:rPr>
      </w:pPr>
      <w:r>
        <w:rPr>
          <w:spacing w:val="-1"/>
          <w:sz w:val="24"/>
          <w:highlight w:val="none"/>
        </w:rPr>
        <w:t>有其他违反行业市场及政府采购管理有关规定行为的。</w:t>
      </w:r>
      <w:r>
        <w:rPr>
          <w:sz w:val="24"/>
          <w:highlight w:val="none"/>
        </w:rPr>
        <w:t>(6)有行政监督管理部门认定的其他不良行为的；</w:t>
      </w:r>
    </w:p>
    <w:p>
      <w:pPr>
        <w:pStyle w:val="20"/>
        <w:numPr>
          <w:ilvl w:val="1"/>
          <w:numId w:val="22"/>
        </w:numPr>
        <w:tabs>
          <w:tab w:val="left" w:pos="1328"/>
        </w:tabs>
        <w:spacing w:before="160" w:after="0" w:line="240" w:lineRule="auto"/>
        <w:ind w:left="1327" w:right="0" w:hanging="606"/>
        <w:jc w:val="left"/>
        <w:rPr>
          <w:sz w:val="24"/>
          <w:highlight w:val="none"/>
        </w:rPr>
      </w:pPr>
      <w:r>
        <w:rPr>
          <w:sz w:val="24"/>
          <w:highlight w:val="none"/>
        </w:rPr>
        <w:t>招标控制价</w:t>
      </w:r>
    </w:p>
    <w:p>
      <w:pPr>
        <w:pStyle w:val="5"/>
        <w:spacing w:before="158" w:line="364" w:lineRule="auto"/>
        <w:ind w:left="660" w:right="1215" w:firstLine="420"/>
        <w:rPr>
          <w:highlight w:val="none"/>
        </w:rPr>
      </w:pPr>
      <w:r>
        <w:rPr>
          <w:highlight w:val="none"/>
        </w:rPr>
        <w:t>招标文件中规定的最高限价为招标控制价；如未规定最高限价的，则项目预算金额为招标控制价。</w:t>
      </w:r>
    </w:p>
    <w:p>
      <w:pPr>
        <w:pStyle w:val="20"/>
        <w:numPr>
          <w:ilvl w:val="1"/>
          <w:numId w:val="22"/>
        </w:numPr>
        <w:tabs>
          <w:tab w:val="left" w:pos="1328"/>
        </w:tabs>
        <w:spacing w:before="160" w:after="0" w:line="240" w:lineRule="auto"/>
        <w:ind w:left="1327" w:right="0" w:hanging="606"/>
        <w:jc w:val="left"/>
        <w:rPr>
          <w:sz w:val="24"/>
          <w:highlight w:val="none"/>
        </w:rPr>
      </w:pPr>
      <w:r>
        <w:rPr>
          <w:sz w:val="24"/>
          <w:highlight w:val="none"/>
        </w:rPr>
        <w:t>知识产权</w:t>
      </w:r>
    </w:p>
    <w:p>
      <w:pPr>
        <w:pStyle w:val="5"/>
        <w:spacing w:before="158" w:line="364" w:lineRule="auto"/>
        <w:ind w:left="660" w:right="1271" w:firstLine="420"/>
        <w:jc w:val="both"/>
        <w:rPr>
          <w:highlight w:val="none"/>
        </w:rPr>
      </w:pPr>
      <w:r>
        <w:rPr>
          <w:spacing w:val="-3"/>
          <w:highlight w:val="none"/>
        </w:rPr>
        <w:t>构成本招标文件各个组成部分的文件，未经采购单位书面同意，投标人不得</w:t>
      </w:r>
      <w:r>
        <w:rPr>
          <w:spacing w:val="-6"/>
          <w:highlight w:val="none"/>
        </w:rPr>
        <w:t>擅自复印和用于非本招标项目所需的其他目的。采购单位全部或者部分使用未中标人投标文件中的技术成果或技术方案时，需征得其书面同意，并不得擅自复印</w:t>
      </w:r>
      <w:r>
        <w:rPr>
          <w:highlight w:val="none"/>
        </w:rPr>
        <w:t>或提供给第三人。</w:t>
      </w:r>
    </w:p>
    <w:p>
      <w:pPr>
        <w:pStyle w:val="20"/>
        <w:numPr>
          <w:ilvl w:val="1"/>
          <w:numId w:val="22"/>
        </w:numPr>
        <w:tabs>
          <w:tab w:val="left" w:pos="1328"/>
        </w:tabs>
        <w:spacing w:before="161" w:after="0" w:line="240" w:lineRule="auto"/>
        <w:ind w:left="1327" w:right="0" w:hanging="606"/>
        <w:jc w:val="both"/>
        <w:rPr>
          <w:sz w:val="24"/>
          <w:highlight w:val="none"/>
        </w:rPr>
      </w:pPr>
      <w:r>
        <w:rPr>
          <w:sz w:val="24"/>
          <w:highlight w:val="none"/>
        </w:rPr>
        <w:t>解释权</w:t>
      </w:r>
    </w:p>
    <w:p>
      <w:pPr>
        <w:pStyle w:val="5"/>
        <w:spacing w:before="158" w:line="364" w:lineRule="auto"/>
        <w:ind w:left="660" w:right="1154" w:firstLine="420"/>
        <w:rPr>
          <w:highlight w:val="none"/>
        </w:rPr>
      </w:pPr>
      <w:r>
        <w:rPr>
          <w:spacing w:val="-2"/>
          <w:highlight w:val="none"/>
        </w:rPr>
        <w:t>构成本招标文件的各个组成文件应互为解释，互为说明；如有不明确或不一</w:t>
      </w:r>
      <w:r>
        <w:rPr>
          <w:spacing w:val="-9"/>
          <w:highlight w:val="none"/>
        </w:rPr>
        <w:t xml:space="preserve">致，构成合同文件组成内容的，以合同文件约定内容为准；除招标文件中有特别规定外，仅适用于招标投标阶段的规定，按招标公告、投标人须知、评标办法、投标文件格式的先后顺序解释；同一文件中就同一事项的规定或约定不一致的， </w:t>
      </w:r>
      <w:r>
        <w:rPr>
          <w:spacing w:val="-14"/>
          <w:highlight w:val="none"/>
        </w:rPr>
        <w:t>以编排顺序在后者为准；同一文件不同版本之间有不一致的，以形成时间在后者</w:t>
      </w:r>
      <w:r>
        <w:rPr>
          <w:spacing w:val="-18"/>
          <w:highlight w:val="none"/>
        </w:rPr>
        <w:t>为准。按本款前述规定仍不能形成结论的，由采购代理机构和采购单位负责解释。</w:t>
      </w:r>
    </w:p>
    <w:p>
      <w:pPr>
        <w:spacing w:after="0" w:line="364" w:lineRule="auto"/>
        <w:rPr>
          <w:highlight w:val="none"/>
        </w:rPr>
        <w:sectPr>
          <w:pgSz w:w="11900" w:h="16840"/>
          <w:pgMar w:top="1480" w:right="520" w:bottom="1380" w:left="1140" w:header="0" w:footer="1119" w:gutter="0"/>
          <w:pgNumType w:fmt="decimal"/>
          <w:cols w:space="720" w:num="1"/>
        </w:sectPr>
      </w:pPr>
    </w:p>
    <w:p>
      <w:pPr>
        <w:widowControl/>
        <w:jc w:val="center"/>
        <w:rPr>
          <w:rFonts w:hint="eastAsia" w:ascii="宋体" w:hAnsi="宋体" w:cs="宋体"/>
          <w:b/>
          <w:bCs/>
          <w:color w:val="000000"/>
          <w:kern w:val="0"/>
          <w:sz w:val="43"/>
          <w:szCs w:val="43"/>
          <w:highlight w:val="none"/>
        </w:rPr>
      </w:pPr>
      <w:r>
        <w:rPr>
          <w:rFonts w:hint="eastAsia" w:ascii="宋体" w:hAnsi="宋体" w:cs="宋体"/>
          <w:b/>
          <w:bCs/>
          <w:color w:val="000000"/>
          <w:kern w:val="0"/>
          <w:sz w:val="43"/>
          <w:szCs w:val="43"/>
          <w:highlight w:val="none"/>
          <w:lang w:val="en-US" w:eastAsia="zh-CN"/>
        </w:rPr>
        <w:t xml:space="preserve">第三章 </w:t>
      </w:r>
      <w:r>
        <w:rPr>
          <w:rFonts w:hint="eastAsia" w:ascii="宋体" w:hAnsi="宋体" w:cs="宋体"/>
          <w:b/>
          <w:bCs/>
          <w:color w:val="000000"/>
          <w:kern w:val="0"/>
          <w:sz w:val="43"/>
          <w:szCs w:val="43"/>
          <w:highlight w:val="none"/>
        </w:rPr>
        <w:t>采购需求</w:t>
      </w:r>
    </w:p>
    <w:p>
      <w:pPr>
        <w:widowControl/>
        <w:spacing w:line="360" w:lineRule="auto"/>
        <w:jc w:val="center"/>
        <w:rPr>
          <w:rFonts w:hint="eastAsia" w:ascii="宋体" w:hAnsi="宋体" w:cs="宋体"/>
          <w:b/>
          <w:bCs/>
          <w:color w:val="000000"/>
          <w:kern w:val="0"/>
          <w:szCs w:val="21"/>
          <w:highlight w:val="none"/>
        </w:rPr>
      </w:pPr>
    </w:p>
    <w:p>
      <w:pPr>
        <w:numPr>
          <w:ilvl w:val="0"/>
          <w:numId w:val="24"/>
        </w:numPr>
        <w:spacing w:line="360" w:lineRule="auto"/>
        <w:rPr>
          <w:rFonts w:hint="eastAsia"/>
          <w:szCs w:val="21"/>
          <w:highlight w:val="none"/>
        </w:rPr>
      </w:pPr>
      <w:r>
        <w:rPr>
          <w:rFonts w:hint="eastAsia"/>
          <w:b/>
          <w:bCs/>
          <w:szCs w:val="21"/>
          <w:highlight w:val="none"/>
        </w:rPr>
        <w:t>项目名称：</w:t>
      </w:r>
      <w:r>
        <w:rPr>
          <w:rFonts w:hint="eastAsia"/>
          <w:szCs w:val="21"/>
          <w:highlight w:val="none"/>
        </w:rPr>
        <w:t>五指山市2020义务教育薄弱环节改善与能力提升项目设备购置(E包)</w:t>
      </w:r>
    </w:p>
    <w:p>
      <w:pPr>
        <w:numPr>
          <w:ilvl w:val="0"/>
          <w:numId w:val="24"/>
        </w:numPr>
        <w:spacing w:line="360" w:lineRule="auto"/>
        <w:rPr>
          <w:rFonts w:hint="eastAsia"/>
          <w:szCs w:val="21"/>
          <w:highlight w:val="none"/>
        </w:rPr>
      </w:pPr>
      <w:r>
        <w:rPr>
          <w:rFonts w:hint="eastAsia"/>
          <w:b/>
          <w:bCs/>
          <w:szCs w:val="21"/>
          <w:highlight w:val="none"/>
        </w:rPr>
        <w:t>项目编号</w:t>
      </w:r>
      <w:r>
        <w:rPr>
          <w:rFonts w:hint="eastAsia"/>
          <w:szCs w:val="21"/>
          <w:highlight w:val="none"/>
        </w:rPr>
        <w:t>：HNCC-2021-037</w:t>
      </w:r>
    </w:p>
    <w:p>
      <w:pPr>
        <w:numPr>
          <w:ilvl w:val="0"/>
          <w:numId w:val="24"/>
        </w:numPr>
        <w:spacing w:line="360" w:lineRule="auto"/>
        <w:rPr>
          <w:rFonts w:hint="eastAsia"/>
          <w:highlight w:val="none"/>
        </w:rPr>
      </w:pPr>
      <w:r>
        <w:rPr>
          <w:rFonts w:hint="eastAsia"/>
          <w:b/>
          <w:bCs/>
          <w:szCs w:val="21"/>
          <w:highlight w:val="none"/>
        </w:rPr>
        <w:t>采购内容</w:t>
      </w:r>
      <w:r>
        <w:rPr>
          <w:rFonts w:hint="eastAsia"/>
          <w:szCs w:val="21"/>
          <w:highlight w:val="none"/>
        </w:rPr>
        <w:t>：五指山市2020义务教育薄弱环节改善与能力提升项目设备购置(E包)项目，</w:t>
      </w:r>
    </w:p>
    <w:p>
      <w:pPr>
        <w:numPr>
          <w:ilvl w:val="0"/>
          <w:numId w:val="0"/>
        </w:numPr>
        <w:spacing w:line="360" w:lineRule="auto"/>
        <w:ind w:right="0" w:rightChars="0" w:firstLine="660" w:firstLineChars="300"/>
        <w:rPr>
          <w:rFonts w:hint="eastAsia"/>
          <w:szCs w:val="21"/>
          <w:highlight w:val="none"/>
        </w:rPr>
      </w:pPr>
      <w:r>
        <w:rPr>
          <w:rFonts w:hint="eastAsia"/>
          <w:szCs w:val="21"/>
          <w:highlight w:val="none"/>
        </w:rPr>
        <w:t>主要采购科学实验室设施、小学科学仪器、小学数学仪器、初中物理实验室设施、</w:t>
      </w:r>
    </w:p>
    <w:p>
      <w:pPr>
        <w:numPr>
          <w:ilvl w:val="0"/>
          <w:numId w:val="0"/>
        </w:numPr>
        <w:spacing w:line="360" w:lineRule="auto"/>
        <w:ind w:right="0" w:rightChars="0" w:firstLine="660" w:firstLineChars="300"/>
        <w:rPr>
          <w:rFonts w:hint="eastAsia"/>
          <w:szCs w:val="21"/>
          <w:highlight w:val="none"/>
        </w:rPr>
      </w:pPr>
      <w:r>
        <w:rPr>
          <w:rFonts w:hint="eastAsia"/>
          <w:szCs w:val="21"/>
          <w:highlight w:val="none"/>
        </w:rPr>
        <w:t>初中化学实验室设施配置、初中生物实验室设施配置、初中地理实验室设施配置、</w:t>
      </w:r>
    </w:p>
    <w:p>
      <w:pPr>
        <w:numPr>
          <w:ilvl w:val="0"/>
          <w:numId w:val="0"/>
        </w:numPr>
        <w:spacing w:line="360" w:lineRule="auto"/>
        <w:ind w:right="0" w:rightChars="0" w:firstLine="660" w:firstLineChars="300"/>
        <w:rPr>
          <w:rFonts w:hint="eastAsia"/>
          <w:szCs w:val="21"/>
          <w:highlight w:val="none"/>
        </w:rPr>
      </w:pPr>
      <w:r>
        <w:rPr>
          <w:rFonts w:hint="eastAsia"/>
          <w:szCs w:val="21"/>
          <w:highlight w:val="none"/>
        </w:rPr>
        <w:t>初中物理仪器设备、初中化学仪器设备、初中生物仪器设备、初中地理仪器设备、</w:t>
      </w:r>
    </w:p>
    <w:p>
      <w:pPr>
        <w:numPr>
          <w:ilvl w:val="0"/>
          <w:numId w:val="0"/>
        </w:numPr>
        <w:spacing w:line="360" w:lineRule="auto"/>
        <w:ind w:right="0" w:rightChars="0" w:firstLine="660" w:firstLineChars="300"/>
        <w:rPr>
          <w:rFonts w:hint="eastAsia"/>
          <w:szCs w:val="21"/>
          <w:highlight w:val="none"/>
        </w:rPr>
      </w:pPr>
      <w:r>
        <w:rPr>
          <w:rFonts w:hint="eastAsia"/>
          <w:szCs w:val="21"/>
          <w:highlight w:val="none"/>
        </w:rPr>
        <w:t>综合实践仪器设备、综合实践活动室设施、仪器柜、音乐器材、美术器材、体育器材、</w:t>
      </w:r>
    </w:p>
    <w:p>
      <w:pPr>
        <w:numPr>
          <w:ilvl w:val="0"/>
          <w:numId w:val="0"/>
        </w:numPr>
        <w:spacing w:line="360" w:lineRule="auto"/>
        <w:ind w:right="0" w:rightChars="0" w:firstLine="660" w:firstLineChars="300"/>
        <w:rPr>
          <w:rFonts w:hint="eastAsia"/>
          <w:highlight w:val="none"/>
        </w:rPr>
      </w:pPr>
      <w:r>
        <w:rPr>
          <w:rFonts w:hint="eastAsia"/>
          <w:szCs w:val="21"/>
          <w:highlight w:val="none"/>
        </w:rPr>
        <w:t>心理咨询室、卫生保健器械设备等。</w:t>
      </w:r>
    </w:p>
    <w:p>
      <w:pPr>
        <w:numPr>
          <w:ilvl w:val="0"/>
          <w:numId w:val="24"/>
        </w:numPr>
        <w:spacing w:line="360" w:lineRule="auto"/>
        <w:rPr>
          <w:rFonts w:hint="default"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采购预算：</w:t>
      </w:r>
      <w:r>
        <w:rPr>
          <w:rFonts w:hint="eastAsia" w:ascii="宋体" w:hAnsi="宋体" w:eastAsia="宋体" w:cs="宋体"/>
          <w:b w:val="0"/>
          <w:bCs w:val="0"/>
          <w:szCs w:val="21"/>
          <w:highlight w:val="none"/>
          <w:lang w:val="en-US" w:eastAsia="zh-CN"/>
        </w:rPr>
        <w:t>3157322.00元</w:t>
      </w:r>
    </w:p>
    <w:p>
      <w:pPr>
        <w:numPr>
          <w:ilvl w:val="0"/>
          <w:numId w:val="24"/>
        </w:numPr>
        <w:spacing w:line="360" w:lineRule="auto"/>
        <w:rPr>
          <w:rFonts w:hint="eastAsia" w:ascii="宋体" w:hAnsi="宋体" w:eastAsia="宋体" w:cs="宋体"/>
          <w:b/>
          <w:bCs/>
          <w:szCs w:val="21"/>
          <w:highlight w:val="none"/>
        </w:rPr>
      </w:pPr>
      <w:r>
        <w:rPr>
          <w:rFonts w:hint="eastAsia" w:ascii="宋体" w:hAnsi="宋体" w:eastAsia="宋体" w:cs="宋体"/>
          <w:b/>
          <w:bCs/>
          <w:szCs w:val="21"/>
          <w:highlight w:val="none"/>
        </w:rPr>
        <w:t>采购清单；</w:t>
      </w:r>
    </w:p>
    <w:p>
      <w:pPr>
        <w:pStyle w:val="7"/>
        <w:rPr>
          <w:rFonts w:hint="eastAsia"/>
          <w:highlight w:val="none"/>
        </w:rPr>
      </w:pPr>
    </w:p>
    <w:tbl>
      <w:tblPr>
        <w:tblStyle w:val="17"/>
        <w:tblW w:w="8851" w:type="dxa"/>
        <w:tblInd w:w="93" w:type="dxa"/>
        <w:tblLayout w:type="fixed"/>
        <w:tblCellMar>
          <w:top w:w="0" w:type="dxa"/>
          <w:left w:w="108" w:type="dxa"/>
          <w:bottom w:w="0" w:type="dxa"/>
          <w:right w:w="108" w:type="dxa"/>
        </w:tblCellMar>
      </w:tblPr>
      <w:tblGrid>
        <w:gridCol w:w="1087"/>
        <w:gridCol w:w="2956"/>
        <w:gridCol w:w="2867"/>
        <w:gridCol w:w="1941"/>
      </w:tblGrid>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序号</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名称</w:t>
            </w:r>
          </w:p>
        </w:tc>
        <w:tc>
          <w:tcPr>
            <w:tcW w:w="28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配置学校</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备注</w:t>
            </w: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1</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科学实验室设施</w:t>
            </w:r>
          </w:p>
        </w:tc>
        <w:tc>
          <w:tcPr>
            <w:tcW w:w="2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一小、番阳中心</w:t>
            </w:r>
          </w:p>
        </w:tc>
        <w:tc>
          <w:tcPr>
            <w:tcW w:w="1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24"/>
                <w:highlight w:val="none"/>
              </w:rPr>
            </w:pPr>
          </w:p>
        </w:tc>
      </w:tr>
      <w:tr>
        <w:tblPrEx>
          <w:tblCellMar>
            <w:top w:w="0" w:type="dxa"/>
            <w:left w:w="108" w:type="dxa"/>
            <w:bottom w:w="0" w:type="dxa"/>
            <w:right w:w="108" w:type="dxa"/>
          </w:tblCellMar>
        </w:tblPrEx>
        <w:trPr>
          <w:trHeight w:val="570"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2</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小学科学仪器</w:t>
            </w:r>
          </w:p>
        </w:tc>
        <w:tc>
          <w:tcPr>
            <w:tcW w:w="28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一小、毛阳中心、畅好中心、番阳中心</w:t>
            </w: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highlight w:val="none"/>
              </w:rPr>
            </w:pP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3</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小学数学仪器</w:t>
            </w:r>
          </w:p>
        </w:tc>
        <w:tc>
          <w:tcPr>
            <w:tcW w:w="28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highlight w:val="none"/>
              </w:rPr>
            </w:pP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highlight w:val="none"/>
              </w:rPr>
            </w:pP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4</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初中物理实验室设施</w:t>
            </w:r>
          </w:p>
        </w:tc>
        <w:tc>
          <w:tcPr>
            <w:tcW w:w="28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五指山市红星学校</w:t>
            </w: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highlight w:val="none"/>
              </w:rPr>
            </w:pP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5</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初中化学实验室设施配置</w:t>
            </w:r>
          </w:p>
        </w:tc>
        <w:tc>
          <w:tcPr>
            <w:tcW w:w="28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五指山市红星学校</w:t>
            </w: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highlight w:val="none"/>
              </w:rPr>
            </w:pP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6</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初中生物实验室设施配置</w:t>
            </w:r>
          </w:p>
        </w:tc>
        <w:tc>
          <w:tcPr>
            <w:tcW w:w="28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思源实验学校</w:t>
            </w: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highlight w:val="none"/>
              </w:rPr>
            </w:pP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7</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初中地理实验室设施配置</w:t>
            </w:r>
          </w:p>
        </w:tc>
        <w:tc>
          <w:tcPr>
            <w:tcW w:w="28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思源实验学校</w:t>
            </w: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highlight w:val="none"/>
              </w:rPr>
            </w:pP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8</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初中物理仪器设备</w:t>
            </w:r>
          </w:p>
        </w:tc>
        <w:tc>
          <w:tcPr>
            <w:tcW w:w="28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思源实验学校</w:t>
            </w: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highlight w:val="none"/>
              </w:rPr>
            </w:pP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9</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初中化学仪器设备</w:t>
            </w:r>
          </w:p>
        </w:tc>
        <w:tc>
          <w:tcPr>
            <w:tcW w:w="28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思源实验学校</w:t>
            </w: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highlight w:val="none"/>
              </w:rPr>
            </w:pP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10</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初中生物仪器设备</w:t>
            </w:r>
          </w:p>
        </w:tc>
        <w:tc>
          <w:tcPr>
            <w:tcW w:w="28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思源实验学校</w:t>
            </w: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highlight w:val="none"/>
              </w:rPr>
            </w:pP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11</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初中地理仪器设备</w:t>
            </w:r>
          </w:p>
        </w:tc>
        <w:tc>
          <w:tcPr>
            <w:tcW w:w="28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思源实验学校</w:t>
            </w: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highlight w:val="none"/>
              </w:rPr>
            </w:pP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12</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综合实践仪器设备</w:t>
            </w:r>
          </w:p>
        </w:tc>
        <w:tc>
          <w:tcPr>
            <w:tcW w:w="28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highlight w:val="none"/>
              </w:rPr>
            </w:pP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highlight w:val="none"/>
              </w:rPr>
            </w:pP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13</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综合实践活动室设施</w:t>
            </w:r>
          </w:p>
        </w:tc>
        <w:tc>
          <w:tcPr>
            <w:tcW w:w="28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highlight w:val="none"/>
              </w:rPr>
            </w:pP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highlight w:val="none"/>
              </w:rPr>
            </w:pP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14</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仪器柜</w:t>
            </w:r>
          </w:p>
        </w:tc>
        <w:tc>
          <w:tcPr>
            <w:tcW w:w="28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highlight w:val="none"/>
              </w:rPr>
            </w:pP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highlight w:val="none"/>
              </w:rPr>
            </w:pP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15</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音乐器材</w:t>
            </w:r>
          </w:p>
        </w:tc>
        <w:tc>
          <w:tcPr>
            <w:tcW w:w="28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highlight w:val="none"/>
              </w:rPr>
            </w:pP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highlight w:val="none"/>
              </w:rPr>
            </w:pP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16</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美术器材</w:t>
            </w:r>
          </w:p>
        </w:tc>
        <w:tc>
          <w:tcPr>
            <w:tcW w:w="28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highlight w:val="none"/>
              </w:rPr>
            </w:pP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highlight w:val="none"/>
              </w:rPr>
            </w:pP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17</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体育器材</w:t>
            </w:r>
          </w:p>
        </w:tc>
        <w:tc>
          <w:tcPr>
            <w:tcW w:w="28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highlight w:val="none"/>
              </w:rPr>
            </w:pP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highlight w:val="none"/>
              </w:rPr>
            </w:pP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18</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心理咨询室</w:t>
            </w:r>
          </w:p>
        </w:tc>
        <w:tc>
          <w:tcPr>
            <w:tcW w:w="28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highlight w:val="none"/>
              </w:rPr>
            </w:pP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highlight w:val="none"/>
              </w:rPr>
            </w:pP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19</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卫生保健器械设备</w:t>
            </w:r>
          </w:p>
        </w:tc>
        <w:tc>
          <w:tcPr>
            <w:tcW w:w="28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highlight w:val="none"/>
              </w:rPr>
            </w:pP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highlight w:val="none"/>
              </w:rPr>
            </w:pPr>
          </w:p>
        </w:tc>
      </w:tr>
    </w:tbl>
    <w:p>
      <w:pPr>
        <w:rPr>
          <w:highlight w:val="none"/>
        </w:rPr>
      </w:pPr>
    </w:p>
    <w:p>
      <w:pPr>
        <w:pStyle w:val="7"/>
        <w:rPr>
          <w:highlight w:val="none"/>
        </w:rPr>
      </w:pPr>
    </w:p>
    <w:p>
      <w:pPr>
        <w:rPr>
          <w:highlight w:val="none"/>
        </w:rPr>
      </w:pPr>
    </w:p>
    <w:tbl>
      <w:tblPr>
        <w:tblStyle w:val="17"/>
        <w:tblW w:w="9260" w:type="dxa"/>
        <w:tblInd w:w="93" w:type="dxa"/>
        <w:tblLayout w:type="fixed"/>
        <w:tblCellMar>
          <w:top w:w="0" w:type="dxa"/>
          <w:left w:w="108" w:type="dxa"/>
          <w:bottom w:w="0" w:type="dxa"/>
          <w:right w:w="108" w:type="dxa"/>
        </w:tblCellMar>
      </w:tblPr>
      <w:tblGrid>
        <w:gridCol w:w="456"/>
        <w:gridCol w:w="664"/>
        <w:gridCol w:w="3980"/>
        <w:gridCol w:w="656"/>
        <w:gridCol w:w="656"/>
        <w:gridCol w:w="986"/>
        <w:gridCol w:w="986"/>
        <w:gridCol w:w="876"/>
      </w:tblGrid>
      <w:tr>
        <w:tblPrEx>
          <w:tblCellMar>
            <w:top w:w="0" w:type="dxa"/>
            <w:left w:w="108" w:type="dxa"/>
            <w:bottom w:w="0" w:type="dxa"/>
            <w:right w:w="108" w:type="dxa"/>
          </w:tblCellMar>
        </w:tblPrEx>
        <w:trPr>
          <w:trHeight w:val="691" w:hRule="atLeast"/>
        </w:trPr>
        <w:tc>
          <w:tcPr>
            <w:tcW w:w="9260"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cs="宋体"/>
                <w:color w:val="000000"/>
                <w:sz w:val="40"/>
                <w:szCs w:val="40"/>
                <w:highlight w:val="none"/>
              </w:rPr>
            </w:pPr>
            <w:r>
              <w:rPr>
                <w:rFonts w:hint="eastAsia" w:ascii="宋体" w:hAnsi="宋体" w:cs="宋体"/>
                <w:color w:val="000000"/>
                <w:kern w:val="0"/>
                <w:sz w:val="40"/>
                <w:szCs w:val="40"/>
                <w:highlight w:val="none"/>
              </w:rPr>
              <w:t>1、科学实验室设施</w:t>
            </w:r>
          </w:p>
        </w:tc>
      </w:tr>
      <w:tr>
        <w:tblPrEx>
          <w:tblCellMar>
            <w:top w:w="0" w:type="dxa"/>
            <w:left w:w="108" w:type="dxa"/>
            <w:bottom w:w="0" w:type="dxa"/>
            <w:right w:w="108" w:type="dxa"/>
          </w:tblCellMar>
        </w:tblPrEx>
        <w:trPr>
          <w:trHeight w:val="691" w:hRule="atLeast"/>
        </w:trPr>
        <w:tc>
          <w:tcPr>
            <w:tcW w:w="45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序号</w:t>
            </w:r>
          </w:p>
        </w:tc>
        <w:tc>
          <w:tcPr>
            <w:tcW w:w="664"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名称</w:t>
            </w:r>
          </w:p>
        </w:tc>
        <w:tc>
          <w:tcPr>
            <w:tcW w:w="398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标底参数</w:t>
            </w:r>
          </w:p>
        </w:tc>
        <w:tc>
          <w:tcPr>
            <w:tcW w:w="65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数量</w:t>
            </w:r>
          </w:p>
        </w:tc>
        <w:tc>
          <w:tcPr>
            <w:tcW w:w="65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单位</w:t>
            </w:r>
          </w:p>
        </w:tc>
        <w:tc>
          <w:tcPr>
            <w:tcW w:w="98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单价/元</w:t>
            </w:r>
          </w:p>
        </w:tc>
        <w:tc>
          <w:tcPr>
            <w:tcW w:w="98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金额/元</w:t>
            </w:r>
          </w:p>
        </w:tc>
        <w:tc>
          <w:tcPr>
            <w:tcW w:w="87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备注</w:t>
            </w:r>
          </w:p>
        </w:tc>
      </w:tr>
      <w:tr>
        <w:tblPrEx>
          <w:tblCellMar>
            <w:top w:w="0" w:type="dxa"/>
            <w:left w:w="108" w:type="dxa"/>
            <w:bottom w:w="0" w:type="dxa"/>
            <w:right w:w="108" w:type="dxa"/>
          </w:tblCellMar>
        </w:tblPrEx>
        <w:trPr>
          <w:trHeight w:val="8771"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1</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教师演示台</w:t>
            </w:r>
          </w:p>
        </w:tc>
        <w:tc>
          <w:tcPr>
            <w:tcW w:w="3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1、尺寸：2800（长）×700（宽）×850mm（高）。2、结构：演示台设有储物柜，中间为演示台，设置电源主控系统、多媒体设备（主机、显示器、中控、功放、交换机）的位置预留。3、台面：一体化台面，采用12.7mm厚实芯理化板，结构加工坚固致密、机械精打磨圆滑细致，造型美观，具有优异的稳定、持久、耐水和易清洗维护等特性。4、桌体：采用1.0mm优质镀锌钢板，CO2保护焊焊接，打磨处理，表面经耐酸碱EPOXY粉末烤漆处理（烤漆膜厚度平均值≥ 70μm），表面硬度附着力、耐腐蚀性符合国家GB/T3668-200X标准。5、滑轨：三节重型滚珠滑轨，承重性强，滑动性能良好，无噪音，开合十万次不变形。6、铰链：采用自动型110°大伸展角度，锌合金铰链，开合五万次不变形。7、拉手：采用C型不锈钢拉手，造型独特美观。8、脚垫：采用柜体内置可调ABS脚垫，保证桌面平整，防水防潮，延长设备使用寿命。</w:t>
            </w:r>
            <w:r>
              <w:rPr>
                <w:rFonts w:hint="eastAsia" w:ascii="宋体" w:hAnsi="宋体" w:cs="宋体"/>
                <w:color w:val="000000"/>
                <w:kern w:val="0"/>
                <w:sz w:val="24"/>
                <w:highlight w:val="none"/>
              </w:rPr>
              <w:br w:type="textWrapping"/>
            </w:r>
            <w:r>
              <w:rPr>
                <w:rFonts w:hint="eastAsia" w:ascii="宋体" w:hAnsi="宋体" w:cs="宋体"/>
                <w:color w:val="000000"/>
                <w:kern w:val="0"/>
                <w:sz w:val="24"/>
                <w:highlight w:val="none"/>
              </w:rPr>
              <w:t>★投标人</w:t>
            </w:r>
            <w:r>
              <w:rPr>
                <w:rFonts w:hint="eastAsia" w:ascii="宋体" w:hAnsi="宋体" w:cs="宋体"/>
                <w:color w:val="auto"/>
                <w:kern w:val="0"/>
                <w:sz w:val="24"/>
                <w:highlight w:val="none"/>
              </w:rPr>
              <w:t>应提供有资</w:t>
            </w:r>
            <w:r>
              <w:rPr>
                <w:rFonts w:hint="eastAsia" w:ascii="宋体" w:hAnsi="宋体" w:cs="宋体"/>
                <w:color w:val="000000"/>
                <w:kern w:val="0"/>
                <w:sz w:val="24"/>
                <w:highlight w:val="none"/>
              </w:rPr>
              <w:t>质的检测机构出具的检测报告复印件，供货厂家投标授权书复印件和质保服务承诺函复印件加盖厂家公章。</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3</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张</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trHeight w:val="8771"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highlight w:val="none"/>
                <w:lang w:val="en-US" w:eastAsia="zh-CN"/>
              </w:rPr>
            </w:pPr>
            <w:r>
              <w:rPr>
                <w:rFonts w:hint="eastAsia" w:cs="宋体"/>
                <w:color w:val="000000"/>
                <w:kern w:val="0"/>
                <w:sz w:val="24"/>
                <w:highlight w:val="none"/>
                <w:lang w:val="en-US" w:eastAsia="zh-CN"/>
              </w:rPr>
              <w:t>2</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FF0000"/>
                <w:kern w:val="0"/>
                <w:sz w:val="24"/>
                <w:highlight w:val="none"/>
              </w:rPr>
            </w:pPr>
            <w:r>
              <w:rPr>
                <w:rFonts w:hint="eastAsia" w:ascii="宋体" w:hAnsi="宋体" w:cs="宋体"/>
                <w:color w:val="auto"/>
                <w:kern w:val="0"/>
                <w:sz w:val="24"/>
                <w:highlight w:val="none"/>
              </w:rPr>
              <w:t>教学一体机</w:t>
            </w:r>
          </w:p>
        </w:tc>
        <w:tc>
          <w:tcPr>
            <w:tcW w:w="3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4"/>
                <w:highlight w:val="none"/>
              </w:rPr>
            </w:pPr>
            <w:r>
              <w:rPr>
                <w:rFonts w:hint="eastAsia" w:ascii="宋体" w:hAnsi="宋体" w:cs="宋体"/>
                <w:color w:val="auto"/>
                <w:kern w:val="0"/>
                <w:sz w:val="24"/>
                <w:highlight w:val="none"/>
              </w:rPr>
              <w:t>一、整机设计及功能</w:t>
            </w:r>
          </w:p>
          <w:p>
            <w:pPr>
              <w:widowControl/>
              <w:jc w:val="left"/>
              <w:textAlignment w:val="center"/>
              <w:rPr>
                <w:rFonts w:hint="eastAsia" w:ascii="宋体" w:hAnsi="宋体" w:cs="宋体"/>
                <w:color w:val="auto"/>
                <w:kern w:val="0"/>
                <w:sz w:val="24"/>
                <w:highlight w:val="none"/>
              </w:rPr>
            </w:pPr>
            <w:r>
              <w:rPr>
                <w:rFonts w:hint="eastAsia" w:ascii="宋体" w:hAnsi="宋体" w:cs="宋体"/>
                <w:color w:val="auto"/>
                <w:kern w:val="0"/>
                <w:sz w:val="24"/>
                <w:highlight w:val="none"/>
              </w:rPr>
              <w:t>1.整机采用一体化全金属外壳设计，外部无任何可见内部功能模块连接线；边角采用弧形设计，表面无尖锐边缘或凸起。</w:t>
            </w:r>
          </w:p>
          <w:p>
            <w:pPr>
              <w:widowControl/>
              <w:jc w:val="left"/>
              <w:textAlignment w:val="center"/>
              <w:rPr>
                <w:rFonts w:hint="eastAsia" w:ascii="宋体" w:hAnsi="宋体" w:cs="宋体"/>
                <w:color w:val="auto"/>
                <w:kern w:val="0"/>
                <w:sz w:val="24"/>
                <w:highlight w:val="none"/>
              </w:rPr>
            </w:pPr>
            <w:r>
              <w:rPr>
                <w:rFonts w:hint="eastAsia" w:ascii="宋体" w:hAnsi="宋体" w:cs="宋体"/>
                <w:color w:val="auto"/>
                <w:kern w:val="0"/>
                <w:sz w:val="24"/>
                <w:highlight w:val="none"/>
              </w:rPr>
              <w:t>2.整机屏幕采用≥86英寸液晶显示器，整机采用UHD超高清LED 液晶屏，显示比例为16:9，分辨率不低于3840*2160。</w:t>
            </w:r>
          </w:p>
          <w:p>
            <w:pPr>
              <w:widowControl/>
              <w:jc w:val="left"/>
              <w:textAlignment w:val="center"/>
              <w:rPr>
                <w:rFonts w:hint="eastAsia" w:ascii="宋体" w:hAnsi="宋体" w:cs="宋体"/>
                <w:color w:val="auto"/>
                <w:kern w:val="0"/>
                <w:sz w:val="24"/>
                <w:highlight w:val="none"/>
              </w:rPr>
            </w:pPr>
            <w:r>
              <w:rPr>
                <w:rFonts w:hint="eastAsia" w:ascii="宋体" w:hAnsi="宋体" w:cs="宋体"/>
                <w:color w:val="auto"/>
                <w:kern w:val="0"/>
                <w:sz w:val="24"/>
                <w:highlight w:val="none"/>
              </w:rPr>
              <w:t>3.嵌入式系统版本不低于Android9.0，内存≥2GB，存储空间≥8GB。</w:t>
            </w:r>
          </w:p>
          <w:p>
            <w:pPr>
              <w:widowControl/>
              <w:jc w:val="left"/>
              <w:textAlignment w:val="center"/>
              <w:rPr>
                <w:rFonts w:hint="eastAsia" w:ascii="宋体" w:hAnsi="宋体" w:cs="宋体"/>
                <w:color w:val="auto"/>
                <w:kern w:val="0"/>
                <w:sz w:val="24"/>
                <w:highlight w:val="none"/>
              </w:rPr>
            </w:pPr>
            <w:r>
              <w:rPr>
                <w:rFonts w:hint="eastAsia" w:ascii="宋体" w:hAnsi="宋体" w:cs="宋体"/>
                <w:color w:val="auto"/>
                <w:kern w:val="0"/>
                <w:sz w:val="24"/>
                <w:highlight w:val="none"/>
              </w:rPr>
              <w:t>4.支持红外触控，支持Windows系统中进行20点或以上触控，安卓系统中进行 10 点或以上触控，支持红外笔书写。</w:t>
            </w:r>
          </w:p>
          <w:p>
            <w:pPr>
              <w:widowControl/>
              <w:jc w:val="left"/>
              <w:textAlignment w:val="center"/>
              <w:rPr>
                <w:rFonts w:hint="eastAsia" w:ascii="宋体" w:hAnsi="宋体" w:cs="宋体"/>
                <w:color w:val="auto"/>
                <w:kern w:val="0"/>
                <w:sz w:val="24"/>
                <w:highlight w:val="none"/>
              </w:rPr>
            </w:pPr>
            <w:r>
              <w:rPr>
                <w:rFonts w:hint="eastAsia" w:ascii="宋体" w:hAnsi="宋体" w:cs="宋体"/>
                <w:color w:val="auto"/>
                <w:kern w:val="0"/>
                <w:sz w:val="24"/>
                <w:highlight w:val="none"/>
              </w:rPr>
              <w:t>5.整机能感应并自动调节屏幕亮度来达到在不同光照环境下的不同亮度显示效果，此功能可自行开启或关闭。</w:t>
            </w:r>
          </w:p>
          <w:p>
            <w:pPr>
              <w:widowControl/>
              <w:jc w:val="left"/>
              <w:textAlignment w:val="center"/>
              <w:rPr>
                <w:rFonts w:hint="eastAsia" w:ascii="宋体" w:hAnsi="宋体" w:cs="宋体"/>
                <w:color w:val="auto"/>
                <w:kern w:val="0"/>
                <w:sz w:val="24"/>
                <w:highlight w:val="none"/>
              </w:rPr>
            </w:pPr>
            <w:r>
              <w:rPr>
                <w:rFonts w:hint="eastAsia" w:ascii="宋体" w:hAnsi="宋体" w:cs="宋体"/>
                <w:color w:val="auto"/>
                <w:kern w:val="0"/>
                <w:sz w:val="24"/>
                <w:highlight w:val="none"/>
              </w:rPr>
              <w:t>6.整机内置 2.1 声道扬声器，前朝向 15W中高音扬声器 2 个，后朝向 20W 低音扬声器 1 个，额定总功率 50W。</w:t>
            </w:r>
          </w:p>
          <w:p>
            <w:pPr>
              <w:widowControl/>
              <w:jc w:val="left"/>
              <w:textAlignment w:val="center"/>
              <w:rPr>
                <w:rFonts w:hint="eastAsia" w:ascii="宋体" w:hAnsi="宋体" w:cs="宋体"/>
                <w:color w:val="auto"/>
                <w:kern w:val="0"/>
                <w:sz w:val="24"/>
                <w:highlight w:val="none"/>
              </w:rPr>
            </w:pPr>
            <w:r>
              <w:rPr>
                <w:rFonts w:hint="eastAsia" w:ascii="宋体" w:hAnsi="宋体" w:cs="宋体"/>
                <w:color w:val="auto"/>
                <w:kern w:val="0"/>
                <w:sz w:val="24"/>
                <w:highlight w:val="none"/>
              </w:rPr>
              <w:t>7.支持传屏功能，可以将外部电脑的屏幕画面通过无线方式传输到整机上显示。</w:t>
            </w:r>
          </w:p>
          <w:p>
            <w:pPr>
              <w:widowControl/>
              <w:jc w:val="left"/>
              <w:textAlignment w:val="center"/>
              <w:rPr>
                <w:rFonts w:hint="eastAsia" w:ascii="宋体" w:hAnsi="宋体" w:cs="宋体"/>
                <w:color w:val="auto"/>
                <w:kern w:val="0"/>
                <w:sz w:val="24"/>
                <w:highlight w:val="none"/>
              </w:rPr>
            </w:pPr>
            <w:r>
              <w:rPr>
                <w:rFonts w:hint="eastAsia" w:ascii="宋体" w:hAnsi="宋体" w:cs="宋体"/>
                <w:color w:val="auto"/>
                <w:kern w:val="0"/>
                <w:sz w:val="24"/>
                <w:highlight w:val="none"/>
              </w:rPr>
              <w:t>8.整机内置无线网络模块，PC模块无任何外接或转接天线、网卡可实现Wi-Fi无线上网连接和AP无线热点发射；Wi-Fi和AP热点均支持频段 2.4GHz/5GHz ，满足IEEE 802.11 a/b/g/n/ac标准。</w:t>
            </w:r>
          </w:p>
          <w:p>
            <w:pPr>
              <w:widowControl/>
              <w:jc w:val="left"/>
              <w:textAlignment w:val="center"/>
              <w:rPr>
                <w:rFonts w:hint="eastAsia" w:ascii="宋体" w:hAnsi="宋体" w:cs="宋体"/>
                <w:color w:val="auto"/>
                <w:kern w:val="0"/>
                <w:sz w:val="24"/>
                <w:highlight w:val="none"/>
              </w:rPr>
            </w:pPr>
            <w:r>
              <w:rPr>
                <w:rFonts w:hint="eastAsia" w:ascii="宋体" w:hAnsi="宋体" w:cs="宋体"/>
                <w:color w:val="auto"/>
                <w:kern w:val="0"/>
                <w:sz w:val="24"/>
                <w:highlight w:val="none"/>
              </w:rPr>
              <w:t>9.三合一电源按键，同一电源物理按键完成Android系统和Windows系统的开机、节能熄屏、关机操作；关机状态下轻按按键开机；开机状态下轻按按键实现节能熄屏/唤醒，长按按键实现关机。</w:t>
            </w:r>
          </w:p>
          <w:p>
            <w:pPr>
              <w:widowControl/>
              <w:jc w:val="left"/>
              <w:textAlignment w:val="center"/>
              <w:rPr>
                <w:rFonts w:hint="eastAsia" w:ascii="宋体" w:hAnsi="宋体" w:cs="宋体"/>
                <w:color w:val="auto"/>
                <w:kern w:val="0"/>
                <w:sz w:val="24"/>
                <w:highlight w:val="none"/>
              </w:rPr>
            </w:pPr>
            <w:r>
              <w:rPr>
                <w:rFonts w:hint="eastAsia" w:ascii="宋体" w:hAnsi="宋体" w:cs="宋体"/>
                <w:color w:val="auto"/>
                <w:kern w:val="0"/>
                <w:sz w:val="24"/>
                <w:highlight w:val="none"/>
              </w:rPr>
              <w:t>10.整机具备至少6个前置按键，实现老师开关机、调出中控菜单、音量+/-、护眼、录屏的操作。</w:t>
            </w:r>
          </w:p>
          <w:p>
            <w:pPr>
              <w:widowControl/>
              <w:jc w:val="left"/>
              <w:textAlignment w:val="center"/>
              <w:rPr>
                <w:rFonts w:hint="eastAsia" w:ascii="宋体" w:hAnsi="宋体" w:cs="宋体"/>
                <w:color w:val="auto"/>
                <w:kern w:val="0"/>
                <w:sz w:val="24"/>
                <w:highlight w:val="none"/>
              </w:rPr>
            </w:pPr>
            <w:r>
              <w:rPr>
                <w:rFonts w:hint="eastAsia" w:ascii="宋体" w:hAnsi="宋体" w:cs="宋体"/>
                <w:color w:val="auto"/>
                <w:kern w:val="0"/>
                <w:sz w:val="24"/>
                <w:highlight w:val="none"/>
              </w:rPr>
              <w:t>11.整机具有护眼功能，可通过前置面板物理功能按键一键启用护眼模式。</w:t>
            </w:r>
          </w:p>
          <w:p>
            <w:pPr>
              <w:widowControl/>
              <w:jc w:val="left"/>
              <w:textAlignment w:val="center"/>
              <w:rPr>
                <w:rFonts w:hint="eastAsia" w:ascii="宋体" w:hAnsi="宋体" w:cs="宋体"/>
                <w:color w:val="auto"/>
                <w:kern w:val="0"/>
                <w:sz w:val="24"/>
                <w:highlight w:val="none"/>
              </w:rPr>
            </w:pPr>
            <w:r>
              <w:rPr>
                <w:rFonts w:hint="eastAsia" w:ascii="宋体" w:hAnsi="宋体" w:cs="宋体"/>
                <w:color w:val="auto"/>
                <w:kern w:val="0"/>
                <w:sz w:val="24"/>
                <w:highlight w:val="none"/>
              </w:rPr>
              <w:t>12.设备支持通过前置面板物理按键一键启动录屏功能，可将屏幕中显示的课件、音频内容与老师人声同时录制。</w:t>
            </w:r>
          </w:p>
          <w:p>
            <w:pPr>
              <w:widowControl/>
              <w:jc w:val="left"/>
              <w:textAlignment w:val="center"/>
              <w:rPr>
                <w:rFonts w:hint="eastAsia" w:ascii="宋体" w:hAnsi="宋体" w:cs="宋体"/>
                <w:color w:val="auto"/>
                <w:kern w:val="0"/>
                <w:sz w:val="24"/>
                <w:highlight w:val="none"/>
              </w:rPr>
            </w:pPr>
            <w:r>
              <w:rPr>
                <w:rFonts w:hint="eastAsia" w:ascii="宋体" w:hAnsi="宋体" w:cs="宋体"/>
                <w:color w:val="auto"/>
                <w:kern w:val="0"/>
                <w:sz w:val="24"/>
                <w:highlight w:val="none"/>
              </w:rPr>
              <w:t>13.支持智能U盘锁功能，整机可设置触摸及按键锁定，锁定后无法随意自由操作，需要使用时插入USB key可解锁。</w:t>
            </w:r>
          </w:p>
          <w:p>
            <w:pPr>
              <w:widowControl/>
              <w:jc w:val="left"/>
              <w:textAlignment w:val="center"/>
              <w:rPr>
                <w:rFonts w:hint="eastAsia" w:ascii="宋体" w:hAnsi="宋体" w:cs="宋体"/>
                <w:color w:val="auto"/>
                <w:kern w:val="0"/>
                <w:sz w:val="24"/>
                <w:highlight w:val="none"/>
              </w:rPr>
            </w:pPr>
            <w:r>
              <w:rPr>
                <w:rFonts w:hint="eastAsia" w:ascii="宋体" w:hAnsi="宋体" w:cs="宋体"/>
                <w:color w:val="auto"/>
                <w:kern w:val="0"/>
                <w:sz w:val="24"/>
                <w:highlight w:val="none"/>
              </w:rPr>
              <w:t>14.整机内置非独立的高清摄像头，可拍摄不低于 800 万像素数的照片；摄像头对角角度≥120°。</w:t>
            </w:r>
          </w:p>
          <w:p>
            <w:pPr>
              <w:widowControl/>
              <w:jc w:val="left"/>
              <w:textAlignment w:val="center"/>
              <w:rPr>
                <w:rFonts w:hint="eastAsia" w:ascii="宋体" w:hAnsi="宋体" w:cs="宋体"/>
                <w:color w:val="auto"/>
                <w:kern w:val="0"/>
                <w:sz w:val="24"/>
                <w:highlight w:val="none"/>
              </w:rPr>
            </w:pPr>
            <w:r>
              <w:rPr>
                <w:rFonts w:hint="eastAsia" w:ascii="宋体" w:hAnsi="宋体" w:cs="宋体"/>
                <w:color w:val="auto"/>
                <w:kern w:val="0"/>
                <w:sz w:val="24"/>
                <w:highlight w:val="none"/>
              </w:rPr>
              <w:t>15.整机内置非独立外扩展的阵列麦克风，可用于对教室环境音频进行采集，拾音距离≥12m。</w:t>
            </w:r>
          </w:p>
          <w:p>
            <w:pPr>
              <w:widowControl/>
              <w:jc w:val="left"/>
              <w:textAlignment w:val="center"/>
              <w:rPr>
                <w:rFonts w:hint="eastAsia" w:ascii="宋体" w:hAnsi="宋体" w:cs="宋体"/>
                <w:color w:val="auto"/>
                <w:kern w:val="0"/>
                <w:sz w:val="24"/>
                <w:highlight w:val="none"/>
              </w:rPr>
            </w:pPr>
            <w:r>
              <w:rPr>
                <w:rFonts w:hint="eastAsia" w:ascii="宋体" w:hAnsi="宋体" w:cs="宋体"/>
                <w:color w:val="auto"/>
                <w:kern w:val="0"/>
                <w:sz w:val="24"/>
                <w:highlight w:val="none"/>
              </w:rPr>
              <w:t>16.Android系统和Windows系统下，支持通过任何一个前置USB接口读取外接移动存储设备。</w:t>
            </w:r>
          </w:p>
          <w:p>
            <w:pPr>
              <w:widowControl/>
              <w:jc w:val="left"/>
              <w:textAlignment w:val="center"/>
              <w:rPr>
                <w:rFonts w:hint="eastAsia" w:ascii="宋体" w:hAnsi="宋体" w:cs="宋体"/>
                <w:color w:val="auto"/>
                <w:kern w:val="0"/>
                <w:sz w:val="24"/>
                <w:highlight w:val="none"/>
              </w:rPr>
            </w:pPr>
            <w:r>
              <w:rPr>
                <w:rFonts w:hint="eastAsia" w:ascii="宋体" w:hAnsi="宋体" w:cs="宋体"/>
                <w:color w:val="auto"/>
                <w:kern w:val="0"/>
                <w:sz w:val="24"/>
                <w:highlight w:val="none"/>
              </w:rPr>
              <w:t>17.外接电脑设备通过HDMI线投送画面至整机时，再连接TypeB USB线至整机触控输出接口，即可直接调用整机内置的摄像头、麦克风、扬声器，在外接电脑即可拍摄教室画面。</w:t>
            </w:r>
          </w:p>
          <w:p>
            <w:pPr>
              <w:widowControl/>
              <w:jc w:val="left"/>
              <w:textAlignment w:val="center"/>
              <w:rPr>
                <w:rFonts w:hint="eastAsia" w:ascii="宋体" w:hAnsi="宋体" w:cs="宋体"/>
                <w:color w:val="auto"/>
                <w:kern w:val="0"/>
                <w:sz w:val="24"/>
                <w:highlight w:val="none"/>
              </w:rPr>
            </w:pPr>
            <w:r>
              <w:rPr>
                <w:rFonts w:hint="eastAsia" w:ascii="宋体" w:hAnsi="宋体" w:cs="宋体"/>
                <w:color w:val="auto"/>
                <w:kern w:val="0"/>
                <w:sz w:val="24"/>
                <w:highlight w:val="none"/>
              </w:rPr>
              <w:t>18.整机具备不少于1路侧置双通道USB接口，双系统USB接口支持Windows和Android双系统读取外接存储设备数据和识别展台信号。</w:t>
            </w:r>
          </w:p>
          <w:p>
            <w:pPr>
              <w:widowControl/>
              <w:jc w:val="left"/>
              <w:textAlignment w:val="center"/>
              <w:rPr>
                <w:rFonts w:hint="eastAsia" w:ascii="宋体" w:hAnsi="宋体" w:cs="宋体"/>
                <w:color w:val="auto"/>
                <w:kern w:val="0"/>
                <w:sz w:val="24"/>
                <w:highlight w:val="none"/>
              </w:rPr>
            </w:pPr>
            <w:r>
              <w:rPr>
                <w:rFonts w:hint="eastAsia" w:ascii="宋体" w:hAnsi="宋体" w:cs="宋体"/>
                <w:color w:val="auto"/>
                <w:kern w:val="0"/>
                <w:sz w:val="24"/>
                <w:highlight w:val="none"/>
              </w:rPr>
              <w:t>19.支持前置Type-C接口，通过Type-C接口实现音视频输入，外接电脑设备通过标准Type-C线连接至整机Type-C口，即可把外接电脑设备画面投到整机上，同时在整机上操作画面，可实现触摸电脑的操作，无需再连接触控USB线。</w:t>
            </w:r>
          </w:p>
          <w:p>
            <w:pPr>
              <w:widowControl/>
              <w:jc w:val="left"/>
              <w:textAlignment w:val="center"/>
              <w:rPr>
                <w:rFonts w:hint="eastAsia" w:ascii="宋体" w:hAnsi="宋体" w:cs="宋体"/>
                <w:color w:val="auto"/>
                <w:kern w:val="0"/>
                <w:sz w:val="24"/>
                <w:highlight w:val="none"/>
              </w:rPr>
            </w:pPr>
            <w:r>
              <w:rPr>
                <w:rFonts w:hint="eastAsia" w:ascii="宋体" w:hAnsi="宋体" w:cs="宋体"/>
                <w:color w:val="auto"/>
                <w:kern w:val="0"/>
                <w:sz w:val="24"/>
                <w:highlight w:val="none"/>
              </w:rPr>
              <w:t>20.外接电脑设备通过机外Type-C线连接至整机Type-C口，可直接调用整机内置的摄像头、麦克风、扬声器，在外接电脑可拍摄教室画面。</w:t>
            </w:r>
          </w:p>
          <w:p>
            <w:pPr>
              <w:widowControl/>
              <w:jc w:val="left"/>
              <w:textAlignment w:val="center"/>
              <w:rPr>
                <w:rFonts w:hint="eastAsia" w:ascii="宋体" w:hAnsi="宋体" w:cs="宋体"/>
                <w:color w:val="auto"/>
                <w:kern w:val="0"/>
                <w:sz w:val="24"/>
                <w:highlight w:val="none"/>
              </w:rPr>
            </w:pPr>
            <w:r>
              <w:rPr>
                <w:rFonts w:hint="eastAsia" w:ascii="宋体" w:hAnsi="宋体" w:cs="宋体"/>
                <w:color w:val="auto"/>
                <w:kern w:val="0"/>
                <w:sz w:val="24"/>
                <w:highlight w:val="none"/>
              </w:rPr>
              <w:t>21.支持外接信号输入时自动唤醒功能，整机处于关机通电状态，外接电脑显示信号通过HDMI传输线连接至整机时，整机可智能识别外接电脑设备信号输入并自动开机。</w:t>
            </w:r>
          </w:p>
          <w:p>
            <w:pPr>
              <w:widowControl/>
              <w:jc w:val="left"/>
              <w:textAlignment w:val="center"/>
              <w:rPr>
                <w:rFonts w:hint="eastAsia" w:ascii="宋体" w:hAnsi="宋体" w:cs="宋体"/>
                <w:color w:val="auto"/>
                <w:kern w:val="0"/>
                <w:sz w:val="24"/>
                <w:highlight w:val="none"/>
              </w:rPr>
            </w:pPr>
            <w:r>
              <w:rPr>
                <w:rFonts w:hint="eastAsia" w:ascii="宋体" w:hAnsi="宋体" w:cs="宋体"/>
                <w:color w:val="auto"/>
                <w:kern w:val="0"/>
                <w:sz w:val="24"/>
                <w:highlight w:val="none"/>
              </w:rPr>
              <w:t>22.具备智能手势识别功能，在任意信号源通道下可识别五指上、下、左、右方向手势滑动并调用响应功能，支持将各手势滑动方向自定义设置为无操作、熄屏、批注、桌面、半屏模式。</w:t>
            </w:r>
          </w:p>
          <w:p>
            <w:pPr>
              <w:widowControl/>
              <w:jc w:val="left"/>
              <w:textAlignment w:val="center"/>
              <w:rPr>
                <w:rFonts w:hint="eastAsia" w:ascii="宋体" w:hAnsi="宋体" w:cs="宋体"/>
                <w:color w:val="auto"/>
                <w:kern w:val="0"/>
                <w:sz w:val="24"/>
                <w:highlight w:val="none"/>
              </w:rPr>
            </w:pPr>
            <w:r>
              <w:rPr>
                <w:rFonts w:hint="eastAsia" w:ascii="宋体" w:hAnsi="宋体" w:cs="宋体"/>
                <w:color w:val="auto"/>
                <w:kern w:val="0"/>
                <w:sz w:val="24"/>
                <w:highlight w:val="none"/>
              </w:rPr>
              <w:t>23.整机内置专业硬件自检维护工具（非第三方工具），支持对触摸框、PC模块等模块进行检测，针对不同模块给出问题原因提示。</w:t>
            </w:r>
          </w:p>
          <w:p>
            <w:pPr>
              <w:widowControl/>
              <w:jc w:val="left"/>
              <w:textAlignment w:val="center"/>
              <w:rPr>
                <w:rFonts w:hint="eastAsia" w:ascii="宋体" w:hAnsi="宋体" w:cs="宋体"/>
                <w:color w:val="auto"/>
                <w:kern w:val="0"/>
                <w:sz w:val="24"/>
                <w:highlight w:val="none"/>
              </w:rPr>
            </w:pPr>
            <w:r>
              <w:rPr>
                <w:rFonts w:hint="eastAsia" w:ascii="宋体" w:hAnsi="宋体" w:cs="宋体"/>
                <w:color w:val="auto"/>
                <w:kern w:val="0"/>
                <w:sz w:val="24"/>
                <w:highlight w:val="none"/>
              </w:rPr>
              <w:t>24.支持同一支红外笔笔头、笔尾书写不同的颜色，且颜色可自定义。</w:t>
            </w:r>
          </w:p>
          <w:p>
            <w:pPr>
              <w:widowControl/>
              <w:jc w:val="left"/>
              <w:textAlignment w:val="center"/>
              <w:rPr>
                <w:rFonts w:hint="eastAsia" w:ascii="宋体" w:hAnsi="宋体" w:cs="宋体"/>
                <w:color w:val="auto"/>
                <w:kern w:val="0"/>
                <w:sz w:val="24"/>
                <w:highlight w:val="none"/>
              </w:rPr>
            </w:pPr>
            <w:r>
              <w:rPr>
                <w:rFonts w:hint="eastAsia" w:ascii="宋体" w:hAnsi="宋体" w:cs="宋体"/>
                <w:color w:val="auto"/>
                <w:kern w:val="0"/>
                <w:sz w:val="24"/>
                <w:highlight w:val="none"/>
              </w:rPr>
              <w:t>25.整机屏幕触摸有效识别高度不超过3.5mm,，即触摸物体距离玻璃外表面高度不超过3.5mm时，触摸屏识别为点击操作。 </w:t>
            </w:r>
          </w:p>
          <w:p>
            <w:pPr>
              <w:widowControl/>
              <w:jc w:val="left"/>
              <w:textAlignment w:val="center"/>
              <w:rPr>
                <w:rFonts w:hint="eastAsia" w:ascii="宋体" w:hAnsi="宋体" w:cs="宋体"/>
                <w:color w:val="auto"/>
                <w:kern w:val="0"/>
                <w:sz w:val="24"/>
                <w:highlight w:val="none"/>
              </w:rPr>
            </w:pPr>
            <w:r>
              <w:rPr>
                <w:rFonts w:hint="eastAsia" w:ascii="宋体" w:hAnsi="宋体" w:cs="宋体"/>
                <w:color w:val="auto"/>
                <w:kern w:val="0"/>
                <w:sz w:val="24"/>
                <w:highlight w:val="none"/>
              </w:rPr>
              <w:t>26.无PC状态下，嵌入式Android操作系统下可实现windows系统中常用的教学应用功能，如白板书写、WPS软件使用、网页浏览。</w:t>
            </w:r>
          </w:p>
          <w:p>
            <w:pPr>
              <w:widowControl/>
              <w:jc w:val="left"/>
              <w:textAlignment w:val="center"/>
              <w:rPr>
                <w:rFonts w:hint="eastAsia" w:ascii="宋体" w:hAnsi="宋体" w:cs="宋体"/>
                <w:color w:val="auto"/>
                <w:kern w:val="0"/>
                <w:sz w:val="24"/>
                <w:highlight w:val="none"/>
              </w:rPr>
            </w:pPr>
            <w:r>
              <w:rPr>
                <w:rFonts w:hint="eastAsia" w:ascii="宋体" w:hAnsi="宋体" w:cs="宋体"/>
                <w:color w:val="auto"/>
                <w:kern w:val="0"/>
                <w:sz w:val="24"/>
                <w:highlight w:val="none"/>
              </w:rPr>
              <w:t>二、内置电脑配置</w:t>
            </w:r>
          </w:p>
          <w:p>
            <w:pPr>
              <w:widowControl/>
              <w:jc w:val="left"/>
              <w:textAlignment w:val="center"/>
              <w:rPr>
                <w:rFonts w:hint="eastAsia" w:cs="宋体"/>
                <w:color w:val="auto"/>
                <w:kern w:val="0"/>
                <w:sz w:val="24"/>
                <w:highlight w:val="none"/>
                <w:lang w:eastAsia="zh-CN"/>
              </w:rPr>
            </w:pPr>
            <w:r>
              <w:rPr>
                <w:rFonts w:hint="eastAsia" w:ascii="宋体" w:hAnsi="宋体" w:cs="宋体"/>
                <w:color w:val="auto"/>
                <w:kern w:val="0"/>
                <w:sz w:val="24"/>
                <w:highlight w:val="none"/>
              </w:rPr>
              <w:t>1.主板采用H310芯片组，搭载Intel 酷睿系列I5 CPU或以上，内存：8GB DDR4</w:t>
            </w:r>
            <w:r>
              <w:rPr>
                <w:rFonts w:hint="eastAsia" w:cs="宋体"/>
                <w:color w:val="auto"/>
                <w:kern w:val="0"/>
                <w:sz w:val="24"/>
                <w:highlight w:val="none"/>
                <w:lang w:eastAsia="zh-CN"/>
              </w:rPr>
              <w:t>。</w:t>
            </w:r>
          </w:p>
          <w:p>
            <w:pPr>
              <w:widowControl/>
              <w:jc w:val="left"/>
              <w:textAlignment w:val="center"/>
              <w:rPr>
                <w:rFonts w:hint="eastAsia" w:cs="宋体"/>
                <w:color w:val="auto"/>
                <w:kern w:val="0"/>
                <w:sz w:val="24"/>
                <w:highlight w:val="none"/>
                <w:lang w:val="en-US" w:eastAsia="zh-CN"/>
              </w:rPr>
            </w:pPr>
            <w:r>
              <w:rPr>
                <w:rFonts w:hint="eastAsia" w:cs="宋体"/>
                <w:color w:val="auto"/>
                <w:kern w:val="0"/>
                <w:sz w:val="24"/>
                <w:highlight w:val="none"/>
                <w:lang w:val="en-US" w:eastAsia="zh-CN"/>
              </w:rPr>
              <w:t>三、配置移动支架</w:t>
            </w:r>
          </w:p>
          <w:p>
            <w:pPr>
              <w:widowControl/>
              <w:jc w:val="left"/>
              <w:textAlignment w:val="center"/>
              <w:rPr>
                <w:rFonts w:hint="eastAsia" w:cs="宋体"/>
                <w:color w:val="auto"/>
                <w:kern w:val="0"/>
                <w:sz w:val="24"/>
                <w:highlight w:val="none"/>
                <w:lang w:val="en-US" w:eastAsia="zh-CN"/>
              </w:rPr>
            </w:pPr>
            <w:r>
              <w:rPr>
                <w:rFonts w:hint="eastAsia" w:cs="宋体"/>
                <w:color w:val="auto"/>
                <w:kern w:val="0"/>
                <w:sz w:val="24"/>
                <w:highlight w:val="none"/>
                <w:lang w:val="en-US" w:eastAsia="zh-CN"/>
              </w:rPr>
              <w:t>1.移动支架通过防倾斜实验，正负10度倾斜角度下不能翻倒；</w:t>
            </w:r>
          </w:p>
          <w:p>
            <w:pPr>
              <w:widowControl/>
              <w:jc w:val="left"/>
              <w:textAlignment w:val="center"/>
              <w:rPr>
                <w:rFonts w:hint="eastAsia" w:cs="宋体"/>
                <w:color w:val="auto"/>
                <w:kern w:val="0"/>
                <w:sz w:val="24"/>
                <w:highlight w:val="none"/>
                <w:lang w:val="en-US" w:eastAsia="zh-CN"/>
              </w:rPr>
            </w:pPr>
            <w:r>
              <w:rPr>
                <w:rFonts w:hint="eastAsia" w:cs="宋体"/>
                <w:color w:val="auto"/>
                <w:kern w:val="0"/>
                <w:sz w:val="24"/>
                <w:highlight w:val="none"/>
                <w:lang w:val="en-US" w:eastAsia="zh-CN"/>
              </w:rPr>
              <w:t>2.承挂≥100kg，壁挂高度可调；整体高度≥1597mm；</w:t>
            </w:r>
          </w:p>
          <w:p>
            <w:pPr>
              <w:widowControl/>
              <w:jc w:val="left"/>
              <w:textAlignment w:val="center"/>
              <w:rPr>
                <w:rFonts w:hint="eastAsia" w:cs="宋体"/>
                <w:color w:val="auto"/>
                <w:kern w:val="0"/>
                <w:sz w:val="24"/>
                <w:highlight w:val="none"/>
                <w:lang w:val="en-US" w:eastAsia="zh-CN"/>
              </w:rPr>
            </w:pPr>
            <w:r>
              <w:rPr>
                <w:rFonts w:hint="eastAsia" w:cs="宋体"/>
                <w:color w:val="auto"/>
                <w:kern w:val="0"/>
                <w:sz w:val="24"/>
                <w:highlight w:val="none"/>
                <w:lang w:val="en-US" w:eastAsia="zh-CN"/>
              </w:rPr>
              <w:t>3.托盘承重25KG,模具设置U型置物槽，方便触摸笔、遥控器等物品放置；</w:t>
            </w:r>
          </w:p>
          <w:p>
            <w:pPr>
              <w:widowControl/>
              <w:jc w:val="left"/>
              <w:textAlignment w:val="center"/>
              <w:rPr>
                <w:rFonts w:hint="eastAsia" w:cs="宋体"/>
                <w:color w:val="auto"/>
                <w:kern w:val="0"/>
                <w:sz w:val="24"/>
                <w:highlight w:val="none"/>
                <w:lang w:val="en-US" w:eastAsia="zh-CN"/>
              </w:rPr>
            </w:pPr>
            <w:r>
              <w:rPr>
                <w:rFonts w:hint="eastAsia" w:cs="宋体"/>
                <w:color w:val="auto"/>
                <w:kern w:val="0"/>
                <w:sz w:val="24"/>
                <w:highlight w:val="none"/>
                <w:lang w:val="en-US" w:eastAsia="zh-CN"/>
              </w:rPr>
              <w:t>4.支撑立杆采用壁厚≥1.8mm方通冷轧钢材质，表面黑色喷涂；</w:t>
            </w:r>
          </w:p>
          <w:p>
            <w:pPr>
              <w:widowControl/>
              <w:jc w:val="left"/>
              <w:textAlignment w:val="center"/>
              <w:rPr>
                <w:rFonts w:hint="eastAsia" w:cs="宋体"/>
                <w:color w:val="auto"/>
                <w:kern w:val="0"/>
                <w:sz w:val="24"/>
                <w:highlight w:val="none"/>
                <w:lang w:val="en-US" w:eastAsia="zh-CN"/>
              </w:rPr>
            </w:pPr>
            <w:r>
              <w:rPr>
                <w:rFonts w:hint="eastAsia" w:cs="宋体"/>
                <w:color w:val="auto"/>
                <w:kern w:val="0"/>
                <w:sz w:val="24"/>
                <w:highlight w:val="none"/>
                <w:lang w:val="en-US" w:eastAsia="zh-CN"/>
              </w:rPr>
              <w:t>5.脚轮为万向轮，聚氨酯（PU）材质，均带脚刹，直径不小于∮75mm；</w:t>
            </w:r>
          </w:p>
          <w:p>
            <w:pPr>
              <w:widowControl/>
              <w:jc w:val="left"/>
              <w:textAlignment w:val="center"/>
              <w:rPr>
                <w:rFonts w:hint="default" w:ascii="宋体" w:hAnsi="宋体" w:eastAsia="宋体" w:cs="宋体"/>
                <w:color w:val="auto"/>
                <w:kern w:val="0"/>
                <w:sz w:val="24"/>
                <w:highlight w:val="none"/>
                <w:lang w:val="en-US" w:eastAsia="zh-CN"/>
              </w:rPr>
            </w:pPr>
            <w:r>
              <w:rPr>
                <w:rFonts w:hint="eastAsia" w:cs="宋体"/>
                <w:color w:val="auto"/>
                <w:kern w:val="0"/>
                <w:sz w:val="24"/>
                <w:highlight w:val="none"/>
                <w:lang w:val="en-US" w:eastAsia="zh-CN"/>
              </w:rPr>
              <w:t>6.脚轮中心距横向≥1115mm，纵向≥627mm</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highlight w:val="none"/>
                <w:lang w:val="en-US" w:eastAsia="zh-CN"/>
              </w:rPr>
            </w:pPr>
            <w:r>
              <w:rPr>
                <w:rFonts w:hint="eastAsia" w:cs="宋体"/>
                <w:color w:val="000000"/>
                <w:kern w:val="0"/>
                <w:sz w:val="24"/>
                <w:highlight w:val="none"/>
                <w:lang w:val="en-US" w:eastAsia="zh-CN"/>
              </w:rPr>
              <w:t>1</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highlight w:val="none"/>
                <w:lang w:val="en-US" w:eastAsia="zh-CN"/>
              </w:rPr>
            </w:pPr>
            <w:r>
              <w:rPr>
                <w:rFonts w:hint="eastAsia" w:cs="宋体"/>
                <w:color w:val="000000"/>
                <w:kern w:val="0"/>
                <w:sz w:val="24"/>
                <w:highlight w:val="none"/>
                <w:lang w:val="en-US" w:eastAsia="zh-CN"/>
              </w:rPr>
              <w:t>台</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trHeight w:val="7287"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highlight w:val="none"/>
                <w:lang w:eastAsia="zh-CN"/>
              </w:rPr>
            </w:pPr>
            <w:r>
              <w:rPr>
                <w:rFonts w:hint="eastAsia" w:cs="宋体"/>
                <w:color w:val="000000"/>
                <w:kern w:val="0"/>
                <w:sz w:val="24"/>
                <w:highlight w:val="none"/>
                <w:lang w:val="en-US" w:eastAsia="zh-CN"/>
              </w:rPr>
              <w:t>3</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六角实验桌</w:t>
            </w:r>
          </w:p>
        </w:tc>
        <w:tc>
          <w:tcPr>
            <w:tcW w:w="398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宋体" w:hAnsi="宋体" w:cs="宋体"/>
                <w:color w:val="auto"/>
                <w:kern w:val="0"/>
                <w:sz w:val="24"/>
                <w:highlight w:val="none"/>
              </w:rPr>
            </w:pPr>
            <w:r>
              <w:rPr>
                <w:rFonts w:hint="eastAsia" w:ascii="宋体" w:hAnsi="宋体" w:cs="宋体"/>
                <w:color w:val="auto"/>
                <w:kern w:val="0"/>
                <w:sz w:val="24"/>
                <w:highlight w:val="none"/>
              </w:rPr>
              <w:t>尺寸：1400*700*780MM</w:t>
            </w:r>
            <w:r>
              <w:rPr>
                <w:rFonts w:hint="eastAsia" w:ascii="宋体" w:hAnsi="宋体" w:cs="宋体"/>
                <w:color w:val="auto"/>
                <w:kern w:val="0"/>
                <w:sz w:val="22"/>
                <w:szCs w:val="22"/>
                <w:highlight w:val="none"/>
              </w:rPr>
              <w:t>（六角桌）</w:t>
            </w:r>
          </w:p>
          <w:p>
            <w:pPr>
              <w:widowControl/>
              <w:jc w:val="left"/>
              <w:textAlignment w:val="top"/>
              <w:rPr>
                <w:rFonts w:hint="eastAsia" w:ascii="宋体" w:hAnsi="宋体" w:cs="宋体"/>
                <w:color w:val="auto"/>
                <w:kern w:val="0"/>
                <w:sz w:val="24"/>
                <w:highlight w:val="none"/>
              </w:rPr>
            </w:pPr>
            <w:r>
              <w:rPr>
                <w:rFonts w:hint="eastAsia" w:ascii="宋体" w:hAnsi="宋体" w:cs="宋体"/>
                <w:color w:val="auto"/>
                <w:kern w:val="0"/>
                <w:sz w:val="24"/>
                <w:highlight w:val="none"/>
              </w:rPr>
              <w:t>桌面：采用12.7mm厚、四周加厚至25.4mm厚实芯理化板，抗弯、易清洁、耐磨、耐辐射、耐高温、耐冲击、耐酸碱、耐腐蚀、防静电、防水、防火，机械打磨,造型美观。</w:t>
            </w:r>
          </w:p>
          <w:p>
            <w:pPr>
              <w:widowControl/>
              <w:jc w:val="left"/>
              <w:textAlignment w:val="top"/>
              <w:rPr>
                <w:rFonts w:hint="eastAsia" w:ascii="宋体" w:hAnsi="宋体" w:cs="宋体"/>
                <w:color w:val="auto"/>
                <w:kern w:val="0"/>
                <w:sz w:val="24"/>
                <w:highlight w:val="none"/>
              </w:rPr>
            </w:pPr>
            <w:r>
              <w:rPr>
                <w:rFonts w:hint="eastAsia" w:ascii="宋体" w:hAnsi="宋体" w:cs="宋体"/>
                <w:color w:val="auto"/>
                <w:kern w:val="0"/>
                <w:sz w:val="24"/>
                <w:highlight w:val="none"/>
              </w:rPr>
              <w:t>台身：16mm三聚氰胺板，其截面由硬质PVC利用进口封边机械高温热压封边。</w:t>
            </w:r>
          </w:p>
          <w:p>
            <w:pPr>
              <w:widowControl/>
              <w:jc w:val="left"/>
              <w:textAlignment w:val="top"/>
              <w:rPr>
                <w:rFonts w:hint="eastAsia" w:ascii="宋体" w:hAnsi="宋体" w:cs="宋体"/>
                <w:color w:val="auto"/>
                <w:kern w:val="0"/>
                <w:sz w:val="24"/>
                <w:highlight w:val="none"/>
              </w:rPr>
            </w:pPr>
            <w:r>
              <w:rPr>
                <w:rFonts w:hint="eastAsia" w:ascii="宋体" w:hAnsi="宋体" w:cs="宋体"/>
                <w:color w:val="auto"/>
                <w:kern w:val="0"/>
                <w:sz w:val="24"/>
                <w:highlight w:val="none"/>
              </w:rPr>
              <w:t>结构：铝木结构。板材为16mm三聚氰胺板，其四条截面均用进口封存边机械高温热压封边，其中外露的边用2mm硬质PVC封边条，其余用1mm软质封边条封边。台两侧板设置学生电源为220V、50HZ及学生实验电源。每台为六座，六个抽屉。</w:t>
            </w:r>
          </w:p>
          <w:p>
            <w:pPr>
              <w:widowControl/>
              <w:jc w:val="left"/>
              <w:textAlignment w:val="top"/>
              <w:rPr>
                <w:rFonts w:hint="eastAsia" w:ascii="宋体" w:hAnsi="宋体" w:cs="宋体"/>
                <w:color w:val="auto"/>
                <w:kern w:val="0"/>
                <w:sz w:val="24"/>
                <w:highlight w:val="none"/>
              </w:rPr>
            </w:pPr>
            <w:r>
              <w:rPr>
                <w:rFonts w:hint="eastAsia" w:ascii="宋体" w:hAnsi="宋体" w:cs="宋体"/>
                <w:color w:val="auto"/>
                <w:kern w:val="0"/>
                <w:sz w:val="24"/>
                <w:highlight w:val="none"/>
              </w:rPr>
              <w:t>脚垫：采用进口ABS工程塑料，模具注塑成形，高20mm防水及防潮。有效使设备寿命延长。</w:t>
            </w:r>
          </w:p>
          <w:p>
            <w:pPr>
              <w:widowControl/>
              <w:jc w:val="left"/>
              <w:textAlignment w:val="top"/>
              <w:rPr>
                <w:rFonts w:hint="eastAsia" w:ascii="宋体" w:hAnsi="宋体" w:cs="宋体"/>
                <w:color w:val="000000"/>
                <w:sz w:val="24"/>
                <w:highlight w:val="none"/>
              </w:rPr>
            </w:pPr>
            <w:r>
              <w:rPr>
                <w:rFonts w:hint="eastAsia" w:ascii="宋体" w:hAnsi="宋体" w:cs="宋体"/>
                <w:color w:val="auto"/>
                <w:kern w:val="0"/>
                <w:sz w:val="24"/>
                <w:highlight w:val="none"/>
              </w:rPr>
              <w:t>★投标人应提供有资质的检测机构出具的检测报告复印件，供货厂家投标授权书复印件和质保服务承诺函复印件加盖厂家公章</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24</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张</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trHeight w:val="2826"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highlight w:val="none"/>
                <w:lang w:eastAsia="zh-CN"/>
              </w:rPr>
            </w:pPr>
            <w:r>
              <w:rPr>
                <w:rFonts w:hint="eastAsia" w:cs="宋体"/>
                <w:color w:val="000000"/>
                <w:kern w:val="0"/>
                <w:sz w:val="24"/>
                <w:highlight w:val="none"/>
                <w:lang w:val="en-US" w:eastAsia="zh-CN"/>
              </w:rPr>
              <w:t>4</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教师总控电源</w:t>
            </w:r>
          </w:p>
        </w:tc>
        <w:tc>
          <w:tcPr>
            <w:tcW w:w="3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4"/>
                <w:highlight w:val="none"/>
              </w:rPr>
            </w:pPr>
            <w:r>
              <w:rPr>
                <w:rFonts w:hint="eastAsia" w:ascii="宋体" w:hAnsi="宋体" w:cs="宋体"/>
                <w:color w:val="auto"/>
                <w:kern w:val="0"/>
                <w:sz w:val="24"/>
                <w:highlight w:val="none"/>
              </w:rPr>
              <w:t>1、采用国内先进按钮旋转式，功能齐全、操作简便、安全（通过省教育部教育装备检测中心检测）。配有漏电自动保护装置。控制全室学生电源。且符合 JY/T0374-2004《教学实验室设备电源系统》标准，电源主控台采用抽屉结构机箱；豪华型电箱，空气开关，能分控4组学生电源，电源面板为触摸式。</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3</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套</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trHeight w:val="1887"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highlight w:val="none"/>
                <w:lang w:eastAsia="zh-CN"/>
              </w:rPr>
            </w:pPr>
            <w:r>
              <w:rPr>
                <w:rFonts w:hint="eastAsia" w:cs="宋体"/>
                <w:color w:val="000000"/>
                <w:kern w:val="0"/>
                <w:sz w:val="24"/>
                <w:highlight w:val="none"/>
                <w:lang w:val="en-US" w:eastAsia="zh-CN"/>
              </w:rPr>
              <w:t>5</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学生实验电源</w:t>
            </w:r>
          </w:p>
        </w:tc>
        <w:tc>
          <w:tcPr>
            <w:tcW w:w="3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阻燃型交流220V多功能5A带防护十孔插座。且符合 JY/T0374-2004《教学实验室设备电源系统》标准，采用国内知名品牌，并具备过载和短路保护功能。</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24</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套</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trHeight w:val="1289"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highlight w:val="none"/>
                <w:lang w:eastAsia="zh-CN"/>
              </w:rPr>
            </w:pPr>
            <w:r>
              <w:rPr>
                <w:rFonts w:hint="eastAsia" w:cs="宋体"/>
                <w:color w:val="000000"/>
                <w:kern w:val="0"/>
                <w:sz w:val="24"/>
                <w:highlight w:val="none"/>
                <w:lang w:val="en-US" w:eastAsia="zh-CN"/>
              </w:rPr>
              <w:t>6</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电气布线</w:t>
            </w:r>
          </w:p>
        </w:tc>
        <w:tc>
          <w:tcPr>
            <w:tcW w:w="3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4"/>
                <w:highlight w:val="none"/>
              </w:rPr>
            </w:pPr>
            <w:r>
              <w:rPr>
                <w:rStyle w:val="22"/>
                <w:rFonts w:hint="default"/>
                <w:highlight w:val="none"/>
              </w:rPr>
              <w:t>铺设优质耐压PVC套管或实验专用压线板，主干电源线采用4</w:t>
            </w:r>
            <w:r>
              <w:rPr>
                <w:rStyle w:val="23"/>
                <w:highlight w:val="none"/>
              </w:rPr>
              <w:t>㎡</w:t>
            </w:r>
            <w:r>
              <w:rPr>
                <w:rStyle w:val="22"/>
                <w:rFonts w:hint="default"/>
                <w:highlight w:val="none"/>
              </w:rPr>
              <w:t>优质多芯铜质护套线，支干电源线采用2.5</w:t>
            </w:r>
            <w:r>
              <w:rPr>
                <w:rStyle w:val="23"/>
                <w:highlight w:val="none"/>
              </w:rPr>
              <w:t>㎡</w:t>
            </w:r>
            <w:r>
              <w:rPr>
                <w:rStyle w:val="22"/>
                <w:rFonts w:hint="default"/>
                <w:highlight w:val="none"/>
              </w:rPr>
              <w:t>、1.5</w:t>
            </w:r>
            <w:r>
              <w:rPr>
                <w:rStyle w:val="23"/>
                <w:highlight w:val="none"/>
              </w:rPr>
              <w:t>㎡</w:t>
            </w:r>
            <w:r>
              <w:rPr>
                <w:rStyle w:val="22"/>
                <w:rFonts w:hint="default"/>
                <w:highlight w:val="none"/>
              </w:rPr>
              <w:t>优质多芯铜质护套线。</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3</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项</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trHeight w:val="1261"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highlight w:val="none"/>
                <w:lang w:eastAsia="zh-CN"/>
              </w:rPr>
            </w:pPr>
            <w:r>
              <w:rPr>
                <w:rFonts w:hint="eastAsia" w:cs="宋体"/>
                <w:color w:val="000000"/>
                <w:kern w:val="0"/>
                <w:sz w:val="24"/>
                <w:highlight w:val="none"/>
                <w:lang w:val="en-US" w:eastAsia="zh-CN"/>
              </w:rPr>
              <w:t>7</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教师转椅</w:t>
            </w:r>
          </w:p>
        </w:tc>
        <w:tc>
          <w:tcPr>
            <w:tcW w:w="3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五轮升降转椅，高弹性网布面料 高密度海绵座垫，气压式升降装。</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3</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张</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trHeight w:val="3452"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highlight w:val="none"/>
                <w:lang w:eastAsia="zh-CN"/>
              </w:rPr>
            </w:pPr>
            <w:r>
              <w:rPr>
                <w:rFonts w:hint="eastAsia" w:cs="宋体"/>
                <w:color w:val="000000"/>
                <w:kern w:val="0"/>
                <w:sz w:val="24"/>
                <w:highlight w:val="none"/>
                <w:lang w:val="en-US" w:eastAsia="zh-CN"/>
              </w:rPr>
              <w:t>8</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学生凳</w:t>
            </w:r>
          </w:p>
        </w:tc>
        <w:tc>
          <w:tcPr>
            <w:tcW w:w="3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1、凳面：采用高密度ABS材质的凳面，直径320mm，凳面表层有颗粒凸起（乳白色），起到按摩抗疲劳作用。凳面下有底盖，底盖和凳面之间装有壁厚为1.5mm厚直径为160mm钢板托盘，使得凳子更加稳固。</w:t>
            </w:r>
            <w:r>
              <w:rPr>
                <w:rFonts w:hint="eastAsia" w:ascii="宋体" w:hAnsi="宋体" w:cs="宋体"/>
                <w:color w:val="000000"/>
                <w:kern w:val="0"/>
                <w:sz w:val="24"/>
                <w:highlight w:val="none"/>
              </w:rPr>
              <w:br w:type="textWrapping"/>
            </w:r>
            <w:r>
              <w:rPr>
                <w:rFonts w:hint="eastAsia" w:ascii="宋体" w:hAnsi="宋体" w:cs="宋体"/>
                <w:color w:val="000000"/>
                <w:kern w:val="0"/>
                <w:sz w:val="24"/>
                <w:highlight w:val="none"/>
              </w:rPr>
              <w:t>2、凳脚：4个凳脚采用20×40×1.2mm的无缝钢管一次弯曲成型，全自动焊接机械手焊接，焊点准确且均匀，四脚配耐磨脚垫，防滑消音，保护地板。质量稳定，坚固耐用，美观大方。</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144</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张</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trHeight w:val="879"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highlight w:val="none"/>
              </w:rPr>
            </w:pP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highlight w:val="none"/>
              </w:rPr>
            </w:pPr>
          </w:p>
        </w:tc>
        <w:tc>
          <w:tcPr>
            <w:tcW w:w="3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合计</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highlight w:val="none"/>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highlight w:val="none"/>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highlight w:val="none"/>
              </w:rPr>
            </w:pP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2"/>
                <w:szCs w:val="22"/>
                <w:highlight w:val="none"/>
              </w:rPr>
            </w:pPr>
          </w:p>
        </w:tc>
      </w:tr>
      <w:tr>
        <w:tblPrEx>
          <w:tblCellMar>
            <w:top w:w="0" w:type="dxa"/>
            <w:left w:w="108" w:type="dxa"/>
            <w:bottom w:w="0" w:type="dxa"/>
            <w:right w:w="108" w:type="dxa"/>
          </w:tblCellMar>
        </w:tblPrEx>
        <w:trPr>
          <w:trHeight w:val="664" w:hRule="atLeast"/>
        </w:trPr>
        <w:tc>
          <w:tcPr>
            <w:tcW w:w="456" w:type="dxa"/>
            <w:tcBorders>
              <w:top w:val="nil"/>
              <w:left w:val="nil"/>
              <w:bottom w:val="nil"/>
              <w:right w:val="nil"/>
            </w:tcBorders>
            <w:vAlign w:val="center"/>
          </w:tcPr>
          <w:p>
            <w:pPr>
              <w:jc w:val="center"/>
              <w:rPr>
                <w:rFonts w:hint="eastAsia" w:ascii="宋体" w:hAnsi="宋体" w:cs="宋体"/>
                <w:color w:val="000000"/>
                <w:sz w:val="24"/>
                <w:highlight w:val="none"/>
              </w:rPr>
            </w:pPr>
          </w:p>
        </w:tc>
        <w:tc>
          <w:tcPr>
            <w:tcW w:w="6942" w:type="dxa"/>
            <w:gridSpan w:val="5"/>
            <w:tcBorders>
              <w:top w:val="single" w:color="000000" w:sz="4" w:space="0"/>
              <w:left w:val="nil"/>
              <w:bottom w:val="nil"/>
              <w:right w:val="nil"/>
            </w:tcBorders>
            <w:vAlign w:val="center"/>
          </w:tcPr>
          <w:p>
            <w:pPr>
              <w:widowControl/>
              <w:jc w:val="center"/>
              <w:textAlignment w:val="center"/>
              <w:rPr>
                <w:rFonts w:hint="eastAsia" w:ascii="宋体" w:hAnsi="宋体" w:cs="宋体"/>
                <w:color w:val="000000"/>
                <w:sz w:val="24"/>
                <w:highlight w:val="none"/>
              </w:rPr>
            </w:pPr>
          </w:p>
        </w:tc>
        <w:tc>
          <w:tcPr>
            <w:tcW w:w="986" w:type="dxa"/>
            <w:tcBorders>
              <w:top w:val="nil"/>
              <w:left w:val="nil"/>
              <w:bottom w:val="nil"/>
              <w:right w:val="nil"/>
            </w:tcBorders>
            <w:vAlign w:val="center"/>
          </w:tcPr>
          <w:p>
            <w:pPr>
              <w:widowControl/>
              <w:jc w:val="center"/>
              <w:textAlignment w:val="center"/>
              <w:rPr>
                <w:rFonts w:hint="eastAsia" w:ascii="宋体" w:hAnsi="宋体" w:cs="宋体"/>
                <w:color w:val="000000"/>
                <w:sz w:val="24"/>
                <w:highlight w:val="none"/>
              </w:rPr>
            </w:pPr>
          </w:p>
        </w:tc>
        <w:tc>
          <w:tcPr>
            <w:tcW w:w="876" w:type="dxa"/>
            <w:tcBorders>
              <w:top w:val="nil"/>
              <w:left w:val="nil"/>
              <w:bottom w:val="nil"/>
              <w:right w:val="nil"/>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34" w:hRule="atLeast"/>
        </w:trPr>
        <w:tc>
          <w:tcPr>
            <w:tcW w:w="456" w:type="dxa"/>
            <w:tcBorders>
              <w:top w:val="nil"/>
              <w:left w:val="nil"/>
              <w:bottom w:val="nil"/>
              <w:right w:val="nil"/>
            </w:tcBorders>
            <w:noWrap/>
            <w:vAlign w:val="bottom"/>
          </w:tcPr>
          <w:p>
            <w:pPr>
              <w:rPr>
                <w:rFonts w:hint="eastAsia" w:ascii="宋体" w:hAnsi="宋体" w:cs="宋体"/>
                <w:color w:val="000000"/>
                <w:sz w:val="22"/>
                <w:szCs w:val="22"/>
                <w:highlight w:val="none"/>
              </w:rPr>
            </w:pPr>
          </w:p>
        </w:tc>
        <w:tc>
          <w:tcPr>
            <w:tcW w:w="664" w:type="dxa"/>
            <w:tcBorders>
              <w:top w:val="nil"/>
              <w:left w:val="nil"/>
              <w:bottom w:val="nil"/>
              <w:right w:val="nil"/>
            </w:tcBorders>
            <w:noWrap/>
            <w:vAlign w:val="bottom"/>
          </w:tcPr>
          <w:p>
            <w:pPr>
              <w:rPr>
                <w:rFonts w:hint="eastAsia" w:ascii="宋体" w:hAnsi="宋体" w:cs="宋体"/>
                <w:color w:val="000000"/>
                <w:sz w:val="22"/>
                <w:szCs w:val="22"/>
                <w:highlight w:val="none"/>
              </w:rPr>
            </w:pPr>
          </w:p>
        </w:tc>
        <w:tc>
          <w:tcPr>
            <w:tcW w:w="3980" w:type="dxa"/>
            <w:tcBorders>
              <w:top w:val="nil"/>
              <w:left w:val="nil"/>
              <w:bottom w:val="nil"/>
              <w:right w:val="nil"/>
            </w:tcBorders>
            <w:noWrap/>
            <w:vAlign w:val="bottom"/>
          </w:tcPr>
          <w:p>
            <w:pPr>
              <w:rPr>
                <w:rFonts w:hint="eastAsia" w:ascii="宋体" w:hAnsi="宋体" w:cs="宋体"/>
                <w:color w:val="000000"/>
                <w:sz w:val="22"/>
                <w:szCs w:val="22"/>
                <w:highlight w:val="none"/>
              </w:rPr>
            </w:pPr>
          </w:p>
        </w:tc>
        <w:tc>
          <w:tcPr>
            <w:tcW w:w="656" w:type="dxa"/>
            <w:tcBorders>
              <w:top w:val="nil"/>
              <w:left w:val="nil"/>
              <w:bottom w:val="nil"/>
              <w:right w:val="nil"/>
            </w:tcBorders>
            <w:noWrap/>
            <w:vAlign w:val="bottom"/>
          </w:tcPr>
          <w:p>
            <w:pPr>
              <w:rPr>
                <w:rFonts w:hint="eastAsia" w:ascii="宋体" w:hAnsi="宋体" w:cs="宋体"/>
                <w:color w:val="000000"/>
                <w:sz w:val="22"/>
                <w:szCs w:val="22"/>
                <w:highlight w:val="none"/>
              </w:rPr>
            </w:pPr>
          </w:p>
        </w:tc>
        <w:tc>
          <w:tcPr>
            <w:tcW w:w="656" w:type="dxa"/>
            <w:tcBorders>
              <w:top w:val="nil"/>
              <w:left w:val="nil"/>
              <w:bottom w:val="nil"/>
              <w:right w:val="nil"/>
            </w:tcBorders>
            <w:noWrap/>
            <w:vAlign w:val="bottom"/>
          </w:tcPr>
          <w:p>
            <w:pPr>
              <w:rPr>
                <w:rFonts w:hint="eastAsia" w:ascii="宋体" w:hAnsi="宋体" w:cs="宋体"/>
                <w:color w:val="000000"/>
                <w:sz w:val="22"/>
                <w:szCs w:val="22"/>
                <w:highlight w:val="none"/>
              </w:rPr>
            </w:pPr>
          </w:p>
        </w:tc>
        <w:tc>
          <w:tcPr>
            <w:tcW w:w="986" w:type="dxa"/>
            <w:tcBorders>
              <w:top w:val="nil"/>
              <w:left w:val="nil"/>
              <w:bottom w:val="nil"/>
              <w:right w:val="nil"/>
            </w:tcBorders>
            <w:noWrap/>
            <w:vAlign w:val="bottom"/>
          </w:tcPr>
          <w:p>
            <w:pPr>
              <w:rPr>
                <w:rFonts w:hint="eastAsia" w:ascii="宋体" w:hAnsi="宋体" w:cs="宋体"/>
                <w:color w:val="000000"/>
                <w:sz w:val="22"/>
                <w:szCs w:val="22"/>
                <w:highlight w:val="none"/>
              </w:rPr>
            </w:pPr>
          </w:p>
        </w:tc>
        <w:tc>
          <w:tcPr>
            <w:tcW w:w="986" w:type="dxa"/>
            <w:tcBorders>
              <w:top w:val="nil"/>
              <w:left w:val="nil"/>
              <w:bottom w:val="nil"/>
              <w:right w:val="nil"/>
            </w:tcBorders>
            <w:noWrap/>
            <w:vAlign w:val="bottom"/>
          </w:tcPr>
          <w:p>
            <w:pPr>
              <w:rPr>
                <w:rFonts w:hint="eastAsia" w:ascii="宋体" w:hAnsi="宋体" w:cs="宋体"/>
                <w:color w:val="000000"/>
                <w:sz w:val="22"/>
                <w:szCs w:val="22"/>
                <w:highlight w:val="none"/>
              </w:rPr>
            </w:pPr>
          </w:p>
        </w:tc>
        <w:tc>
          <w:tcPr>
            <w:tcW w:w="876" w:type="dxa"/>
            <w:tcBorders>
              <w:top w:val="nil"/>
              <w:left w:val="nil"/>
              <w:bottom w:val="nil"/>
              <w:right w:val="nil"/>
            </w:tcBorders>
            <w:noWrap/>
            <w:vAlign w:val="bottom"/>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55" w:hRule="atLeast"/>
        </w:trPr>
        <w:tc>
          <w:tcPr>
            <w:tcW w:w="11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学校</w:t>
            </w:r>
          </w:p>
        </w:tc>
        <w:tc>
          <w:tcPr>
            <w:tcW w:w="39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设备清单</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数量</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单位</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单价/元</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金额/元</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备注</w:t>
            </w:r>
          </w:p>
        </w:tc>
      </w:tr>
      <w:tr>
        <w:tblPrEx>
          <w:tblCellMar>
            <w:top w:w="0" w:type="dxa"/>
            <w:left w:w="108" w:type="dxa"/>
            <w:bottom w:w="0" w:type="dxa"/>
            <w:right w:w="108" w:type="dxa"/>
          </w:tblCellMar>
        </w:tblPrEx>
        <w:trPr>
          <w:trHeight w:val="948" w:hRule="atLeast"/>
        </w:trPr>
        <w:tc>
          <w:tcPr>
            <w:tcW w:w="11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五指山市第一小学</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highlight w:val="none"/>
              </w:rPr>
            </w:pPr>
            <w:r>
              <w:rPr>
                <w:rFonts w:hint="eastAsia" w:cs="宋体"/>
                <w:color w:val="000000"/>
                <w:kern w:val="0"/>
                <w:sz w:val="22"/>
                <w:szCs w:val="22"/>
                <w:highlight w:val="none"/>
                <w:lang w:val="en-US" w:eastAsia="zh-CN"/>
              </w:rPr>
              <w:t>教学一体机1台、</w:t>
            </w:r>
            <w:r>
              <w:rPr>
                <w:rFonts w:hint="eastAsia" w:ascii="宋体" w:hAnsi="宋体" w:cs="宋体"/>
                <w:color w:val="000000"/>
                <w:kern w:val="0"/>
                <w:sz w:val="22"/>
                <w:szCs w:val="22"/>
                <w:highlight w:val="none"/>
              </w:rPr>
              <w:t>教师演示台2、六角铝塑型探究实验桌16、教师总控电源2、学生实验电源16、电气布线2、教师转椅2、学生凳96</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trHeight w:val="948" w:hRule="atLeast"/>
        </w:trPr>
        <w:tc>
          <w:tcPr>
            <w:tcW w:w="11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五指山市番阳中心学校</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教师演示台1、六角铝塑型探究实验桌8、教师总控电源1、学生实验电源8、电气布线1、教师转椅1、学生凳48</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trHeight w:val="556" w:hRule="atLeast"/>
        </w:trPr>
        <w:tc>
          <w:tcPr>
            <w:tcW w:w="510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合计</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r>
    </w:tbl>
    <w:p>
      <w:pPr>
        <w:rPr>
          <w:highlight w:val="none"/>
        </w:rPr>
      </w:pPr>
    </w:p>
    <w:p>
      <w:pPr>
        <w:rPr>
          <w:highlight w:val="none"/>
        </w:rPr>
      </w:pPr>
    </w:p>
    <w:p>
      <w:pPr>
        <w:pStyle w:val="7"/>
        <w:rPr>
          <w:highlight w:val="none"/>
        </w:rPr>
      </w:pPr>
    </w:p>
    <w:p>
      <w:pPr>
        <w:rPr>
          <w:highlight w:val="none"/>
        </w:rPr>
      </w:pPr>
    </w:p>
    <w:p>
      <w:pPr>
        <w:pStyle w:val="7"/>
        <w:rPr>
          <w:highlight w:val="none"/>
        </w:rPr>
      </w:pPr>
    </w:p>
    <w:p>
      <w:pPr>
        <w:rPr>
          <w:highlight w:val="none"/>
        </w:rPr>
      </w:pPr>
    </w:p>
    <w:p>
      <w:pPr>
        <w:pStyle w:val="7"/>
        <w:rPr>
          <w:highlight w:val="none"/>
        </w:rPr>
      </w:pPr>
    </w:p>
    <w:p>
      <w:pPr>
        <w:rPr>
          <w:highlight w:val="none"/>
        </w:rPr>
      </w:pPr>
    </w:p>
    <w:p>
      <w:pPr>
        <w:pStyle w:val="2"/>
        <w:rPr>
          <w:highlight w:val="none"/>
        </w:rPr>
      </w:pPr>
    </w:p>
    <w:p>
      <w:pPr>
        <w:rPr>
          <w:highlight w:val="none"/>
        </w:rPr>
      </w:pPr>
    </w:p>
    <w:tbl>
      <w:tblPr>
        <w:tblStyle w:val="17"/>
        <w:tblW w:w="9646" w:type="dxa"/>
        <w:tblInd w:w="93" w:type="dxa"/>
        <w:tblLayout w:type="fixed"/>
        <w:tblCellMar>
          <w:top w:w="0" w:type="dxa"/>
          <w:left w:w="108" w:type="dxa"/>
          <w:bottom w:w="0" w:type="dxa"/>
          <w:right w:w="108" w:type="dxa"/>
        </w:tblCellMar>
      </w:tblPr>
      <w:tblGrid>
        <w:gridCol w:w="456"/>
        <w:gridCol w:w="1756"/>
        <w:gridCol w:w="2856"/>
        <w:gridCol w:w="546"/>
        <w:gridCol w:w="656"/>
        <w:gridCol w:w="916"/>
        <w:gridCol w:w="876"/>
        <w:gridCol w:w="1584"/>
      </w:tblGrid>
      <w:tr>
        <w:tblPrEx>
          <w:tblCellMar>
            <w:top w:w="0" w:type="dxa"/>
            <w:left w:w="108" w:type="dxa"/>
            <w:bottom w:w="0" w:type="dxa"/>
            <w:right w:w="108" w:type="dxa"/>
          </w:tblCellMar>
        </w:tblPrEx>
        <w:trPr>
          <w:trHeight w:val="790" w:hRule="atLeast"/>
        </w:trPr>
        <w:tc>
          <w:tcPr>
            <w:tcW w:w="9646"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cs="宋体"/>
                <w:color w:val="000000"/>
                <w:sz w:val="40"/>
                <w:szCs w:val="40"/>
                <w:highlight w:val="none"/>
              </w:rPr>
            </w:pPr>
            <w:r>
              <w:rPr>
                <w:rFonts w:hint="eastAsia" w:ascii="宋体" w:hAnsi="宋体" w:cs="宋体"/>
                <w:color w:val="000000"/>
                <w:kern w:val="0"/>
                <w:sz w:val="40"/>
                <w:szCs w:val="40"/>
                <w:highlight w:val="none"/>
              </w:rPr>
              <w:t>2、小学科学仪器</w:t>
            </w:r>
          </w:p>
        </w:tc>
      </w:tr>
      <w:tr>
        <w:tblPrEx>
          <w:tblCellMar>
            <w:top w:w="0" w:type="dxa"/>
            <w:left w:w="108" w:type="dxa"/>
            <w:bottom w:w="0" w:type="dxa"/>
            <w:right w:w="108" w:type="dxa"/>
          </w:tblCellMar>
        </w:tblPrEx>
        <w:trPr>
          <w:trHeight w:val="790" w:hRule="atLeast"/>
        </w:trPr>
        <w:tc>
          <w:tcPr>
            <w:tcW w:w="45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序号</w:t>
            </w:r>
          </w:p>
        </w:tc>
        <w:tc>
          <w:tcPr>
            <w:tcW w:w="175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名称</w:t>
            </w:r>
          </w:p>
        </w:tc>
        <w:tc>
          <w:tcPr>
            <w:tcW w:w="285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标底参数</w:t>
            </w:r>
          </w:p>
        </w:tc>
        <w:tc>
          <w:tcPr>
            <w:tcW w:w="54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数量</w:t>
            </w:r>
          </w:p>
        </w:tc>
        <w:tc>
          <w:tcPr>
            <w:tcW w:w="65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单位</w:t>
            </w:r>
          </w:p>
        </w:tc>
        <w:tc>
          <w:tcPr>
            <w:tcW w:w="91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单价/元</w:t>
            </w:r>
          </w:p>
        </w:tc>
        <w:tc>
          <w:tcPr>
            <w:tcW w:w="87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金额/元</w:t>
            </w:r>
          </w:p>
        </w:tc>
        <w:tc>
          <w:tcPr>
            <w:tcW w:w="1584"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备注</w:t>
            </w:r>
          </w:p>
        </w:tc>
      </w:tr>
      <w:tr>
        <w:tblPrEx>
          <w:tblCellMar>
            <w:top w:w="0" w:type="dxa"/>
            <w:left w:w="108" w:type="dxa"/>
            <w:bottom w:w="0" w:type="dxa"/>
            <w:right w:w="108" w:type="dxa"/>
          </w:tblCellMar>
        </w:tblPrEx>
        <w:trPr>
          <w:trHeight w:val="1547"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Style w:val="24"/>
                <w:rFonts w:hint="default"/>
                <w:highlight w:val="none"/>
              </w:rPr>
              <w:t>电子秤</w:t>
            </w:r>
            <w:r>
              <w:rPr>
                <w:rStyle w:val="25"/>
                <w:highlight w:val="none"/>
              </w:rPr>
              <w:t xml:space="preserve"> </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身高测量传感器，超声波自动感应测量/身高伸缩杆/高清LCD数显大屏105*69.5MM</w:t>
            </w:r>
            <w:r>
              <w:rPr>
                <w:rStyle w:val="26"/>
                <w:rFonts w:hint="default"/>
                <w:highlight w:val="none"/>
              </w:rPr>
              <w:t>±20MM</w:t>
            </w:r>
            <w:r>
              <w:rPr>
                <w:rFonts w:hint="eastAsia" w:ascii="宋体" w:hAnsi="宋体" w:cs="宋体"/>
                <w:color w:val="000000"/>
                <w:kern w:val="0"/>
                <w:sz w:val="22"/>
                <w:szCs w:val="22"/>
                <w:highlight w:val="none"/>
              </w:rPr>
              <w:t>/立柱/秤台/4节7号电池（6-12V2a适配器）</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36</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一小30、毛阳5、畅好1</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测力计</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产品尺寸：190*60*50MM</w:t>
            </w:r>
            <w:r>
              <w:rPr>
                <w:rStyle w:val="26"/>
                <w:rFonts w:hint="default"/>
                <w:highlight w:val="none"/>
              </w:rPr>
              <w:t>±</w:t>
            </w:r>
            <w:r>
              <w:rPr>
                <w:rStyle w:val="26"/>
                <w:rFonts w:hint="eastAsia"/>
                <w:highlight w:val="none"/>
                <w:lang w:val="en-US" w:eastAsia="zh-CN"/>
              </w:rPr>
              <w:t>10</w:t>
            </w:r>
            <w:r>
              <w:rPr>
                <w:rStyle w:val="26"/>
                <w:rFonts w:hint="default"/>
                <w:highlight w:val="none"/>
              </w:rPr>
              <w:t>MM</w:t>
            </w:r>
            <w:r>
              <w:rPr>
                <w:rFonts w:hint="eastAsia" w:ascii="宋体" w:hAnsi="宋体" w:cs="宋体"/>
                <w:color w:val="000000"/>
                <w:kern w:val="0"/>
                <w:sz w:val="22"/>
                <w:szCs w:val="22"/>
                <w:highlight w:val="none"/>
              </w:rPr>
              <w:t>/仪表显示：液晶显示/误差0.5%/产品负荷5-500N</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40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一小40</w:t>
            </w:r>
          </w:p>
        </w:tc>
      </w:tr>
      <w:tr>
        <w:tblPrEx>
          <w:tblCellMar>
            <w:top w:w="0" w:type="dxa"/>
            <w:left w:w="108" w:type="dxa"/>
            <w:bottom w:w="0" w:type="dxa"/>
            <w:right w:w="108" w:type="dxa"/>
          </w:tblCellMar>
        </w:tblPrEx>
        <w:trPr>
          <w:trHeight w:val="1286"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铁架台</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杆长：50CM</w:t>
            </w:r>
            <w:r>
              <w:rPr>
                <w:rStyle w:val="26"/>
                <w:rFonts w:hint="default"/>
                <w:highlight w:val="none"/>
              </w:rPr>
              <w:t>±2</w:t>
            </w:r>
            <w:r>
              <w:rPr>
                <w:rStyle w:val="26"/>
                <w:rFonts w:hint="eastAsia"/>
                <w:highlight w:val="none"/>
                <w:lang w:val="en-US" w:eastAsia="zh-CN"/>
              </w:rPr>
              <w:t>C</w:t>
            </w:r>
            <w:r>
              <w:rPr>
                <w:rStyle w:val="26"/>
                <w:rFonts w:hint="default"/>
                <w:highlight w:val="none"/>
              </w:rPr>
              <w:t>M</w:t>
            </w:r>
            <w:r>
              <w:rPr>
                <w:rFonts w:hint="eastAsia" w:ascii="宋体" w:hAnsi="宋体" w:cs="宋体"/>
                <w:color w:val="000000"/>
                <w:kern w:val="0"/>
                <w:sz w:val="22"/>
                <w:szCs w:val="22"/>
                <w:highlight w:val="none"/>
              </w:rPr>
              <w:t>，底座尺寸：21*13.5CM</w:t>
            </w:r>
            <w:r>
              <w:rPr>
                <w:rStyle w:val="26"/>
                <w:rFonts w:hint="default"/>
                <w:highlight w:val="none"/>
              </w:rPr>
              <w:t>±2</w:t>
            </w:r>
            <w:r>
              <w:rPr>
                <w:rStyle w:val="26"/>
                <w:rFonts w:hint="eastAsia"/>
                <w:highlight w:val="none"/>
                <w:lang w:val="en-US" w:eastAsia="zh-CN"/>
              </w:rPr>
              <w:t>C</w:t>
            </w:r>
            <w:r>
              <w:rPr>
                <w:rStyle w:val="26"/>
                <w:rFonts w:hint="default"/>
                <w:highlight w:val="none"/>
              </w:rPr>
              <w:t>M</w:t>
            </w:r>
            <w:r>
              <w:rPr>
                <w:rFonts w:hint="eastAsia" w:ascii="宋体" w:hAnsi="宋体" w:cs="宋体"/>
                <w:color w:val="000000"/>
                <w:kern w:val="0"/>
                <w:sz w:val="22"/>
                <w:szCs w:val="22"/>
                <w:highlight w:val="none"/>
              </w:rPr>
              <w:t>/构成：底板1个，烧瓶夹1个，大小铁圈各1个（自带固定 夹），十字夹1个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一小80</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MPR智能AR语音点读地球仪</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16G点读笔</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39</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一小30、毛阳8、畅好1</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条形磁铁</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Style w:val="26"/>
                <w:rFonts w:hint="default"/>
                <w:highlight w:val="none"/>
              </w:rPr>
              <w:t>7.4*1.5*0.5CM±</w:t>
            </w:r>
            <w:r>
              <w:rPr>
                <w:rStyle w:val="26"/>
                <w:rFonts w:hint="eastAsia"/>
                <w:highlight w:val="none"/>
                <w:lang w:val="en-US" w:eastAsia="zh-CN"/>
              </w:rPr>
              <w:t>1C</w:t>
            </w:r>
            <w:r>
              <w:rPr>
                <w:rStyle w:val="26"/>
                <w:rFonts w:hint="default"/>
                <w:highlight w:val="none"/>
              </w:rPr>
              <w:t>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一小80</w:t>
            </w:r>
          </w:p>
        </w:tc>
      </w:tr>
      <w:tr>
        <w:tblPrEx>
          <w:tblCellMar>
            <w:top w:w="0" w:type="dxa"/>
            <w:left w:w="108" w:type="dxa"/>
            <w:bottom w:w="0" w:type="dxa"/>
            <w:right w:w="108" w:type="dxa"/>
          </w:tblCellMar>
        </w:tblPrEx>
        <w:trPr>
          <w:trHeight w:val="52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环形磁铁</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Style w:val="26"/>
                <w:rFonts w:hint="default"/>
                <w:highlight w:val="none"/>
              </w:rPr>
              <w:t>外径4厘米±</w:t>
            </w:r>
            <w:r>
              <w:rPr>
                <w:rStyle w:val="26"/>
                <w:rFonts w:hint="eastAsia"/>
                <w:highlight w:val="none"/>
                <w:lang w:val="en-US" w:eastAsia="zh-CN"/>
              </w:rPr>
              <w:t>0.5C</w:t>
            </w:r>
            <w:r>
              <w:rPr>
                <w:rStyle w:val="26"/>
                <w:rFonts w:hint="default"/>
                <w:highlight w:val="none"/>
              </w:rPr>
              <w:t>M，内径2.1CM±</w:t>
            </w:r>
            <w:r>
              <w:rPr>
                <w:rStyle w:val="26"/>
                <w:rFonts w:hint="eastAsia"/>
                <w:highlight w:val="none"/>
                <w:lang w:val="en-US" w:eastAsia="zh-CN"/>
              </w:rPr>
              <w:t>0.5C</w:t>
            </w:r>
            <w:r>
              <w:rPr>
                <w:rStyle w:val="26"/>
                <w:rFonts w:hint="default"/>
                <w:highlight w:val="none"/>
              </w:rPr>
              <w:t>M，厚0.8CM±</w:t>
            </w:r>
            <w:r>
              <w:rPr>
                <w:rStyle w:val="26"/>
                <w:rFonts w:hint="eastAsia"/>
                <w:highlight w:val="none"/>
                <w:lang w:val="en-US" w:eastAsia="zh-CN"/>
              </w:rPr>
              <w:t>0.2C</w:t>
            </w:r>
            <w:r>
              <w:rPr>
                <w:rStyle w:val="26"/>
                <w:rFonts w:hint="default"/>
                <w:highlight w:val="none"/>
              </w:rPr>
              <w:t>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一小80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U型磁铁</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Style w:val="26"/>
                <w:rFonts w:hint="default"/>
                <w:highlight w:val="none"/>
              </w:rPr>
              <w:t>5.5*6.5*1.4±</w:t>
            </w:r>
            <w:r>
              <w:rPr>
                <w:rStyle w:val="26"/>
                <w:rFonts w:hint="eastAsia"/>
                <w:highlight w:val="none"/>
                <w:lang w:val="en-US" w:eastAsia="zh-CN"/>
              </w:rPr>
              <w:t>0.5C</w:t>
            </w:r>
            <w:r>
              <w:rPr>
                <w:rStyle w:val="26"/>
                <w:rFonts w:hint="default"/>
                <w:highlight w:val="none"/>
              </w:rPr>
              <w:t>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一小80</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固体热胀冷缩演示仪</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Style w:val="26"/>
                <w:rFonts w:hint="default"/>
                <w:highlight w:val="none"/>
              </w:rPr>
              <w:t>手持式带链手柄的铜球（29CM±2</w:t>
            </w:r>
            <w:r>
              <w:rPr>
                <w:rStyle w:val="26"/>
                <w:rFonts w:hint="eastAsia"/>
                <w:highlight w:val="none"/>
                <w:lang w:val="en-US" w:eastAsia="zh-CN"/>
              </w:rPr>
              <w:t>C</w:t>
            </w:r>
            <w:r>
              <w:rPr>
                <w:rStyle w:val="26"/>
                <w:rFonts w:hint="default"/>
                <w:highlight w:val="none"/>
              </w:rPr>
              <w:t>M）和带手柄的圆环组成（20CM±2</w:t>
            </w:r>
            <w:r>
              <w:rPr>
                <w:rStyle w:val="26"/>
                <w:rFonts w:hint="eastAsia"/>
                <w:highlight w:val="none"/>
                <w:lang w:val="en-US" w:eastAsia="zh-CN"/>
              </w:rPr>
              <w:t>C</w:t>
            </w:r>
            <w:r>
              <w:rPr>
                <w:rStyle w:val="26"/>
                <w:rFonts w:hint="default"/>
                <w:highlight w:val="none"/>
              </w:rPr>
              <w:t>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一小80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9</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镊子</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不锈钢，铝合金材质/16CM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一小80</w:t>
            </w:r>
          </w:p>
        </w:tc>
      </w:tr>
      <w:tr>
        <w:tblPrEx>
          <w:tblCellMar>
            <w:top w:w="0" w:type="dxa"/>
            <w:left w:w="108" w:type="dxa"/>
            <w:bottom w:w="0" w:type="dxa"/>
            <w:right w:w="108" w:type="dxa"/>
          </w:tblCellMar>
        </w:tblPrEx>
        <w:trPr>
          <w:trHeight w:val="52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托盘</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材质pp聚丙烯耐酸碱/尺寸：30*30*5</w:t>
            </w:r>
            <w:r>
              <w:rPr>
                <w:rStyle w:val="26"/>
                <w:rFonts w:hint="default"/>
                <w:highlight w:val="none"/>
              </w:rPr>
              <w:t>±2</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40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一小40</w:t>
            </w:r>
          </w:p>
        </w:tc>
      </w:tr>
      <w:tr>
        <w:tblPrEx>
          <w:tblCellMar>
            <w:top w:w="0" w:type="dxa"/>
            <w:left w:w="108" w:type="dxa"/>
            <w:bottom w:w="0" w:type="dxa"/>
            <w:right w:w="108" w:type="dxa"/>
          </w:tblCellMar>
        </w:tblPrEx>
        <w:trPr>
          <w:trHeight w:val="52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11</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弹簧</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线径2.0MM</w:t>
            </w:r>
            <w:r>
              <w:rPr>
                <w:rStyle w:val="26"/>
                <w:rFonts w:hint="default"/>
                <w:highlight w:val="none"/>
              </w:rPr>
              <w:t>±</w:t>
            </w:r>
            <w:r>
              <w:rPr>
                <w:rStyle w:val="26"/>
                <w:rFonts w:hint="eastAsia"/>
                <w:highlight w:val="none"/>
                <w:lang w:val="en-US" w:eastAsia="zh-CN"/>
              </w:rPr>
              <w:t>0.2M</w:t>
            </w:r>
            <w:r>
              <w:rPr>
                <w:rStyle w:val="26"/>
                <w:rFonts w:hint="default"/>
                <w:highlight w:val="none"/>
              </w:rPr>
              <w:t>M</w:t>
            </w:r>
            <w:r>
              <w:rPr>
                <w:rFonts w:hint="eastAsia" w:ascii="宋体" w:hAnsi="宋体" w:cs="宋体"/>
                <w:color w:val="000000"/>
                <w:kern w:val="0"/>
                <w:sz w:val="22"/>
                <w:szCs w:val="22"/>
                <w:highlight w:val="none"/>
              </w:rPr>
              <w:t>*外径10MM</w:t>
            </w:r>
            <w:r>
              <w:rPr>
                <w:rStyle w:val="26"/>
                <w:rFonts w:hint="default"/>
                <w:highlight w:val="none"/>
              </w:rPr>
              <w:t>±</w:t>
            </w:r>
            <w:r>
              <w:rPr>
                <w:rStyle w:val="26"/>
                <w:rFonts w:hint="eastAsia"/>
                <w:highlight w:val="none"/>
                <w:lang w:val="en-US" w:eastAsia="zh-CN"/>
              </w:rPr>
              <w:t>0.5M</w:t>
            </w:r>
            <w:r>
              <w:rPr>
                <w:rStyle w:val="26"/>
                <w:rFonts w:hint="default"/>
                <w:highlight w:val="none"/>
              </w:rPr>
              <w:t>M</w:t>
            </w:r>
            <w:r>
              <w:rPr>
                <w:rFonts w:hint="eastAsia" w:ascii="宋体" w:hAnsi="宋体" w:cs="宋体"/>
                <w:color w:val="000000"/>
                <w:kern w:val="0"/>
                <w:sz w:val="22"/>
                <w:szCs w:val="22"/>
                <w:highlight w:val="none"/>
              </w:rPr>
              <w:t>*长度60MM</w:t>
            </w:r>
            <w:r>
              <w:rPr>
                <w:rStyle w:val="26"/>
                <w:rFonts w:hint="default"/>
                <w:highlight w:val="none"/>
              </w:rPr>
              <w:t>±2</w:t>
            </w:r>
            <w:r>
              <w:rPr>
                <w:rStyle w:val="26"/>
                <w:rFonts w:hint="eastAsia"/>
                <w:highlight w:val="none"/>
                <w:lang w:val="en-US" w:eastAsia="zh-CN"/>
              </w:rPr>
              <w:t>M</w:t>
            </w:r>
            <w:r>
              <w:rPr>
                <w:rStyle w:val="26"/>
                <w:rFonts w:hint="default"/>
                <w:highlight w:val="none"/>
              </w:rPr>
              <w:t>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一小80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钩码</w:t>
            </w:r>
          </w:p>
        </w:tc>
        <w:tc>
          <w:tcPr>
            <w:tcW w:w="2856" w:type="dxa"/>
            <w:tcBorders>
              <w:top w:val="nil"/>
              <w:left w:val="nil"/>
              <w:bottom w:val="nil"/>
              <w:right w:val="nil"/>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10g*1 20g*2 50g*2 200g*2</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盒</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一小80</w:t>
            </w:r>
          </w:p>
        </w:tc>
      </w:tr>
      <w:tr>
        <w:tblPrEx>
          <w:tblCellMar>
            <w:top w:w="0" w:type="dxa"/>
            <w:left w:w="108" w:type="dxa"/>
            <w:bottom w:w="0" w:type="dxa"/>
            <w:right w:w="108" w:type="dxa"/>
          </w:tblCellMar>
        </w:tblPrEx>
        <w:trPr>
          <w:trHeight w:val="52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13</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蒸发皿</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Style w:val="26"/>
                <w:rFonts w:hint="default"/>
                <w:highlight w:val="none"/>
              </w:rPr>
              <w:t>50ML*口直径75MM*高度30MM±</w:t>
            </w:r>
            <w:r>
              <w:rPr>
                <w:rStyle w:val="26"/>
                <w:rFonts w:hint="eastAsia"/>
                <w:highlight w:val="none"/>
                <w:lang w:val="en-US" w:eastAsia="zh-CN"/>
              </w:rPr>
              <w:t>5M</w:t>
            </w:r>
            <w:r>
              <w:rPr>
                <w:rStyle w:val="26"/>
                <w:rFonts w:hint="default"/>
                <w:highlight w:val="none"/>
              </w:rPr>
              <w:t>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40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一小40</w:t>
            </w:r>
          </w:p>
        </w:tc>
      </w:tr>
      <w:tr>
        <w:tblPrEx>
          <w:tblCellMar>
            <w:top w:w="0" w:type="dxa"/>
            <w:left w:w="108" w:type="dxa"/>
            <w:bottom w:w="0" w:type="dxa"/>
            <w:right w:w="108" w:type="dxa"/>
          </w:tblCellMar>
        </w:tblPrEx>
        <w:trPr>
          <w:trHeight w:val="52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14</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酒精灯</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150ML/瓶直径8CM*高11.5CM</w:t>
            </w:r>
            <w:r>
              <w:rPr>
                <w:rStyle w:val="26"/>
                <w:rFonts w:hint="default"/>
                <w:highlight w:val="none"/>
              </w:rPr>
              <w:t>±</w:t>
            </w:r>
            <w:r>
              <w:rPr>
                <w:rStyle w:val="26"/>
                <w:rFonts w:hint="eastAsia"/>
                <w:highlight w:val="none"/>
                <w:lang w:val="en-US" w:eastAsia="zh-CN"/>
              </w:rPr>
              <w:t>1C</w:t>
            </w:r>
            <w:r>
              <w:rPr>
                <w:rStyle w:val="26"/>
                <w:rFonts w:hint="default"/>
                <w:highlight w:val="none"/>
              </w:rPr>
              <w:t>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一小80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15</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酒精喷灯</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坐式</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1</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畅好1</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16</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长柄铁汤勺</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Style w:val="26"/>
                <w:rFonts w:hint="default"/>
                <w:highlight w:val="none"/>
              </w:rPr>
              <w:t>21.5*5.1CM±</w:t>
            </w:r>
            <w:r>
              <w:rPr>
                <w:rStyle w:val="26"/>
                <w:rFonts w:hint="eastAsia"/>
                <w:highlight w:val="none"/>
                <w:lang w:val="en-US" w:eastAsia="zh-CN"/>
              </w:rPr>
              <w:t>1C</w:t>
            </w:r>
            <w:r>
              <w:rPr>
                <w:rStyle w:val="26"/>
                <w:rFonts w:hint="default"/>
                <w:highlight w:val="none"/>
              </w:rPr>
              <w:t>M/304不锈钢</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40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一小40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17</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小药匙</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Style w:val="26"/>
                <w:rFonts w:hint="default"/>
                <w:highlight w:val="none"/>
              </w:rPr>
              <w:t>长18CM*宽1.7CM±</w:t>
            </w:r>
            <w:r>
              <w:rPr>
                <w:rStyle w:val="26"/>
                <w:rFonts w:hint="eastAsia"/>
                <w:highlight w:val="none"/>
                <w:lang w:val="en-US" w:eastAsia="zh-CN"/>
              </w:rPr>
              <w:t>0.2C</w:t>
            </w:r>
            <w:r>
              <w:rPr>
                <w:rStyle w:val="26"/>
                <w:rFonts w:hint="default"/>
                <w:highlight w:val="none"/>
              </w:rPr>
              <w:t>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一小80</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18</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坩埚钳</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总长200MM/前端100MM*柄手50MM*直径25MM/304不锈钢</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一小80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19</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石棉网</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15CM</w:t>
            </w:r>
            <w:r>
              <w:rPr>
                <w:rStyle w:val="26"/>
                <w:rFonts w:hint="default"/>
                <w:highlight w:val="none"/>
              </w:rPr>
              <w:t>±</w:t>
            </w:r>
            <w:r>
              <w:rPr>
                <w:rStyle w:val="26"/>
                <w:rFonts w:hint="eastAsia"/>
                <w:highlight w:val="none"/>
                <w:lang w:val="en-US" w:eastAsia="zh-CN"/>
              </w:rPr>
              <w:t>1C</w:t>
            </w:r>
            <w:r>
              <w:rPr>
                <w:rStyle w:val="26"/>
                <w:rFonts w:hint="default"/>
                <w:highlight w:val="none"/>
              </w:rPr>
              <w:t>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一小80</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音叉</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512HZ/底座150*85*47MM/音叉142MM/橡皮击锤</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一小80</w:t>
            </w:r>
          </w:p>
        </w:tc>
      </w:tr>
      <w:tr>
        <w:tblPrEx>
          <w:tblCellMar>
            <w:top w:w="0" w:type="dxa"/>
            <w:left w:w="108" w:type="dxa"/>
            <w:bottom w:w="0" w:type="dxa"/>
            <w:right w:w="108" w:type="dxa"/>
          </w:tblCellMar>
        </w:tblPrEx>
        <w:trPr>
          <w:trHeight w:val="52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21</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玩具小鼓</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Style w:val="26"/>
                <w:rFonts w:hint="default"/>
                <w:highlight w:val="none"/>
              </w:rPr>
              <w:t>直径20CM*高度17CM/牛皮鼓面</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一小80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22</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土电话</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Style w:val="26"/>
                <w:rFonts w:hint="default"/>
                <w:highlight w:val="none"/>
              </w:rPr>
              <w:t>材质：ABS</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90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一小80、畅好10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23</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玩具弦乐器</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Style w:val="26"/>
                <w:rFonts w:hint="default"/>
                <w:highlight w:val="none"/>
              </w:rPr>
              <w:t>22*8.5*5.5CM±</w:t>
            </w:r>
            <w:r>
              <w:rPr>
                <w:rStyle w:val="26"/>
                <w:rFonts w:hint="eastAsia"/>
                <w:highlight w:val="none"/>
                <w:lang w:val="en-US" w:eastAsia="zh-CN"/>
              </w:rPr>
              <w:t>0.2C</w:t>
            </w:r>
            <w:r>
              <w:rPr>
                <w:rStyle w:val="26"/>
                <w:rFonts w:hint="default"/>
                <w:highlight w:val="none"/>
              </w:rPr>
              <w:t>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一小80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24</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500ml  量筒</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Style w:val="26"/>
                <w:rFonts w:hint="default"/>
                <w:highlight w:val="none"/>
              </w:rPr>
              <w:t>高度：350MM±</w:t>
            </w:r>
            <w:r>
              <w:rPr>
                <w:rStyle w:val="26"/>
                <w:rFonts w:hint="eastAsia"/>
                <w:highlight w:val="none"/>
                <w:lang w:val="en-US" w:eastAsia="zh-CN"/>
              </w:rPr>
              <w:t>10M</w:t>
            </w:r>
            <w:r>
              <w:rPr>
                <w:rStyle w:val="26"/>
                <w:rFonts w:hint="default"/>
                <w:highlight w:val="none"/>
              </w:rPr>
              <w:t>M/材质：玻璃</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一小80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25</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100ml  量筒</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高度：250MM</w:t>
            </w:r>
            <w:r>
              <w:rPr>
                <w:rStyle w:val="26"/>
                <w:rFonts w:hint="default"/>
                <w:highlight w:val="none"/>
              </w:rPr>
              <w:t>±</w:t>
            </w:r>
            <w:r>
              <w:rPr>
                <w:rStyle w:val="26"/>
                <w:rFonts w:hint="eastAsia"/>
                <w:highlight w:val="none"/>
                <w:lang w:val="en-US" w:eastAsia="zh-CN"/>
              </w:rPr>
              <w:t>10M</w:t>
            </w:r>
            <w:r>
              <w:rPr>
                <w:rStyle w:val="26"/>
                <w:rFonts w:hint="default"/>
                <w:highlight w:val="none"/>
              </w:rPr>
              <w:t>M</w:t>
            </w:r>
            <w:r>
              <w:rPr>
                <w:rFonts w:hint="eastAsia" w:ascii="宋体" w:hAnsi="宋体" w:cs="宋体"/>
                <w:color w:val="000000"/>
                <w:kern w:val="0"/>
                <w:sz w:val="22"/>
                <w:szCs w:val="22"/>
                <w:highlight w:val="none"/>
              </w:rPr>
              <w:t>/材质：玻璃</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一小80</w:t>
            </w:r>
          </w:p>
        </w:tc>
      </w:tr>
      <w:tr>
        <w:tblPrEx>
          <w:tblCellMar>
            <w:top w:w="0" w:type="dxa"/>
            <w:left w:w="108" w:type="dxa"/>
            <w:bottom w:w="0" w:type="dxa"/>
            <w:right w:w="108" w:type="dxa"/>
          </w:tblCellMar>
        </w:tblPrEx>
        <w:trPr>
          <w:trHeight w:val="52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26</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250ml V型量杯</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Style w:val="26"/>
                <w:rFonts w:hint="default"/>
                <w:highlight w:val="none"/>
              </w:rPr>
              <w:t>5.7*12CM±</w:t>
            </w:r>
            <w:r>
              <w:rPr>
                <w:rStyle w:val="26"/>
                <w:rFonts w:hint="eastAsia"/>
                <w:highlight w:val="none"/>
                <w:lang w:val="en-US" w:eastAsia="zh-CN"/>
              </w:rPr>
              <w:t>1C</w:t>
            </w:r>
            <w:r>
              <w:rPr>
                <w:rStyle w:val="26"/>
                <w:rFonts w:hint="default"/>
                <w:highlight w:val="none"/>
              </w:rPr>
              <w:t>M/材质加厚塑料无毛刺</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一小80</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27</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100ml  锥型烧瓶</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高度111*底直径65*口内径24MM</w:t>
            </w:r>
            <w:r>
              <w:rPr>
                <w:rStyle w:val="26"/>
                <w:rFonts w:hint="default"/>
                <w:highlight w:val="none"/>
              </w:rPr>
              <w:t>±</w:t>
            </w:r>
            <w:r>
              <w:rPr>
                <w:rStyle w:val="26"/>
                <w:rFonts w:hint="eastAsia"/>
                <w:highlight w:val="none"/>
                <w:lang w:val="en-US" w:eastAsia="zh-CN"/>
              </w:rPr>
              <w:t>2M</w:t>
            </w:r>
            <w:r>
              <w:rPr>
                <w:rStyle w:val="26"/>
                <w:rFonts w:hint="default"/>
                <w:highlight w:val="none"/>
              </w:rPr>
              <w:t>M</w:t>
            </w:r>
            <w:r>
              <w:rPr>
                <w:rFonts w:hint="eastAsia" w:ascii="宋体" w:hAnsi="宋体" w:cs="宋体"/>
                <w:color w:val="000000"/>
                <w:kern w:val="0"/>
                <w:sz w:val="22"/>
                <w:szCs w:val="22"/>
                <w:highlight w:val="none"/>
              </w:rPr>
              <w:t>/材质：光泽透亮</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一小80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28</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U型管</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20*200/材质：光泽透亮</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一小80</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29</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蛇形管</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200ML</w:t>
            </w:r>
            <w:r>
              <w:rPr>
                <w:rStyle w:val="26"/>
                <w:rFonts w:hint="default"/>
                <w:highlight w:val="none"/>
              </w:rPr>
              <w:t>±</w:t>
            </w:r>
            <w:r>
              <w:rPr>
                <w:rStyle w:val="26"/>
                <w:rFonts w:hint="eastAsia"/>
                <w:highlight w:val="none"/>
                <w:lang w:val="en-US" w:eastAsia="zh-CN"/>
              </w:rPr>
              <w:t>10M</w:t>
            </w:r>
            <w:r>
              <w:rPr>
                <w:rStyle w:val="26"/>
                <w:rFonts w:hint="default"/>
                <w:highlight w:val="none"/>
              </w:rPr>
              <w:t>M</w:t>
            </w:r>
            <w:r>
              <w:rPr>
                <w:rFonts w:hint="eastAsia" w:ascii="宋体" w:hAnsi="宋体" w:cs="宋体"/>
                <w:color w:val="000000"/>
                <w:kern w:val="0"/>
                <w:sz w:val="22"/>
                <w:szCs w:val="22"/>
                <w:highlight w:val="none"/>
              </w:rPr>
              <w:t>/口径24*管外径38MM</w:t>
            </w:r>
            <w:r>
              <w:rPr>
                <w:rStyle w:val="26"/>
                <w:rFonts w:hint="default"/>
                <w:highlight w:val="none"/>
              </w:rPr>
              <w:t>±</w:t>
            </w:r>
            <w:r>
              <w:rPr>
                <w:rStyle w:val="26"/>
                <w:rFonts w:hint="eastAsia"/>
                <w:highlight w:val="none"/>
                <w:lang w:val="en-US" w:eastAsia="zh-CN"/>
              </w:rPr>
              <w:t>2M</w:t>
            </w:r>
            <w:r>
              <w:rPr>
                <w:rStyle w:val="26"/>
                <w:rFonts w:hint="default"/>
                <w:highlight w:val="none"/>
              </w:rPr>
              <w:t>M</w:t>
            </w:r>
            <w:r>
              <w:rPr>
                <w:rFonts w:hint="eastAsia" w:ascii="宋体" w:hAnsi="宋体" w:cs="宋体"/>
                <w:color w:val="000000"/>
                <w:kern w:val="0"/>
                <w:sz w:val="22"/>
                <w:szCs w:val="22"/>
                <w:highlight w:val="none"/>
              </w:rPr>
              <w:t>/材质：光泽透亮</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40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一小40</w:t>
            </w:r>
          </w:p>
        </w:tc>
      </w:tr>
      <w:tr>
        <w:tblPrEx>
          <w:tblCellMar>
            <w:top w:w="0" w:type="dxa"/>
            <w:left w:w="108" w:type="dxa"/>
            <w:bottom w:w="0" w:type="dxa"/>
            <w:right w:w="108" w:type="dxa"/>
          </w:tblCellMar>
        </w:tblPrEx>
        <w:trPr>
          <w:trHeight w:val="52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500ml  烧杯</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Style w:val="26"/>
                <w:rFonts w:hint="default"/>
                <w:highlight w:val="none"/>
              </w:rPr>
              <w:t>瓶外径87*高度118MM/材质：光泽透亮</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50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一小50</w:t>
            </w:r>
          </w:p>
        </w:tc>
      </w:tr>
      <w:tr>
        <w:tblPrEx>
          <w:tblCellMar>
            <w:top w:w="0" w:type="dxa"/>
            <w:left w:w="108" w:type="dxa"/>
            <w:bottom w:w="0" w:type="dxa"/>
            <w:right w:w="108" w:type="dxa"/>
          </w:tblCellMar>
        </w:tblPrEx>
        <w:trPr>
          <w:trHeight w:val="52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31</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250ml  烧杯</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瓶外径70*高度57MM/材质：光泽透亮</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50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一小50</w:t>
            </w:r>
          </w:p>
        </w:tc>
      </w:tr>
      <w:tr>
        <w:tblPrEx>
          <w:tblCellMar>
            <w:top w:w="0" w:type="dxa"/>
            <w:left w:w="108" w:type="dxa"/>
            <w:bottom w:w="0" w:type="dxa"/>
            <w:right w:w="108" w:type="dxa"/>
          </w:tblCellMar>
        </w:tblPrEx>
        <w:trPr>
          <w:trHeight w:val="52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32</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100 ml   烧杯</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瓶外径53*高度70MM/材质：光泽透亮</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50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一小50</w:t>
            </w:r>
          </w:p>
        </w:tc>
      </w:tr>
      <w:tr>
        <w:tblPrEx>
          <w:tblCellMar>
            <w:top w:w="0" w:type="dxa"/>
            <w:left w:w="108" w:type="dxa"/>
            <w:bottom w:w="0" w:type="dxa"/>
            <w:right w:w="108" w:type="dxa"/>
          </w:tblCellMar>
        </w:tblPrEx>
        <w:trPr>
          <w:trHeight w:val="52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33</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50ml 烧杯</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瓶外径45*高度60MM/材质：光泽透亮</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50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一小50</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34</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搅拌棒（长玻璃棒）</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直径8*高300MM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50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一小50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35</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世界地图</w:t>
            </w:r>
          </w:p>
        </w:tc>
        <w:tc>
          <w:tcPr>
            <w:tcW w:w="2856" w:type="dxa"/>
            <w:tcBorders>
              <w:top w:val="nil"/>
              <w:left w:val="nil"/>
              <w:bottom w:val="nil"/>
              <w:right w:val="nil"/>
            </w:tcBorders>
            <w:noWrap/>
            <w:vAlign w:val="center"/>
          </w:tcPr>
          <w:p>
            <w:pPr>
              <w:widowControl/>
              <w:jc w:val="center"/>
              <w:textAlignment w:val="center"/>
              <w:rPr>
                <w:rFonts w:hint="eastAsia" w:ascii="宋体" w:hAnsi="宋体" w:cs="宋体"/>
                <w:color w:val="404040"/>
                <w:sz w:val="22"/>
                <w:szCs w:val="22"/>
                <w:highlight w:val="none"/>
              </w:rPr>
            </w:pPr>
            <w:r>
              <w:rPr>
                <w:rFonts w:hint="eastAsia" w:ascii="宋体" w:hAnsi="宋体" w:cs="宋体"/>
                <w:color w:val="404040"/>
                <w:kern w:val="0"/>
                <w:sz w:val="22"/>
                <w:szCs w:val="22"/>
                <w:highlight w:val="none"/>
              </w:rPr>
              <w:t>尺寸：40*38*6CM</w:t>
            </w:r>
            <w:r>
              <w:rPr>
                <w:rStyle w:val="26"/>
                <w:rFonts w:hint="default"/>
                <w:highlight w:val="none"/>
              </w:rPr>
              <w:t>±</w:t>
            </w:r>
            <w:r>
              <w:rPr>
                <w:rStyle w:val="26"/>
                <w:rFonts w:hint="eastAsia"/>
                <w:highlight w:val="none"/>
                <w:lang w:val="en-US" w:eastAsia="zh-CN"/>
              </w:rPr>
              <w:t>1C</w:t>
            </w:r>
            <w:r>
              <w:rPr>
                <w:rStyle w:val="26"/>
                <w:rFonts w:hint="default"/>
                <w:highlight w:val="none"/>
              </w:rPr>
              <w:t>M</w:t>
            </w:r>
            <w:r>
              <w:rPr>
                <w:rFonts w:hint="eastAsia" w:ascii="宋体" w:hAnsi="宋体" w:cs="宋体"/>
                <w:color w:val="404040"/>
                <w:kern w:val="0"/>
                <w:sz w:val="22"/>
                <w:szCs w:val="22"/>
                <w:highlight w:val="none"/>
              </w:rPr>
              <w:t>/材质：木</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40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盒</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一小40</w:t>
            </w:r>
          </w:p>
        </w:tc>
      </w:tr>
      <w:tr>
        <w:tblPrEx>
          <w:tblCellMar>
            <w:top w:w="0" w:type="dxa"/>
            <w:left w:w="108" w:type="dxa"/>
            <w:bottom w:w="0" w:type="dxa"/>
            <w:right w:w="108" w:type="dxa"/>
          </w:tblCellMar>
        </w:tblPrEx>
        <w:trPr>
          <w:trHeight w:val="52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36</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圆形玻璃水槽</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Style w:val="26"/>
                <w:rFonts w:hint="default"/>
                <w:highlight w:val="none"/>
              </w:rPr>
              <w:t>外径150*高90MM±</w:t>
            </w:r>
            <w:r>
              <w:rPr>
                <w:rStyle w:val="26"/>
                <w:rFonts w:hint="eastAsia"/>
                <w:highlight w:val="none"/>
                <w:lang w:val="en-US" w:eastAsia="zh-CN"/>
              </w:rPr>
              <w:t>10M</w:t>
            </w:r>
            <w:r>
              <w:rPr>
                <w:rStyle w:val="26"/>
                <w:rFonts w:hint="default"/>
                <w:highlight w:val="none"/>
              </w:rPr>
              <w:t>M/材质：玻璃</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50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一小50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37</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透明水槽</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Style w:val="26"/>
                <w:rFonts w:hint="default"/>
                <w:highlight w:val="none"/>
              </w:rPr>
              <w:t>270*190*100MM±</w:t>
            </w:r>
            <w:r>
              <w:rPr>
                <w:rStyle w:val="26"/>
                <w:rFonts w:hint="default"/>
                <w:color w:val="auto"/>
                <w:highlight w:val="none"/>
              </w:rPr>
              <w:t>20MM/</w:t>
            </w:r>
            <w:r>
              <w:rPr>
                <w:rStyle w:val="26"/>
                <w:rFonts w:hint="default"/>
                <w:highlight w:val="none"/>
              </w:rPr>
              <w:t>材质：塑料</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一小80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38</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三棱镜</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Style w:val="26"/>
                <w:rFonts w:hint="default"/>
                <w:highlight w:val="none"/>
              </w:rPr>
              <w:t>100*30*30MM±</w:t>
            </w:r>
            <w:r>
              <w:rPr>
                <w:rStyle w:val="26"/>
                <w:rFonts w:hint="eastAsia"/>
                <w:highlight w:val="none"/>
                <w:lang w:val="en-US" w:eastAsia="zh-CN"/>
              </w:rPr>
              <w:t>2M</w:t>
            </w:r>
            <w:r>
              <w:rPr>
                <w:rStyle w:val="26"/>
                <w:rFonts w:hint="default"/>
                <w:highlight w:val="none"/>
              </w:rPr>
              <w:t>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Style w:val="24"/>
                <w:rFonts w:hint="default"/>
                <w:highlight w:val="none"/>
              </w:rPr>
              <w:t>一小80</w:t>
            </w:r>
          </w:p>
        </w:tc>
      </w:tr>
      <w:tr>
        <w:tblPrEx>
          <w:tblCellMar>
            <w:top w:w="0" w:type="dxa"/>
            <w:left w:w="108" w:type="dxa"/>
            <w:bottom w:w="0" w:type="dxa"/>
            <w:right w:w="108" w:type="dxa"/>
          </w:tblCellMar>
        </w:tblPrEx>
        <w:trPr>
          <w:trHeight w:val="1168"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39</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放大镜</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163*76*13CM</w:t>
            </w:r>
            <w:r>
              <w:rPr>
                <w:rStyle w:val="26"/>
                <w:rFonts w:hint="default"/>
                <w:highlight w:val="none"/>
              </w:rPr>
              <w:t>±</w:t>
            </w:r>
            <w:r>
              <w:rPr>
                <w:rStyle w:val="26"/>
                <w:rFonts w:hint="eastAsia"/>
                <w:highlight w:val="none"/>
                <w:lang w:val="en-US" w:eastAsia="zh-CN"/>
              </w:rPr>
              <w:t>2C</w:t>
            </w:r>
            <w:r>
              <w:rPr>
                <w:rStyle w:val="26"/>
                <w:rFonts w:hint="default"/>
                <w:highlight w:val="none"/>
              </w:rPr>
              <w:t>M</w:t>
            </w:r>
            <w:r>
              <w:rPr>
                <w:rFonts w:hint="eastAsia" w:ascii="宋体" w:hAnsi="宋体" w:cs="宋体"/>
                <w:color w:val="000000"/>
                <w:kern w:val="0"/>
                <w:sz w:val="22"/>
                <w:szCs w:val="22"/>
                <w:highlight w:val="none"/>
              </w:rPr>
              <w:t>/镜片倍率20X-10/</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180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一小80、毛阳40、三小40、畅好20</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40</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酒精</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Style w:val="26"/>
                <w:rFonts w:hint="default"/>
                <w:highlight w:val="none"/>
              </w:rPr>
              <w:t>500ML/95%</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30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一小10、三小10、畅好10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41</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火柴</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Style w:val="26"/>
                <w:rFonts w:hint="default"/>
                <w:highlight w:val="none"/>
              </w:rPr>
              <w:t>96*2.8*2.8MM±</w:t>
            </w:r>
            <w:r>
              <w:rPr>
                <w:rStyle w:val="26"/>
                <w:rFonts w:hint="eastAsia"/>
                <w:highlight w:val="none"/>
                <w:lang w:val="en-US" w:eastAsia="zh-CN"/>
              </w:rPr>
              <w:t>0.2M</w:t>
            </w:r>
            <w:r>
              <w:rPr>
                <w:rStyle w:val="26"/>
                <w:rFonts w:hint="default"/>
                <w:highlight w:val="none"/>
              </w:rPr>
              <w:t>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50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盒</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Style w:val="26"/>
                <w:rFonts w:hint="default"/>
                <w:highlight w:val="none"/>
              </w:rPr>
              <w:t>一小50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42</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打火机</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Style w:val="26"/>
                <w:rFonts w:hint="default"/>
                <w:highlight w:val="none"/>
              </w:rPr>
              <w:t>电子点火/80*21.5*11MM±</w:t>
            </w:r>
            <w:r>
              <w:rPr>
                <w:rStyle w:val="26"/>
                <w:rFonts w:hint="eastAsia"/>
                <w:highlight w:val="none"/>
                <w:lang w:val="en-US" w:eastAsia="zh-CN"/>
              </w:rPr>
              <w:t>0.1M</w:t>
            </w:r>
            <w:r>
              <w:rPr>
                <w:rStyle w:val="26"/>
                <w:rFonts w:hint="default"/>
                <w:highlight w:val="none"/>
              </w:rPr>
              <w:t>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50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Style w:val="26"/>
                <w:rFonts w:hint="default"/>
                <w:highlight w:val="none"/>
              </w:rPr>
              <w:t>一小50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43</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石灰</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Style w:val="26"/>
                <w:rFonts w:hint="default"/>
                <w:highlight w:val="none"/>
              </w:rPr>
              <w:t>10斤</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4</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袋</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一小2、畅好2</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44</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蜡烛</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Style w:val="26"/>
                <w:rFonts w:hint="default"/>
                <w:highlight w:val="none"/>
              </w:rPr>
              <w:t>直径1.5±</w:t>
            </w:r>
            <w:r>
              <w:rPr>
                <w:rStyle w:val="26"/>
                <w:rFonts w:hint="eastAsia"/>
                <w:highlight w:val="none"/>
                <w:lang w:val="en-US" w:eastAsia="zh-CN"/>
              </w:rPr>
              <w:t>0.2M</w:t>
            </w:r>
            <w:r>
              <w:rPr>
                <w:rStyle w:val="26"/>
                <w:rFonts w:hint="default"/>
                <w:highlight w:val="none"/>
              </w:rPr>
              <w:t>M*高度15CM±</w:t>
            </w:r>
            <w:r>
              <w:rPr>
                <w:rStyle w:val="26"/>
                <w:rFonts w:hint="eastAsia"/>
                <w:highlight w:val="none"/>
                <w:lang w:val="en-US" w:eastAsia="zh-CN"/>
              </w:rPr>
              <w:t>2C</w:t>
            </w:r>
            <w:r>
              <w:rPr>
                <w:rStyle w:val="26"/>
                <w:rFonts w:hint="default"/>
                <w:highlight w:val="none"/>
              </w:rPr>
              <w:t>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支</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一小80</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45</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温度计</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水银0-100度</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165</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支</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一小80、毛阳40三小45</w:t>
            </w:r>
          </w:p>
        </w:tc>
      </w:tr>
      <w:tr>
        <w:tblPrEx>
          <w:tblCellMar>
            <w:top w:w="0" w:type="dxa"/>
            <w:left w:w="108" w:type="dxa"/>
            <w:bottom w:w="0" w:type="dxa"/>
            <w:right w:w="108" w:type="dxa"/>
          </w:tblCellMar>
        </w:tblPrEx>
        <w:trPr>
          <w:trHeight w:val="3815"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46</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天文望远镜</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光学系统：马克苏托夫-卡塞格林式/主镜口径:127mm</w:t>
            </w:r>
            <w:r>
              <w:rPr>
                <w:rStyle w:val="26"/>
                <w:rFonts w:hint="default"/>
                <w:highlight w:val="none"/>
              </w:rPr>
              <w:t>±</w:t>
            </w:r>
            <w:r>
              <w:rPr>
                <w:rStyle w:val="26"/>
                <w:rFonts w:hint="eastAsia"/>
                <w:highlight w:val="none"/>
                <w:lang w:val="en-US" w:eastAsia="zh-CN"/>
              </w:rPr>
              <w:t>10M</w:t>
            </w:r>
            <w:r>
              <w:rPr>
                <w:rStyle w:val="26"/>
                <w:rFonts w:hint="default"/>
                <w:highlight w:val="none"/>
              </w:rPr>
              <w:t>M</w:t>
            </w:r>
            <w:r>
              <w:rPr>
                <w:rFonts w:hint="eastAsia" w:ascii="宋体" w:hAnsi="宋体" w:cs="宋体"/>
                <w:color w:val="000000"/>
                <w:kern w:val="0"/>
                <w:sz w:val="22"/>
                <w:szCs w:val="22"/>
                <w:highlight w:val="none"/>
              </w:rPr>
              <w:t>/焦距：1500MM/有效倍率：329X/集光率：329X、分辨率：1.1角秒/焦比F12/主镜长度: 1020mm/倍率1000/红点寻星镜/天顶镜：1.25英寸正象/三角架/钢制/托架：马达驱动经纬仪/最大倍率：300倍；最低有效放大倍率18倍/目镜1：25毫米/目镜2：9毫米/手机支架/5X境倍镜/蓝牙快门/月亮滤镜</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rPr>
              <w:t>5</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毛阳2个、畅好1、番阳2</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47</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曲面镜及支架</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底座直径7.4*支架高6*总高17*曲面径5.4/两个手持面镜：凹凸面镜</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毛阳20、番阳10、畅好10</w:t>
            </w:r>
          </w:p>
        </w:tc>
      </w:tr>
      <w:tr>
        <w:tblPrEx>
          <w:tblCellMar>
            <w:top w:w="0" w:type="dxa"/>
            <w:left w:w="108" w:type="dxa"/>
            <w:bottom w:w="0" w:type="dxa"/>
            <w:right w:w="108" w:type="dxa"/>
          </w:tblCellMar>
        </w:tblPrEx>
        <w:trPr>
          <w:trHeight w:val="1168"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48</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指南针磁铁实验套装</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指南针U形条形小学教学大号红蓝强磁</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123</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毛阳40、番阳50、三小23、畅好10</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49</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 xml:space="preserve">组水轮材料 </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Style w:val="26"/>
                <w:rFonts w:hint="default"/>
                <w:highlight w:val="none"/>
              </w:rPr>
              <w:t>材质：PC塑料/底座7*高12CM</w:t>
            </w:r>
            <w:r>
              <w:rPr>
                <w:rStyle w:val="26"/>
                <w:rFonts w:hint="default"/>
                <w:color w:val="auto"/>
                <w:highlight w:val="none"/>
              </w:rPr>
              <w:t>±2CM</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110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毛阳50、番阳50、畅好10</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动植物实验标本切片</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35片套装</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毛阳30、畅好10</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51</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电学实验盒</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23*16*6CM</w:t>
            </w:r>
            <w:r>
              <w:rPr>
                <w:rStyle w:val="26"/>
                <w:rFonts w:hint="default"/>
                <w:highlight w:val="none"/>
              </w:rPr>
              <w:t>±</w:t>
            </w:r>
            <w:r>
              <w:rPr>
                <w:rStyle w:val="26"/>
                <w:rFonts w:hint="eastAsia"/>
                <w:highlight w:val="none"/>
                <w:lang w:val="en-US" w:eastAsia="zh-CN"/>
              </w:rPr>
              <w:t>1C</w:t>
            </w:r>
            <w:r>
              <w:rPr>
                <w:rStyle w:val="26"/>
                <w:rFonts w:hint="default"/>
                <w:highlight w:val="none"/>
              </w:rPr>
              <w:t>M</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90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毛阳40、番阳40、畅好10</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52</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自制红绿灯</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DIY拼装</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90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毛阳40、番阳40、畅好10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53</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司南模型</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22*22*1.3cm</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毛阳10、畅好2</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54</w:t>
            </w:r>
          </w:p>
        </w:tc>
        <w:tc>
          <w:tcPr>
            <w:tcW w:w="17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小学生科技小制作套装</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一年级/水果发电/魔术卡/风力车/风力船/磁力车/小台灯等</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90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毛阳40、番阳40、畅好10</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55</w:t>
            </w:r>
          </w:p>
        </w:tc>
        <w:tc>
          <w:tcPr>
            <w:tcW w:w="17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二年级/升国旗/电风扇/爬虫机器人/小火车等</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90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毛阳40、番阳40、畅好10</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56</w:t>
            </w:r>
          </w:p>
        </w:tc>
        <w:tc>
          <w:tcPr>
            <w:tcW w:w="17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三年级/甩干机/四驱车/风力发电等</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90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毛阳40、番阳40、畅好10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57</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天然材料标本</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木、棉花、石油、煤、矿石等</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三小4、畅好1</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58</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人造材料标本</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金属、塑料、玻璃、陶瓷、纸、布、密度板、水泥等</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三小4、畅好1</w:t>
            </w:r>
          </w:p>
        </w:tc>
      </w:tr>
      <w:tr>
        <w:tblPrEx>
          <w:tblCellMar>
            <w:top w:w="0" w:type="dxa"/>
            <w:left w:w="108" w:type="dxa"/>
            <w:bottom w:w="0" w:type="dxa"/>
            <w:right w:w="108" w:type="dxa"/>
          </w:tblCellMar>
        </w:tblPrEx>
        <w:trPr>
          <w:trHeight w:val="52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59</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纺织品标本</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default" w:ascii="宋体" w:hAnsi="宋体" w:cs="宋体"/>
                <w:color w:val="000000"/>
                <w:kern w:val="0"/>
                <w:sz w:val="20"/>
                <w:szCs w:val="20"/>
                <w:highlight w:val="none"/>
              </w:rPr>
              <w:t>尺寸：32*28*5CM±</w:t>
            </w:r>
            <w:r>
              <w:rPr>
                <w:rFonts w:hint="eastAsia" w:ascii="宋体" w:hAnsi="宋体" w:cs="宋体"/>
                <w:color w:val="000000"/>
                <w:kern w:val="0"/>
                <w:sz w:val="20"/>
                <w:szCs w:val="20"/>
                <w:highlight w:val="none"/>
                <w:lang w:val="en-US" w:eastAsia="zh-CN"/>
              </w:rPr>
              <w:t>1C</w:t>
            </w:r>
            <w:r>
              <w:rPr>
                <w:rFonts w:hint="default" w:ascii="宋体" w:hAnsi="宋体" w:cs="宋体"/>
                <w:color w:val="000000"/>
                <w:kern w:val="0"/>
                <w:sz w:val="20"/>
                <w:szCs w:val="20"/>
                <w:highlight w:val="none"/>
              </w:rPr>
              <w:t>M/外盒材质：实木</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三小4、畅好1</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60</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各种纸样标本</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尺寸：17*12CM</w:t>
            </w:r>
            <w:r>
              <w:rPr>
                <w:rFonts w:hint="eastAsia" w:ascii="宋体" w:hAnsi="宋体" w:cs="宋体"/>
                <w:color w:val="auto"/>
                <w:kern w:val="0"/>
                <w:sz w:val="20"/>
                <w:szCs w:val="20"/>
                <w:highlight w:val="none"/>
              </w:rPr>
              <w:t>±2CM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三小4、畅好1</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61</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矿物标本</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rPr>
              <w:t>尺寸：盒子25*27.5*5CM±</w:t>
            </w:r>
            <w:r>
              <w:rPr>
                <w:rFonts w:hint="eastAsia" w:ascii="宋体" w:hAnsi="宋体" w:cs="宋体"/>
                <w:color w:val="000000"/>
                <w:kern w:val="0"/>
                <w:sz w:val="20"/>
                <w:szCs w:val="20"/>
                <w:highlight w:val="none"/>
                <w:lang w:val="en-US" w:eastAsia="zh-CN"/>
              </w:rPr>
              <w:t>1C</w:t>
            </w:r>
            <w:r>
              <w:rPr>
                <w:rFonts w:hint="default" w:ascii="宋体" w:hAnsi="宋体" w:cs="宋体"/>
                <w:color w:val="000000"/>
                <w:kern w:val="0"/>
                <w:sz w:val="20"/>
                <w:szCs w:val="20"/>
                <w:highlight w:val="none"/>
              </w:rPr>
              <w:t>M/单格尺寸：4.5*4*2.5CM±</w:t>
            </w:r>
            <w:r>
              <w:rPr>
                <w:rFonts w:hint="eastAsia" w:ascii="宋体" w:hAnsi="宋体" w:cs="宋体"/>
                <w:color w:val="000000"/>
                <w:kern w:val="0"/>
                <w:sz w:val="20"/>
                <w:szCs w:val="20"/>
                <w:highlight w:val="none"/>
                <w:lang w:val="en-US" w:eastAsia="zh-CN"/>
              </w:rPr>
              <w:t>1C</w:t>
            </w:r>
            <w:r>
              <w:rPr>
                <w:rFonts w:hint="default" w:ascii="宋体" w:hAnsi="宋体" w:cs="宋体"/>
                <w:color w:val="000000"/>
                <w:kern w:val="0"/>
                <w:sz w:val="20"/>
                <w:szCs w:val="20"/>
                <w:highlight w:val="none"/>
              </w:rPr>
              <w:t>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三小4、畅好1</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62</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岩石标本</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尺寸：盒子29.5*19*3.3CM</w:t>
            </w:r>
            <w:r>
              <w:rPr>
                <w:rFonts w:hint="default" w:ascii="宋体" w:hAnsi="宋体" w:cs="宋体"/>
                <w:color w:val="000000"/>
                <w:kern w:val="0"/>
                <w:sz w:val="20"/>
                <w:szCs w:val="20"/>
                <w:highlight w:val="none"/>
              </w:rPr>
              <w:t>±</w:t>
            </w:r>
            <w:r>
              <w:rPr>
                <w:rFonts w:hint="eastAsia" w:cs="宋体"/>
                <w:color w:val="000000"/>
                <w:kern w:val="0"/>
                <w:sz w:val="20"/>
                <w:szCs w:val="20"/>
                <w:highlight w:val="none"/>
                <w:lang w:val="en-US" w:eastAsia="zh-CN"/>
              </w:rPr>
              <w:t>0.5</w:t>
            </w:r>
            <w:r>
              <w:rPr>
                <w:rFonts w:hint="eastAsia" w:ascii="宋体" w:hAnsi="宋体" w:cs="宋体"/>
                <w:color w:val="000000"/>
                <w:kern w:val="0"/>
                <w:sz w:val="20"/>
                <w:szCs w:val="20"/>
                <w:highlight w:val="none"/>
                <w:lang w:val="en-US" w:eastAsia="zh-CN"/>
              </w:rPr>
              <w:t>C</w:t>
            </w:r>
            <w:r>
              <w:rPr>
                <w:rFonts w:hint="default" w:ascii="宋体" w:hAnsi="宋体" w:cs="宋体"/>
                <w:color w:val="000000"/>
                <w:kern w:val="0"/>
                <w:sz w:val="20"/>
                <w:szCs w:val="20"/>
                <w:highlight w:val="none"/>
              </w:rPr>
              <w:t>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三小4、畅好1</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63</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金属矿物标本</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铜、铁、铝、钨、锡等</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三小5、畅好1</w:t>
            </w:r>
          </w:p>
        </w:tc>
      </w:tr>
      <w:tr>
        <w:tblPrEx>
          <w:tblCellMar>
            <w:top w:w="0" w:type="dxa"/>
            <w:left w:w="108" w:type="dxa"/>
            <w:bottom w:w="0" w:type="dxa"/>
            <w:right w:w="108" w:type="dxa"/>
          </w:tblCellMar>
        </w:tblPrEx>
        <w:trPr>
          <w:trHeight w:val="1168"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64</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土壤标本</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盒子：15*15cm/内容：红壤、黄棕壤、黑钙土、砖红壤、紫色土、水稻土、褐土、沙质土/瓶子5.8*2.5cm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三小5、畅好1</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65</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矿物提炼物标本</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石油、金属等</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三小5、畅好1</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66</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物品卡片</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购物游戏用</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25</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三小25</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67</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中国地形地图</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default" w:ascii="宋体" w:hAnsi="宋体" w:cs="宋体"/>
                <w:color w:val="000000"/>
                <w:kern w:val="0"/>
                <w:sz w:val="20"/>
                <w:szCs w:val="20"/>
                <w:highlight w:val="none"/>
              </w:rPr>
              <w:t>58*43CM±</w:t>
            </w:r>
            <w:r>
              <w:rPr>
                <w:rFonts w:hint="eastAsia" w:cs="宋体"/>
                <w:color w:val="000000"/>
                <w:kern w:val="0"/>
                <w:sz w:val="20"/>
                <w:szCs w:val="20"/>
                <w:highlight w:val="none"/>
                <w:lang w:val="en-US" w:eastAsia="zh-CN"/>
              </w:rPr>
              <w:t>5</w:t>
            </w:r>
            <w:r>
              <w:rPr>
                <w:rFonts w:hint="eastAsia" w:ascii="宋体" w:hAnsi="宋体" w:cs="宋体"/>
                <w:color w:val="000000"/>
                <w:kern w:val="0"/>
                <w:sz w:val="20"/>
                <w:szCs w:val="20"/>
                <w:highlight w:val="none"/>
                <w:lang w:val="en-US" w:eastAsia="zh-CN"/>
              </w:rPr>
              <w:t>C</w:t>
            </w:r>
            <w:r>
              <w:rPr>
                <w:rFonts w:hint="default" w:ascii="宋体" w:hAnsi="宋体" w:cs="宋体"/>
                <w:color w:val="000000"/>
                <w:kern w:val="0"/>
                <w:sz w:val="20"/>
                <w:szCs w:val="20"/>
                <w:highlight w:val="none"/>
              </w:rPr>
              <w:t>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张</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三小2</w:t>
            </w:r>
          </w:p>
        </w:tc>
      </w:tr>
      <w:tr>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68</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小学科学安全操作挂图</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73*53CM</w:t>
            </w:r>
            <w:r>
              <w:rPr>
                <w:rFonts w:hint="default" w:ascii="宋体" w:hAnsi="宋体" w:cs="宋体"/>
                <w:color w:val="000000"/>
                <w:kern w:val="0"/>
                <w:sz w:val="20"/>
                <w:szCs w:val="20"/>
                <w:highlight w:val="none"/>
              </w:rPr>
              <w:t>±</w:t>
            </w:r>
            <w:r>
              <w:rPr>
                <w:rFonts w:hint="eastAsia" w:cs="宋体"/>
                <w:color w:val="000000"/>
                <w:kern w:val="0"/>
                <w:sz w:val="20"/>
                <w:szCs w:val="20"/>
                <w:highlight w:val="none"/>
                <w:lang w:val="en-US" w:eastAsia="zh-CN"/>
              </w:rPr>
              <w:t>2</w:t>
            </w:r>
            <w:r>
              <w:rPr>
                <w:rFonts w:hint="eastAsia" w:ascii="宋体" w:hAnsi="宋体" w:cs="宋体"/>
                <w:color w:val="000000"/>
                <w:kern w:val="0"/>
                <w:sz w:val="20"/>
                <w:szCs w:val="20"/>
                <w:highlight w:val="none"/>
                <w:lang w:val="en-US" w:eastAsia="zh-CN"/>
              </w:rPr>
              <w:t>C</w:t>
            </w:r>
            <w:r>
              <w:rPr>
                <w:rFonts w:hint="default" w:ascii="宋体" w:hAnsi="宋体" w:cs="宋体"/>
                <w:color w:val="000000"/>
                <w:kern w:val="0"/>
                <w:sz w:val="20"/>
                <w:szCs w:val="20"/>
                <w:highlight w:val="none"/>
              </w:rPr>
              <w:t>M</w:t>
            </w:r>
            <w:r>
              <w:rPr>
                <w:rFonts w:hint="eastAsia" w:ascii="宋体" w:hAnsi="宋体" w:cs="宋体"/>
                <w:color w:val="000000"/>
                <w:kern w:val="0"/>
                <w:sz w:val="20"/>
                <w:szCs w:val="20"/>
                <w:highlight w:val="none"/>
              </w:rPr>
              <w:t>/材质：铜版纸/16幅</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三小2</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69</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小学科学物质世界教学挂图</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73*53CM</w:t>
            </w:r>
            <w:r>
              <w:rPr>
                <w:rFonts w:hint="default" w:ascii="宋体" w:hAnsi="宋体" w:cs="宋体"/>
                <w:color w:val="000000"/>
                <w:kern w:val="0"/>
                <w:sz w:val="20"/>
                <w:szCs w:val="20"/>
                <w:highlight w:val="none"/>
              </w:rPr>
              <w:t>±</w:t>
            </w:r>
            <w:r>
              <w:rPr>
                <w:rFonts w:hint="eastAsia" w:cs="宋体"/>
                <w:color w:val="000000"/>
                <w:kern w:val="0"/>
                <w:sz w:val="20"/>
                <w:szCs w:val="20"/>
                <w:highlight w:val="none"/>
                <w:lang w:val="en-US" w:eastAsia="zh-CN"/>
              </w:rPr>
              <w:t>2</w:t>
            </w:r>
            <w:r>
              <w:rPr>
                <w:rFonts w:hint="eastAsia" w:ascii="宋体" w:hAnsi="宋体" w:cs="宋体"/>
                <w:color w:val="000000"/>
                <w:kern w:val="0"/>
                <w:sz w:val="20"/>
                <w:szCs w:val="20"/>
                <w:highlight w:val="none"/>
                <w:lang w:val="en-US" w:eastAsia="zh-CN"/>
              </w:rPr>
              <w:t>C</w:t>
            </w:r>
            <w:r>
              <w:rPr>
                <w:rFonts w:hint="default" w:ascii="宋体" w:hAnsi="宋体" w:cs="宋体"/>
                <w:color w:val="000000"/>
                <w:kern w:val="0"/>
                <w:sz w:val="20"/>
                <w:szCs w:val="20"/>
                <w:highlight w:val="none"/>
              </w:rPr>
              <w:t>M</w:t>
            </w:r>
            <w:r>
              <w:rPr>
                <w:rFonts w:hint="eastAsia" w:ascii="宋体" w:hAnsi="宋体" w:cs="宋体"/>
                <w:color w:val="000000"/>
                <w:kern w:val="0"/>
                <w:sz w:val="20"/>
                <w:szCs w:val="20"/>
                <w:highlight w:val="none"/>
              </w:rPr>
              <w:t>/22幅</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三小2</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70</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小学科学地球与宇宙教学挂图</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Style w:val="27"/>
                <w:rFonts w:hint="default"/>
                <w:sz w:val="24"/>
                <w:szCs w:val="24"/>
                <w:highlight w:val="none"/>
              </w:rPr>
              <w:t>80*55CM</w:t>
            </w:r>
            <w:r>
              <w:rPr>
                <w:rFonts w:hint="default" w:ascii="宋体" w:hAnsi="宋体" w:cs="宋体"/>
                <w:color w:val="000000"/>
                <w:kern w:val="0"/>
                <w:sz w:val="20"/>
                <w:szCs w:val="20"/>
                <w:highlight w:val="none"/>
              </w:rPr>
              <w:t>±</w:t>
            </w:r>
            <w:r>
              <w:rPr>
                <w:rFonts w:hint="eastAsia" w:ascii="宋体" w:hAnsi="宋体" w:cs="宋体"/>
                <w:color w:val="000000"/>
                <w:kern w:val="0"/>
                <w:sz w:val="20"/>
                <w:szCs w:val="20"/>
                <w:highlight w:val="none"/>
                <w:lang w:val="en-US" w:eastAsia="zh-CN"/>
              </w:rPr>
              <w:t>5C</w:t>
            </w:r>
            <w:r>
              <w:rPr>
                <w:rFonts w:hint="default" w:ascii="宋体" w:hAnsi="宋体" w:cs="宋体"/>
                <w:color w:val="000000"/>
                <w:kern w:val="0"/>
                <w:sz w:val="20"/>
                <w:szCs w:val="20"/>
                <w:highlight w:val="none"/>
              </w:rPr>
              <w:t>M/24幅</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三小2</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71</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科学史挂图</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80*55CM</w:t>
            </w:r>
            <w:r>
              <w:rPr>
                <w:rFonts w:hint="default" w:ascii="宋体" w:hAnsi="宋体" w:cs="宋体"/>
                <w:color w:val="000000"/>
                <w:kern w:val="0"/>
                <w:sz w:val="20"/>
                <w:szCs w:val="20"/>
                <w:highlight w:val="none"/>
              </w:rPr>
              <w:t>±</w:t>
            </w:r>
            <w:r>
              <w:rPr>
                <w:rFonts w:hint="eastAsia" w:cs="宋体"/>
                <w:color w:val="000000"/>
                <w:kern w:val="0"/>
                <w:sz w:val="20"/>
                <w:szCs w:val="20"/>
                <w:highlight w:val="none"/>
                <w:lang w:val="en-US" w:eastAsia="zh-CN"/>
              </w:rPr>
              <w:t>5</w:t>
            </w:r>
            <w:r>
              <w:rPr>
                <w:rFonts w:hint="eastAsia" w:ascii="宋体" w:hAnsi="宋体" w:cs="宋体"/>
                <w:color w:val="000000"/>
                <w:kern w:val="0"/>
                <w:sz w:val="20"/>
                <w:szCs w:val="20"/>
                <w:highlight w:val="none"/>
                <w:lang w:val="en-US" w:eastAsia="zh-CN"/>
              </w:rPr>
              <w:t>C</w:t>
            </w:r>
            <w:r>
              <w:rPr>
                <w:rFonts w:hint="default" w:ascii="宋体" w:hAnsi="宋体" w:cs="宋体"/>
                <w:color w:val="000000"/>
                <w:kern w:val="0"/>
                <w:sz w:val="20"/>
                <w:szCs w:val="20"/>
                <w:highlight w:val="none"/>
              </w:rPr>
              <w:t>M</w:t>
            </w:r>
            <w:r>
              <w:rPr>
                <w:rFonts w:hint="eastAsia" w:ascii="宋体" w:hAnsi="宋体" w:cs="宋体"/>
                <w:color w:val="000000"/>
                <w:kern w:val="0"/>
                <w:sz w:val="20"/>
                <w:szCs w:val="20"/>
                <w:highlight w:val="none"/>
              </w:rPr>
              <w:t>/21幅</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三小2</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72</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小学科学教学素材库</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光盘</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三小1</w:t>
            </w:r>
          </w:p>
        </w:tc>
      </w:tr>
      <w:tr>
        <w:tblPrEx>
          <w:tblCellMar>
            <w:top w:w="0" w:type="dxa"/>
            <w:left w:w="108" w:type="dxa"/>
            <w:bottom w:w="0" w:type="dxa"/>
            <w:right w:w="108" w:type="dxa"/>
          </w:tblCellMar>
        </w:tblPrEx>
        <w:trPr>
          <w:trHeight w:val="52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73</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手持筛子</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default" w:ascii="宋体" w:hAnsi="宋体" w:cs="宋体"/>
                <w:color w:val="000000"/>
                <w:kern w:val="0"/>
                <w:sz w:val="20"/>
                <w:szCs w:val="20"/>
                <w:highlight w:val="none"/>
              </w:rPr>
              <w:t>材质：不锈钢/直径1.6±</w:t>
            </w:r>
            <w:r>
              <w:rPr>
                <w:rFonts w:hint="eastAsia" w:ascii="宋体" w:hAnsi="宋体" w:cs="宋体"/>
                <w:color w:val="000000"/>
                <w:kern w:val="0"/>
                <w:sz w:val="20"/>
                <w:szCs w:val="20"/>
                <w:highlight w:val="none"/>
                <w:lang w:val="en-US" w:eastAsia="zh-CN"/>
              </w:rPr>
              <w:t>0.2</w:t>
            </w:r>
            <w:r>
              <w:rPr>
                <w:rFonts w:hint="default" w:ascii="宋体" w:hAnsi="宋体" w:cs="宋体"/>
                <w:color w:val="000000"/>
                <w:kern w:val="0"/>
                <w:sz w:val="20"/>
                <w:szCs w:val="20"/>
                <w:highlight w:val="none"/>
              </w:rPr>
              <w:t>*高100MM±</w:t>
            </w:r>
            <w:r>
              <w:rPr>
                <w:rFonts w:hint="eastAsia" w:ascii="宋体" w:hAnsi="宋体" w:cs="宋体"/>
                <w:color w:val="000000"/>
                <w:kern w:val="0"/>
                <w:sz w:val="20"/>
                <w:szCs w:val="20"/>
                <w:highlight w:val="none"/>
                <w:lang w:val="en-US" w:eastAsia="zh-CN"/>
              </w:rPr>
              <w:t>2M</w:t>
            </w:r>
            <w:r>
              <w:rPr>
                <w:rFonts w:hint="default" w:ascii="宋体" w:hAnsi="宋体" w:cs="宋体"/>
                <w:color w:val="000000"/>
                <w:kern w:val="0"/>
                <w:sz w:val="20"/>
                <w:szCs w:val="20"/>
                <w:highlight w:val="none"/>
              </w:rPr>
              <w:t>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三小2</w:t>
            </w:r>
          </w:p>
        </w:tc>
      </w:tr>
      <w:tr>
        <w:tblPrEx>
          <w:tblCellMar>
            <w:top w:w="0" w:type="dxa"/>
            <w:left w:w="108" w:type="dxa"/>
            <w:bottom w:w="0" w:type="dxa"/>
            <w:right w:w="108" w:type="dxa"/>
          </w:tblCellMar>
        </w:tblPrEx>
        <w:trPr>
          <w:trHeight w:val="52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74</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采集捕捞工具</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标本夹，捕虫网，水网，小铁铲，技剪等</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三小2</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75</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少年人体半身模型</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rPr>
              <w:t>高45CM±</w:t>
            </w:r>
            <w:r>
              <w:rPr>
                <w:rFonts w:hint="eastAsia" w:ascii="宋体" w:hAnsi="宋体" w:cs="宋体"/>
                <w:color w:val="000000"/>
                <w:kern w:val="0"/>
                <w:sz w:val="20"/>
                <w:szCs w:val="20"/>
                <w:highlight w:val="none"/>
                <w:lang w:val="en-US" w:eastAsia="zh-CN"/>
              </w:rPr>
              <w:t>2C</w:t>
            </w:r>
            <w:r>
              <w:rPr>
                <w:rFonts w:hint="default" w:ascii="宋体" w:hAnsi="宋体" w:cs="宋体"/>
                <w:color w:val="000000"/>
                <w:kern w:val="0"/>
                <w:sz w:val="20"/>
                <w:szCs w:val="20"/>
                <w:highlight w:val="none"/>
              </w:rPr>
              <w:t>M/可拆卸组装</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台</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三小1、畅好2</w:t>
            </w:r>
          </w:p>
        </w:tc>
      </w:tr>
      <w:tr>
        <w:tblPrEx>
          <w:tblCellMar>
            <w:top w:w="0" w:type="dxa"/>
            <w:left w:w="108" w:type="dxa"/>
            <w:bottom w:w="0" w:type="dxa"/>
            <w:right w:w="108" w:type="dxa"/>
          </w:tblCellMar>
        </w:tblPrEx>
        <w:trPr>
          <w:trHeight w:val="52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76</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啄木鸟仿真模型</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rPr>
              <w:t>自然大，用羽毛制作/12*23CM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件</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三小1、畅好2</w:t>
            </w:r>
          </w:p>
        </w:tc>
      </w:tr>
      <w:tr>
        <w:tblPrEx>
          <w:tblCellMar>
            <w:top w:w="0" w:type="dxa"/>
            <w:left w:w="108" w:type="dxa"/>
            <w:bottom w:w="0" w:type="dxa"/>
            <w:right w:w="108" w:type="dxa"/>
          </w:tblCellMar>
        </w:tblPrEx>
        <w:trPr>
          <w:trHeight w:val="52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77</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猫头鹰仿真模型</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rPr>
              <w:t>自然大，用羽毛制作/长30CM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件</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三小1、畅好2</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78</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月相变化模型</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ABS环保材质/尺寸：38*25CM/转动方式：手动</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件</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三小1、畅好2</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79</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昆虫标本</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highlight w:val="none"/>
              </w:rPr>
            </w:pPr>
            <w:r>
              <w:rPr>
                <w:rFonts w:hint="default" w:ascii="宋体" w:hAnsi="宋体" w:cs="宋体"/>
                <w:color w:val="000000"/>
                <w:kern w:val="0"/>
                <w:sz w:val="20"/>
                <w:szCs w:val="20"/>
                <w:highlight w:val="none"/>
              </w:rPr>
              <w:t>常见益虫、害虫各</w:t>
            </w:r>
            <w:r>
              <w:rPr>
                <w:rFonts w:hint="eastAsia" w:ascii="宋体" w:hAnsi="宋体" w:cs="宋体"/>
                <w:color w:val="000000"/>
                <w:kern w:val="0"/>
                <w:sz w:val="20"/>
                <w:szCs w:val="20"/>
                <w:highlight w:val="none"/>
              </w:rPr>
              <w:t>6--7</w:t>
            </w:r>
            <w:r>
              <w:rPr>
                <w:rFonts w:hint="default" w:ascii="宋体" w:hAnsi="宋体" w:cs="宋体"/>
                <w:color w:val="000000"/>
                <w:kern w:val="0"/>
                <w:sz w:val="20"/>
                <w:szCs w:val="20"/>
                <w:highlight w:val="none"/>
              </w:rPr>
              <w:t>种</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14</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三小12、畅好2</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80</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植物种子传播方式标本</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动物传播、弹力传播、风力传播、水力传播</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14</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盒</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三小12、畅好2</w:t>
            </w:r>
          </w:p>
        </w:tc>
      </w:tr>
      <w:tr>
        <w:tblPrEx>
          <w:tblCellMar>
            <w:top w:w="0" w:type="dxa"/>
            <w:left w:w="108" w:type="dxa"/>
            <w:bottom w:w="0" w:type="dxa"/>
            <w:right w:w="108" w:type="dxa"/>
          </w:tblCellMar>
        </w:tblPrEx>
        <w:trPr>
          <w:trHeight w:val="435"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81</w:t>
            </w:r>
          </w:p>
        </w:tc>
        <w:tc>
          <w:tcPr>
            <w:tcW w:w="17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显微镜</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500</w:t>
            </w:r>
            <w:r>
              <w:rPr>
                <w:rFonts w:hint="default" w:ascii="宋体" w:hAnsi="宋体" w:cs="宋体"/>
                <w:color w:val="000000"/>
                <w:kern w:val="0"/>
                <w:sz w:val="20"/>
                <w:szCs w:val="20"/>
                <w:highlight w:val="none"/>
              </w:rPr>
              <w:t>×</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13</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台</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番阳10、畅好3</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82</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生物显微演示装置</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彩色，分辨率450TV线以上，放大倍数40</w:t>
            </w:r>
            <w:r>
              <w:rPr>
                <w:rFonts w:hint="default" w:ascii="宋体" w:hAnsi="宋体" w:cs="宋体"/>
                <w:color w:val="000000"/>
                <w:kern w:val="0"/>
                <w:sz w:val="20"/>
                <w:szCs w:val="20"/>
                <w:highlight w:val="none"/>
              </w:rPr>
              <w:t>×</w:t>
            </w:r>
            <w:r>
              <w:rPr>
                <w:rFonts w:hint="eastAsia" w:ascii="宋体" w:hAnsi="宋体" w:cs="宋体"/>
                <w:color w:val="000000"/>
                <w:kern w:val="0"/>
                <w:sz w:val="20"/>
                <w:szCs w:val="20"/>
                <w:highlight w:val="none"/>
              </w:rPr>
              <w:t>～1500</w:t>
            </w:r>
            <w:r>
              <w:rPr>
                <w:rFonts w:hint="default" w:ascii="宋体" w:hAnsi="宋体" w:cs="宋体"/>
                <w:color w:val="000000"/>
                <w:kern w:val="0"/>
                <w:sz w:val="20"/>
                <w:szCs w:val="20"/>
                <w:highlight w:val="none"/>
              </w:rPr>
              <w:t>×</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台</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畅好1</w:t>
            </w:r>
          </w:p>
        </w:tc>
      </w:tr>
      <w:tr>
        <w:tblPrEx>
          <w:tblCellMar>
            <w:top w:w="0" w:type="dxa"/>
            <w:left w:w="108" w:type="dxa"/>
            <w:bottom w:w="0" w:type="dxa"/>
            <w:right w:w="108" w:type="dxa"/>
          </w:tblCellMar>
        </w:tblPrEx>
        <w:trPr>
          <w:trHeight w:val="717"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83</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rPr>
              <w:t>昆虫观察盒</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16*12CM±3CM</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40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毛阳20、畅好</w:t>
            </w:r>
            <w:r>
              <w:rPr>
                <w:rFonts w:hint="eastAsia" w:ascii="宋体" w:hAnsi="宋体" w:cs="宋体"/>
                <w:color w:val="auto"/>
                <w:kern w:val="0"/>
                <w:sz w:val="22"/>
                <w:szCs w:val="22"/>
                <w:highlight w:val="none"/>
                <w:lang w:val="en-US" w:eastAsia="zh-CN"/>
              </w:rPr>
              <w:t>2</w:t>
            </w:r>
            <w:r>
              <w:rPr>
                <w:rFonts w:hint="eastAsia" w:ascii="宋体" w:hAnsi="宋体" w:cs="宋体"/>
                <w:color w:val="auto"/>
                <w:kern w:val="0"/>
                <w:sz w:val="22"/>
                <w:szCs w:val="22"/>
                <w:highlight w:val="none"/>
              </w:rPr>
              <w:t>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84</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动物饲养笼</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50*30*30CM</w:t>
            </w:r>
            <w:r>
              <w:rPr>
                <w:rFonts w:hint="eastAsia" w:ascii="宋体" w:hAnsi="宋体" w:cs="宋体"/>
                <w:color w:val="auto"/>
                <w:kern w:val="0"/>
                <w:sz w:val="22"/>
                <w:szCs w:val="22"/>
                <w:highlight w:val="none"/>
              </w:rPr>
              <w:t>±</w:t>
            </w:r>
            <w:r>
              <w:rPr>
                <w:rFonts w:hint="eastAsia" w:cs="宋体"/>
                <w:color w:val="auto"/>
                <w:kern w:val="0"/>
                <w:sz w:val="22"/>
                <w:szCs w:val="22"/>
                <w:highlight w:val="none"/>
                <w:lang w:val="en-US" w:eastAsia="zh-CN"/>
              </w:rPr>
              <w:t>5</w:t>
            </w:r>
            <w:r>
              <w:rPr>
                <w:rFonts w:hint="eastAsia" w:ascii="宋体" w:hAnsi="宋体" w:cs="宋体"/>
                <w:color w:val="auto"/>
                <w:kern w:val="0"/>
                <w:sz w:val="22"/>
                <w:szCs w:val="22"/>
                <w:highlight w:val="none"/>
              </w:rPr>
              <w:t>CM</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畅好10</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85</w:t>
            </w:r>
          </w:p>
        </w:tc>
        <w:tc>
          <w:tcPr>
            <w:tcW w:w="17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移动手提小冰箱</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550*340*365MM</w:t>
            </w:r>
            <w:r>
              <w:rPr>
                <w:rFonts w:hint="eastAsia" w:ascii="宋体" w:hAnsi="宋体" w:cs="宋体"/>
                <w:color w:val="auto"/>
                <w:kern w:val="0"/>
                <w:sz w:val="22"/>
                <w:szCs w:val="22"/>
                <w:highlight w:val="none"/>
              </w:rPr>
              <w:t>±</w:t>
            </w:r>
            <w:r>
              <w:rPr>
                <w:rFonts w:hint="eastAsia" w:cs="宋体"/>
                <w:color w:val="auto"/>
                <w:kern w:val="0"/>
                <w:sz w:val="22"/>
                <w:szCs w:val="22"/>
                <w:highlight w:val="none"/>
                <w:lang w:val="en-US" w:eastAsia="zh-CN"/>
              </w:rPr>
              <w:t>20M</w:t>
            </w:r>
            <w:r>
              <w:rPr>
                <w:rFonts w:hint="eastAsia" w:ascii="宋体" w:hAnsi="宋体" w:cs="宋体"/>
                <w:color w:val="auto"/>
                <w:kern w:val="0"/>
                <w:sz w:val="22"/>
                <w:szCs w:val="22"/>
                <w:highlight w:val="none"/>
              </w:rPr>
              <w:t>M</w:t>
            </w:r>
            <w:r>
              <w:rPr>
                <w:rFonts w:hint="eastAsia" w:ascii="宋体" w:hAnsi="宋体" w:cs="宋体"/>
                <w:color w:val="000000"/>
                <w:kern w:val="0"/>
                <w:sz w:val="22"/>
                <w:szCs w:val="22"/>
                <w:highlight w:val="none"/>
              </w:rPr>
              <w:t>/额定功率45W/制冷10度至-18度/容量25L</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台</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一小2、毛阳1、番阳1、畅好1</w:t>
            </w:r>
          </w:p>
        </w:tc>
      </w:tr>
      <w:tr>
        <w:tblPrEx>
          <w:tblCellMar>
            <w:top w:w="0" w:type="dxa"/>
            <w:left w:w="108" w:type="dxa"/>
            <w:bottom w:w="0" w:type="dxa"/>
            <w:right w:w="108" w:type="dxa"/>
          </w:tblCellMar>
        </w:tblPrEx>
        <w:trPr>
          <w:trHeight w:val="1168"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86</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四季移动天文星象观察用教学仪器</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Style w:val="26"/>
                <w:rFonts w:hint="default"/>
                <w:highlight w:val="none"/>
              </w:rPr>
              <w:t>18*18CM</w:t>
            </w:r>
            <w:r>
              <w:rPr>
                <w:rFonts w:hint="eastAsia" w:ascii="宋体" w:hAnsi="宋体" w:cs="宋体"/>
                <w:color w:val="auto"/>
                <w:kern w:val="0"/>
                <w:sz w:val="22"/>
                <w:szCs w:val="22"/>
                <w:highlight w:val="none"/>
              </w:rPr>
              <w:t>±3CM</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番阳50</w:t>
            </w:r>
          </w:p>
        </w:tc>
      </w:tr>
      <w:tr>
        <w:tblPrEx>
          <w:tblCellMar>
            <w:top w:w="0" w:type="dxa"/>
            <w:left w:w="108" w:type="dxa"/>
            <w:bottom w:w="0" w:type="dxa"/>
            <w:right w:w="108" w:type="dxa"/>
          </w:tblCellMar>
        </w:tblPrEx>
        <w:trPr>
          <w:trHeight w:val="501"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highlight w:val="none"/>
              </w:rPr>
            </w:pP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2"/>
                <w:szCs w:val="22"/>
                <w:highlight w:val="none"/>
              </w:rPr>
            </w:pP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6"/>
                <w:rFonts w:hint="default"/>
                <w:highlight w:val="none"/>
              </w:rPr>
            </w:pP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highlight w:val="none"/>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合计</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highlight w:val="none"/>
              </w:rPr>
            </w:pPr>
          </w:p>
        </w:tc>
      </w:tr>
      <w:tr>
        <w:tblPrEx>
          <w:tblCellMar>
            <w:top w:w="0" w:type="dxa"/>
            <w:left w:w="108" w:type="dxa"/>
            <w:bottom w:w="0" w:type="dxa"/>
            <w:right w:w="108" w:type="dxa"/>
          </w:tblCellMar>
        </w:tblPrEx>
        <w:trPr>
          <w:trHeight w:val="90" w:hRule="atLeast"/>
        </w:trPr>
        <w:tc>
          <w:tcPr>
            <w:tcW w:w="456" w:type="dxa"/>
            <w:tcBorders>
              <w:top w:val="nil"/>
              <w:left w:val="nil"/>
              <w:bottom w:val="nil"/>
              <w:right w:val="nil"/>
            </w:tcBorders>
            <w:noWrap/>
            <w:vAlign w:val="center"/>
          </w:tcPr>
          <w:p>
            <w:pPr>
              <w:jc w:val="center"/>
              <w:rPr>
                <w:rFonts w:hint="eastAsia" w:ascii="宋体" w:hAnsi="宋体" w:cs="宋体"/>
                <w:color w:val="000000"/>
                <w:sz w:val="22"/>
                <w:szCs w:val="22"/>
                <w:highlight w:val="none"/>
              </w:rPr>
            </w:pPr>
          </w:p>
        </w:tc>
        <w:tc>
          <w:tcPr>
            <w:tcW w:w="1756" w:type="dxa"/>
            <w:tcBorders>
              <w:top w:val="nil"/>
              <w:left w:val="nil"/>
              <w:bottom w:val="nil"/>
              <w:right w:val="nil"/>
            </w:tcBorders>
            <w:noWrap/>
            <w:vAlign w:val="center"/>
          </w:tcPr>
          <w:p>
            <w:pPr>
              <w:jc w:val="center"/>
              <w:rPr>
                <w:rFonts w:hint="eastAsia" w:ascii="宋体" w:hAnsi="宋体" w:cs="宋体"/>
                <w:color w:val="000000"/>
                <w:sz w:val="22"/>
                <w:szCs w:val="22"/>
                <w:highlight w:val="none"/>
              </w:rPr>
            </w:pPr>
          </w:p>
        </w:tc>
        <w:tc>
          <w:tcPr>
            <w:tcW w:w="2856" w:type="dxa"/>
            <w:tcBorders>
              <w:top w:val="nil"/>
              <w:left w:val="nil"/>
              <w:bottom w:val="nil"/>
              <w:right w:val="nil"/>
            </w:tcBorders>
            <w:vAlign w:val="center"/>
          </w:tcPr>
          <w:p>
            <w:pPr>
              <w:jc w:val="center"/>
              <w:rPr>
                <w:rFonts w:hint="eastAsia" w:ascii="宋体" w:hAnsi="宋体" w:cs="宋体"/>
                <w:color w:val="000000"/>
                <w:sz w:val="22"/>
                <w:szCs w:val="22"/>
                <w:highlight w:val="none"/>
              </w:rPr>
            </w:pPr>
          </w:p>
        </w:tc>
        <w:tc>
          <w:tcPr>
            <w:tcW w:w="546" w:type="dxa"/>
            <w:tcBorders>
              <w:top w:val="nil"/>
              <w:left w:val="nil"/>
              <w:bottom w:val="nil"/>
              <w:right w:val="nil"/>
            </w:tcBorders>
            <w:noWrap/>
            <w:vAlign w:val="center"/>
          </w:tcPr>
          <w:p>
            <w:pPr>
              <w:jc w:val="center"/>
              <w:rPr>
                <w:rFonts w:hint="eastAsia" w:ascii="宋体" w:hAnsi="宋体" w:cs="宋体"/>
                <w:color w:val="000000"/>
                <w:sz w:val="22"/>
                <w:szCs w:val="22"/>
                <w:highlight w:val="none"/>
              </w:rPr>
            </w:pPr>
          </w:p>
        </w:tc>
        <w:tc>
          <w:tcPr>
            <w:tcW w:w="656" w:type="dxa"/>
            <w:tcBorders>
              <w:top w:val="nil"/>
              <w:left w:val="nil"/>
              <w:bottom w:val="nil"/>
              <w:right w:val="nil"/>
            </w:tcBorders>
            <w:noWrap/>
            <w:vAlign w:val="center"/>
          </w:tcPr>
          <w:p>
            <w:pPr>
              <w:widowControl/>
              <w:jc w:val="center"/>
              <w:textAlignment w:val="center"/>
              <w:rPr>
                <w:rFonts w:hint="eastAsia" w:ascii="宋体" w:hAnsi="宋体" w:cs="宋体"/>
                <w:color w:val="000000"/>
                <w:sz w:val="22"/>
                <w:szCs w:val="22"/>
                <w:highlight w:val="none"/>
              </w:rPr>
            </w:pPr>
          </w:p>
        </w:tc>
        <w:tc>
          <w:tcPr>
            <w:tcW w:w="916" w:type="dxa"/>
            <w:tcBorders>
              <w:top w:val="nil"/>
              <w:left w:val="nil"/>
              <w:bottom w:val="nil"/>
              <w:right w:val="nil"/>
            </w:tcBorders>
            <w:noWrap/>
            <w:vAlign w:val="center"/>
          </w:tcPr>
          <w:p>
            <w:pPr>
              <w:jc w:val="center"/>
              <w:rPr>
                <w:rFonts w:hint="eastAsia" w:ascii="宋体" w:hAnsi="宋体" w:cs="宋体"/>
                <w:color w:val="000000"/>
                <w:sz w:val="22"/>
                <w:szCs w:val="22"/>
                <w:highlight w:val="none"/>
              </w:rPr>
            </w:pPr>
          </w:p>
        </w:tc>
        <w:tc>
          <w:tcPr>
            <w:tcW w:w="876" w:type="dxa"/>
            <w:tcBorders>
              <w:top w:val="nil"/>
              <w:left w:val="nil"/>
              <w:bottom w:val="nil"/>
              <w:right w:val="nil"/>
            </w:tcBorders>
            <w:noWrap/>
            <w:vAlign w:val="center"/>
          </w:tcPr>
          <w:p>
            <w:pPr>
              <w:widowControl/>
              <w:jc w:val="center"/>
              <w:textAlignment w:val="center"/>
              <w:rPr>
                <w:rFonts w:hint="eastAsia" w:ascii="宋体" w:hAnsi="宋体" w:cs="宋体"/>
                <w:color w:val="000000"/>
                <w:sz w:val="22"/>
                <w:szCs w:val="22"/>
                <w:highlight w:val="none"/>
              </w:rPr>
            </w:pPr>
          </w:p>
        </w:tc>
        <w:tc>
          <w:tcPr>
            <w:tcW w:w="1584" w:type="dxa"/>
            <w:tcBorders>
              <w:top w:val="nil"/>
              <w:left w:val="nil"/>
              <w:bottom w:val="nil"/>
              <w:right w:val="nil"/>
            </w:tcBorders>
            <w:noWrap/>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79" w:hRule="atLeast"/>
        </w:trPr>
        <w:tc>
          <w:tcPr>
            <w:tcW w:w="456" w:type="dxa"/>
            <w:tcBorders>
              <w:top w:val="nil"/>
              <w:left w:val="nil"/>
              <w:bottom w:val="nil"/>
              <w:right w:val="nil"/>
            </w:tcBorders>
            <w:noWrap/>
            <w:vAlign w:val="center"/>
          </w:tcPr>
          <w:p>
            <w:pPr>
              <w:jc w:val="center"/>
              <w:rPr>
                <w:rFonts w:hint="eastAsia" w:ascii="宋体" w:hAnsi="宋体" w:cs="宋体"/>
                <w:color w:val="000000"/>
                <w:sz w:val="22"/>
                <w:szCs w:val="22"/>
                <w:highlight w:val="none"/>
              </w:rPr>
            </w:pPr>
          </w:p>
        </w:tc>
        <w:tc>
          <w:tcPr>
            <w:tcW w:w="1756" w:type="dxa"/>
            <w:tcBorders>
              <w:top w:val="nil"/>
              <w:left w:val="nil"/>
              <w:bottom w:val="nil"/>
              <w:right w:val="nil"/>
            </w:tcBorders>
            <w:noWrap/>
            <w:vAlign w:val="center"/>
          </w:tcPr>
          <w:p>
            <w:pPr>
              <w:rPr>
                <w:rFonts w:hint="eastAsia"/>
                <w:highlight w:val="none"/>
              </w:rPr>
            </w:pPr>
          </w:p>
          <w:p>
            <w:pPr>
              <w:pStyle w:val="7"/>
              <w:rPr>
                <w:rFonts w:hint="eastAsia"/>
                <w:highlight w:val="none"/>
              </w:rPr>
            </w:pPr>
          </w:p>
          <w:p>
            <w:pPr>
              <w:rPr>
                <w:rFonts w:hint="eastAsia"/>
                <w:highlight w:val="none"/>
              </w:rPr>
            </w:pPr>
          </w:p>
          <w:p>
            <w:pPr>
              <w:pStyle w:val="7"/>
              <w:rPr>
                <w:rFonts w:hint="eastAsia"/>
                <w:highlight w:val="none"/>
              </w:rPr>
            </w:pPr>
          </w:p>
          <w:p>
            <w:pPr>
              <w:rPr>
                <w:rFonts w:hint="eastAsia"/>
                <w:highlight w:val="none"/>
              </w:rPr>
            </w:pPr>
          </w:p>
          <w:p>
            <w:pPr>
              <w:pStyle w:val="7"/>
              <w:rPr>
                <w:rFonts w:hint="eastAsia"/>
                <w:highlight w:val="none"/>
              </w:rPr>
            </w:pPr>
          </w:p>
          <w:p>
            <w:pPr>
              <w:rPr>
                <w:rFonts w:hint="eastAsia"/>
                <w:highlight w:val="none"/>
              </w:rPr>
            </w:pPr>
          </w:p>
          <w:p>
            <w:pPr>
              <w:pStyle w:val="7"/>
              <w:rPr>
                <w:rFonts w:hint="eastAsia"/>
                <w:highlight w:val="none"/>
              </w:rPr>
            </w:pPr>
          </w:p>
          <w:p>
            <w:pPr>
              <w:rPr>
                <w:rFonts w:hint="eastAsia"/>
                <w:highlight w:val="none"/>
              </w:rPr>
            </w:pPr>
          </w:p>
          <w:p>
            <w:pPr>
              <w:pStyle w:val="7"/>
              <w:rPr>
                <w:rFonts w:hint="eastAsia"/>
                <w:highlight w:val="none"/>
              </w:rPr>
            </w:pPr>
          </w:p>
        </w:tc>
        <w:tc>
          <w:tcPr>
            <w:tcW w:w="2856" w:type="dxa"/>
            <w:tcBorders>
              <w:top w:val="nil"/>
              <w:left w:val="nil"/>
              <w:bottom w:val="nil"/>
              <w:right w:val="nil"/>
            </w:tcBorders>
            <w:noWrap/>
            <w:vAlign w:val="center"/>
          </w:tcPr>
          <w:p>
            <w:pPr>
              <w:jc w:val="center"/>
              <w:rPr>
                <w:rFonts w:hint="eastAsia"/>
                <w:highlight w:val="none"/>
              </w:rPr>
            </w:pPr>
          </w:p>
          <w:p>
            <w:pPr>
              <w:pStyle w:val="7"/>
              <w:rPr>
                <w:rFonts w:hint="eastAsia"/>
                <w:highlight w:val="none"/>
              </w:rPr>
            </w:pPr>
          </w:p>
          <w:p>
            <w:pPr>
              <w:rPr>
                <w:rFonts w:hint="eastAsia"/>
                <w:highlight w:val="none"/>
              </w:rPr>
            </w:pPr>
          </w:p>
          <w:p>
            <w:pPr>
              <w:pStyle w:val="7"/>
              <w:rPr>
                <w:rFonts w:hint="eastAsia"/>
                <w:highlight w:val="none"/>
              </w:rPr>
            </w:pPr>
          </w:p>
          <w:p>
            <w:pPr>
              <w:rPr>
                <w:rFonts w:hint="eastAsia"/>
                <w:highlight w:val="none"/>
              </w:rPr>
            </w:pPr>
          </w:p>
          <w:p>
            <w:pPr>
              <w:pStyle w:val="7"/>
              <w:rPr>
                <w:rFonts w:hint="eastAsia"/>
                <w:highlight w:val="none"/>
              </w:rPr>
            </w:pPr>
          </w:p>
          <w:p>
            <w:pPr>
              <w:rPr>
                <w:rFonts w:hint="eastAsia"/>
                <w:highlight w:val="none"/>
              </w:rPr>
            </w:pPr>
          </w:p>
          <w:p>
            <w:pPr>
              <w:pStyle w:val="7"/>
              <w:rPr>
                <w:rFonts w:hint="eastAsia"/>
                <w:highlight w:val="none"/>
              </w:rPr>
            </w:pPr>
          </w:p>
          <w:p>
            <w:pPr>
              <w:rPr>
                <w:rFonts w:hint="eastAsia"/>
                <w:highlight w:val="none"/>
              </w:rPr>
            </w:pPr>
          </w:p>
        </w:tc>
        <w:tc>
          <w:tcPr>
            <w:tcW w:w="546" w:type="dxa"/>
            <w:tcBorders>
              <w:top w:val="nil"/>
              <w:left w:val="nil"/>
              <w:bottom w:val="nil"/>
              <w:right w:val="nil"/>
            </w:tcBorders>
            <w:noWrap/>
            <w:vAlign w:val="center"/>
          </w:tcPr>
          <w:p>
            <w:pPr>
              <w:jc w:val="center"/>
              <w:rPr>
                <w:rFonts w:hint="eastAsia" w:ascii="宋体" w:hAnsi="宋体" w:cs="宋体"/>
                <w:color w:val="000000"/>
                <w:sz w:val="22"/>
                <w:szCs w:val="22"/>
                <w:highlight w:val="none"/>
              </w:rPr>
            </w:pPr>
          </w:p>
        </w:tc>
        <w:tc>
          <w:tcPr>
            <w:tcW w:w="656" w:type="dxa"/>
            <w:tcBorders>
              <w:top w:val="nil"/>
              <w:left w:val="nil"/>
              <w:bottom w:val="nil"/>
              <w:right w:val="nil"/>
            </w:tcBorders>
            <w:noWrap/>
            <w:vAlign w:val="center"/>
          </w:tcPr>
          <w:p>
            <w:pPr>
              <w:jc w:val="center"/>
              <w:rPr>
                <w:rFonts w:hint="eastAsia" w:ascii="宋体" w:hAnsi="宋体" w:cs="宋体"/>
                <w:color w:val="000000"/>
                <w:sz w:val="22"/>
                <w:szCs w:val="22"/>
                <w:highlight w:val="none"/>
              </w:rPr>
            </w:pPr>
          </w:p>
        </w:tc>
        <w:tc>
          <w:tcPr>
            <w:tcW w:w="916" w:type="dxa"/>
            <w:tcBorders>
              <w:top w:val="nil"/>
              <w:left w:val="nil"/>
              <w:bottom w:val="nil"/>
              <w:right w:val="nil"/>
            </w:tcBorders>
            <w:noWrap/>
            <w:vAlign w:val="center"/>
          </w:tcPr>
          <w:p>
            <w:pPr>
              <w:jc w:val="center"/>
              <w:rPr>
                <w:rFonts w:hint="eastAsia" w:ascii="宋体" w:hAnsi="宋体" w:cs="宋体"/>
                <w:color w:val="000000"/>
                <w:sz w:val="22"/>
                <w:szCs w:val="22"/>
                <w:highlight w:val="none"/>
              </w:rPr>
            </w:pPr>
          </w:p>
        </w:tc>
        <w:tc>
          <w:tcPr>
            <w:tcW w:w="876" w:type="dxa"/>
            <w:tcBorders>
              <w:top w:val="nil"/>
              <w:left w:val="nil"/>
              <w:bottom w:val="nil"/>
              <w:right w:val="nil"/>
            </w:tcBorders>
            <w:noWrap/>
            <w:vAlign w:val="center"/>
          </w:tcPr>
          <w:p>
            <w:pPr>
              <w:jc w:val="center"/>
              <w:rPr>
                <w:rFonts w:hint="eastAsia" w:ascii="宋体" w:hAnsi="宋体" w:cs="宋体"/>
                <w:color w:val="000000"/>
                <w:sz w:val="22"/>
                <w:szCs w:val="22"/>
                <w:highlight w:val="none"/>
              </w:rPr>
            </w:pPr>
          </w:p>
        </w:tc>
        <w:tc>
          <w:tcPr>
            <w:tcW w:w="1584" w:type="dxa"/>
            <w:tcBorders>
              <w:top w:val="nil"/>
              <w:left w:val="nil"/>
              <w:bottom w:val="nil"/>
              <w:right w:val="nil"/>
            </w:tcBorders>
            <w:noWrap/>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412" w:hRule="atLeast"/>
        </w:trPr>
        <w:tc>
          <w:tcPr>
            <w:tcW w:w="221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学校</w:t>
            </w:r>
          </w:p>
        </w:tc>
        <w:tc>
          <w:tcPr>
            <w:tcW w:w="743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设备清单</w:t>
            </w:r>
          </w:p>
        </w:tc>
      </w:tr>
      <w:tr>
        <w:tblPrEx>
          <w:tblCellMar>
            <w:top w:w="0" w:type="dxa"/>
            <w:left w:w="108" w:type="dxa"/>
            <w:bottom w:w="0" w:type="dxa"/>
            <w:right w:w="108" w:type="dxa"/>
          </w:tblCellMar>
        </w:tblPrEx>
        <w:trPr>
          <w:trHeight w:val="3052" w:hRule="atLeast"/>
        </w:trPr>
        <w:tc>
          <w:tcPr>
            <w:tcW w:w="22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五指山市第一小学</w:t>
            </w:r>
          </w:p>
        </w:tc>
        <w:tc>
          <w:tcPr>
            <w:tcW w:w="743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电子秤30、测力计40、铁架台80、MPR智能AR语音点读地球仪30、条形磁铁80、环形磁铁80、U型磁铁80、固体热胀冷缩演示仪80、镊子80、托盘40、弹簧80、钩码80、蒸发皿40、酒精灯80、长柄铁汤勺40、小药匙80、坩埚钳80、石棉网80、音叉80、玩具小鼓80、土电话80、玩具弦乐器80、500ml量筒80、100ml量筒80、250mlV型量杯80、100ml锥型烧瓶80、U型管80、蛇形管40、500ml烧杯50、250ml烧杯50、100ml烧杯50、50ml 烧杯50、搅拌棒（长玻璃棒）50、世界地图40、圆形玻璃水槽50、透明水槽80、三棱镜80、放大镜80、酒精10、火柴50、打火机50、石灰2、蜡烛80、温度计80、移动手提小冰箱2</w:t>
            </w:r>
          </w:p>
        </w:tc>
      </w:tr>
      <w:tr>
        <w:tblPrEx>
          <w:tblCellMar>
            <w:top w:w="0" w:type="dxa"/>
            <w:left w:w="108" w:type="dxa"/>
            <w:bottom w:w="0" w:type="dxa"/>
            <w:right w:w="108" w:type="dxa"/>
          </w:tblCellMar>
        </w:tblPrEx>
        <w:trPr>
          <w:trHeight w:val="2111" w:hRule="atLeast"/>
        </w:trPr>
        <w:tc>
          <w:tcPr>
            <w:tcW w:w="22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五指山市毛阳中心学校</w:t>
            </w:r>
          </w:p>
        </w:tc>
        <w:tc>
          <w:tcPr>
            <w:tcW w:w="743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电子秤5、MPR智能AR语音点读地球仪8、放大镜40、温度计40、天文望远镜2、曲面镜及支架20、指南针磁铁实验套装40、组水轮材料 50、动植物实验标本切片30、电学实验盒40、自制红绿灯40、司南模型10、小学生科技小制作套装（一年级40、二年级40、三年级40）、昆虫观察盒20、移动手提小冰箱1</w:t>
            </w:r>
          </w:p>
        </w:tc>
      </w:tr>
      <w:tr>
        <w:tblPrEx>
          <w:tblCellMar>
            <w:top w:w="0" w:type="dxa"/>
            <w:left w:w="108" w:type="dxa"/>
            <w:bottom w:w="0" w:type="dxa"/>
            <w:right w:w="108" w:type="dxa"/>
          </w:tblCellMar>
        </w:tblPrEx>
        <w:trPr>
          <w:trHeight w:val="3161" w:hRule="atLeast"/>
        </w:trPr>
        <w:tc>
          <w:tcPr>
            <w:tcW w:w="22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五指山市畅好中心学校</w:t>
            </w:r>
          </w:p>
        </w:tc>
        <w:tc>
          <w:tcPr>
            <w:tcW w:w="743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电子秤1、MPR智能AR语音点读地球仪1、酒精喷灯1、土电话10、放大镜20、酒精10、石灰2、天文望远镜1、曲面镜及支架10、指南针磁铁实验套装10、组水轮材料 10、动植物实验标本切片10、电学实验盒10、自制红绿灯10、司南模型2、小学生科技小制作套装（一年级10、二年级10、三年级10）、天然材料标本1、人造材料标本1、纺织品标本1、各种纸样标本1、矿物标本1、金属矿物标本1、土壤标本1、矿物提炼物标本1、少年人体半身模型2、啄木鸟仿真模型2、猫头鹰仿真模型2、月相变化模型2、昆虫标本2、植物种子传播方式标本2、显微镜3、生物显微演示装置1、昆虫观察盒10、动物饲养笼10、移动手提小冰箱1</w:t>
            </w:r>
          </w:p>
        </w:tc>
      </w:tr>
      <w:tr>
        <w:tblPrEx>
          <w:tblCellMar>
            <w:top w:w="0" w:type="dxa"/>
            <w:left w:w="108" w:type="dxa"/>
            <w:bottom w:w="0" w:type="dxa"/>
            <w:right w:w="108" w:type="dxa"/>
          </w:tblCellMar>
        </w:tblPrEx>
        <w:trPr>
          <w:trHeight w:val="2361" w:hRule="atLeast"/>
        </w:trPr>
        <w:tc>
          <w:tcPr>
            <w:tcW w:w="22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五指山市第三小学</w:t>
            </w:r>
          </w:p>
        </w:tc>
        <w:tc>
          <w:tcPr>
            <w:tcW w:w="743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放大镜40、酒精10、温度计45、指南针磁铁实验套装23、天然材料标本4、人造材料标本4、纺织品标本4、各种纸样标本4、矿物标本4、岩石标本4、金属矿物标本5、土壤标本5、矿物提炼物标本5、物品卡片25、中国地形地图2、小学科学安全操作挂图2、小学科学物质世界教学挂图2、小学科学地球与宇宙教学挂图2、科学史挂图2、小学科学教学素材库1、手持筛子2、采集捕捞工具2、少年人体半身模型1、啄木鸟仿真模型2、猫头鹰仿真模型2、月相变化模型2、昆虫标本12、植物种子传播方式标本12、</w:t>
            </w:r>
          </w:p>
        </w:tc>
      </w:tr>
      <w:tr>
        <w:tblPrEx>
          <w:tblCellMar>
            <w:top w:w="0" w:type="dxa"/>
            <w:left w:w="108" w:type="dxa"/>
            <w:bottom w:w="0" w:type="dxa"/>
            <w:right w:w="108" w:type="dxa"/>
          </w:tblCellMar>
        </w:tblPrEx>
        <w:trPr>
          <w:trHeight w:val="1413" w:hRule="atLeast"/>
        </w:trPr>
        <w:tc>
          <w:tcPr>
            <w:tcW w:w="22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五指山市番阳中心学校</w:t>
            </w:r>
          </w:p>
        </w:tc>
        <w:tc>
          <w:tcPr>
            <w:tcW w:w="743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曲面镜及支架10、指南针磁铁实验套装50、组水轮材料 50、电学实验盒40、小学生科技小制作套装（一年级40、二年级40、三年级40）、显微镜10、移动手提小冰箱1、四季移动天文星象观察用教学仪器50</w:t>
            </w:r>
          </w:p>
        </w:tc>
      </w:tr>
    </w:tbl>
    <w:p>
      <w:pPr>
        <w:rPr>
          <w:highlight w:val="none"/>
        </w:rPr>
      </w:pPr>
    </w:p>
    <w:tbl>
      <w:tblPr>
        <w:tblStyle w:val="17"/>
        <w:tblW w:w="9676" w:type="dxa"/>
        <w:tblInd w:w="93" w:type="dxa"/>
        <w:tblLayout w:type="fixed"/>
        <w:tblCellMar>
          <w:top w:w="0" w:type="dxa"/>
          <w:left w:w="108" w:type="dxa"/>
          <w:bottom w:w="0" w:type="dxa"/>
          <w:right w:w="108" w:type="dxa"/>
        </w:tblCellMar>
      </w:tblPr>
      <w:tblGrid>
        <w:gridCol w:w="553"/>
        <w:gridCol w:w="61"/>
        <w:gridCol w:w="922"/>
        <w:gridCol w:w="237"/>
        <w:gridCol w:w="1505"/>
        <w:gridCol w:w="732"/>
        <w:gridCol w:w="533"/>
        <w:gridCol w:w="1058"/>
        <w:gridCol w:w="10"/>
        <w:gridCol w:w="561"/>
        <w:gridCol w:w="547"/>
        <w:gridCol w:w="109"/>
        <w:gridCol w:w="986"/>
        <w:gridCol w:w="986"/>
        <w:gridCol w:w="669"/>
        <w:gridCol w:w="207"/>
      </w:tblGrid>
      <w:tr>
        <w:tblPrEx>
          <w:tblCellMar>
            <w:top w:w="0" w:type="dxa"/>
            <w:left w:w="108" w:type="dxa"/>
            <w:bottom w:w="0" w:type="dxa"/>
            <w:right w:w="108" w:type="dxa"/>
          </w:tblCellMar>
        </w:tblPrEx>
        <w:trPr>
          <w:gridAfter w:val="1"/>
          <w:wAfter w:w="207" w:type="dxa"/>
          <w:trHeight w:val="1150" w:hRule="atLeast"/>
        </w:trPr>
        <w:tc>
          <w:tcPr>
            <w:tcW w:w="9469" w:type="dxa"/>
            <w:gridSpan w:val="15"/>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cs="宋体"/>
                <w:color w:val="000000"/>
                <w:sz w:val="40"/>
                <w:szCs w:val="40"/>
                <w:highlight w:val="none"/>
              </w:rPr>
            </w:pPr>
            <w:r>
              <w:rPr>
                <w:rFonts w:hint="eastAsia" w:ascii="宋体" w:hAnsi="宋体" w:cs="宋体"/>
                <w:color w:val="000000"/>
                <w:kern w:val="0"/>
                <w:sz w:val="40"/>
                <w:szCs w:val="40"/>
                <w:highlight w:val="none"/>
              </w:rPr>
              <w:t>3、小学数学仪器</w:t>
            </w:r>
          </w:p>
        </w:tc>
      </w:tr>
      <w:tr>
        <w:tblPrEx>
          <w:tblCellMar>
            <w:top w:w="0" w:type="dxa"/>
            <w:left w:w="108" w:type="dxa"/>
            <w:bottom w:w="0" w:type="dxa"/>
            <w:right w:w="108" w:type="dxa"/>
          </w:tblCellMar>
        </w:tblPrEx>
        <w:trPr>
          <w:gridAfter w:val="1"/>
          <w:wAfter w:w="207" w:type="dxa"/>
          <w:trHeight w:val="1150" w:hRule="atLeast"/>
        </w:trPr>
        <w:tc>
          <w:tcPr>
            <w:tcW w:w="553"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序号</w:t>
            </w:r>
          </w:p>
        </w:tc>
        <w:tc>
          <w:tcPr>
            <w:tcW w:w="1220" w:type="dxa"/>
            <w:gridSpan w:val="3"/>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名称</w:t>
            </w:r>
          </w:p>
        </w:tc>
        <w:tc>
          <w:tcPr>
            <w:tcW w:w="150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标底参数</w:t>
            </w:r>
          </w:p>
        </w:tc>
        <w:tc>
          <w:tcPr>
            <w:tcW w:w="73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数量</w:t>
            </w:r>
          </w:p>
        </w:tc>
        <w:tc>
          <w:tcPr>
            <w:tcW w:w="533"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单位</w:t>
            </w:r>
          </w:p>
        </w:tc>
        <w:tc>
          <w:tcPr>
            <w:tcW w:w="1058"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单价/元</w:t>
            </w:r>
          </w:p>
        </w:tc>
        <w:tc>
          <w:tcPr>
            <w:tcW w:w="1118" w:type="dxa"/>
            <w:gridSpan w:val="3"/>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金额/元</w:t>
            </w:r>
          </w:p>
        </w:tc>
        <w:tc>
          <w:tcPr>
            <w:tcW w:w="2750" w:type="dxa"/>
            <w:gridSpan w:val="4"/>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备注</w:t>
            </w:r>
          </w:p>
        </w:tc>
      </w:tr>
      <w:tr>
        <w:tblPrEx>
          <w:tblCellMar>
            <w:top w:w="0" w:type="dxa"/>
            <w:left w:w="108" w:type="dxa"/>
            <w:bottom w:w="0" w:type="dxa"/>
            <w:right w:w="108" w:type="dxa"/>
          </w:tblCellMar>
        </w:tblPrEx>
        <w:trPr>
          <w:gridAfter w:val="1"/>
          <w:wAfter w:w="207" w:type="dxa"/>
          <w:trHeight w:val="3384"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磁性计数棒</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10*0.8CM/（10根一捆）（10捆/套）</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335</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FF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FF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FF0000"/>
                <w:sz w:val="20"/>
                <w:szCs w:val="20"/>
                <w:highlight w:val="none"/>
              </w:rPr>
            </w:pPr>
            <w:r>
              <w:rPr>
                <w:rFonts w:hint="eastAsia" w:ascii="宋体" w:hAnsi="宋体" w:cs="宋体"/>
                <w:color w:val="000000"/>
                <w:kern w:val="0"/>
                <w:sz w:val="20"/>
                <w:szCs w:val="20"/>
                <w:highlight w:val="none"/>
              </w:rPr>
              <w:t>一小20、南圣80、毛阳40、番阳1</w:t>
            </w:r>
            <w:r>
              <w:rPr>
                <w:rFonts w:hint="default" w:ascii="宋体" w:hAnsi="宋体" w:cs="宋体"/>
                <w:color w:val="000000"/>
                <w:kern w:val="0"/>
                <w:sz w:val="20"/>
                <w:szCs w:val="20"/>
                <w:highlight w:val="none"/>
                <w:lang w:val="en-US"/>
              </w:rPr>
              <w:t>1</w:t>
            </w:r>
            <w:r>
              <w:rPr>
                <w:rFonts w:hint="eastAsia" w:ascii="宋体" w:hAnsi="宋体" w:cs="宋体"/>
                <w:color w:val="000000"/>
                <w:kern w:val="0"/>
                <w:sz w:val="20"/>
                <w:szCs w:val="20"/>
                <w:highlight w:val="none"/>
              </w:rPr>
              <w:t>0、布伦30、毛组20、南打15、红山20</w:t>
            </w:r>
          </w:p>
        </w:tc>
      </w:tr>
      <w:tr>
        <w:tblPrEx>
          <w:tblCellMar>
            <w:top w:w="0" w:type="dxa"/>
            <w:left w:w="108" w:type="dxa"/>
            <w:bottom w:w="0" w:type="dxa"/>
            <w:right w:w="108" w:type="dxa"/>
          </w:tblCellMar>
        </w:tblPrEx>
        <w:trPr>
          <w:gridAfter w:val="1"/>
          <w:wAfter w:w="207" w:type="dxa"/>
          <w:trHeight w:val="2852"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磁性平面几何图形演示器</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材质：环保塑料，强磁铁/等腰梯形/平形四边形/长方形/正方形</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一小20、三小30、南圣30、布伦5、孔首5、南打5、红山5</w:t>
            </w:r>
          </w:p>
        </w:tc>
      </w:tr>
      <w:tr>
        <w:tblPrEx>
          <w:tblCellMar>
            <w:top w:w="0" w:type="dxa"/>
            <w:left w:w="108" w:type="dxa"/>
            <w:bottom w:w="0" w:type="dxa"/>
            <w:right w:w="108" w:type="dxa"/>
          </w:tblCellMar>
        </w:tblPrEx>
        <w:trPr>
          <w:gridAfter w:val="1"/>
          <w:wAfter w:w="207" w:type="dxa"/>
          <w:trHeight w:val="2852"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几何体教具</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长方体6*5*8CM、正方体8CM、圆柱8*底面7.8CM、圆锥底面8*棱长8.7CM）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一小20、三小2、南圣20、毛阳10、番阳10、布伦5、红山3</w:t>
            </w:r>
          </w:p>
        </w:tc>
      </w:tr>
      <w:tr>
        <w:tblPrEx>
          <w:tblCellMar>
            <w:top w:w="0" w:type="dxa"/>
            <w:left w:w="108" w:type="dxa"/>
            <w:bottom w:w="0" w:type="dxa"/>
            <w:right w:w="108" w:type="dxa"/>
          </w:tblCellMar>
        </w:tblPrEx>
        <w:trPr>
          <w:gridAfter w:val="1"/>
          <w:wAfter w:w="207" w:type="dxa"/>
          <w:trHeight w:val="1906"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122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三档计数器</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20*25*10CM</w:t>
            </w:r>
            <w:r>
              <w:rPr>
                <w:rStyle w:val="26"/>
                <w:rFonts w:hint="default"/>
                <w:highlight w:val="none"/>
              </w:rPr>
              <w:t>±</w:t>
            </w:r>
            <w:r>
              <w:rPr>
                <w:rStyle w:val="26"/>
                <w:rFonts w:hint="eastAsia"/>
                <w:highlight w:val="none"/>
                <w:lang w:val="en-US" w:eastAsia="zh-CN"/>
              </w:rPr>
              <w:t>1C</w:t>
            </w:r>
            <w:r>
              <w:rPr>
                <w:rStyle w:val="26"/>
                <w:rFonts w:hint="default"/>
                <w:highlight w:val="none"/>
              </w:rPr>
              <w:t>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39</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一小20、三小2、番阳10、南打2、红山5</w:t>
            </w:r>
          </w:p>
        </w:tc>
      </w:tr>
      <w:tr>
        <w:tblPrEx>
          <w:tblCellMar>
            <w:top w:w="0" w:type="dxa"/>
            <w:left w:w="108" w:type="dxa"/>
            <w:bottom w:w="0" w:type="dxa"/>
            <w:right w:w="108" w:type="dxa"/>
          </w:tblCellMar>
        </w:tblPrEx>
        <w:trPr>
          <w:gridAfter w:val="1"/>
          <w:wAfter w:w="207" w:type="dxa"/>
          <w:trHeight w:val="2852"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5</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五档计数器</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26*25*10CM</w:t>
            </w:r>
            <w:r>
              <w:rPr>
                <w:rStyle w:val="26"/>
                <w:rFonts w:hint="default"/>
                <w:highlight w:val="none"/>
              </w:rPr>
              <w:t>±</w:t>
            </w:r>
            <w:r>
              <w:rPr>
                <w:rStyle w:val="26"/>
                <w:rFonts w:hint="eastAsia"/>
                <w:highlight w:val="none"/>
                <w:lang w:val="en-US" w:eastAsia="zh-CN"/>
              </w:rPr>
              <w:t>1C</w:t>
            </w:r>
            <w:r>
              <w:rPr>
                <w:rStyle w:val="26"/>
                <w:rFonts w:hint="default"/>
                <w:highlight w:val="none"/>
              </w:rPr>
              <w:t>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66</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FF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FF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FF0000"/>
                <w:sz w:val="20"/>
                <w:szCs w:val="20"/>
                <w:highlight w:val="none"/>
              </w:rPr>
            </w:pPr>
            <w:r>
              <w:rPr>
                <w:rFonts w:hint="eastAsia" w:ascii="宋体" w:hAnsi="宋体" w:cs="宋体"/>
                <w:color w:val="000000"/>
                <w:kern w:val="0"/>
                <w:sz w:val="20"/>
                <w:szCs w:val="20"/>
                <w:highlight w:val="none"/>
              </w:rPr>
              <w:t>一小20、三小2、南圣10、毛阳10、番阳</w:t>
            </w:r>
            <w:r>
              <w:rPr>
                <w:rFonts w:hint="default" w:ascii="宋体" w:hAnsi="宋体" w:cs="宋体"/>
                <w:color w:val="000000"/>
                <w:kern w:val="0"/>
                <w:sz w:val="20"/>
                <w:szCs w:val="20"/>
                <w:highlight w:val="none"/>
                <w:lang w:val="en-US"/>
              </w:rPr>
              <w:t>19</w:t>
            </w:r>
            <w:r>
              <w:rPr>
                <w:rFonts w:hint="eastAsia" w:ascii="宋体" w:hAnsi="宋体" w:cs="宋体"/>
                <w:color w:val="000000"/>
                <w:kern w:val="0"/>
                <w:sz w:val="20"/>
                <w:szCs w:val="20"/>
                <w:highlight w:val="none"/>
              </w:rPr>
              <w:t>、南打2、红山3</w:t>
            </w:r>
          </w:p>
        </w:tc>
      </w:tr>
      <w:tr>
        <w:tblPrEx>
          <w:tblCellMar>
            <w:top w:w="0" w:type="dxa"/>
            <w:left w:w="108" w:type="dxa"/>
            <w:bottom w:w="0" w:type="dxa"/>
            <w:right w:w="108" w:type="dxa"/>
          </w:tblCellMar>
        </w:tblPrEx>
        <w:trPr>
          <w:gridAfter w:val="1"/>
          <w:wAfter w:w="207" w:type="dxa"/>
          <w:trHeight w:val="1906"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6</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直尺</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1米/100CM  材质：木质</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95</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FF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FF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FF0000"/>
                <w:sz w:val="20"/>
                <w:szCs w:val="20"/>
                <w:highlight w:val="none"/>
              </w:rPr>
            </w:pPr>
            <w:r>
              <w:rPr>
                <w:rFonts w:hint="eastAsia" w:ascii="宋体" w:hAnsi="宋体" w:cs="宋体"/>
                <w:color w:val="000000"/>
                <w:kern w:val="0"/>
                <w:sz w:val="20"/>
                <w:szCs w:val="20"/>
                <w:highlight w:val="none"/>
              </w:rPr>
              <w:t>一小20、三小</w:t>
            </w:r>
            <w:r>
              <w:rPr>
                <w:rFonts w:hint="default" w:ascii="宋体" w:hAnsi="宋体" w:cs="宋体"/>
                <w:color w:val="000000"/>
                <w:kern w:val="0"/>
                <w:sz w:val="20"/>
                <w:szCs w:val="20"/>
                <w:highlight w:val="none"/>
                <w:lang w:val="en-US"/>
              </w:rPr>
              <w:t>33</w:t>
            </w:r>
            <w:r>
              <w:rPr>
                <w:rFonts w:hint="eastAsia" w:ascii="宋体" w:hAnsi="宋体" w:cs="宋体"/>
                <w:color w:val="000000"/>
                <w:kern w:val="0"/>
                <w:sz w:val="20"/>
                <w:szCs w:val="20"/>
                <w:highlight w:val="none"/>
              </w:rPr>
              <w:t>、南圣20、番阳</w:t>
            </w:r>
            <w:r>
              <w:rPr>
                <w:rFonts w:hint="default" w:ascii="宋体" w:hAnsi="宋体" w:cs="宋体"/>
                <w:color w:val="000000"/>
                <w:kern w:val="0"/>
                <w:sz w:val="20"/>
                <w:szCs w:val="20"/>
                <w:highlight w:val="none"/>
                <w:lang w:val="en-US"/>
              </w:rPr>
              <w:t>20</w:t>
            </w:r>
            <w:r>
              <w:rPr>
                <w:rFonts w:hint="eastAsia" w:ascii="宋体" w:hAnsi="宋体" w:cs="宋体"/>
                <w:color w:val="000000"/>
                <w:kern w:val="0"/>
                <w:sz w:val="20"/>
                <w:szCs w:val="20"/>
                <w:highlight w:val="none"/>
              </w:rPr>
              <w:t>、南打2</w:t>
            </w:r>
          </w:p>
        </w:tc>
      </w:tr>
      <w:tr>
        <w:tblPrEx>
          <w:tblCellMar>
            <w:top w:w="0" w:type="dxa"/>
            <w:left w:w="108" w:type="dxa"/>
            <w:bottom w:w="0" w:type="dxa"/>
            <w:right w:w="108" w:type="dxa"/>
          </w:tblCellMar>
        </w:tblPrEx>
        <w:trPr>
          <w:gridAfter w:val="1"/>
          <w:wAfter w:w="207" w:type="dxa"/>
          <w:trHeight w:val="2852"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w:t>
            </w:r>
          </w:p>
        </w:tc>
        <w:tc>
          <w:tcPr>
            <w:tcW w:w="122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三角板</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磁性60度/50*80CM</w:t>
            </w:r>
            <w:r>
              <w:rPr>
                <w:rStyle w:val="26"/>
                <w:rFonts w:hint="default"/>
                <w:highlight w:val="none"/>
              </w:rPr>
              <w:t>±</w:t>
            </w:r>
            <w:r>
              <w:rPr>
                <w:rStyle w:val="26"/>
                <w:rFonts w:hint="eastAsia"/>
                <w:highlight w:val="none"/>
                <w:lang w:val="en-US" w:eastAsia="zh-CN"/>
              </w:rPr>
              <w:t>1C</w:t>
            </w:r>
            <w:r>
              <w:rPr>
                <w:rStyle w:val="26"/>
                <w:rFonts w:hint="default"/>
                <w:highlight w:val="none"/>
              </w:rPr>
              <w:t>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47</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一小20、毛阳10、番阳10、布伦1、加艾2、孔首2、南打2</w:t>
            </w:r>
          </w:p>
        </w:tc>
      </w:tr>
      <w:tr>
        <w:tblPrEx>
          <w:tblCellMar>
            <w:top w:w="0" w:type="dxa"/>
            <w:left w:w="108" w:type="dxa"/>
            <w:bottom w:w="0" w:type="dxa"/>
            <w:right w:w="108" w:type="dxa"/>
          </w:tblCellMar>
        </w:tblPrEx>
        <w:trPr>
          <w:gridAfter w:val="1"/>
          <w:wAfter w:w="207" w:type="dxa"/>
          <w:trHeight w:val="2852"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w:t>
            </w:r>
          </w:p>
        </w:tc>
        <w:tc>
          <w:tcPr>
            <w:tcW w:w="122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三角板</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磁性45度/35*50CM</w:t>
            </w:r>
            <w:r>
              <w:rPr>
                <w:rStyle w:val="26"/>
                <w:rFonts w:hint="default"/>
                <w:highlight w:val="none"/>
              </w:rPr>
              <w:t>±</w:t>
            </w:r>
            <w:r>
              <w:rPr>
                <w:rStyle w:val="26"/>
                <w:rFonts w:hint="eastAsia"/>
                <w:highlight w:val="none"/>
                <w:lang w:val="en-US" w:eastAsia="zh-CN"/>
              </w:rPr>
              <w:t>1C</w:t>
            </w:r>
            <w:r>
              <w:rPr>
                <w:rStyle w:val="26"/>
                <w:rFonts w:hint="default"/>
                <w:highlight w:val="none"/>
              </w:rPr>
              <w:t>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47</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一小20、毛阳10、番阳10、布伦1、加艾2、孔首2、南打2</w:t>
            </w:r>
          </w:p>
        </w:tc>
      </w:tr>
      <w:tr>
        <w:tblPrEx>
          <w:tblCellMar>
            <w:top w:w="0" w:type="dxa"/>
            <w:left w:w="108" w:type="dxa"/>
            <w:bottom w:w="0" w:type="dxa"/>
            <w:right w:w="108" w:type="dxa"/>
          </w:tblCellMar>
        </w:tblPrEx>
        <w:trPr>
          <w:gridAfter w:val="1"/>
          <w:wAfter w:w="207" w:type="dxa"/>
          <w:trHeight w:val="1906"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9</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钉子板</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尺寸：23*29CM</w:t>
            </w:r>
            <w:r>
              <w:rPr>
                <w:rStyle w:val="26"/>
                <w:rFonts w:hint="default"/>
                <w:highlight w:val="none"/>
              </w:rPr>
              <w:t>±</w:t>
            </w:r>
            <w:r>
              <w:rPr>
                <w:rStyle w:val="26"/>
                <w:rFonts w:hint="eastAsia"/>
                <w:highlight w:val="none"/>
                <w:lang w:val="en-US" w:eastAsia="zh-CN"/>
              </w:rPr>
              <w:t>1C</w:t>
            </w:r>
            <w:r>
              <w:rPr>
                <w:rStyle w:val="26"/>
                <w:rFonts w:hint="default"/>
                <w:highlight w:val="none"/>
              </w:rPr>
              <w:t>M</w:t>
            </w:r>
            <w:r>
              <w:rPr>
                <w:rFonts w:hint="eastAsia" w:ascii="宋体" w:hAnsi="宋体" w:cs="宋体"/>
                <w:color w:val="000000"/>
                <w:kern w:val="0"/>
                <w:sz w:val="22"/>
                <w:szCs w:val="22"/>
                <w:highlight w:val="none"/>
              </w:rPr>
              <w:t>/透明色/厚度7MM/材质：优质橡胶软磁，透明亚克力</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95</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一小30、南圣20、番阳30、毛组10、红山5</w:t>
            </w:r>
          </w:p>
        </w:tc>
      </w:tr>
      <w:tr>
        <w:tblPrEx>
          <w:tblCellMar>
            <w:top w:w="0" w:type="dxa"/>
            <w:left w:w="108" w:type="dxa"/>
            <w:bottom w:w="0" w:type="dxa"/>
            <w:right w:w="108" w:type="dxa"/>
          </w:tblCellMar>
        </w:tblPrEx>
        <w:trPr>
          <w:gridAfter w:val="1"/>
          <w:wAfter w:w="207" w:type="dxa"/>
          <w:trHeight w:val="2438"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磁性大号钟表模型（三针联动）</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尺寸：底座23.5CM，高30CM，钟面直径25CM，厚度3MM/24时制/3针联动</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67</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一小20、南圣30、番阳10、布伦2、毛组3、南打2</w:t>
            </w:r>
          </w:p>
        </w:tc>
      </w:tr>
      <w:tr>
        <w:tblPrEx>
          <w:tblCellMar>
            <w:top w:w="0" w:type="dxa"/>
            <w:left w:w="108" w:type="dxa"/>
            <w:bottom w:w="0" w:type="dxa"/>
            <w:right w:w="108" w:type="dxa"/>
          </w:tblCellMar>
        </w:tblPrEx>
        <w:trPr>
          <w:gridAfter w:val="1"/>
          <w:wAfter w:w="207" w:type="dxa"/>
          <w:trHeight w:val="1708"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11</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磁性大号钟表模型（两针联动）</w:t>
            </w:r>
          </w:p>
        </w:tc>
        <w:tc>
          <w:tcPr>
            <w:tcW w:w="1505" w:type="dxa"/>
            <w:tcBorders>
              <w:top w:val="single" w:color="000000" w:sz="4" w:space="0"/>
              <w:left w:val="single" w:color="000000" w:sz="4" w:space="0"/>
              <w:bottom w:val="single" w:color="000000" w:sz="4" w:space="0"/>
              <w:right w:val="single" w:color="000000" w:sz="4" w:space="0"/>
            </w:tcBorders>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ind w:right="0"/>
              <w:jc w:val="both"/>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尺寸：底座</w:t>
            </w:r>
            <w:r>
              <w:rPr>
                <w:highlight w:val="none"/>
              </w:rPr>
              <w:t>≥</w:t>
            </w:r>
            <w:r>
              <w:rPr>
                <w:rFonts w:hint="eastAsia" w:ascii="宋体" w:hAnsi="宋体" w:cs="宋体"/>
                <w:color w:val="auto"/>
                <w:kern w:val="0"/>
                <w:sz w:val="22"/>
                <w:szCs w:val="22"/>
                <w:highlight w:val="none"/>
              </w:rPr>
              <w:t>15CM，高</w:t>
            </w:r>
            <w:r>
              <w:rPr>
                <w:highlight w:val="none"/>
              </w:rPr>
              <w:t>≥</w:t>
            </w:r>
            <w:r>
              <w:rPr>
                <w:rFonts w:hint="eastAsia" w:ascii="宋体" w:hAnsi="宋体" w:cs="宋体"/>
                <w:color w:val="auto"/>
                <w:kern w:val="0"/>
                <w:sz w:val="22"/>
                <w:szCs w:val="22"/>
                <w:highlight w:val="none"/>
              </w:rPr>
              <w:t>15CM，24时制/2针联动</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65</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FF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FF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FF0000"/>
                <w:sz w:val="20"/>
                <w:szCs w:val="20"/>
                <w:highlight w:val="none"/>
              </w:rPr>
            </w:pPr>
            <w:r>
              <w:rPr>
                <w:rFonts w:hint="eastAsia" w:ascii="宋体" w:hAnsi="宋体" w:cs="宋体"/>
                <w:color w:val="000000"/>
                <w:kern w:val="0"/>
                <w:sz w:val="20"/>
                <w:szCs w:val="20"/>
                <w:highlight w:val="none"/>
              </w:rPr>
              <w:t>一小20、番阳10、布伦2、毛组3</w:t>
            </w:r>
            <w:r>
              <w:rPr>
                <w:rFonts w:hint="eastAsia" w:ascii="宋体" w:hAnsi="宋体" w:cs="宋体"/>
                <w:color w:val="000000"/>
                <w:kern w:val="0"/>
                <w:sz w:val="20"/>
                <w:szCs w:val="20"/>
                <w:highlight w:val="none"/>
                <w:lang w:eastAsia="zh-CN"/>
              </w:rPr>
              <w:t>、南圣</w:t>
            </w:r>
            <w:r>
              <w:rPr>
                <w:rFonts w:hint="eastAsia" w:ascii="宋体" w:hAnsi="宋体" w:cs="宋体"/>
                <w:color w:val="000000"/>
                <w:kern w:val="0"/>
                <w:sz w:val="20"/>
                <w:szCs w:val="20"/>
                <w:highlight w:val="none"/>
                <w:lang w:val="en-US" w:eastAsia="zh-CN"/>
              </w:rPr>
              <w:t>10、毛阳10、红山10</w:t>
            </w:r>
          </w:p>
        </w:tc>
      </w:tr>
      <w:tr>
        <w:tblPrEx>
          <w:tblCellMar>
            <w:top w:w="0" w:type="dxa"/>
            <w:left w:w="108" w:type="dxa"/>
            <w:bottom w:w="0" w:type="dxa"/>
            <w:right w:w="108" w:type="dxa"/>
          </w:tblCellMar>
        </w:tblPrEx>
        <w:trPr>
          <w:gridAfter w:val="1"/>
          <w:wAfter w:w="207" w:type="dxa"/>
          <w:trHeight w:val="2379"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w:t>
            </w:r>
          </w:p>
        </w:tc>
        <w:tc>
          <w:tcPr>
            <w:tcW w:w="122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磁性圆片</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材质：优质PP/尺寸：3CM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270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一小30、南圣20、毛阳50、番阳100、毛组30、红山40</w:t>
            </w:r>
          </w:p>
        </w:tc>
      </w:tr>
      <w:tr>
        <w:tblPrEx>
          <w:tblCellMar>
            <w:top w:w="0" w:type="dxa"/>
            <w:left w:w="108" w:type="dxa"/>
            <w:bottom w:w="0" w:type="dxa"/>
            <w:right w:w="108" w:type="dxa"/>
          </w:tblCellMar>
        </w:tblPrEx>
        <w:trPr>
          <w:gridAfter w:val="1"/>
          <w:wAfter w:w="207" w:type="dxa"/>
          <w:trHeight w:val="1708"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13</w:t>
            </w:r>
          </w:p>
        </w:tc>
        <w:tc>
          <w:tcPr>
            <w:tcW w:w="122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卷尺</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产品规格：10M*25MM/PVC防水尺带/尺壳尺寸：60*30*60/材质：PC.PVC.碳钢</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一小30、南圣20</w:t>
            </w:r>
          </w:p>
        </w:tc>
      </w:tr>
      <w:tr>
        <w:tblPrEx>
          <w:tblCellMar>
            <w:top w:w="0" w:type="dxa"/>
            <w:left w:w="108" w:type="dxa"/>
            <w:bottom w:w="0" w:type="dxa"/>
            <w:right w:w="108" w:type="dxa"/>
          </w:tblCellMar>
        </w:tblPrEx>
        <w:trPr>
          <w:gridAfter w:val="1"/>
          <w:wAfter w:w="207" w:type="dxa"/>
          <w:trHeight w:val="1906"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14</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磁性活动角（大号）</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正方形边长21CM/三角形边长21CM/长方形13*21CM/环保塑料，无味强磁铁</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45</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一小20、、南圣5、南打5、番阳10、红山5</w:t>
            </w:r>
          </w:p>
        </w:tc>
      </w:tr>
      <w:tr>
        <w:tblPrEx>
          <w:tblCellMar>
            <w:top w:w="0" w:type="dxa"/>
            <w:left w:w="108" w:type="dxa"/>
            <w:bottom w:w="0" w:type="dxa"/>
            <w:right w:w="108" w:type="dxa"/>
          </w:tblCellMar>
        </w:tblPrEx>
        <w:trPr>
          <w:gridAfter w:val="1"/>
          <w:wAfter w:w="207" w:type="dxa"/>
          <w:trHeight w:val="2379"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15</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算盘</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28*12*2CM</w:t>
            </w:r>
            <w:r>
              <w:rPr>
                <w:rFonts w:hint="eastAsia" w:cs="宋体"/>
                <w:color w:val="000000"/>
                <w:kern w:val="0"/>
                <w:sz w:val="22"/>
                <w:szCs w:val="22"/>
                <w:highlight w:val="none"/>
                <w:lang w:eastAsia="zh-CN"/>
              </w:rPr>
              <w:t>—</w:t>
            </w:r>
            <w:r>
              <w:rPr>
                <w:rFonts w:hint="eastAsia" w:ascii="宋体" w:hAnsi="宋体" w:cs="宋体"/>
                <w:color w:val="000000"/>
                <w:kern w:val="0"/>
                <w:sz w:val="22"/>
                <w:szCs w:val="22"/>
                <w:highlight w:val="none"/>
              </w:rPr>
              <w:t>47.5*17*2.8CM,材质：塑料</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一小20、三小1、南圣50、番阳10、加艾15、孔首24</w:t>
            </w:r>
          </w:p>
        </w:tc>
      </w:tr>
      <w:tr>
        <w:tblPrEx>
          <w:tblCellMar>
            <w:top w:w="0" w:type="dxa"/>
            <w:left w:w="108" w:type="dxa"/>
            <w:bottom w:w="0" w:type="dxa"/>
            <w:right w:w="108" w:type="dxa"/>
          </w:tblCellMar>
        </w:tblPrEx>
        <w:trPr>
          <w:gridAfter w:val="1"/>
          <w:wAfter w:w="207" w:type="dxa"/>
          <w:trHeight w:val="1025"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16</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电子台秤</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33*32*12CM</w:t>
            </w:r>
            <w:r>
              <w:rPr>
                <w:rFonts w:hint="eastAsia" w:ascii="宋体" w:hAnsi="宋体" w:cs="宋体"/>
                <w:color w:val="auto"/>
                <w:kern w:val="0"/>
                <w:sz w:val="22"/>
                <w:szCs w:val="22"/>
                <w:highlight w:val="none"/>
              </w:rPr>
              <w:t>±</w:t>
            </w:r>
            <w:r>
              <w:rPr>
                <w:rFonts w:hint="eastAsia" w:cs="宋体"/>
                <w:color w:val="auto"/>
                <w:kern w:val="0"/>
                <w:sz w:val="22"/>
                <w:szCs w:val="22"/>
                <w:highlight w:val="none"/>
                <w:lang w:val="en-US" w:eastAsia="zh-CN"/>
              </w:rPr>
              <w:t>2CM</w:t>
            </w:r>
            <w:r>
              <w:rPr>
                <w:rFonts w:hint="eastAsia" w:ascii="宋体" w:hAnsi="宋体" w:cs="宋体"/>
                <w:color w:val="auto"/>
                <w:kern w:val="0"/>
                <w:sz w:val="22"/>
                <w:szCs w:val="22"/>
                <w:highlight w:val="none"/>
              </w:rPr>
              <w:t>/材</w:t>
            </w:r>
            <w:r>
              <w:rPr>
                <w:rFonts w:hint="eastAsia" w:ascii="宋体" w:hAnsi="宋体" w:cs="宋体"/>
                <w:color w:val="000000"/>
                <w:kern w:val="0"/>
                <w:sz w:val="22"/>
                <w:szCs w:val="22"/>
                <w:highlight w:val="none"/>
              </w:rPr>
              <w:t>质：401不锈钢/LCD液晶</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25</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一小20、红山5</w:t>
            </w:r>
          </w:p>
        </w:tc>
      </w:tr>
      <w:tr>
        <w:tblPrEx>
          <w:tblCellMar>
            <w:top w:w="0" w:type="dxa"/>
            <w:left w:w="108" w:type="dxa"/>
            <w:bottom w:w="0" w:type="dxa"/>
            <w:right w:w="108" w:type="dxa"/>
          </w:tblCellMar>
        </w:tblPrEx>
        <w:trPr>
          <w:gridAfter w:val="1"/>
          <w:wAfter w:w="207" w:type="dxa"/>
          <w:trHeight w:val="1708"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17</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磁性七巧板教学演示器</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边长：19CM/材质：环保塑料</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40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FF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FF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FF0000"/>
                <w:sz w:val="20"/>
                <w:szCs w:val="20"/>
                <w:highlight w:val="none"/>
              </w:rPr>
            </w:pPr>
            <w:r>
              <w:rPr>
                <w:rFonts w:hint="eastAsia" w:ascii="宋体" w:hAnsi="宋体" w:cs="宋体"/>
                <w:color w:val="000000"/>
                <w:kern w:val="0"/>
                <w:sz w:val="20"/>
                <w:szCs w:val="20"/>
                <w:highlight w:val="none"/>
              </w:rPr>
              <w:t>一小30、布伦2、南打2、红山4</w:t>
            </w:r>
            <w:r>
              <w:rPr>
                <w:rFonts w:hint="eastAsia" w:ascii="宋体" w:hAnsi="宋体" w:cs="宋体"/>
                <w:color w:val="000000"/>
                <w:kern w:val="0"/>
                <w:sz w:val="20"/>
                <w:szCs w:val="20"/>
                <w:highlight w:val="none"/>
                <w:lang w:eastAsia="zh-CN"/>
              </w:rPr>
              <w:t>、三小</w:t>
            </w:r>
            <w:r>
              <w:rPr>
                <w:rFonts w:hint="eastAsia" w:ascii="宋体" w:hAnsi="宋体" w:cs="宋体"/>
                <w:color w:val="000000"/>
                <w:kern w:val="0"/>
                <w:sz w:val="20"/>
                <w:szCs w:val="20"/>
                <w:highlight w:val="none"/>
                <w:lang w:val="en-US" w:eastAsia="zh-CN"/>
              </w:rPr>
              <w:t>2</w:t>
            </w:r>
          </w:p>
        </w:tc>
      </w:tr>
      <w:tr>
        <w:tblPrEx>
          <w:tblCellMar>
            <w:top w:w="0" w:type="dxa"/>
            <w:left w:w="108" w:type="dxa"/>
            <w:bottom w:w="0" w:type="dxa"/>
            <w:right w:w="108" w:type="dxa"/>
          </w:tblCellMar>
        </w:tblPrEx>
        <w:trPr>
          <w:gridAfter w:val="1"/>
          <w:wAfter w:w="207" w:type="dxa"/>
          <w:trHeight w:val="115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18</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磁性平行四边形平面框架（可拉伸）</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21*13CM</w:t>
            </w:r>
            <w:r>
              <w:rPr>
                <w:rStyle w:val="26"/>
                <w:rFonts w:hint="default"/>
                <w:highlight w:val="none"/>
              </w:rPr>
              <w:t>±</w:t>
            </w:r>
            <w:r>
              <w:rPr>
                <w:rStyle w:val="26"/>
                <w:rFonts w:hint="eastAsia"/>
                <w:highlight w:val="none"/>
                <w:lang w:val="en-US" w:eastAsia="zh-CN"/>
              </w:rPr>
              <w:t>1C</w:t>
            </w:r>
            <w:r>
              <w:rPr>
                <w:rStyle w:val="26"/>
                <w:rFonts w:hint="default"/>
                <w:highlight w:val="none"/>
              </w:rPr>
              <w:t>M</w:t>
            </w:r>
            <w:r>
              <w:rPr>
                <w:rFonts w:hint="eastAsia" w:ascii="宋体" w:hAnsi="宋体" w:cs="宋体"/>
                <w:color w:val="000000"/>
                <w:kern w:val="0"/>
                <w:sz w:val="22"/>
                <w:szCs w:val="22"/>
                <w:highlight w:val="none"/>
              </w:rPr>
              <w:t>/材质：环保塑料</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42</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一小30、番阳10、南打2</w:t>
            </w:r>
          </w:p>
        </w:tc>
      </w:tr>
      <w:tr>
        <w:tblPrEx>
          <w:tblCellMar>
            <w:top w:w="0" w:type="dxa"/>
            <w:left w:w="108" w:type="dxa"/>
            <w:bottom w:w="0" w:type="dxa"/>
            <w:right w:w="108" w:type="dxa"/>
          </w:tblCellMar>
        </w:tblPrEx>
        <w:trPr>
          <w:gridAfter w:val="1"/>
          <w:wAfter w:w="207" w:type="dxa"/>
          <w:trHeight w:val="591"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19</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量杯（1升）</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10.5*14.5CM</w:t>
            </w:r>
            <w:r>
              <w:rPr>
                <w:rStyle w:val="26"/>
                <w:rFonts w:hint="default"/>
                <w:highlight w:val="none"/>
              </w:rPr>
              <w:t>±</w:t>
            </w:r>
            <w:r>
              <w:rPr>
                <w:rStyle w:val="26"/>
                <w:rFonts w:hint="eastAsia"/>
                <w:highlight w:val="none"/>
                <w:lang w:val="en-US" w:eastAsia="zh-CN"/>
              </w:rPr>
              <w:t>1C</w:t>
            </w:r>
            <w:r>
              <w:rPr>
                <w:rStyle w:val="26"/>
                <w:rFonts w:hint="default"/>
                <w:highlight w:val="none"/>
              </w:rPr>
              <w:t>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一小30</w:t>
            </w:r>
          </w:p>
        </w:tc>
      </w:tr>
      <w:tr>
        <w:tblPrEx>
          <w:tblCellMar>
            <w:top w:w="0" w:type="dxa"/>
            <w:left w:w="108" w:type="dxa"/>
            <w:bottom w:w="0" w:type="dxa"/>
            <w:right w:w="108" w:type="dxa"/>
          </w:tblCellMar>
        </w:tblPrEx>
        <w:trPr>
          <w:gridAfter w:val="1"/>
          <w:wAfter w:w="207" w:type="dxa"/>
          <w:trHeight w:val="115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1立方分米的正方体（无盖）</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尺寸：10*10*10CM</w:t>
            </w:r>
            <w:r>
              <w:rPr>
                <w:rStyle w:val="26"/>
                <w:rFonts w:hint="default"/>
                <w:highlight w:val="none"/>
              </w:rPr>
              <w:t>±</w:t>
            </w:r>
            <w:r>
              <w:rPr>
                <w:rStyle w:val="26"/>
                <w:rFonts w:hint="eastAsia"/>
                <w:highlight w:val="none"/>
                <w:lang w:val="en-US" w:eastAsia="zh-CN"/>
              </w:rPr>
              <w:t>1C</w:t>
            </w:r>
            <w:r>
              <w:rPr>
                <w:rStyle w:val="26"/>
                <w:rFonts w:hint="default"/>
                <w:highlight w:val="none"/>
              </w:rPr>
              <w:t>M</w:t>
            </w:r>
            <w:r>
              <w:rPr>
                <w:rFonts w:hint="eastAsia" w:ascii="宋体" w:hAnsi="宋体" w:cs="宋体"/>
                <w:color w:val="000000"/>
                <w:kern w:val="0"/>
                <w:sz w:val="22"/>
                <w:szCs w:val="22"/>
                <w:highlight w:val="none"/>
              </w:rPr>
              <w:t>/透明塑料无盖</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一小30</w:t>
            </w:r>
          </w:p>
        </w:tc>
      </w:tr>
      <w:tr>
        <w:tblPrEx>
          <w:tblCellMar>
            <w:top w:w="0" w:type="dxa"/>
            <w:left w:w="108" w:type="dxa"/>
            <w:bottom w:w="0" w:type="dxa"/>
            <w:right w:w="108" w:type="dxa"/>
          </w:tblCellMar>
        </w:tblPrEx>
        <w:trPr>
          <w:gridAfter w:val="1"/>
          <w:wAfter w:w="207" w:type="dxa"/>
          <w:trHeight w:val="115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21</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滴管</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200MM/清晰刻度</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一小30、番阳20</w:t>
            </w:r>
          </w:p>
        </w:tc>
      </w:tr>
      <w:tr>
        <w:tblPrEx>
          <w:tblCellMar>
            <w:top w:w="0" w:type="dxa"/>
            <w:left w:w="108" w:type="dxa"/>
            <w:bottom w:w="0" w:type="dxa"/>
            <w:right w:w="108" w:type="dxa"/>
          </w:tblCellMar>
        </w:tblPrEx>
        <w:trPr>
          <w:gridAfter w:val="1"/>
          <w:wAfter w:w="207" w:type="dxa"/>
          <w:trHeight w:val="591"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22</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量杯（500毫升）</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7.3*11.5CM</w:t>
            </w:r>
            <w:r>
              <w:rPr>
                <w:rStyle w:val="26"/>
                <w:rFonts w:hint="default"/>
                <w:highlight w:val="none"/>
              </w:rPr>
              <w:t>±</w:t>
            </w:r>
            <w:r>
              <w:rPr>
                <w:rStyle w:val="26"/>
                <w:rFonts w:hint="eastAsia"/>
                <w:highlight w:val="none"/>
                <w:lang w:val="en-US" w:eastAsia="zh-CN"/>
              </w:rPr>
              <w:t>1C</w:t>
            </w:r>
            <w:r>
              <w:rPr>
                <w:rStyle w:val="26"/>
                <w:rFonts w:hint="default"/>
                <w:highlight w:val="none"/>
              </w:rPr>
              <w:t>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一小20</w:t>
            </w:r>
          </w:p>
        </w:tc>
      </w:tr>
      <w:tr>
        <w:tblPrEx>
          <w:tblCellMar>
            <w:top w:w="0" w:type="dxa"/>
            <w:left w:w="108" w:type="dxa"/>
            <w:bottom w:w="0" w:type="dxa"/>
            <w:right w:w="108" w:type="dxa"/>
          </w:tblCellMar>
        </w:tblPrEx>
        <w:trPr>
          <w:gridAfter w:val="1"/>
          <w:wAfter w:w="207" w:type="dxa"/>
          <w:trHeight w:val="961"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23</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磁性分数问题演示器</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40*45CM</w:t>
            </w:r>
            <w:r>
              <w:rPr>
                <w:rStyle w:val="26"/>
                <w:rFonts w:hint="default"/>
                <w:highlight w:val="none"/>
              </w:rPr>
              <w:t>±</w:t>
            </w:r>
            <w:r>
              <w:rPr>
                <w:rStyle w:val="26"/>
                <w:rFonts w:hint="eastAsia"/>
                <w:highlight w:val="none"/>
                <w:lang w:val="en-US" w:eastAsia="zh-CN"/>
              </w:rPr>
              <w:t>1C</w:t>
            </w:r>
            <w:r>
              <w:rPr>
                <w:rStyle w:val="26"/>
                <w:rFonts w:hint="default"/>
                <w:highlight w:val="none"/>
              </w:rPr>
              <w:t>M</w:t>
            </w:r>
            <w:r>
              <w:rPr>
                <w:rFonts w:hint="eastAsia" w:ascii="宋体" w:hAnsi="宋体" w:cs="宋体"/>
                <w:color w:val="000000"/>
                <w:kern w:val="0"/>
                <w:sz w:val="22"/>
                <w:szCs w:val="22"/>
                <w:highlight w:val="none"/>
              </w:rPr>
              <w:t>/背面磁性</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一小10</w:t>
            </w:r>
          </w:p>
        </w:tc>
      </w:tr>
      <w:tr>
        <w:tblPrEx>
          <w:tblCellMar>
            <w:top w:w="0" w:type="dxa"/>
            <w:left w:w="108" w:type="dxa"/>
            <w:bottom w:w="0" w:type="dxa"/>
            <w:right w:w="108" w:type="dxa"/>
          </w:tblCellMar>
        </w:tblPrEx>
        <w:trPr>
          <w:gridAfter w:val="1"/>
          <w:wAfter w:w="207" w:type="dxa"/>
          <w:trHeight w:val="591"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24</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小球（红色）</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直径4CM</w:t>
            </w:r>
            <w:r>
              <w:rPr>
                <w:rStyle w:val="26"/>
                <w:rFonts w:hint="default"/>
                <w:highlight w:val="none"/>
              </w:rPr>
              <w:t>±</w:t>
            </w:r>
            <w:r>
              <w:rPr>
                <w:rStyle w:val="26"/>
                <w:rFonts w:hint="eastAsia"/>
                <w:highlight w:val="none"/>
                <w:lang w:val="en-US" w:eastAsia="zh-CN"/>
              </w:rPr>
              <w:t>0.5C</w:t>
            </w:r>
            <w:r>
              <w:rPr>
                <w:rStyle w:val="26"/>
                <w:rFonts w:hint="default"/>
                <w:highlight w:val="none"/>
              </w:rPr>
              <w:t>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一小30</w:t>
            </w:r>
          </w:p>
        </w:tc>
      </w:tr>
      <w:tr>
        <w:trPr>
          <w:gridAfter w:val="1"/>
          <w:wAfter w:w="207" w:type="dxa"/>
          <w:trHeight w:val="591"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25</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小球（黄色）</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直径4CM</w:t>
            </w:r>
            <w:r>
              <w:rPr>
                <w:rStyle w:val="26"/>
                <w:rFonts w:hint="default"/>
                <w:highlight w:val="none"/>
              </w:rPr>
              <w:t>±</w:t>
            </w:r>
            <w:r>
              <w:rPr>
                <w:rStyle w:val="26"/>
                <w:rFonts w:hint="eastAsia"/>
                <w:highlight w:val="none"/>
                <w:lang w:val="en-US" w:eastAsia="zh-CN"/>
              </w:rPr>
              <w:t>0.5C</w:t>
            </w:r>
            <w:r>
              <w:rPr>
                <w:rStyle w:val="26"/>
                <w:rFonts w:hint="default"/>
                <w:highlight w:val="none"/>
              </w:rPr>
              <w:t>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一小30</w:t>
            </w:r>
          </w:p>
        </w:tc>
      </w:tr>
      <w:tr>
        <w:tblPrEx>
          <w:tblCellMar>
            <w:top w:w="0" w:type="dxa"/>
            <w:left w:w="108" w:type="dxa"/>
            <w:bottom w:w="0" w:type="dxa"/>
            <w:right w:w="108" w:type="dxa"/>
          </w:tblCellMar>
        </w:tblPrEx>
        <w:trPr>
          <w:gridAfter w:val="1"/>
          <w:wAfter w:w="207" w:type="dxa"/>
          <w:trHeight w:val="115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26</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拼接条大号强磁（30支）</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10CM6根，12.5CM6根，15CM6根，20CM6根，25CM6根</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一小10</w:t>
            </w:r>
          </w:p>
        </w:tc>
      </w:tr>
      <w:tr>
        <w:tblPrEx>
          <w:tblCellMar>
            <w:top w:w="0" w:type="dxa"/>
            <w:left w:w="108" w:type="dxa"/>
            <w:bottom w:w="0" w:type="dxa"/>
            <w:right w:w="108" w:type="dxa"/>
          </w:tblCellMar>
        </w:tblPrEx>
        <w:trPr>
          <w:gridAfter w:val="1"/>
          <w:wAfter w:w="207" w:type="dxa"/>
          <w:trHeight w:val="115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27</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教师用盘秤演示器（5千克）</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150*150*210CM</w:t>
            </w:r>
            <w:r>
              <w:rPr>
                <w:rStyle w:val="26"/>
                <w:rFonts w:hint="default"/>
                <w:highlight w:val="none"/>
              </w:rPr>
              <w:t>±</w:t>
            </w:r>
            <w:r>
              <w:rPr>
                <w:rStyle w:val="26"/>
                <w:rFonts w:hint="eastAsia"/>
                <w:highlight w:val="none"/>
                <w:lang w:val="en-US" w:eastAsia="zh-CN"/>
              </w:rPr>
              <w:t>3C</w:t>
            </w:r>
            <w:r>
              <w:rPr>
                <w:rStyle w:val="26"/>
                <w:rFonts w:hint="default"/>
                <w:highlight w:val="none"/>
              </w:rPr>
              <w:t>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一小20</w:t>
            </w:r>
          </w:p>
        </w:tc>
      </w:tr>
      <w:tr>
        <w:tblPrEx>
          <w:tblCellMar>
            <w:top w:w="0" w:type="dxa"/>
            <w:left w:w="108" w:type="dxa"/>
            <w:bottom w:w="0" w:type="dxa"/>
            <w:right w:w="108" w:type="dxa"/>
          </w:tblCellMar>
        </w:tblPrEx>
        <w:trPr>
          <w:gridAfter w:val="1"/>
          <w:wAfter w:w="207" w:type="dxa"/>
          <w:trHeight w:val="1434"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28</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圆面积圆周率推导演示模型（坐式）</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480*250MM</w:t>
            </w:r>
            <w:r>
              <w:rPr>
                <w:rStyle w:val="26"/>
                <w:rFonts w:hint="default"/>
                <w:highlight w:val="none"/>
              </w:rPr>
              <w:t>±</w:t>
            </w:r>
            <w:r>
              <w:rPr>
                <w:rStyle w:val="26"/>
                <w:rFonts w:hint="eastAsia"/>
                <w:highlight w:val="none"/>
                <w:lang w:val="en-US" w:eastAsia="zh-CN"/>
              </w:rPr>
              <w:t>10M</w:t>
            </w:r>
            <w:r>
              <w:rPr>
                <w:rStyle w:val="26"/>
                <w:rFonts w:hint="default"/>
                <w:highlight w:val="none"/>
              </w:rPr>
              <w:t>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一小10、番阳10</w:t>
            </w:r>
          </w:p>
        </w:tc>
      </w:tr>
      <w:tr>
        <w:tblPrEx>
          <w:tblCellMar>
            <w:top w:w="0" w:type="dxa"/>
            <w:left w:w="108" w:type="dxa"/>
            <w:bottom w:w="0" w:type="dxa"/>
            <w:right w:w="108" w:type="dxa"/>
          </w:tblCellMar>
        </w:tblPrEx>
        <w:trPr>
          <w:gridAfter w:val="1"/>
          <w:wAfter w:w="207" w:type="dxa"/>
          <w:trHeight w:val="1906"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29</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Style w:val="30"/>
                <w:rFonts w:hint="default"/>
                <w:highlight w:val="none"/>
              </w:rPr>
              <w:t>带指针量角器0～180</w:t>
            </w:r>
            <w:r>
              <w:rPr>
                <w:rStyle w:val="31"/>
                <w:rFonts w:hint="default"/>
                <w:highlight w:val="none"/>
              </w:rPr>
              <w:t>。</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45CM/带指针/磁性</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54</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一小20、三小2、南圣20、毛阳10、南打2</w:t>
            </w:r>
          </w:p>
        </w:tc>
      </w:tr>
      <w:tr>
        <w:tblPrEx>
          <w:tblCellMar>
            <w:top w:w="0" w:type="dxa"/>
            <w:left w:w="108" w:type="dxa"/>
            <w:bottom w:w="0" w:type="dxa"/>
            <w:right w:w="108" w:type="dxa"/>
          </w:tblCellMar>
        </w:tblPrEx>
        <w:trPr>
          <w:gridAfter w:val="1"/>
          <w:wAfter w:w="207" w:type="dxa"/>
          <w:trHeight w:val="961"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Style w:val="30"/>
                <w:rFonts w:hint="default"/>
                <w:highlight w:val="none"/>
              </w:rPr>
              <w:t>360</w:t>
            </w:r>
            <w:r>
              <w:rPr>
                <w:rStyle w:val="31"/>
                <w:rFonts w:hint="default"/>
                <w:highlight w:val="none"/>
              </w:rPr>
              <w:t>。</w:t>
            </w:r>
            <w:r>
              <w:rPr>
                <w:rStyle w:val="30"/>
                <w:rFonts w:hint="default"/>
                <w:highlight w:val="none"/>
              </w:rPr>
              <w:t>活动角教具</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13*13CM</w:t>
            </w:r>
            <w:r>
              <w:rPr>
                <w:rStyle w:val="26"/>
                <w:rFonts w:hint="default"/>
                <w:highlight w:val="none"/>
              </w:rPr>
              <w:t>±</w:t>
            </w:r>
            <w:r>
              <w:rPr>
                <w:rStyle w:val="26"/>
                <w:rFonts w:hint="eastAsia"/>
                <w:highlight w:val="none"/>
                <w:lang w:val="en-US" w:eastAsia="zh-CN"/>
              </w:rPr>
              <w:t>1C</w:t>
            </w:r>
            <w:r>
              <w:rPr>
                <w:rStyle w:val="26"/>
                <w:rFonts w:hint="default"/>
                <w:highlight w:val="none"/>
              </w:rPr>
              <w:t>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25</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一小20、红山5</w:t>
            </w:r>
          </w:p>
        </w:tc>
      </w:tr>
      <w:tr>
        <w:tblPrEx>
          <w:tblCellMar>
            <w:top w:w="0" w:type="dxa"/>
            <w:left w:w="108" w:type="dxa"/>
            <w:bottom w:w="0" w:type="dxa"/>
            <w:right w:w="108" w:type="dxa"/>
          </w:tblCellMar>
        </w:tblPrEx>
        <w:trPr>
          <w:gridAfter w:val="1"/>
          <w:wAfter w:w="207" w:type="dxa"/>
          <w:trHeight w:val="115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31</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十三档计数器</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颜色：黄色/尺寸55*10*27CM</w:t>
            </w:r>
            <w:r>
              <w:rPr>
                <w:rStyle w:val="26"/>
                <w:rFonts w:hint="default"/>
                <w:highlight w:val="none"/>
              </w:rPr>
              <w:t>±</w:t>
            </w:r>
            <w:r>
              <w:rPr>
                <w:rStyle w:val="26"/>
                <w:rFonts w:hint="eastAsia"/>
                <w:highlight w:val="none"/>
                <w:lang w:val="en-US" w:eastAsia="zh-CN"/>
              </w:rPr>
              <w:t>1C</w:t>
            </w:r>
            <w:r>
              <w:rPr>
                <w:rStyle w:val="26"/>
                <w:rFonts w:hint="default"/>
                <w:highlight w:val="none"/>
              </w:rPr>
              <w:t>M</w:t>
            </w:r>
            <w:r>
              <w:rPr>
                <w:rFonts w:hint="eastAsia" w:ascii="宋体" w:hAnsi="宋体" w:cs="宋体"/>
                <w:color w:val="000000"/>
                <w:kern w:val="0"/>
                <w:sz w:val="22"/>
                <w:szCs w:val="22"/>
                <w:highlight w:val="none"/>
              </w:rPr>
              <w:t>/优质坚固塑料</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一小20</w:t>
            </w:r>
          </w:p>
        </w:tc>
      </w:tr>
      <w:tr>
        <w:tblPrEx>
          <w:tblCellMar>
            <w:top w:w="0" w:type="dxa"/>
            <w:left w:w="108" w:type="dxa"/>
            <w:bottom w:w="0" w:type="dxa"/>
            <w:right w:w="108" w:type="dxa"/>
          </w:tblCellMar>
        </w:tblPrEx>
        <w:trPr>
          <w:gridAfter w:val="1"/>
          <w:wAfter w:w="207" w:type="dxa"/>
          <w:trHeight w:val="1708"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32</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托盘天平</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20*7*15CM</w:t>
            </w:r>
            <w:r>
              <w:rPr>
                <w:rStyle w:val="26"/>
                <w:rFonts w:hint="default"/>
                <w:highlight w:val="none"/>
              </w:rPr>
              <w:t>±</w:t>
            </w:r>
            <w:r>
              <w:rPr>
                <w:rStyle w:val="26"/>
                <w:rFonts w:hint="eastAsia"/>
                <w:highlight w:val="none"/>
                <w:lang w:val="en-US" w:eastAsia="zh-CN"/>
              </w:rPr>
              <w:t>1C</w:t>
            </w:r>
            <w:r>
              <w:rPr>
                <w:rStyle w:val="26"/>
                <w:rFonts w:hint="default"/>
                <w:highlight w:val="none"/>
              </w:rPr>
              <w:t>M</w:t>
            </w:r>
            <w:r>
              <w:rPr>
                <w:rFonts w:hint="eastAsia" w:ascii="宋体" w:hAnsi="宋体" w:cs="宋体"/>
                <w:color w:val="000000"/>
                <w:kern w:val="0"/>
                <w:sz w:val="22"/>
                <w:szCs w:val="22"/>
                <w:highlight w:val="none"/>
              </w:rPr>
              <w:t>/含砝码100g*1,50g*1,20g*2,10g*1,5g*1/塑料镊子</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一小10、番阳20</w:t>
            </w:r>
          </w:p>
        </w:tc>
      </w:tr>
      <w:tr>
        <w:tblPrEx>
          <w:tblCellMar>
            <w:top w:w="0" w:type="dxa"/>
            <w:left w:w="108" w:type="dxa"/>
            <w:bottom w:w="0" w:type="dxa"/>
            <w:right w:w="108" w:type="dxa"/>
          </w:tblCellMar>
        </w:tblPrEx>
        <w:trPr>
          <w:gridAfter w:val="1"/>
          <w:wAfter w:w="207" w:type="dxa"/>
          <w:trHeight w:val="2379"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33</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塑料粉笔圆规</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46*42CM</w:t>
            </w:r>
            <w:r>
              <w:rPr>
                <w:rStyle w:val="26"/>
                <w:rFonts w:hint="default"/>
                <w:highlight w:val="none"/>
              </w:rPr>
              <w:t>±</w:t>
            </w:r>
            <w:r>
              <w:rPr>
                <w:rStyle w:val="26"/>
                <w:rFonts w:hint="eastAsia"/>
                <w:highlight w:val="none"/>
                <w:lang w:val="en-US" w:eastAsia="zh-CN"/>
              </w:rPr>
              <w:t>1C</w:t>
            </w:r>
            <w:r>
              <w:rPr>
                <w:rStyle w:val="26"/>
                <w:rFonts w:hint="default"/>
                <w:highlight w:val="none"/>
              </w:rPr>
              <w:t>M</w:t>
            </w:r>
            <w:r>
              <w:rPr>
                <w:rFonts w:hint="eastAsia" w:ascii="宋体" w:hAnsi="宋体" w:cs="宋体"/>
                <w:color w:val="000000"/>
                <w:kern w:val="0"/>
                <w:sz w:val="22"/>
                <w:szCs w:val="22"/>
                <w:highlight w:val="none"/>
              </w:rPr>
              <w:t>/材质：榉木</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116</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一小20、三小4、南圣20、毛阳20、番阳50、南打2</w:t>
            </w:r>
          </w:p>
        </w:tc>
      </w:tr>
      <w:tr>
        <w:tblPrEx>
          <w:tblCellMar>
            <w:top w:w="0" w:type="dxa"/>
            <w:left w:w="108" w:type="dxa"/>
            <w:bottom w:w="0" w:type="dxa"/>
            <w:right w:w="108" w:type="dxa"/>
          </w:tblCellMar>
        </w:tblPrEx>
        <w:trPr>
          <w:gridAfter w:val="1"/>
          <w:wAfter w:w="207" w:type="dxa"/>
          <w:trHeight w:val="1906"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34</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圆柱模型教学演示器（大号）</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高16*直径13CM</w:t>
            </w:r>
            <w:r>
              <w:rPr>
                <w:rStyle w:val="26"/>
                <w:rFonts w:hint="default"/>
                <w:highlight w:val="none"/>
              </w:rPr>
              <w:t>±</w:t>
            </w:r>
            <w:r>
              <w:rPr>
                <w:rStyle w:val="26"/>
                <w:rFonts w:hint="eastAsia"/>
                <w:highlight w:val="none"/>
                <w:lang w:val="en-US" w:eastAsia="zh-CN"/>
              </w:rPr>
              <w:t>1C</w:t>
            </w:r>
            <w:r>
              <w:rPr>
                <w:rStyle w:val="26"/>
                <w:rFonts w:hint="default"/>
                <w:highlight w:val="none"/>
              </w:rPr>
              <w:t>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45</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一小10、三小10、毛阳10、番阳10、红山5</w:t>
            </w:r>
          </w:p>
        </w:tc>
      </w:tr>
      <w:tr>
        <w:tblPrEx>
          <w:tblCellMar>
            <w:top w:w="0" w:type="dxa"/>
            <w:left w:w="108" w:type="dxa"/>
            <w:bottom w:w="0" w:type="dxa"/>
            <w:right w:w="108" w:type="dxa"/>
          </w:tblCellMar>
        </w:tblPrEx>
        <w:trPr>
          <w:gridAfter w:val="1"/>
          <w:wAfter w:w="207" w:type="dxa"/>
          <w:trHeight w:val="1906"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35</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圆锥模型教学演示器（大号）</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高20.5±6CM*直径16±6CM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45</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一小10、三小10、毛阳10、番阳10、红山5</w:t>
            </w:r>
          </w:p>
        </w:tc>
      </w:tr>
      <w:tr>
        <w:tblPrEx>
          <w:tblCellMar>
            <w:top w:w="0" w:type="dxa"/>
            <w:left w:w="108" w:type="dxa"/>
            <w:bottom w:w="0" w:type="dxa"/>
            <w:right w:w="108" w:type="dxa"/>
          </w:tblCellMar>
        </w:tblPrEx>
        <w:trPr>
          <w:gridAfter w:val="1"/>
          <w:wAfter w:w="207" w:type="dxa"/>
          <w:trHeight w:val="1906"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36</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圆柱圆锥体积比演示器（等底等高圆锥圆柱体模型）教学仪器</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圆柱：120*80MM，张开120*125*40MM/圆锥80*120MM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一小10、三小10、毛阳10、番阳10</w:t>
            </w:r>
          </w:p>
        </w:tc>
      </w:tr>
      <w:tr>
        <w:tblPrEx>
          <w:tblCellMar>
            <w:top w:w="0" w:type="dxa"/>
            <w:left w:w="108" w:type="dxa"/>
            <w:bottom w:w="0" w:type="dxa"/>
            <w:right w:w="108" w:type="dxa"/>
          </w:tblCellMar>
        </w:tblPrEx>
        <w:trPr>
          <w:gridAfter w:val="1"/>
          <w:wAfter w:w="207" w:type="dxa"/>
          <w:trHeight w:val="1708"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37</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长方体棱长模型磁性表面积演示器</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8*10*15CM、三通接头24个，6.5CM管12根，9.5CM管16根，14.5CM管12根</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一小10、番阳10</w:t>
            </w:r>
          </w:p>
        </w:tc>
      </w:tr>
      <w:tr>
        <w:tblPrEx>
          <w:tblCellMar>
            <w:top w:w="0" w:type="dxa"/>
            <w:left w:w="108" w:type="dxa"/>
            <w:bottom w:w="0" w:type="dxa"/>
            <w:right w:w="108" w:type="dxa"/>
          </w:tblCellMar>
        </w:tblPrEx>
        <w:trPr>
          <w:gridAfter w:val="1"/>
          <w:wAfter w:w="207" w:type="dxa"/>
          <w:trHeight w:val="1708"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38</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正方体棱长模型磁性表面积演示器</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10*10*10CM、三通接头24个，6.5CM管12根，9.5CM管16根，14.5CM管12根</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一小10、番阳10</w:t>
            </w:r>
          </w:p>
        </w:tc>
      </w:tr>
      <w:tr>
        <w:tblPrEx>
          <w:tblCellMar>
            <w:top w:w="0" w:type="dxa"/>
            <w:left w:w="108" w:type="dxa"/>
            <w:bottom w:w="0" w:type="dxa"/>
            <w:right w:w="108" w:type="dxa"/>
          </w:tblCellMar>
        </w:tblPrEx>
        <w:trPr>
          <w:gridAfter w:val="1"/>
          <w:wAfter w:w="207" w:type="dxa"/>
          <w:trHeight w:val="1708"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39</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容量单位演示器</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彩色带1L容器/尺寸10*10*10CM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一小10、三小23、番阳10、红山7</w:t>
            </w:r>
          </w:p>
        </w:tc>
      </w:tr>
      <w:tr>
        <w:tblPrEx>
          <w:tblCellMar>
            <w:top w:w="0" w:type="dxa"/>
            <w:left w:w="108" w:type="dxa"/>
            <w:bottom w:w="0" w:type="dxa"/>
            <w:right w:w="108" w:type="dxa"/>
          </w:tblCellMar>
        </w:tblPrEx>
        <w:trPr>
          <w:gridAfter w:val="1"/>
          <w:wAfter w:w="207" w:type="dxa"/>
          <w:trHeight w:val="2379"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40</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长方体模型大号教具</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尺寸：140*100*60MM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37</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一小10、三小2、毛阳10、番阳10、南打2、红山3</w:t>
            </w:r>
          </w:p>
        </w:tc>
      </w:tr>
      <w:tr>
        <w:tblPrEx>
          <w:tblCellMar>
            <w:top w:w="0" w:type="dxa"/>
            <w:left w:w="108" w:type="dxa"/>
            <w:bottom w:w="0" w:type="dxa"/>
            <w:right w:w="108" w:type="dxa"/>
          </w:tblCellMar>
        </w:tblPrEx>
        <w:trPr>
          <w:gridAfter w:val="1"/>
          <w:wAfter w:w="207" w:type="dxa"/>
          <w:trHeight w:val="2379"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41</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正方体模型大号教具</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尺寸：100MM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37</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一小10、三小2、毛阳10、番阳10、南打2、红山3</w:t>
            </w:r>
          </w:p>
        </w:tc>
      </w:tr>
      <w:tr>
        <w:tblPrEx>
          <w:tblCellMar>
            <w:top w:w="0" w:type="dxa"/>
            <w:left w:w="108" w:type="dxa"/>
            <w:bottom w:w="0" w:type="dxa"/>
            <w:right w:w="108" w:type="dxa"/>
          </w:tblCellMar>
        </w:tblPrEx>
        <w:trPr>
          <w:gridAfter w:val="1"/>
          <w:wAfter w:w="207" w:type="dxa"/>
          <w:trHeight w:val="2852"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42</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竖式计数器</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12*4.8*10.5CM</w:t>
            </w:r>
            <w:r>
              <w:rPr>
                <w:rStyle w:val="26"/>
                <w:rFonts w:hint="default"/>
                <w:highlight w:val="none"/>
              </w:rPr>
              <w:t>±</w:t>
            </w:r>
            <w:r>
              <w:rPr>
                <w:rStyle w:val="26"/>
                <w:rFonts w:hint="eastAsia"/>
                <w:highlight w:val="none"/>
                <w:lang w:val="en-US" w:eastAsia="zh-CN"/>
              </w:rPr>
              <w:t>1C</w:t>
            </w:r>
            <w:r>
              <w:rPr>
                <w:rStyle w:val="26"/>
                <w:rFonts w:hint="default"/>
                <w:highlight w:val="none"/>
              </w:rPr>
              <w:t>M</w:t>
            </w:r>
          </w:p>
        </w:tc>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280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三小90、番阳100、布伦15、加艾15、孔首、毛组、红山</w:t>
            </w:r>
            <w:r>
              <w:rPr>
                <w:rFonts w:hint="eastAsia" w:ascii="宋体" w:hAnsi="宋体" w:cs="宋体"/>
                <w:color w:val="000000"/>
                <w:kern w:val="0"/>
                <w:sz w:val="20"/>
                <w:szCs w:val="20"/>
                <w:highlight w:val="none"/>
                <w:lang w:val="en-US" w:eastAsia="zh-CN"/>
              </w:rPr>
              <w:t>各</w:t>
            </w:r>
            <w:r>
              <w:rPr>
                <w:rFonts w:hint="eastAsia" w:ascii="宋体" w:hAnsi="宋体" w:cs="宋体"/>
                <w:color w:val="000000"/>
                <w:kern w:val="0"/>
                <w:sz w:val="20"/>
                <w:szCs w:val="20"/>
                <w:highlight w:val="none"/>
              </w:rPr>
              <w:t>20</w:t>
            </w:r>
          </w:p>
        </w:tc>
      </w:tr>
      <w:tr>
        <w:tblPrEx>
          <w:tblCellMar>
            <w:top w:w="0" w:type="dxa"/>
            <w:left w:w="108" w:type="dxa"/>
            <w:bottom w:w="0" w:type="dxa"/>
            <w:right w:w="108" w:type="dxa"/>
          </w:tblCellMar>
        </w:tblPrEx>
        <w:trPr>
          <w:gridAfter w:val="1"/>
          <w:wAfter w:w="207" w:type="dxa"/>
          <w:trHeight w:val="3384"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43</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几何图形片</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等腰梯形底9*高6CM；圆形直径6CM；直角梯形底6*高6CM；平行四边形底6*高6CM；长方形*2长6*宽3CM；直角三角形*2底3*高6CM；等边三角形高6CM；正方形边长6CM；半圆形*2直径6CM</w:t>
            </w:r>
          </w:p>
        </w:tc>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125</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三小45、番阳50、南打10、红山20</w:t>
            </w:r>
          </w:p>
        </w:tc>
      </w:tr>
      <w:tr>
        <w:tblPrEx>
          <w:tblCellMar>
            <w:top w:w="0" w:type="dxa"/>
            <w:left w:w="108" w:type="dxa"/>
            <w:bottom w:w="0" w:type="dxa"/>
            <w:right w:w="108" w:type="dxa"/>
          </w:tblCellMar>
        </w:tblPrEx>
        <w:trPr>
          <w:gridAfter w:val="1"/>
          <w:wAfter w:w="207" w:type="dxa"/>
          <w:trHeight w:val="2267"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44</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计数多层积木</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sz w:val="22"/>
                <w:szCs w:val="22"/>
                <w:highlight w:val="none"/>
              </w:rPr>
            </w:pPr>
            <w:r>
              <w:rPr>
                <w:rStyle w:val="32"/>
                <w:rFonts w:hint="default"/>
                <w:color w:val="auto"/>
                <w:highlight w:val="none"/>
              </w:rPr>
              <w:t>由</w:t>
            </w:r>
            <w:r>
              <w:rPr>
                <w:rStyle w:val="33"/>
                <w:color w:val="auto"/>
                <w:highlight w:val="none"/>
              </w:rPr>
              <w:t>10mm×10mm×10mm</w:t>
            </w:r>
            <w:r>
              <w:rPr>
                <w:rStyle w:val="32"/>
                <w:rFonts w:hint="default"/>
                <w:color w:val="auto"/>
                <w:highlight w:val="none"/>
              </w:rPr>
              <w:t>、</w:t>
            </w:r>
            <w:r>
              <w:rPr>
                <w:rStyle w:val="33"/>
                <w:color w:val="auto"/>
                <w:highlight w:val="none"/>
              </w:rPr>
              <w:t>100mm×10mm×10mm</w:t>
            </w:r>
            <w:r>
              <w:rPr>
                <w:rStyle w:val="32"/>
                <w:rFonts w:hint="default"/>
                <w:color w:val="auto"/>
                <w:highlight w:val="none"/>
              </w:rPr>
              <w:t>、</w:t>
            </w:r>
            <w:r>
              <w:rPr>
                <w:rStyle w:val="33"/>
                <w:color w:val="auto"/>
                <w:highlight w:val="none"/>
              </w:rPr>
              <w:t>100mm</w:t>
            </w:r>
            <w:r>
              <w:rPr>
                <w:rStyle w:val="32"/>
                <w:rFonts w:hint="default"/>
                <w:color w:val="auto"/>
                <w:highlight w:val="none"/>
              </w:rPr>
              <w:t>×</w:t>
            </w:r>
            <w:r>
              <w:rPr>
                <w:rStyle w:val="33"/>
                <w:color w:val="auto"/>
                <w:highlight w:val="none"/>
              </w:rPr>
              <w:t>100mm</w:t>
            </w:r>
            <w:r>
              <w:rPr>
                <w:rStyle w:val="32"/>
                <w:rFonts w:hint="default"/>
                <w:color w:val="auto"/>
                <w:highlight w:val="none"/>
              </w:rPr>
              <w:t>×</w:t>
            </w:r>
            <w:r>
              <w:rPr>
                <w:rStyle w:val="33"/>
                <w:color w:val="auto"/>
                <w:highlight w:val="none"/>
              </w:rPr>
              <w:t>10mm</w:t>
            </w:r>
            <w:r>
              <w:rPr>
                <w:rStyle w:val="32"/>
                <w:rFonts w:hint="default"/>
                <w:color w:val="auto"/>
                <w:highlight w:val="none"/>
              </w:rPr>
              <w:t>、三种规格的积木块组成</w:t>
            </w:r>
          </w:p>
        </w:tc>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23</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三小23</w:t>
            </w:r>
          </w:p>
        </w:tc>
      </w:tr>
      <w:tr>
        <w:tblPrEx>
          <w:tblCellMar>
            <w:top w:w="0" w:type="dxa"/>
            <w:left w:w="108" w:type="dxa"/>
            <w:bottom w:w="0" w:type="dxa"/>
            <w:right w:w="108" w:type="dxa"/>
          </w:tblCellMar>
        </w:tblPrEx>
        <w:trPr>
          <w:gridAfter w:val="1"/>
          <w:wAfter w:w="207" w:type="dxa"/>
          <w:trHeight w:val="1993"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45</w:t>
            </w:r>
          </w:p>
        </w:tc>
        <w:tc>
          <w:tcPr>
            <w:tcW w:w="122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计算器</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147*185MM</w:t>
            </w:r>
            <w:r>
              <w:rPr>
                <w:rStyle w:val="26"/>
                <w:rFonts w:hint="default"/>
                <w:highlight w:val="none"/>
              </w:rPr>
              <w:t>±</w:t>
            </w:r>
            <w:r>
              <w:rPr>
                <w:rStyle w:val="26"/>
                <w:rFonts w:hint="eastAsia"/>
                <w:highlight w:val="none"/>
                <w:lang w:val="en-US" w:eastAsia="zh-CN"/>
              </w:rPr>
              <w:t>10M</w:t>
            </w:r>
            <w:r>
              <w:rPr>
                <w:rStyle w:val="26"/>
                <w:rFonts w:hint="default"/>
                <w:highlight w:val="none"/>
              </w:rPr>
              <w:t>M</w:t>
            </w:r>
            <w:r>
              <w:rPr>
                <w:rFonts w:hint="eastAsia" w:ascii="宋体" w:hAnsi="宋体" w:cs="宋体"/>
                <w:color w:val="000000"/>
                <w:kern w:val="0"/>
                <w:sz w:val="22"/>
                <w:szCs w:val="22"/>
                <w:highlight w:val="none"/>
              </w:rPr>
              <w:t>/太阳能+电池驱动</w:t>
            </w:r>
          </w:p>
        </w:tc>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153</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南圣80、加艾15、孔首23、南打15、红山20</w:t>
            </w:r>
          </w:p>
        </w:tc>
      </w:tr>
      <w:tr>
        <w:tblPrEx>
          <w:tblCellMar>
            <w:top w:w="0" w:type="dxa"/>
            <w:left w:w="108" w:type="dxa"/>
            <w:bottom w:w="0" w:type="dxa"/>
            <w:right w:w="108" w:type="dxa"/>
          </w:tblCellMar>
        </w:tblPrEx>
        <w:trPr>
          <w:gridAfter w:val="1"/>
          <w:wAfter w:w="207" w:type="dxa"/>
          <w:trHeight w:val="961"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46</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数位顺序表磁性贴</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50*30CM</w:t>
            </w:r>
            <w:r>
              <w:rPr>
                <w:rStyle w:val="26"/>
                <w:rFonts w:hint="default"/>
                <w:highlight w:val="none"/>
              </w:rPr>
              <w:t>±</w:t>
            </w:r>
            <w:r>
              <w:rPr>
                <w:rStyle w:val="26"/>
                <w:rFonts w:hint="eastAsia"/>
                <w:highlight w:val="none"/>
                <w:lang w:val="en-US" w:eastAsia="zh-CN"/>
              </w:rPr>
              <w:t>2C</w:t>
            </w:r>
            <w:r>
              <w:rPr>
                <w:rStyle w:val="26"/>
                <w:rFonts w:hint="default"/>
                <w:highlight w:val="none"/>
              </w:rPr>
              <w:t>M</w:t>
            </w:r>
          </w:p>
        </w:tc>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25</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张</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南圣5、番阳20</w:t>
            </w:r>
          </w:p>
        </w:tc>
      </w:tr>
      <w:tr>
        <w:tblPrEx>
          <w:tblCellMar>
            <w:top w:w="0" w:type="dxa"/>
            <w:left w:w="108" w:type="dxa"/>
            <w:bottom w:w="0" w:type="dxa"/>
            <w:right w:w="108" w:type="dxa"/>
          </w:tblCellMar>
        </w:tblPrEx>
        <w:trPr>
          <w:gridAfter w:val="1"/>
          <w:wAfter w:w="207" w:type="dxa"/>
          <w:trHeight w:val="2852"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47</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直尺、三角尺、量角器四件套</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材质：PP环保、透明/尺寸165*67*10MM</w:t>
            </w:r>
            <w:r>
              <w:rPr>
                <w:rStyle w:val="26"/>
                <w:rFonts w:hint="default"/>
                <w:highlight w:val="none"/>
              </w:rPr>
              <w:t>±</w:t>
            </w:r>
            <w:r>
              <w:rPr>
                <w:rStyle w:val="26"/>
                <w:rFonts w:hint="eastAsia"/>
                <w:highlight w:val="none"/>
                <w:lang w:val="en-US" w:eastAsia="zh-CN"/>
              </w:rPr>
              <w:t>5M</w:t>
            </w:r>
            <w:r>
              <w:rPr>
                <w:rStyle w:val="26"/>
                <w:rFonts w:hint="default"/>
                <w:highlight w:val="none"/>
              </w:rPr>
              <w:t>M</w:t>
            </w:r>
          </w:p>
        </w:tc>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280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南圣80、番阳100、加艾20、孔首 20、毛组15、南打15、红山30</w:t>
            </w:r>
          </w:p>
        </w:tc>
      </w:tr>
      <w:tr>
        <w:tblPrEx>
          <w:tblCellMar>
            <w:top w:w="0" w:type="dxa"/>
            <w:left w:w="108" w:type="dxa"/>
            <w:bottom w:w="0" w:type="dxa"/>
            <w:right w:w="108" w:type="dxa"/>
          </w:tblCellMar>
        </w:tblPrEx>
        <w:trPr>
          <w:gridAfter w:val="1"/>
          <w:wAfter w:w="207" w:type="dxa"/>
          <w:trHeight w:val="1434"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48</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 xml:space="preserve"> 数字日字格磁贴</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15*60CM</w:t>
            </w:r>
            <w:r>
              <w:rPr>
                <w:rFonts w:hint="eastAsia" w:ascii="宋体" w:hAnsi="宋体" w:cs="宋体"/>
                <w:color w:val="auto"/>
                <w:kern w:val="0"/>
                <w:sz w:val="22"/>
                <w:szCs w:val="22"/>
                <w:highlight w:val="none"/>
              </w:rPr>
              <w:t>±2CM</w:t>
            </w:r>
          </w:p>
        </w:tc>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张</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毛阳40、南打2、红山8</w:t>
            </w:r>
          </w:p>
        </w:tc>
      </w:tr>
      <w:tr>
        <w:tblPrEx>
          <w:tblCellMar>
            <w:top w:w="0" w:type="dxa"/>
            <w:left w:w="108" w:type="dxa"/>
            <w:bottom w:w="0" w:type="dxa"/>
            <w:right w:w="108" w:type="dxa"/>
          </w:tblCellMar>
        </w:tblPrEx>
        <w:trPr>
          <w:gridAfter w:val="1"/>
          <w:wAfter w:w="207" w:type="dxa"/>
          <w:trHeight w:val="591"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49</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计算数字磁性贴</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7*9CM</w:t>
            </w:r>
            <w:r>
              <w:rPr>
                <w:rStyle w:val="26"/>
                <w:rFonts w:hint="default"/>
                <w:highlight w:val="none"/>
              </w:rPr>
              <w:t>±</w:t>
            </w:r>
            <w:r>
              <w:rPr>
                <w:rStyle w:val="26"/>
                <w:rFonts w:hint="eastAsia"/>
                <w:highlight w:val="none"/>
                <w:lang w:val="en-US" w:eastAsia="zh-CN"/>
              </w:rPr>
              <w:t>1C</w:t>
            </w:r>
            <w:r>
              <w:rPr>
                <w:rStyle w:val="26"/>
                <w:rFonts w:hint="default"/>
                <w:highlight w:val="none"/>
              </w:rPr>
              <w:t>M</w:t>
            </w:r>
            <w:r>
              <w:rPr>
                <w:rFonts w:hint="eastAsia" w:ascii="宋体" w:hAnsi="宋体" w:cs="宋体"/>
                <w:color w:val="000000"/>
                <w:kern w:val="0"/>
                <w:sz w:val="22"/>
                <w:szCs w:val="22"/>
                <w:highlight w:val="none"/>
              </w:rPr>
              <w:t>/28片套</w:t>
            </w:r>
          </w:p>
        </w:tc>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毛阳20</w:t>
            </w:r>
          </w:p>
        </w:tc>
      </w:tr>
      <w:tr>
        <w:tblPrEx>
          <w:tblCellMar>
            <w:top w:w="0" w:type="dxa"/>
            <w:left w:w="108" w:type="dxa"/>
            <w:bottom w:w="0" w:type="dxa"/>
            <w:right w:w="108" w:type="dxa"/>
          </w:tblCellMar>
        </w:tblPrEx>
        <w:trPr>
          <w:gridAfter w:val="1"/>
          <w:wAfter w:w="207" w:type="dxa"/>
          <w:trHeight w:val="1469"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立体几何模型</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可拆卸可展开/10件套/氩弧焊工艺环保安全烤漆</w:t>
            </w:r>
          </w:p>
        </w:tc>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毛阳5、番阳10、南圣10、三小5、毛组4、南打2、红山4</w:t>
            </w:r>
          </w:p>
        </w:tc>
      </w:tr>
      <w:tr>
        <w:tblPrEx>
          <w:tblCellMar>
            <w:top w:w="0" w:type="dxa"/>
            <w:left w:w="108" w:type="dxa"/>
            <w:bottom w:w="0" w:type="dxa"/>
            <w:right w:w="108" w:type="dxa"/>
          </w:tblCellMar>
        </w:tblPrEx>
        <w:trPr>
          <w:gridAfter w:val="1"/>
          <w:wAfter w:w="207" w:type="dxa"/>
          <w:trHeight w:val="115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51</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九九乘法表</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77*53CM</w:t>
            </w:r>
            <w:r>
              <w:rPr>
                <w:rStyle w:val="26"/>
                <w:rFonts w:hint="default"/>
                <w:highlight w:val="none"/>
              </w:rPr>
              <w:t>±</w:t>
            </w:r>
            <w:r>
              <w:rPr>
                <w:rStyle w:val="26"/>
                <w:rFonts w:hint="eastAsia"/>
                <w:highlight w:val="none"/>
                <w:lang w:val="en-US" w:eastAsia="zh-CN"/>
              </w:rPr>
              <w:t>3C</w:t>
            </w:r>
            <w:r>
              <w:rPr>
                <w:rStyle w:val="26"/>
                <w:rFonts w:hint="default"/>
                <w:highlight w:val="none"/>
              </w:rPr>
              <w:t>M</w:t>
            </w:r>
            <w:r>
              <w:rPr>
                <w:rFonts w:hint="eastAsia" w:ascii="宋体" w:hAnsi="宋体" w:cs="宋体"/>
                <w:color w:val="000000"/>
                <w:kern w:val="0"/>
                <w:sz w:val="22"/>
                <w:szCs w:val="22"/>
                <w:highlight w:val="none"/>
              </w:rPr>
              <w:t>/加厚铜版纸；双面覆膜圆孔</w:t>
            </w:r>
          </w:p>
        </w:tc>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42</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张</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番阳25、南打17</w:t>
            </w:r>
          </w:p>
        </w:tc>
      </w:tr>
      <w:tr>
        <w:tblPrEx>
          <w:tblCellMar>
            <w:top w:w="0" w:type="dxa"/>
            <w:left w:w="108" w:type="dxa"/>
            <w:bottom w:w="0" w:type="dxa"/>
            <w:right w:w="108" w:type="dxa"/>
          </w:tblCellMar>
        </w:tblPrEx>
        <w:trPr>
          <w:gridAfter w:val="1"/>
          <w:wAfter w:w="207" w:type="dxa"/>
          <w:trHeight w:val="961"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52</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10以内加减法表</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77*53CM</w:t>
            </w:r>
            <w:r>
              <w:rPr>
                <w:rStyle w:val="26"/>
                <w:rFonts w:hint="default"/>
                <w:highlight w:val="none"/>
              </w:rPr>
              <w:t>±</w:t>
            </w:r>
            <w:r>
              <w:rPr>
                <w:rStyle w:val="26"/>
                <w:rFonts w:hint="eastAsia"/>
                <w:highlight w:val="none"/>
                <w:lang w:val="en-US" w:eastAsia="zh-CN"/>
              </w:rPr>
              <w:t>3C</w:t>
            </w:r>
            <w:r>
              <w:rPr>
                <w:rStyle w:val="26"/>
                <w:rFonts w:hint="default"/>
                <w:highlight w:val="none"/>
              </w:rPr>
              <w:t>M</w:t>
            </w:r>
            <w:r>
              <w:rPr>
                <w:rFonts w:hint="eastAsia" w:ascii="宋体" w:hAnsi="宋体" w:cs="宋体"/>
                <w:color w:val="000000"/>
                <w:kern w:val="0"/>
                <w:sz w:val="22"/>
                <w:szCs w:val="22"/>
                <w:highlight w:val="none"/>
              </w:rPr>
              <w:t>/加厚铜版纸；双面覆膜圆孔</w:t>
            </w:r>
          </w:p>
        </w:tc>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张</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番阳10</w:t>
            </w:r>
          </w:p>
        </w:tc>
      </w:tr>
      <w:tr>
        <w:tblPrEx>
          <w:tblCellMar>
            <w:top w:w="0" w:type="dxa"/>
            <w:left w:w="108" w:type="dxa"/>
            <w:bottom w:w="0" w:type="dxa"/>
            <w:right w:w="108" w:type="dxa"/>
          </w:tblCellMar>
        </w:tblPrEx>
        <w:trPr>
          <w:gridAfter w:val="1"/>
          <w:wAfter w:w="207" w:type="dxa"/>
          <w:trHeight w:val="591"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53</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田字格磁铁</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84*23CM</w:t>
            </w:r>
            <w:r>
              <w:rPr>
                <w:rStyle w:val="26"/>
                <w:rFonts w:hint="default"/>
                <w:highlight w:val="none"/>
              </w:rPr>
              <w:t>±</w:t>
            </w:r>
            <w:r>
              <w:rPr>
                <w:rStyle w:val="26"/>
                <w:rFonts w:hint="eastAsia"/>
                <w:highlight w:val="none"/>
                <w:lang w:val="en-US" w:eastAsia="zh-CN"/>
              </w:rPr>
              <w:t>3C</w:t>
            </w:r>
            <w:r>
              <w:rPr>
                <w:rStyle w:val="26"/>
                <w:rFonts w:hint="default"/>
                <w:highlight w:val="none"/>
              </w:rPr>
              <w:t>M</w:t>
            </w:r>
          </w:p>
        </w:tc>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张</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番阳10</w:t>
            </w:r>
          </w:p>
        </w:tc>
      </w:tr>
      <w:tr>
        <w:tblPrEx>
          <w:tblCellMar>
            <w:top w:w="0" w:type="dxa"/>
            <w:left w:w="108" w:type="dxa"/>
            <w:bottom w:w="0" w:type="dxa"/>
            <w:right w:w="108" w:type="dxa"/>
          </w:tblCellMar>
        </w:tblPrEx>
        <w:trPr>
          <w:gridAfter w:val="1"/>
          <w:wAfter w:w="207" w:type="dxa"/>
          <w:trHeight w:val="1434"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54</w:t>
            </w:r>
          </w:p>
        </w:tc>
        <w:tc>
          <w:tcPr>
            <w:tcW w:w="122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七巧板</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12*12*1.5CM</w:t>
            </w:r>
            <w:r>
              <w:rPr>
                <w:rStyle w:val="26"/>
                <w:rFonts w:hint="default"/>
                <w:highlight w:val="none"/>
              </w:rPr>
              <w:t>±</w:t>
            </w:r>
            <w:r>
              <w:rPr>
                <w:rStyle w:val="26"/>
                <w:rFonts w:hint="eastAsia"/>
                <w:highlight w:val="none"/>
                <w:lang w:val="en-US" w:eastAsia="zh-CN"/>
              </w:rPr>
              <w:t>1C</w:t>
            </w:r>
            <w:r>
              <w:rPr>
                <w:rStyle w:val="26"/>
                <w:rFonts w:hint="default"/>
                <w:highlight w:val="none"/>
              </w:rPr>
              <w:t>M</w:t>
            </w:r>
            <w:r>
              <w:rPr>
                <w:rFonts w:hint="eastAsia" w:ascii="宋体" w:hAnsi="宋体" w:cs="宋体"/>
                <w:color w:val="000000"/>
                <w:kern w:val="0"/>
                <w:sz w:val="22"/>
                <w:szCs w:val="22"/>
                <w:highlight w:val="none"/>
              </w:rPr>
              <w:t>/材质：榉木/环保水性漆</w:t>
            </w:r>
          </w:p>
        </w:tc>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135</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番阳100、南打15、红山20</w:t>
            </w:r>
          </w:p>
        </w:tc>
      </w:tr>
      <w:tr>
        <w:tblPrEx>
          <w:tblCellMar>
            <w:top w:w="0" w:type="dxa"/>
            <w:left w:w="108" w:type="dxa"/>
            <w:bottom w:w="0" w:type="dxa"/>
            <w:right w:w="108" w:type="dxa"/>
          </w:tblCellMar>
        </w:tblPrEx>
        <w:trPr>
          <w:gridAfter w:val="1"/>
          <w:wAfter w:w="207" w:type="dxa"/>
          <w:trHeight w:val="591"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55</w:t>
            </w:r>
          </w:p>
        </w:tc>
        <w:tc>
          <w:tcPr>
            <w:tcW w:w="122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学习人民币</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纸币13张；硬币7个</w:t>
            </w:r>
          </w:p>
        </w:tc>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番阳120</w:t>
            </w:r>
          </w:p>
        </w:tc>
      </w:tr>
      <w:tr>
        <w:tblPrEx>
          <w:tblCellMar>
            <w:top w:w="0" w:type="dxa"/>
            <w:left w:w="108" w:type="dxa"/>
            <w:bottom w:w="0" w:type="dxa"/>
            <w:right w:w="108" w:type="dxa"/>
          </w:tblCellMar>
        </w:tblPrEx>
        <w:trPr>
          <w:gridAfter w:val="1"/>
          <w:wAfter w:w="207" w:type="dxa"/>
          <w:trHeight w:val="1624"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56</w:t>
            </w:r>
          </w:p>
        </w:tc>
        <w:tc>
          <w:tcPr>
            <w:tcW w:w="122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钟表模型</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24小时制/3针联动/10*10CM</w:t>
            </w:r>
          </w:p>
        </w:tc>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89</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szCs w:val="22"/>
                <w:highlight w:val="none"/>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加艾15、布伦15、孔首24、毛组20、南打15</w:t>
            </w:r>
          </w:p>
        </w:tc>
      </w:tr>
      <w:tr>
        <w:tblPrEx>
          <w:tblCellMar>
            <w:top w:w="0" w:type="dxa"/>
            <w:left w:w="108" w:type="dxa"/>
            <w:bottom w:w="0" w:type="dxa"/>
            <w:right w:w="108" w:type="dxa"/>
          </w:tblCellMar>
        </w:tblPrEx>
        <w:trPr>
          <w:gridAfter w:val="1"/>
          <w:wAfter w:w="207" w:type="dxa"/>
          <w:trHeight w:val="609" w:hRule="atLeast"/>
        </w:trPr>
        <w:tc>
          <w:tcPr>
            <w:tcW w:w="4543"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合计</w:t>
            </w:r>
          </w:p>
        </w:tc>
        <w:tc>
          <w:tcPr>
            <w:tcW w:w="4926" w:type="dxa"/>
            <w:gridSpan w:val="8"/>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817" w:hRule="atLeast"/>
        </w:trPr>
        <w:tc>
          <w:tcPr>
            <w:tcW w:w="8800" w:type="dxa"/>
            <w:gridSpan w:val="14"/>
            <w:tcBorders>
              <w:top w:val="single" w:color="auto" w:sz="4" w:space="0"/>
              <w:left w:val="single" w:color="auto" w:sz="4" w:space="0"/>
              <w:bottom w:val="single" w:color="auto" w:sz="4" w:space="0"/>
              <w:right w:val="nil"/>
            </w:tcBorders>
            <w:noWrap/>
            <w:vAlign w:val="center"/>
          </w:tcPr>
          <w:p>
            <w:pPr>
              <w:widowControl/>
              <w:jc w:val="center"/>
              <w:textAlignment w:val="center"/>
              <w:rPr>
                <w:rFonts w:hint="eastAsia" w:ascii="宋体" w:hAnsi="宋体" w:cs="宋体"/>
                <w:color w:val="000000"/>
                <w:sz w:val="44"/>
                <w:szCs w:val="44"/>
                <w:highlight w:val="none"/>
              </w:rPr>
            </w:pPr>
            <w:r>
              <w:rPr>
                <w:rFonts w:hint="eastAsia" w:ascii="宋体" w:hAnsi="宋体" w:cs="宋体"/>
                <w:color w:val="000000"/>
                <w:kern w:val="0"/>
                <w:sz w:val="44"/>
                <w:szCs w:val="44"/>
                <w:highlight w:val="none"/>
              </w:rPr>
              <w:t>4、初中物理实验室设施</w:t>
            </w:r>
          </w:p>
        </w:tc>
        <w:tc>
          <w:tcPr>
            <w:tcW w:w="876" w:type="dxa"/>
            <w:gridSpan w:val="2"/>
            <w:tcBorders>
              <w:top w:val="single" w:color="auto" w:sz="4" w:space="0"/>
              <w:left w:val="nil"/>
              <w:bottom w:val="single" w:color="auto" w:sz="4" w:space="0"/>
              <w:right w:val="single" w:color="auto"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744" w:hRule="atLeast"/>
        </w:trPr>
        <w:tc>
          <w:tcPr>
            <w:tcW w:w="614" w:type="dxa"/>
            <w:gridSpan w:val="2"/>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序号</w:t>
            </w:r>
          </w:p>
        </w:tc>
        <w:tc>
          <w:tcPr>
            <w:tcW w:w="92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品名</w:t>
            </w:r>
          </w:p>
        </w:tc>
        <w:tc>
          <w:tcPr>
            <w:tcW w:w="4075" w:type="dxa"/>
            <w:gridSpan w:val="6"/>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 xml:space="preserve">规格、参数 </w:t>
            </w:r>
          </w:p>
        </w:tc>
        <w:tc>
          <w:tcPr>
            <w:tcW w:w="561"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单位</w:t>
            </w:r>
          </w:p>
        </w:tc>
        <w:tc>
          <w:tcPr>
            <w:tcW w:w="656" w:type="dxa"/>
            <w:gridSpan w:val="2"/>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数量</w:t>
            </w:r>
          </w:p>
        </w:tc>
        <w:tc>
          <w:tcPr>
            <w:tcW w:w="98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单价</w:t>
            </w:r>
          </w:p>
        </w:tc>
        <w:tc>
          <w:tcPr>
            <w:tcW w:w="986" w:type="dxa"/>
            <w:tcBorders>
              <w:top w:val="single" w:color="auto"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合价</w:t>
            </w:r>
          </w:p>
        </w:tc>
        <w:tc>
          <w:tcPr>
            <w:tcW w:w="876" w:type="dxa"/>
            <w:gridSpan w:val="2"/>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备注</w:t>
            </w:r>
          </w:p>
        </w:tc>
      </w:tr>
      <w:tr>
        <w:tblPrEx>
          <w:tblCellMar>
            <w:top w:w="0" w:type="dxa"/>
            <w:left w:w="108" w:type="dxa"/>
            <w:bottom w:w="0" w:type="dxa"/>
            <w:right w:w="108" w:type="dxa"/>
          </w:tblCellMar>
        </w:tblPrEx>
        <w:trPr>
          <w:trHeight w:val="9442" w:hRule="atLeast"/>
        </w:trPr>
        <w:tc>
          <w:tcPr>
            <w:tcW w:w="61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92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教师演示台</w:t>
            </w:r>
          </w:p>
        </w:tc>
        <w:tc>
          <w:tcPr>
            <w:tcW w:w="4075" w:type="dxa"/>
            <w:gridSpan w:val="6"/>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尺寸：2800（长）×700（宽）×850mm（高）。2、结构：演示台设有储物柜，中间为演示台，设置电源主控系统、多媒体设备（主机、显示器、中控、功放、交换机）的位置预留。3、台面：一体化台面，采用12.7mm厚实芯理化板，结构加工坚固致密、机械精打磨圆滑细致，造型美观，具有优异的稳定、持久、耐水和易清洗维护等特性。4、桌体：采用1.0mm优质镀锌钢板，CO2保护焊焊接，打磨处理，表面经耐酸碱EPOXY粉末烤漆处理（烤漆膜厚度平均值≥ 70μm），表面硬度附着力、耐腐蚀性符合国家GB/T3668-200X标准。5、滑轨：三节重型滚珠滑轨，承重性强，滑动性能良好，无噪音，开合十万次不变形。6、铰链：采用自动型110°大伸展角度，锌合金铰链，开合五万次不变形。7、拉手：采用C型不锈钢拉手，造型独特美观。8、脚垫：采用柜体内置可调ABS脚垫，保证桌面平整，防水防潮，延长设备使用寿命。9、台面甲醛释放量检测达到国家标准(GB 18580-2017)E1级的技术指标要求，甲醛释放量检测结果值小于0.01mg/M3（未检出）。</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10、生产厂家需满足如下条件：具有质量管理体系、环境管理体系及职业健康安全管理体系认证证书。</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★投标人应</w:t>
            </w:r>
            <w:r>
              <w:rPr>
                <w:rFonts w:hint="eastAsia" w:ascii="宋体" w:hAnsi="宋体" w:cs="宋体"/>
                <w:color w:val="auto"/>
                <w:kern w:val="0"/>
                <w:sz w:val="22"/>
                <w:szCs w:val="22"/>
                <w:highlight w:val="none"/>
              </w:rPr>
              <w:t>提供有资</w:t>
            </w:r>
            <w:r>
              <w:rPr>
                <w:rFonts w:hint="eastAsia" w:ascii="宋体" w:hAnsi="宋体" w:cs="宋体"/>
                <w:color w:val="000000"/>
                <w:kern w:val="0"/>
                <w:sz w:val="22"/>
                <w:szCs w:val="22"/>
                <w:highlight w:val="none"/>
              </w:rPr>
              <w:t>质的检测机构出具的检测报告复印件，供货厂家投标授权书复印件和质保服务承诺函复印件加盖厂家公章。</w:t>
            </w:r>
          </w:p>
        </w:tc>
        <w:tc>
          <w:tcPr>
            <w:tcW w:w="561"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张</w:t>
            </w:r>
          </w:p>
        </w:tc>
        <w:tc>
          <w:tcPr>
            <w:tcW w:w="656" w:type="dxa"/>
            <w:gridSpan w:val="2"/>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986"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6" w:type="dxa"/>
            <w:tcBorders>
              <w:top w:val="single" w:color="000000" w:sz="4" w:space="0"/>
              <w:left w:val="single" w:color="000000" w:sz="4"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6747" w:hRule="atLeast"/>
        </w:trPr>
        <w:tc>
          <w:tcPr>
            <w:tcW w:w="614" w:type="dxa"/>
            <w:gridSpan w:val="2"/>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922" w:type="dxa"/>
            <w:tcBorders>
              <w:top w:val="single" w:color="auto" w:sz="4" w:space="0"/>
              <w:left w:val="single" w:color="auto" w:sz="4" w:space="0"/>
              <w:bottom w:val="single" w:color="auto"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学生实验桌</w:t>
            </w:r>
          </w:p>
        </w:tc>
        <w:tc>
          <w:tcPr>
            <w:tcW w:w="4075" w:type="dxa"/>
            <w:gridSpan w:val="6"/>
            <w:tcBorders>
              <w:top w:val="single" w:color="auto" w:sz="4" w:space="0"/>
              <w:left w:val="single" w:color="000000" w:sz="8" w:space="0"/>
              <w:bottom w:val="single" w:color="auto" w:sz="4" w:space="0"/>
              <w:right w:val="single" w:color="000000" w:sz="8"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学生实验桌2400*600*760m</w:t>
            </w:r>
            <w:r>
              <w:rPr>
                <w:rFonts w:hint="eastAsia" w:ascii="宋体" w:hAnsi="宋体" w:cs="宋体"/>
                <w:color w:val="auto"/>
                <w:kern w:val="0"/>
                <w:sz w:val="22"/>
                <w:szCs w:val="22"/>
                <w:highlight w:val="none"/>
              </w:rPr>
              <w:t>m±</w:t>
            </w:r>
            <w:r>
              <w:rPr>
                <w:rFonts w:hint="eastAsia" w:cs="宋体"/>
                <w:color w:val="auto"/>
                <w:kern w:val="0"/>
                <w:sz w:val="22"/>
                <w:szCs w:val="22"/>
                <w:highlight w:val="none"/>
                <w:lang w:val="en-US" w:eastAsia="zh-CN"/>
              </w:rPr>
              <w:t>20</w:t>
            </w:r>
            <w:r>
              <w:rPr>
                <w:rFonts w:hint="eastAsia" w:ascii="宋体" w:hAnsi="宋体" w:cs="宋体"/>
                <w:color w:val="auto"/>
                <w:kern w:val="0"/>
                <w:sz w:val="22"/>
                <w:szCs w:val="22"/>
                <w:highlight w:val="none"/>
              </w:rPr>
              <w:t>mm</w:t>
            </w:r>
            <w:r>
              <w:rPr>
                <w:rFonts w:hint="eastAsia" w:ascii="宋体" w:hAnsi="宋体" w:cs="宋体"/>
                <w:color w:val="C00000"/>
                <w:kern w:val="0"/>
                <w:sz w:val="22"/>
                <w:szCs w:val="22"/>
                <w:highlight w:val="none"/>
              </w:rPr>
              <w:t xml:space="preserve"> </w:t>
            </w:r>
            <w:r>
              <w:rPr>
                <w:rFonts w:hint="eastAsia" w:ascii="宋体" w:hAnsi="宋体" w:cs="宋体"/>
                <w:color w:val="000000"/>
                <w:kern w:val="0"/>
                <w:sz w:val="22"/>
                <w:szCs w:val="22"/>
                <w:highlight w:val="none"/>
              </w:rPr>
              <w:t>1.台面：一体化台面，采用12.7mm厚双面理</w:t>
            </w:r>
            <w:r>
              <w:rPr>
                <w:rFonts w:hint="eastAsia" w:cs="宋体"/>
                <w:color w:val="000000"/>
                <w:kern w:val="0"/>
                <w:sz w:val="22"/>
                <w:szCs w:val="22"/>
                <w:highlight w:val="none"/>
                <w:lang w:val="en-US" w:eastAsia="zh-CN"/>
              </w:rPr>
              <w:t>实芯</w:t>
            </w:r>
            <w:r>
              <w:rPr>
                <w:rFonts w:hint="eastAsia" w:ascii="宋体" w:hAnsi="宋体" w:cs="宋体"/>
                <w:color w:val="000000"/>
                <w:kern w:val="0"/>
                <w:sz w:val="22"/>
                <w:szCs w:val="22"/>
                <w:highlight w:val="none"/>
              </w:rPr>
              <w:t>理化板。理化板抗翘曲、易清洁、防水、防火、耐酸碱、耐腐蚀、其截面由硬质PVC利用进口封边机械封边高温热压封边。2.主体：结构为铝合金框架结构，铝合金框架采用表面环氧树脂静电喷涂，ABS专业连接件连接，组装接缝严密，牢固无松动现象不变形，美观耐用。3.连接件：ABS连接件组装，牢固可靠。4.脚垫:ABS工程注塑，可有效防止桌身受潮，延长设备使用寿命。</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5、台面甲醛释放量检测达到国家标准(GB 18580-2017)E1级的技术指标要求，甲醛释放量检测结果值小于0.01mg/M3（未检出）。</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6、生产厂家需满足如下条件：具有质量管理体系、环境管理体系及职业健康安全管理体系认证证书。</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★投标人应针对以上桌面技术参数要求，提供有资质的检测机构出具的检测报告复印件，供货厂家投标授权书复印件和质保服务承诺函复印件加盖厂家公章。</w:t>
            </w:r>
          </w:p>
        </w:tc>
        <w:tc>
          <w:tcPr>
            <w:tcW w:w="561"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张</w:t>
            </w:r>
          </w:p>
        </w:tc>
        <w:tc>
          <w:tcPr>
            <w:tcW w:w="656" w:type="dxa"/>
            <w:gridSpan w:val="2"/>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w:t>
            </w:r>
          </w:p>
        </w:tc>
        <w:tc>
          <w:tcPr>
            <w:tcW w:w="98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986" w:type="dxa"/>
            <w:tcBorders>
              <w:top w:val="single" w:color="auto" w:sz="4" w:space="0"/>
              <w:left w:val="single" w:color="000000" w:sz="8"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gridSpan w:val="2"/>
            <w:tcBorders>
              <w:top w:val="single" w:color="000000" w:sz="4" w:space="0"/>
              <w:left w:val="single" w:color="auto" w:sz="4" w:space="0"/>
              <w:bottom w:val="single" w:color="000000" w:sz="4" w:space="0"/>
              <w:right w:val="single" w:color="000000"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6758" w:hRule="atLeast"/>
        </w:trPr>
        <w:tc>
          <w:tcPr>
            <w:tcW w:w="61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922" w:type="dxa"/>
            <w:tcBorders>
              <w:top w:val="single" w:color="auto" w:sz="4" w:space="0"/>
              <w:left w:val="single" w:color="000000" w:sz="8" w:space="0"/>
              <w:bottom w:val="single" w:color="auto" w:sz="4" w:space="0"/>
              <w:right w:val="single" w:color="000000" w:sz="8"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教师教学安全总电源</w:t>
            </w:r>
          </w:p>
        </w:tc>
        <w:tc>
          <w:tcPr>
            <w:tcW w:w="4075" w:type="dxa"/>
            <w:gridSpan w:val="6"/>
            <w:tcBorders>
              <w:top w:val="single" w:color="auto" w:sz="4" w:space="0"/>
              <w:left w:val="single" w:color="000000" w:sz="8" w:space="0"/>
              <w:bottom w:val="single" w:color="auto" w:sz="4" w:space="0"/>
              <w:right w:val="single" w:color="000000" w:sz="8"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符合 JY/T0374-2004《教学实验室设备电源系统》标准，电源主控台采用抽屉结构机箱；总控台教师电源采用轻触按键操作、数码显示,密码开机功能；直流电压分辨率为0.1V，全数字化控制；通过上行，下行软键，平滑选取直流0-30.0V电压，电流0-3A。三位数码管监测显示输出端子两端电压；交流电压分辨率为2V，全数字化控制。通过上行，下行软键，递进选取交流0-30V电压，电流0-6A。具备过载保护点智能侦测功能，电流高于过载点则自动保护、电流低于过载点则自动恢复至设定值。二位数码管监测显示输出端子两端电压；控制大电流9V输出。短时输出电流值为40A，输出10秒自动关断。通过全数字按键三位数码显示，可直接选取远程控制并锁定学生低压交直流电源。交流电压0-30V，分辨率为1V。直流电1.5-30.0V，分辨率0.1V，交直流电源由轻触按键操作选择输出；系统具备漏电保护功能，分4组向学生实验桌输出交流220V电源，并具备过载和短路保护功能。</w:t>
            </w:r>
          </w:p>
        </w:tc>
        <w:tc>
          <w:tcPr>
            <w:tcW w:w="561"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656" w:type="dxa"/>
            <w:gridSpan w:val="2"/>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98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986" w:type="dxa"/>
            <w:tcBorders>
              <w:top w:val="single" w:color="auto" w:sz="4" w:space="0"/>
              <w:left w:val="single" w:color="000000" w:sz="8"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gridSpan w:val="2"/>
            <w:tcBorders>
              <w:top w:val="single" w:color="000000" w:sz="4" w:space="0"/>
              <w:left w:val="single" w:color="000000" w:sz="4" w:space="0"/>
              <w:bottom w:val="single" w:color="auto" w:sz="4" w:space="0"/>
              <w:right w:val="single" w:color="000000"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90" w:hRule="atLeast"/>
        </w:trPr>
        <w:tc>
          <w:tcPr>
            <w:tcW w:w="614" w:type="dxa"/>
            <w:gridSpan w:val="2"/>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922" w:type="dxa"/>
            <w:tcBorders>
              <w:top w:val="single" w:color="auto" w:sz="4" w:space="0"/>
              <w:left w:val="single" w:color="auto" w:sz="4" w:space="0"/>
              <w:bottom w:val="single" w:color="auto" w:sz="4" w:space="0"/>
              <w:right w:val="single" w:color="000000" w:sz="8"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学生实验电源</w:t>
            </w:r>
          </w:p>
        </w:tc>
        <w:tc>
          <w:tcPr>
            <w:tcW w:w="4075" w:type="dxa"/>
            <w:gridSpan w:val="6"/>
            <w:tcBorders>
              <w:top w:val="single" w:color="auto" w:sz="4" w:space="0"/>
              <w:left w:val="single" w:color="000000" w:sz="8" w:space="0"/>
              <w:bottom w:val="single" w:color="auto" w:sz="4" w:space="0"/>
              <w:right w:val="single" w:color="000000" w:sz="8" w:space="0"/>
            </w:tcBorders>
            <w:vAlign w:val="center"/>
          </w:tcPr>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1、低压交流电源：0-24V/2A输出，2V/挡。(受教师控制）</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2、低压直流电源：稳压无级可调0-24V/2A输出。稳压精度≥99%，纹 波≤5mv。</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3、交流高压220V/2A插座输出。</w:t>
            </w:r>
          </w:p>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4、过载，短路保护，手动复位功能。        </w:t>
            </w:r>
          </w:p>
        </w:tc>
        <w:tc>
          <w:tcPr>
            <w:tcW w:w="561"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656" w:type="dxa"/>
            <w:gridSpan w:val="2"/>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24</w:t>
            </w:r>
          </w:p>
        </w:tc>
        <w:tc>
          <w:tcPr>
            <w:tcW w:w="98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986" w:type="dxa"/>
            <w:tcBorders>
              <w:top w:val="single" w:color="auto" w:sz="4" w:space="0"/>
              <w:left w:val="single" w:color="000000" w:sz="8"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gridSpan w:val="2"/>
            <w:tcBorders>
              <w:top w:val="single" w:color="auto" w:sz="4" w:space="0"/>
              <w:left w:val="single" w:color="000000" w:sz="4" w:space="0"/>
              <w:bottom w:val="single" w:color="auto" w:sz="4" w:space="0"/>
              <w:right w:val="single" w:color="auto"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5748" w:hRule="atLeast"/>
        </w:trPr>
        <w:tc>
          <w:tcPr>
            <w:tcW w:w="614" w:type="dxa"/>
            <w:gridSpan w:val="2"/>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922" w:type="dxa"/>
            <w:tcBorders>
              <w:top w:val="single" w:color="auto" w:sz="4" w:space="0"/>
              <w:left w:val="single" w:color="auto" w:sz="4" w:space="0"/>
              <w:bottom w:val="single" w:color="auto" w:sz="4" w:space="0"/>
              <w:right w:val="single" w:color="000000" w:sz="8"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推拉绿板</w:t>
            </w:r>
          </w:p>
        </w:tc>
        <w:tc>
          <w:tcPr>
            <w:tcW w:w="4075" w:type="dxa"/>
            <w:gridSpan w:val="6"/>
            <w:tcBorders>
              <w:top w:val="single" w:color="auto" w:sz="4" w:space="0"/>
              <w:left w:val="single" w:color="000000" w:sz="8" w:space="0"/>
              <w:bottom w:val="single" w:color="auto" w:sz="4" w:space="0"/>
              <w:right w:val="single" w:color="000000" w:sz="8"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整体长宽要求为：4000mm*1200mm（绿板与电子白板相配而成的组合推拉板）结构要求为双层结构；内层结构要求为：绿板+交互式电子白板+绿板固定组合而成；外层结构要求：由两块移动的绿板组成，用上下双轨道平行推拉，确保灵活无噪音；安装要求：采用隐型安装，安装后无任何可见安装件，使整体更为美观。二、绿板要求:1.面板要求为厚度为0.6㎜韩国浦项板；2.背板材料要求：厚度0.4㎜的日本进口镀锌钢板，为整张板无拼接；3.衬板材料要求：高密度环保EPS，厚度：24 ㎜，面层无折痕、不透筋；4.边框材料要求：氧化着色铝合金型材（香槟色）边框尺寸115mm（宽） *70mm（厚）*1.2mm（壁厚）；5.书写板材料整体组装要求：包角：ABS塑料包角，与边框颜色一致，外观要求：面板无损伤，无纵向的棱型，铝合金无划伤，无色差，平面板平整。</w:t>
            </w:r>
          </w:p>
        </w:tc>
        <w:tc>
          <w:tcPr>
            <w:tcW w:w="561"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656" w:type="dxa"/>
            <w:gridSpan w:val="2"/>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98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986" w:type="dxa"/>
            <w:tcBorders>
              <w:top w:val="single" w:color="auto" w:sz="4" w:space="0"/>
              <w:left w:val="single" w:color="000000" w:sz="8"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gridSpan w:val="2"/>
            <w:tcBorders>
              <w:top w:val="single" w:color="auto" w:sz="4" w:space="0"/>
              <w:left w:val="single" w:color="000000" w:sz="4" w:space="0"/>
              <w:bottom w:val="single" w:color="auto" w:sz="4" w:space="0"/>
              <w:right w:val="single" w:color="auto"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1369" w:hRule="atLeast"/>
        </w:trPr>
        <w:tc>
          <w:tcPr>
            <w:tcW w:w="61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w:t>
            </w:r>
          </w:p>
        </w:tc>
        <w:tc>
          <w:tcPr>
            <w:tcW w:w="922" w:type="dxa"/>
            <w:tcBorders>
              <w:top w:val="single" w:color="auto" w:sz="4"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电气布线</w:t>
            </w:r>
          </w:p>
        </w:tc>
        <w:tc>
          <w:tcPr>
            <w:tcW w:w="4075" w:type="dxa"/>
            <w:gridSpan w:val="6"/>
            <w:tcBorders>
              <w:top w:val="single" w:color="auto" w:sz="4"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铺设优质耐压PVC套管或实验专用压线板，主干电源线采用4㎡优质多芯铜质护套线，支干电源线采用2.5㎡、1.5㎡优质多芯铜质护套线。</w:t>
            </w:r>
          </w:p>
        </w:tc>
        <w:tc>
          <w:tcPr>
            <w:tcW w:w="561"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项</w:t>
            </w:r>
          </w:p>
        </w:tc>
        <w:tc>
          <w:tcPr>
            <w:tcW w:w="656" w:type="dxa"/>
            <w:gridSpan w:val="2"/>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986"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986" w:type="dxa"/>
            <w:tcBorders>
              <w:top w:val="single" w:color="auto" w:sz="4" w:space="0"/>
              <w:left w:val="single" w:color="000000" w:sz="8" w:space="0"/>
              <w:bottom w:val="single" w:color="000000" w:sz="8" w:space="0"/>
              <w:right w:val="nil"/>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gridSpan w:val="2"/>
            <w:tcBorders>
              <w:top w:val="single" w:color="auto"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767" w:hRule="atLeast"/>
        </w:trPr>
        <w:tc>
          <w:tcPr>
            <w:tcW w:w="614" w:type="dxa"/>
            <w:gridSpan w:val="2"/>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w:t>
            </w:r>
          </w:p>
        </w:tc>
        <w:tc>
          <w:tcPr>
            <w:tcW w:w="922" w:type="dxa"/>
            <w:tcBorders>
              <w:top w:val="single" w:color="000000" w:sz="8" w:space="0"/>
              <w:left w:val="single" w:color="000000" w:sz="8" w:space="0"/>
              <w:bottom w:val="single" w:color="auto" w:sz="4" w:space="0"/>
              <w:right w:val="single" w:color="000000" w:sz="8"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教师转椅</w:t>
            </w:r>
          </w:p>
        </w:tc>
        <w:tc>
          <w:tcPr>
            <w:tcW w:w="4075" w:type="dxa"/>
            <w:gridSpan w:val="6"/>
            <w:tcBorders>
              <w:top w:val="single" w:color="000000" w:sz="8" w:space="0"/>
              <w:left w:val="single" w:color="000000" w:sz="8" w:space="0"/>
              <w:bottom w:val="single" w:color="auto" w:sz="4" w:space="0"/>
              <w:right w:val="single" w:color="000000" w:sz="8"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五轮升降转椅，高弹性网布面料 高密度海绵座垫，气压式升降装。</w:t>
            </w:r>
          </w:p>
        </w:tc>
        <w:tc>
          <w:tcPr>
            <w:tcW w:w="561" w:type="dxa"/>
            <w:tcBorders>
              <w:top w:val="single" w:color="000000" w:sz="8"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张</w:t>
            </w:r>
          </w:p>
        </w:tc>
        <w:tc>
          <w:tcPr>
            <w:tcW w:w="656" w:type="dxa"/>
            <w:gridSpan w:val="2"/>
            <w:tcBorders>
              <w:top w:val="single" w:color="000000" w:sz="8"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986" w:type="dxa"/>
            <w:tcBorders>
              <w:top w:val="single" w:color="000000" w:sz="8"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986" w:type="dxa"/>
            <w:tcBorders>
              <w:top w:val="nil"/>
              <w:left w:val="single" w:color="000000" w:sz="8"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gridSpan w:val="2"/>
            <w:tcBorders>
              <w:top w:val="single" w:color="000000" w:sz="4" w:space="0"/>
              <w:left w:val="single" w:color="000000" w:sz="4" w:space="0"/>
              <w:bottom w:val="single" w:color="auto" w:sz="4" w:space="0"/>
              <w:right w:val="single" w:color="000000"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053" w:hRule="atLeast"/>
        </w:trPr>
        <w:tc>
          <w:tcPr>
            <w:tcW w:w="614"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w:t>
            </w:r>
          </w:p>
        </w:tc>
        <w:tc>
          <w:tcPr>
            <w:tcW w:w="922" w:type="dxa"/>
            <w:tcBorders>
              <w:top w:val="single" w:color="auto" w:sz="4" w:space="0"/>
              <w:left w:val="single" w:color="000000" w:sz="8" w:space="0"/>
              <w:bottom w:val="single" w:color="auto" w:sz="4" w:space="0"/>
              <w:right w:val="single" w:color="000000" w:sz="8"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学生凳</w:t>
            </w:r>
          </w:p>
        </w:tc>
        <w:tc>
          <w:tcPr>
            <w:tcW w:w="4075" w:type="dxa"/>
            <w:gridSpan w:val="6"/>
            <w:tcBorders>
              <w:top w:val="single" w:color="auto" w:sz="4" w:space="0"/>
              <w:left w:val="single" w:color="000000" w:sz="8" w:space="0"/>
              <w:bottom w:val="single" w:color="auto" w:sz="4" w:space="0"/>
              <w:right w:val="single" w:color="000000" w:sz="8"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1.凳面：采用高密度ABS材质的凳面，直径320mm，凳面表层有颗粒凸起（乳白色），起到按摩抗疲劳作用。凳面下有底盖，底盖和凳面之间装有壁厚为1.5mm厚直径为160mm钢板托盘，使得凳子更加稳固。</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2.凳脚：4个凳脚采用20×40×1.2mm的无缝钢管一次弯曲成型，全自动焊接机械手焊接，焊点准确且均匀，四脚配耐磨脚垫，防滑消音，保护地板。质量稳定，坚固耐用，美观大方。</w:t>
            </w:r>
          </w:p>
        </w:tc>
        <w:tc>
          <w:tcPr>
            <w:tcW w:w="561"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张</w:t>
            </w:r>
          </w:p>
        </w:tc>
        <w:tc>
          <w:tcPr>
            <w:tcW w:w="656" w:type="dxa"/>
            <w:gridSpan w:val="2"/>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48</w:t>
            </w:r>
          </w:p>
        </w:tc>
        <w:tc>
          <w:tcPr>
            <w:tcW w:w="98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986" w:type="dxa"/>
            <w:tcBorders>
              <w:top w:val="single" w:color="auto" w:sz="4" w:space="0"/>
              <w:left w:val="single" w:color="000000" w:sz="8"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gridSpan w:val="2"/>
            <w:tcBorders>
              <w:top w:val="single" w:color="auto" w:sz="4" w:space="0"/>
              <w:left w:val="single" w:color="000000" w:sz="4" w:space="0"/>
              <w:bottom w:val="single" w:color="auto" w:sz="4" w:space="0"/>
              <w:right w:val="single" w:color="auto"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727" w:hRule="atLeast"/>
        </w:trPr>
        <w:tc>
          <w:tcPr>
            <w:tcW w:w="614" w:type="dxa"/>
            <w:gridSpan w:val="2"/>
            <w:tcBorders>
              <w:top w:val="single" w:color="auto"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9</w:t>
            </w:r>
          </w:p>
        </w:tc>
        <w:tc>
          <w:tcPr>
            <w:tcW w:w="922" w:type="dxa"/>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cs="宋体"/>
                <w:color w:val="auto"/>
                <w:kern w:val="0"/>
                <w:sz w:val="22"/>
                <w:szCs w:val="22"/>
                <w:highlight w:val="none"/>
                <w:lang w:eastAsia="zh-CN"/>
              </w:rPr>
              <w:t>仪器</w:t>
            </w:r>
            <w:r>
              <w:rPr>
                <w:rFonts w:hint="eastAsia" w:ascii="宋体" w:hAnsi="宋体" w:cs="宋体"/>
                <w:color w:val="auto"/>
                <w:kern w:val="0"/>
                <w:sz w:val="22"/>
                <w:szCs w:val="22"/>
                <w:highlight w:val="none"/>
              </w:rPr>
              <w:t>柜</w:t>
            </w:r>
          </w:p>
        </w:tc>
        <w:tc>
          <w:tcPr>
            <w:tcW w:w="4075" w:type="dxa"/>
            <w:gridSpan w:val="6"/>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1、规格：1000*500*2000mm（±10mm）</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2、材质：PP材质，分上、下对开门柜体，柜体中间有层板。</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3、柜体：侧板、背板、顶板、底板采用增强型PP材质，一次注塑成型。表面做磨砂处理，结构紧密，耐腐蚀性强。</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4、上柜门：采用增强型PP材质一次注塑成型，外嵌5mm钢化烤漆玻璃,中间玻璃做镂空处理，透明可视。</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5、下柜门：采用增强型PP材质一次注塑成型，外嵌5mm钢化烤漆玻璃。</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6、层板：上柜配两块活动层板，下柜配一块活动层板。层板为增强型PP材质一次注塑成型，层板下部有两条30*15*940mm镀锌钢管，增强了层板承重强度，也避免了后安装钢制横梁，避免腐蚀。美观耐用。层板可以抽取，自由组合各层空间。</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7、门把手：采用增强型PP材质一次注塑成型，美观耐用。</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8、门铰链：用增强型PP材质一次注塑成型，内嵌隐藏安装方便，耐腐蚀。</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9、内部无可视金属材料，确保了设备耐腐蚀性。</w:t>
            </w:r>
          </w:p>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10、柜顶预留通风系统，可以与通风管路连接。</w:t>
            </w:r>
          </w:p>
        </w:tc>
        <w:tc>
          <w:tcPr>
            <w:tcW w:w="561" w:type="dxa"/>
            <w:tcBorders>
              <w:top w:val="single" w:color="auto" w:sz="4" w:space="0"/>
              <w:left w:val="nil"/>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656" w:type="dxa"/>
            <w:gridSpan w:val="2"/>
            <w:tcBorders>
              <w:top w:val="single" w:color="auto" w:sz="4" w:space="0"/>
              <w:left w:val="nil"/>
              <w:bottom w:val="single" w:color="auto" w:sz="4" w:space="0"/>
              <w:right w:val="single" w:color="000000" w:sz="4" w:space="0"/>
            </w:tcBorders>
            <w:noWrap/>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cs="宋体"/>
                <w:color w:val="C00000"/>
                <w:kern w:val="0"/>
                <w:sz w:val="20"/>
                <w:szCs w:val="20"/>
                <w:highlight w:val="none"/>
                <w:lang w:val="en-US" w:eastAsia="zh-CN"/>
              </w:rPr>
              <w:t>6</w:t>
            </w:r>
          </w:p>
        </w:tc>
        <w:tc>
          <w:tcPr>
            <w:tcW w:w="98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986" w:type="dxa"/>
            <w:tcBorders>
              <w:top w:val="single" w:color="auto" w:sz="4" w:space="0"/>
              <w:left w:val="single" w:color="000000" w:sz="8"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gridSpan w:val="2"/>
            <w:tcBorders>
              <w:top w:val="single" w:color="auto" w:sz="4" w:space="0"/>
              <w:left w:val="single" w:color="000000" w:sz="4" w:space="0"/>
              <w:bottom w:val="single" w:color="auto" w:sz="4" w:space="0"/>
              <w:right w:val="single" w:color="auto"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1129" w:hRule="atLeast"/>
        </w:trPr>
        <w:tc>
          <w:tcPr>
            <w:tcW w:w="614"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rPr>
              <w:t>1</w:t>
            </w:r>
            <w:r>
              <w:rPr>
                <w:rFonts w:hint="eastAsia" w:cs="宋体"/>
                <w:color w:val="000000"/>
                <w:kern w:val="0"/>
                <w:sz w:val="22"/>
                <w:szCs w:val="22"/>
                <w:highlight w:val="none"/>
                <w:lang w:val="en-US" w:eastAsia="zh-CN"/>
              </w:rPr>
              <w:t>0</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设备安装</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及调试</w:t>
            </w:r>
          </w:p>
        </w:tc>
        <w:tc>
          <w:tcPr>
            <w:tcW w:w="40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设备安装及调试等，须按JY/T0385-2006《中小学理科教室装备规范》有关规定执行。</w:t>
            </w:r>
          </w:p>
        </w:tc>
        <w:tc>
          <w:tcPr>
            <w:tcW w:w="561" w:type="dxa"/>
            <w:tcBorders>
              <w:top w:val="single" w:color="000000" w:sz="4" w:space="0"/>
              <w:left w:val="nil"/>
              <w:bottom w:val="single" w:color="000000" w:sz="4" w:space="0"/>
              <w:right w:val="single" w:color="000000" w:sz="4" w:space="0"/>
            </w:tcBorders>
            <w:noWrap/>
            <w:vAlign w:val="center"/>
          </w:tcPr>
          <w:p>
            <w:pPr>
              <w:jc w:val="center"/>
              <w:rPr>
                <w:rFonts w:hint="eastAsia" w:ascii="宋体" w:hAnsi="宋体" w:cs="宋体"/>
                <w:color w:val="000000"/>
                <w:sz w:val="20"/>
                <w:szCs w:val="20"/>
                <w:highlight w:val="none"/>
              </w:rPr>
            </w:pPr>
          </w:p>
        </w:tc>
        <w:tc>
          <w:tcPr>
            <w:tcW w:w="656" w:type="dxa"/>
            <w:gridSpan w:val="2"/>
            <w:tcBorders>
              <w:top w:val="single" w:color="000000" w:sz="4" w:space="0"/>
              <w:left w:val="nil"/>
              <w:bottom w:val="single" w:color="000000" w:sz="4" w:space="0"/>
              <w:right w:val="single" w:color="000000" w:sz="4" w:space="0"/>
            </w:tcBorders>
            <w:noWrap/>
            <w:vAlign w:val="center"/>
          </w:tcPr>
          <w:p>
            <w:pPr>
              <w:jc w:val="center"/>
              <w:rPr>
                <w:rFonts w:hint="eastAsia" w:ascii="宋体" w:hAnsi="宋体" w:cs="宋体"/>
                <w:color w:val="000000"/>
                <w:sz w:val="20"/>
                <w:szCs w:val="20"/>
                <w:highlight w:val="none"/>
              </w:rPr>
            </w:pPr>
          </w:p>
        </w:tc>
        <w:tc>
          <w:tcPr>
            <w:tcW w:w="986" w:type="dxa"/>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ascii="宋体" w:hAnsi="宋体" w:cs="宋体"/>
                <w:color w:val="000000"/>
                <w:sz w:val="22"/>
                <w:szCs w:val="22"/>
                <w:highlight w:val="none"/>
              </w:rPr>
            </w:pPr>
          </w:p>
        </w:tc>
        <w:tc>
          <w:tcPr>
            <w:tcW w:w="986" w:type="dxa"/>
            <w:tcBorders>
              <w:top w:val="nil"/>
              <w:left w:val="single" w:color="000000" w:sz="8" w:space="0"/>
              <w:bottom w:val="single" w:color="000000" w:sz="8" w:space="0"/>
              <w:right w:val="nil"/>
            </w:tcBorders>
            <w:noWrap/>
            <w:vAlign w:val="center"/>
          </w:tcPr>
          <w:p>
            <w:pPr>
              <w:jc w:val="center"/>
              <w:rPr>
                <w:rFonts w:hint="eastAsia" w:ascii="宋体" w:hAnsi="宋体" w:cs="宋体"/>
                <w:color w:val="000000"/>
                <w:sz w:val="22"/>
                <w:szCs w:val="22"/>
                <w:highlight w:val="none"/>
              </w:rPr>
            </w:pPr>
          </w:p>
        </w:tc>
        <w:tc>
          <w:tcPr>
            <w:tcW w:w="876"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405" w:hRule="atLeast"/>
        </w:trPr>
        <w:tc>
          <w:tcPr>
            <w:tcW w:w="1536" w:type="dxa"/>
            <w:gridSpan w:val="3"/>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总合计（元）</w:t>
            </w:r>
          </w:p>
        </w:tc>
        <w:tc>
          <w:tcPr>
            <w:tcW w:w="4075" w:type="dxa"/>
            <w:gridSpan w:val="6"/>
            <w:tcBorders>
              <w:top w:val="single" w:color="000000" w:sz="8" w:space="0"/>
              <w:left w:val="single" w:color="000000" w:sz="8" w:space="0"/>
              <w:bottom w:val="single" w:color="000000" w:sz="8" w:space="0"/>
              <w:right w:val="single" w:color="000000" w:sz="8" w:space="0"/>
            </w:tcBorders>
            <w:vAlign w:val="center"/>
          </w:tcPr>
          <w:p>
            <w:pPr>
              <w:jc w:val="left"/>
              <w:rPr>
                <w:rFonts w:hint="eastAsia" w:ascii="宋体" w:hAnsi="宋体" w:cs="宋体"/>
                <w:color w:val="000000"/>
                <w:sz w:val="22"/>
                <w:szCs w:val="22"/>
                <w:highlight w:val="none"/>
              </w:rPr>
            </w:pPr>
          </w:p>
        </w:tc>
        <w:tc>
          <w:tcPr>
            <w:tcW w:w="561" w:type="dxa"/>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ascii="宋体" w:hAnsi="宋体" w:cs="宋体"/>
                <w:color w:val="000000"/>
                <w:sz w:val="22"/>
                <w:szCs w:val="22"/>
                <w:highlight w:val="none"/>
              </w:rPr>
            </w:pPr>
          </w:p>
        </w:tc>
        <w:tc>
          <w:tcPr>
            <w:tcW w:w="656" w:type="dxa"/>
            <w:gridSpan w:val="2"/>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ascii="宋体" w:hAnsi="宋体" w:cs="宋体"/>
                <w:color w:val="000000"/>
                <w:sz w:val="22"/>
                <w:szCs w:val="22"/>
                <w:highlight w:val="none"/>
              </w:rPr>
            </w:pPr>
          </w:p>
        </w:tc>
        <w:tc>
          <w:tcPr>
            <w:tcW w:w="986" w:type="dxa"/>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ascii="宋体" w:hAnsi="宋体" w:cs="宋体"/>
                <w:color w:val="000000"/>
                <w:sz w:val="22"/>
                <w:szCs w:val="22"/>
                <w:highlight w:val="none"/>
              </w:rPr>
            </w:pPr>
          </w:p>
        </w:tc>
        <w:tc>
          <w:tcPr>
            <w:tcW w:w="986" w:type="dxa"/>
            <w:tcBorders>
              <w:top w:val="single" w:color="000000" w:sz="8" w:space="0"/>
              <w:left w:val="single" w:color="000000" w:sz="8" w:space="0"/>
              <w:bottom w:val="single" w:color="000000" w:sz="8" w:space="0"/>
              <w:right w:val="nil"/>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405" w:hRule="atLeast"/>
        </w:trPr>
        <w:tc>
          <w:tcPr>
            <w:tcW w:w="614" w:type="dxa"/>
            <w:gridSpan w:val="2"/>
            <w:tcBorders>
              <w:top w:val="nil"/>
              <w:left w:val="nil"/>
              <w:bottom w:val="nil"/>
              <w:right w:val="nil"/>
            </w:tcBorders>
            <w:noWrap/>
            <w:vAlign w:val="center"/>
          </w:tcPr>
          <w:p>
            <w:pPr>
              <w:rPr>
                <w:rFonts w:hint="eastAsia" w:ascii="宋体" w:hAnsi="宋体" w:cs="宋体"/>
                <w:color w:val="000000"/>
                <w:sz w:val="22"/>
                <w:szCs w:val="22"/>
                <w:highlight w:val="none"/>
              </w:rPr>
            </w:pPr>
          </w:p>
        </w:tc>
        <w:tc>
          <w:tcPr>
            <w:tcW w:w="922" w:type="dxa"/>
            <w:tcBorders>
              <w:top w:val="nil"/>
              <w:left w:val="nil"/>
              <w:bottom w:val="nil"/>
              <w:right w:val="nil"/>
            </w:tcBorders>
            <w:noWrap/>
            <w:vAlign w:val="center"/>
          </w:tcPr>
          <w:p>
            <w:pPr>
              <w:rPr>
                <w:rFonts w:hint="eastAsia"/>
                <w:highlight w:val="none"/>
              </w:rPr>
            </w:pPr>
          </w:p>
          <w:p>
            <w:pPr>
              <w:pStyle w:val="2"/>
              <w:rPr>
                <w:rFonts w:hint="eastAsia"/>
                <w:highlight w:val="none"/>
              </w:rPr>
            </w:pPr>
          </w:p>
          <w:p>
            <w:pPr>
              <w:pStyle w:val="4"/>
              <w:rPr>
                <w:rFonts w:hint="eastAsia"/>
                <w:highlight w:val="none"/>
              </w:rPr>
            </w:pPr>
          </w:p>
        </w:tc>
        <w:tc>
          <w:tcPr>
            <w:tcW w:w="4075" w:type="dxa"/>
            <w:gridSpan w:val="6"/>
            <w:tcBorders>
              <w:top w:val="nil"/>
              <w:left w:val="nil"/>
              <w:bottom w:val="nil"/>
              <w:right w:val="nil"/>
            </w:tcBorders>
            <w:noWrap/>
            <w:vAlign w:val="center"/>
          </w:tcPr>
          <w:p>
            <w:pPr>
              <w:rPr>
                <w:rFonts w:hint="eastAsia" w:ascii="宋体" w:hAnsi="宋体" w:cs="宋体"/>
                <w:color w:val="000000"/>
                <w:sz w:val="22"/>
                <w:szCs w:val="22"/>
                <w:highlight w:val="none"/>
              </w:rPr>
            </w:pPr>
          </w:p>
        </w:tc>
        <w:tc>
          <w:tcPr>
            <w:tcW w:w="561" w:type="dxa"/>
            <w:tcBorders>
              <w:top w:val="nil"/>
              <w:left w:val="nil"/>
              <w:bottom w:val="nil"/>
              <w:right w:val="nil"/>
            </w:tcBorders>
            <w:noWrap/>
            <w:vAlign w:val="center"/>
          </w:tcPr>
          <w:p>
            <w:pPr>
              <w:rPr>
                <w:rFonts w:hint="eastAsia" w:ascii="宋体" w:hAnsi="宋体" w:cs="宋体"/>
                <w:color w:val="000000"/>
                <w:sz w:val="22"/>
                <w:szCs w:val="22"/>
                <w:highlight w:val="none"/>
              </w:rPr>
            </w:pPr>
          </w:p>
        </w:tc>
        <w:tc>
          <w:tcPr>
            <w:tcW w:w="656" w:type="dxa"/>
            <w:gridSpan w:val="2"/>
            <w:tcBorders>
              <w:top w:val="nil"/>
              <w:left w:val="nil"/>
              <w:bottom w:val="nil"/>
              <w:right w:val="nil"/>
            </w:tcBorders>
            <w:noWrap/>
            <w:vAlign w:val="center"/>
          </w:tcPr>
          <w:p>
            <w:pPr>
              <w:rPr>
                <w:rFonts w:hint="eastAsia" w:ascii="宋体" w:hAnsi="宋体" w:cs="宋体"/>
                <w:color w:val="000000"/>
                <w:sz w:val="22"/>
                <w:szCs w:val="22"/>
                <w:highlight w:val="none"/>
              </w:rPr>
            </w:pPr>
          </w:p>
        </w:tc>
        <w:tc>
          <w:tcPr>
            <w:tcW w:w="986" w:type="dxa"/>
            <w:tcBorders>
              <w:top w:val="nil"/>
              <w:left w:val="nil"/>
              <w:bottom w:val="nil"/>
              <w:right w:val="nil"/>
            </w:tcBorders>
            <w:noWrap/>
            <w:vAlign w:val="center"/>
          </w:tcPr>
          <w:p>
            <w:pPr>
              <w:rPr>
                <w:rFonts w:hint="eastAsia" w:ascii="宋体" w:hAnsi="宋体" w:cs="宋体"/>
                <w:color w:val="000000"/>
                <w:sz w:val="22"/>
                <w:szCs w:val="22"/>
                <w:highlight w:val="none"/>
              </w:rPr>
            </w:pPr>
          </w:p>
        </w:tc>
        <w:tc>
          <w:tcPr>
            <w:tcW w:w="986" w:type="dxa"/>
            <w:tcBorders>
              <w:top w:val="nil"/>
              <w:left w:val="nil"/>
              <w:bottom w:val="nil"/>
              <w:right w:val="nil"/>
            </w:tcBorders>
            <w:noWrap/>
            <w:vAlign w:val="center"/>
          </w:tcPr>
          <w:p>
            <w:pPr>
              <w:rPr>
                <w:rFonts w:hint="eastAsia" w:ascii="宋体" w:hAnsi="宋体" w:cs="宋体"/>
                <w:color w:val="000000"/>
                <w:sz w:val="22"/>
                <w:szCs w:val="22"/>
                <w:highlight w:val="none"/>
              </w:rPr>
            </w:pPr>
          </w:p>
        </w:tc>
        <w:tc>
          <w:tcPr>
            <w:tcW w:w="876" w:type="dxa"/>
            <w:gridSpan w:val="2"/>
            <w:tcBorders>
              <w:top w:val="nil"/>
              <w:left w:val="nil"/>
              <w:bottom w:val="nil"/>
              <w:right w:val="nil"/>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3" w:hRule="atLeast"/>
        </w:trPr>
        <w:tc>
          <w:tcPr>
            <w:tcW w:w="153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学校</w:t>
            </w:r>
          </w:p>
        </w:tc>
        <w:tc>
          <w:tcPr>
            <w:tcW w:w="4075"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设备清单</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数量</w:t>
            </w:r>
          </w:p>
        </w:tc>
        <w:tc>
          <w:tcPr>
            <w:tcW w:w="65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单位</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单价/元</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金额/元</w:t>
            </w:r>
          </w:p>
        </w:tc>
        <w:tc>
          <w:tcPr>
            <w:tcW w:w="87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备注</w:t>
            </w:r>
          </w:p>
        </w:tc>
      </w:tr>
      <w:tr>
        <w:tblPrEx>
          <w:tblCellMar>
            <w:top w:w="0" w:type="dxa"/>
            <w:left w:w="108" w:type="dxa"/>
            <w:bottom w:w="0" w:type="dxa"/>
            <w:right w:w="108" w:type="dxa"/>
          </w:tblCellMar>
        </w:tblPrEx>
        <w:trPr>
          <w:trHeight w:val="1358" w:hRule="atLeast"/>
        </w:trPr>
        <w:tc>
          <w:tcPr>
            <w:tcW w:w="15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五指山市红星学校</w:t>
            </w:r>
          </w:p>
        </w:tc>
        <w:tc>
          <w:tcPr>
            <w:tcW w:w="40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教师演示台、学生实验桌12、教师教学安全总电源1、学生实验电源24、推拉绿板1、电气布线1、教师转椅1、学生凳48、</w:t>
            </w:r>
            <w:r>
              <w:rPr>
                <w:rFonts w:hint="eastAsia" w:cs="宋体"/>
                <w:color w:val="auto"/>
                <w:kern w:val="0"/>
                <w:sz w:val="22"/>
                <w:szCs w:val="22"/>
                <w:highlight w:val="none"/>
                <w:lang w:eastAsia="zh-CN"/>
              </w:rPr>
              <w:t>仪器</w:t>
            </w:r>
            <w:r>
              <w:rPr>
                <w:rFonts w:hint="eastAsia" w:ascii="宋体" w:hAnsi="宋体" w:cs="宋体"/>
                <w:color w:val="auto"/>
                <w:kern w:val="0"/>
                <w:sz w:val="22"/>
                <w:szCs w:val="22"/>
                <w:highlight w:val="none"/>
              </w:rPr>
              <w:t>柜</w:t>
            </w:r>
            <w:r>
              <w:rPr>
                <w:rFonts w:hint="eastAsia" w:cs="宋体"/>
                <w:color w:val="auto"/>
                <w:kern w:val="0"/>
                <w:sz w:val="22"/>
                <w:szCs w:val="22"/>
                <w:highlight w:val="none"/>
                <w:lang w:val="en-US" w:eastAsia="zh-CN"/>
              </w:rPr>
              <w:t>6</w:t>
            </w: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65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trHeight w:val="383" w:hRule="atLeast"/>
        </w:trPr>
        <w:tc>
          <w:tcPr>
            <w:tcW w:w="5611" w:type="dxa"/>
            <w:gridSpan w:val="9"/>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合计</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c>
          <w:tcPr>
            <w:tcW w:w="65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c>
          <w:tcPr>
            <w:tcW w:w="8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r>
    </w:tbl>
    <w:p>
      <w:pPr>
        <w:pStyle w:val="7"/>
        <w:jc w:val="both"/>
        <w:rPr>
          <w:highlight w:val="none"/>
        </w:rPr>
      </w:pPr>
    </w:p>
    <w:tbl>
      <w:tblPr>
        <w:tblStyle w:val="17"/>
        <w:tblW w:w="9763" w:type="dxa"/>
        <w:tblInd w:w="93" w:type="dxa"/>
        <w:tblLayout w:type="fixed"/>
        <w:tblCellMar>
          <w:top w:w="0" w:type="dxa"/>
          <w:left w:w="108" w:type="dxa"/>
          <w:bottom w:w="0" w:type="dxa"/>
          <w:right w:w="108" w:type="dxa"/>
        </w:tblCellMar>
      </w:tblPr>
      <w:tblGrid>
        <w:gridCol w:w="441"/>
        <w:gridCol w:w="680"/>
        <w:gridCol w:w="4677"/>
        <w:gridCol w:w="656"/>
        <w:gridCol w:w="656"/>
        <w:gridCol w:w="986"/>
        <w:gridCol w:w="986"/>
        <w:gridCol w:w="681"/>
      </w:tblGrid>
      <w:tr>
        <w:trPr>
          <w:trHeight w:val="1182" w:hRule="atLeast"/>
        </w:trPr>
        <w:tc>
          <w:tcPr>
            <w:tcW w:w="9763" w:type="dxa"/>
            <w:gridSpan w:val="8"/>
            <w:tcBorders>
              <w:top w:val="single" w:color="auto" w:sz="4" w:space="0"/>
              <w:left w:val="single" w:color="auto" w:sz="4" w:space="0"/>
              <w:bottom w:val="single" w:color="auto" w:sz="4" w:space="0"/>
              <w:right w:val="single" w:color="auto" w:sz="4" w:space="0"/>
            </w:tcBorders>
            <w:shd w:val="clear" w:color="auto" w:fill="FDE9D9"/>
            <w:noWrap/>
            <w:vAlign w:val="center"/>
          </w:tcPr>
          <w:p>
            <w:pPr>
              <w:jc w:val="center"/>
              <w:rPr>
                <w:rFonts w:hint="eastAsia" w:ascii="宋体" w:hAnsi="宋体" w:cs="宋体"/>
                <w:color w:val="000000"/>
                <w:sz w:val="22"/>
                <w:szCs w:val="22"/>
                <w:highlight w:val="none"/>
              </w:rPr>
            </w:pPr>
            <w:r>
              <w:rPr>
                <w:rFonts w:hint="eastAsia" w:ascii="宋体" w:hAnsi="宋体" w:cs="宋体"/>
                <w:color w:val="000000"/>
                <w:kern w:val="0"/>
                <w:sz w:val="52"/>
                <w:szCs w:val="52"/>
                <w:highlight w:val="none"/>
              </w:rPr>
              <w:t>5、初中化学实验室设施配置</w:t>
            </w:r>
          </w:p>
        </w:tc>
      </w:tr>
      <w:tr>
        <w:tblPrEx>
          <w:tblCellMar>
            <w:top w:w="0" w:type="dxa"/>
            <w:left w:w="108" w:type="dxa"/>
            <w:bottom w:w="0" w:type="dxa"/>
            <w:right w:w="108" w:type="dxa"/>
          </w:tblCellMar>
        </w:tblPrEx>
        <w:trPr>
          <w:trHeight w:val="792" w:hRule="atLeast"/>
        </w:trPr>
        <w:tc>
          <w:tcPr>
            <w:tcW w:w="441" w:type="dxa"/>
            <w:tcBorders>
              <w:top w:val="single" w:color="auto" w:sz="4"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序号</w:t>
            </w:r>
          </w:p>
        </w:tc>
        <w:tc>
          <w:tcPr>
            <w:tcW w:w="680" w:type="dxa"/>
            <w:tcBorders>
              <w:top w:val="single" w:color="auto" w:sz="4" w:space="0"/>
              <w:left w:val="nil"/>
              <w:bottom w:val="single" w:color="000000" w:sz="8" w:space="0"/>
              <w:right w:val="single" w:color="000000" w:sz="8"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品名</w:t>
            </w:r>
          </w:p>
        </w:tc>
        <w:tc>
          <w:tcPr>
            <w:tcW w:w="4677" w:type="dxa"/>
            <w:tcBorders>
              <w:top w:val="single" w:color="auto" w:sz="4" w:space="0"/>
              <w:left w:val="nil"/>
              <w:bottom w:val="single" w:color="000000" w:sz="8" w:space="0"/>
              <w:right w:val="single" w:color="000000" w:sz="8"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 xml:space="preserve">规格、参数 </w:t>
            </w:r>
          </w:p>
        </w:tc>
        <w:tc>
          <w:tcPr>
            <w:tcW w:w="656" w:type="dxa"/>
            <w:tcBorders>
              <w:top w:val="single" w:color="auto" w:sz="4" w:space="0"/>
              <w:left w:val="nil"/>
              <w:bottom w:val="single" w:color="000000" w:sz="8" w:space="0"/>
              <w:right w:val="single" w:color="000000" w:sz="8"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单位</w:t>
            </w:r>
          </w:p>
        </w:tc>
        <w:tc>
          <w:tcPr>
            <w:tcW w:w="656" w:type="dxa"/>
            <w:tcBorders>
              <w:top w:val="single" w:color="auto" w:sz="4" w:space="0"/>
              <w:left w:val="nil"/>
              <w:bottom w:val="single" w:color="000000" w:sz="8" w:space="0"/>
              <w:right w:val="single" w:color="000000" w:sz="8"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数量</w:t>
            </w:r>
          </w:p>
        </w:tc>
        <w:tc>
          <w:tcPr>
            <w:tcW w:w="986" w:type="dxa"/>
            <w:tcBorders>
              <w:top w:val="single" w:color="auto" w:sz="4" w:space="0"/>
              <w:left w:val="nil"/>
              <w:bottom w:val="single" w:color="000000" w:sz="8" w:space="0"/>
              <w:right w:val="single" w:color="000000" w:sz="8"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单价</w:t>
            </w:r>
          </w:p>
        </w:tc>
        <w:tc>
          <w:tcPr>
            <w:tcW w:w="986" w:type="dxa"/>
            <w:tcBorders>
              <w:top w:val="single" w:color="auto" w:sz="4" w:space="0"/>
              <w:left w:val="nil"/>
              <w:bottom w:val="single" w:color="000000" w:sz="8" w:space="0"/>
              <w:right w:val="nil"/>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合价</w:t>
            </w:r>
          </w:p>
        </w:tc>
        <w:tc>
          <w:tcPr>
            <w:tcW w:w="681" w:type="dxa"/>
            <w:tcBorders>
              <w:top w:val="single" w:color="auto"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备注</w:t>
            </w:r>
          </w:p>
        </w:tc>
      </w:tr>
      <w:tr>
        <w:tblPrEx>
          <w:tblCellMar>
            <w:top w:w="0" w:type="dxa"/>
            <w:left w:w="108" w:type="dxa"/>
            <w:bottom w:w="0" w:type="dxa"/>
            <w:right w:w="108" w:type="dxa"/>
          </w:tblCellMar>
        </w:tblPrEx>
        <w:trPr>
          <w:trHeight w:val="7823" w:hRule="atLeast"/>
        </w:trPr>
        <w:tc>
          <w:tcPr>
            <w:tcW w:w="44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68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教师演示台</w:t>
            </w:r>
          </w:p>
        </w:tc>
        <w:tc>
          <w:tcPr>
            <w:tcW w:w="4677"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尺寸：2800（长）×700（宽）×850mm（高）。2、结构：演示台设有储物柜，中间为演示台，设置电源主控系统、多媒体设备（主机、显示器、中控、功放、交换机）的位置预留。3、台面：一体化台面，采用12.7mm厚实芯理化板，结构加工坚固致密、机械精打磨圆滑细致，造型美观，具有优异的稳定、持久、耐水和易清洗维护等特性。4、桌体：采用1.0mm优质镀锌钢板，CO2保护焊焊接，打磨处理，表面经耐酸碱EPOXY粉末烤漆处理（烤漆膜厚度平均值≥ 70μm），表面硬度附着力、耐腐蚀性符合国家GB/T3668-200X标准。5、滑轨：三节重型滚珠滑轨，承重性强，滑动性能良好，无噪音，开合十万次不变形。6、铰链：采用自动型110°大伸展角度，锌合金铰链，开合五万次不变形。7、拉手：采用C型不锈钢拉手，造型独特美观。8、脚垫：采用柜体内置可调ABS脚垫，保证桌面平整，防水防潮，延长设备使用寿命。9、台面甲醛释放量检测达到国家标准(GB 18580-2017)E1级的技术指标要求，甲醛释放量检测结果值小于0.01mg/M3（未检出）。</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10、生产厂家需满足如下条件：具有质量管理体系、环境管理体系及职业健康安全管理体系认证证书。</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★投标人</w:t>
            </w:r>
            <w:r>
              <w:rPr>
                <w:rFonts w:hint="eastAsia" w:ascii="宋体" w:hAnsi="宋体" w:cs="宋体"/>
                <w:color w:val="auto"/>
                <w:kern w:val="0"/>
                <w:sz w:val="22"/>
                <w:szCs w:val="22"/>
                <w:highlight w:val="none"/>
              </w:rPr>
              <w:t>应</w:t>
            </w:r>
            <w:r>
              <w:rPr>
                <w:rFonts w:hint="eastAsia" w:ascii="宋体" w:hAnsi="宋体" w:cs="宋体"/>
                <w:color w:val="000000"/>
                <w:kern w:val="0"/>
                <w:sz w:val="22"/>
                <w:szCs w:val="22"/>
                <w:highlight w:val="none"/>
              </w:rPr>
              <w:t>提供有资质的检测机构出具的检测报告复印件，供货厂家投标授权书复印件和质保服务承诺函复印件加盖厂家公章。</w:t>
            </w:r>
          </w:p>
        </w:tc>
        <w:tc>
          <w:tcPr>
            <w:tcW w:w="6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张</w:t>
            </w:r>
          </w:p>
        </w:tc>
        <w:tc>
          <w:tcPr>
            <w:tcW w:w="6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98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986" w:type="dxa"/>
            <w:tcBorders>
              <w:top w:val="nil"/>
              <w:left w:val="single" w:color="000000" w:sz="8" w:space="0"/>
              <w:bottom w:val="single" w:color="000000" w:sz="8" w:space="0"/>
              <w:right w:val="nil"/>
            </w:tcBorders>
            <w:noWrap/>
            <w:vAlign w:val="center"/>
          </w:tcPr>
          <w:p>
            <w:pPr>
              <w:widowControl/>
              <w:jc w:val="center"/>
              <w:textAlignment w:val="center"/>
              <w:rPr>
                <w:rFonts w:hint="eastAsia" w:ascii="宋体" w:hAnsi="宋体" w:cs="宋体"/>
                <w:color w:val="000000"/>
                <w:sz w:val="22"/>
                <w:szCs w:val="22"/>
                <w:highlight w:val="none"/>
              </w:rPr>
            </w:pPr>
          </w:p>
        </w:tc>
        <w:tc>
          <w:tcPr>
            <w:tcW w:w="6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2364" w:hRule="atLeast"/>
        </w:trPr>
        <w:tc>
          <w:tcPr>
            <w:tcW w:w="441" w:type="dxa"/>
            <w:tcBorders>
              <w:top w:val="nil"/>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680" w:type="dxa"/>
            <w:tcBorders>
              <w:top w:val="nil"/>
              <w:left w:val="nil"/>
              <w:bottom w:val="single" w:color="auto"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教师洗眼器</w:t>
            </w:r>
          </w:p>
        </w:tc>
        <w:tc>
          <w:tcPr>
            <w:tcW w:w="4677" w:type="dxa"/>
            <w:tcBorders>
              <w:top w:val="nil"/>
              <w:left w:val="single" w:color="000000" w:sz="8" w:space="0"/>
              <w:bottom w:val="single" w:color="auto" w:sz="4" w:space="0"/>
              <w:right w:val="single" w:color="000000" w:sz="8"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台面安装方式，平时放置于台面，紧急使用时可随意抽起，使用方便。2、洗眼喷头：具有过滤泡棉及防尘功能，上面防尘盖平常可防尘，使用时可随时被水冲开，并降低突然打开时短暂的高水压，避免冲伤眼睛。3、控水阀采用黄铜制作，经高亮度环氧树脂涂层处理，外观美观大方，阀门可自动关闭，密封可靠。4、供水软管：采用2m长不锈钢软管。</w:t>
            </w:r>
          </w:p>
        </w:tc>
        <w:tc>
          <w:tcPr>
            <w:tcW w:w="656" w:type="dxa"/>
            <w:tcBorders>
              <w:top w:val="nil"/>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656" w:type="dxa"/>
            <w:tcBorders>
              <w:top w:val="nil"/>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986" w:type="dxa"/>
            <w:tcBorders>
              <w:top w:val="nil"/>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986" w:type="dxa"/>
            <w:tcBorders>
              <w:top w:val="nil"/>
              <w:left w:val="single" w:color="000000" w:sz="8"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highlight w:val="none"/>
              </w:rPr>
            </w:pPr>
          </w:p>
        </w:tc>
        <w:tc>
          <w:tcPr>
            <w:tcW w:w="681" w:type="dxa"/>
            <w:tcBorders>
              <w:top w:val="single" w:color="000000" w:sz="4" w:space="0"/>
              <w:left w:val="single" w:color="000000" w:sz="4" w:space="0"/>
              <w:bottom w:val="single" w:color="auto" w:sz="4" w:space="0"/>
              <w:right w:val="single" w:color="000000"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144" w:hRule="atLeast"/>
        </w:trPr>
        <w:tc>
          <w:tcPr>
            <w:tcW w:w="441" w:type="dxa"/>
            <w:tcBorders>
              <w:top w:val="single" w:color="auto" w:sz="4" w:space="0"/>
              <w:left w:val="single" w:color="auto" w:sz="4"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680" w:type="dxa"/>
            <w:tcBorders>
              <w:top w:val="single" w:color="auto" w:sz="4" w:space="0"/>
              <w:left w:val="nil"/>
              <w:bottom w:val="single" w:color="auto"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教师化验水槽</w:t>
            </w:r>
          </w:p>
        </w:tc>
        <w:tc>
          <w:tcPr>
            <w:tcW w:w="4677" w:type="dxa"/>
            <w:tcBorders>
              <w:top w:val="single" w:color="auto" w:sz="4" w:space="0"/>
              <w:left w:val="single" w:color="000000" w:sz="8" w:space="0"/>
              <w:bottom w:val="single" w:color="auto" w:sz="4" w:space="0"/>
              <w:right w:val="single" w:color="000000" w:sz="8"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1、采用耐腐蚀高密度PP材质，模具一次注塑成型，规格：内径490×390×290mm，水槽厚度不小于5 mm。2、水槽应具有耐酸碱、耐热、耐有机溶剂；排水口应有水封装置。3、水槽应采取台下托底式安装（带支撑托架），水槽与台面间采用防水密封胶封闭，无漏水现象。4、水槽的上水、下水均应隐蔽，专用下水管扣，使下水管弯曲成“S”型防臭。5、排水管必须连接可靠，避免因松动脱落造成漏水，引起电源短路，形成安全隐患。6、实验水槽安装位置应于中间位置。7、含1大号三联水嘴。</w:t>
            </w:r>
          </w:p>
        </w:tc>
        <w:tc>
          <w:tcPr>
            <w:tcW w:w="65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65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98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986" w:type="dxa"/>
            <w:tcBorders>
              <w:top w:val="single" w:color="auto" w:sz="4" w:space="0"/>
              <w:left w:val="single" w:color="000000" w:sz="8"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highlight w:val="none"/>
              </w:rPr>
            </w:pPr>
          </w:p>
        </w:tc>
        <w:tc>
          <w:tcPr>
            <w:tcW w:w="681" w:type="dxa"/>
            <w:tcBorders>
              <w:top w:val="single" w:color="auto" w:sz="4" w:space="0"/>
              <w:left w:val="single" w:color="000000" w:sz="4" w:space="0"/>
              <w:bottom w:val="single" w:color="auto" w:sz="4" w:space="0"/>
              <w:right w:val="single" w:color="auto"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5483" w:hRule="atLeast"/>
        </w:trPr>
        <w:tc>
          <w:tcPr>
            <w:tcW w:w="441"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680" w:type="dxa"/>
            <w:tcBorders>
              <w:top w:val="single" w:color="auto" w:sz="4" w:space="0"/>
              <w:left w:val="nil"/>
              <w:bottom w:val="nil"/>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学生实验桌</w:t>
            </w:r>
          </w:p>
        </w:tc>
        <w:tc>
          <w:tcPr>
            <w:tcW w:w="4677" w:type="dxa"/>
            <w:tcBorders>
              <w:top w:val="single" w:color="auto" w:sz="4"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学生实验桌2400*600*760mm</w:t>
            </w:r>
            <w:r>
              <w:rPr>
                <w:rFonts w:hint="eastAsia" w:ascii="宋体" w:hAnsi="宋体" w:cs="宋体"/>
                <w:color w:val="C00000"/>
                <w:kern w:val="0"/>
                <w:sz w:val="22"/>
                <w:szCs w:val="22"/>
                <w:highlight w:val="none"/>
              </w:rPr>
              <w:t>±2</w:t>
            </w:r>
            <w:r>
              <w:rPr>
                <w:rFonts w:hint="eastAsia" w:cs="宋体"/>
                <w:color w:val="C00000"/>
                <w:kern w:val="0"/>
                <w:sz w:val="22"/>
                <w:szCs w:val="22"/>
                <w:highlight w:val="none"/>
                <w:lang w:val="en-US" w:eastAsia="zh-CN"/>
              </w:rPr>
              <w:t>0mm</w:t>
            </w:r>
            <w:r>
              <w:rPr>
                <w:rFonts w:hint="eastAsia" w:ascii="宋体" w:hAnsi="宋体" w:cs="宋体"/>
                <w:color w:val="C00000"/>
                <w:kern w:val="0"/>
                <w:sz w:val="22"/>
                <w:szCs w:val="22"/>
                <w:highlight w:val="none"/>
              </w:rPr>
              <w:t xml:space="preserve"> </w:t>
            </w:r>
            <w:r>
              <w:rPr>
                <w:rFonts w:hint="eastAsia" w:ascii="宋体" w:hAnsi="宋体" w:cs="宋体"/>
                <w:color w:val="000000"/>
                <w:kern w:val="0"/>
                <w:sz w:val="22"/>
                <w:szCs w:val="22"/>
                <w:highlight w:val="none"/>
              </w:rPr>
              <w:t>1.台面：一体化台面，采用12.7mm厚双面</w:t>
            </w:r>
            <w:r>
              <w:rPr>
                <w:rFonts w:hint="eastAsia" w:cs="宋体"/>
                <w:color w:val="000000"/>
                <w:kern w:val="0"/>
                <w:sz w:val="22"/>
                <w:szCs w:val="22"/>
                <w:highlight w:val="none"/>
                <w:lang w:val="en-US" w:eastAsia="zh-CN"/>
              </w:rPr>
              <w:t>实芯</w:t>
            </w:r>
            <w:r>
              <w:rPr>
                <w:rFonts w:hint="eastAsia" w:ascii="宋体" w:hAnsi="宋体" w:cs="宋体"/>
                <w:color w:val="000000"/>
                <w:kern w:val="0"/>
                <w:sz w:val="22"/>
                <w:szCs w:val="22"/>
                <w:highlight w:val="none"/>
              </w:rPr>
              <w:t>理化板。理化板抗翘曲、易清洁、防水、防火、耐酸碱、耐腐蚀、其截面由硬质PVC利用进口封边机械封边高温热压封边。2.主体：结构为铝合金框架结构，铝合金框架采用表面环氧树脂静电喷涂，ABS专业连接件连接，组装接缝严密，牢固无松动现象不变形，美观耐用。3.连接件：ABS连接件组装，牢固可靠。4.脚垫:ABS工程注塑，可有效防止桌身受潮，延长设备使用寿命。</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5、桌面甲醛释放量检测达到国家标准(GB 18580-2017)E1级的技术指标要求，甲醛释放量检测结果值小于0.01mg/M3（未检出）。</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6、生产厂家需满足如下条件：具有质量管理体系、环境管理体系及职业健康安全管理体系认证证书。</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★投标人</w:t>
            </w:r>
            <w:r>
              <w:rPr>
                <w:rFonts w:hint="eastAsia" w:ascii="宋体" w:hAnsi="宋体" w:cs="宋体"/>
                <w:color w:val="auto"/>
                <w:kern w:val="0"/>
                <w:sz w:val="22"/>
                <w:szCs w:val="22"/>
                <w:highlight w:val="none"/>
              </w:rPr>
              <w:t>应针对以上桌面技术参数要求，</w:t>
            </w:r>
            <w:r>
              <w:rPr>
                <w:rFonts w:hint="eastAsia" w:ascii="宋体" w:hAnsi="宋体" w:cs="宋体"/>
                <w:color w:val="000000"/>
                <w:kern w:val="0"/>
                <w:sz w:val="22"/>
                <w:szCs w:val="22"/>
                <w:highlight w:val="none"/>
              </w:rPr>
              <w:t>提供有资质的检测机构出具的检测报告复印件，供货厂家投标授权书复印件和质保服务承诺函复印件加盖厂家公章。</w:t>
            </w:r>
          </w:p>
        </w:tc>
        <w:tc>
          <w:tcPr>
            <w:tcW w:w="656"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张</w:t>
            </w:r>
          </w:p>
        </w:tc>
        <w:tc>
          <w:tcPr>
            <w:tcW w:w="656"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w:t>
            </w:r>
          </w:p>
        </w:tc>
        <w:tc>
          <w:tcPr>
            <w:tcW w:w="986"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986" w:type="dxa"/>
            <w:tcBorders>
              <w:top w:val="single" w:color="auto" w:sz="4" w:space="0"/>
              <w:left w:val="single" w:color="000000" w:sz="8" w:space="0"/>
              <w:bottom w:val="single" w:color="000000" w:sz="8" w:space="0"/>
              <w:right w:val="nil"/>
            </w:tcBorders>
            <w:noWrap/>
            <w:vAlign w:val="center"/>
          </w:tcPr>
          <w:p>
            <w:pPr>
              <w:widowControl/>
              <w:jc w:val="center"/>
              <w:textAlignment w:val="center"/>
              <w:rPr>
                <w:rFonts w:hint="eastAsia" w:ascii="宋体" w:hAnsi="宋体" w:cs="宋体"/>
                <w:color w:val="000000"/>
                <w:sz w:val="22"/>
                <w:szCs w:val="22"/>
                <w:highlight w:val="none"/>
              </w:rPr>
            </w:pPr>
          </w:p>
        </w:tc>
        <w:tc>
          <w:tcPr>
            <w:tcW w:w="681" w:type="dxa"/>
            <w:tcBorders>
              <w:top w:val="single" w:color="auto"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924" w:hRule="atLeast"/>
        </w:trPr>
        <w:tc>
          <w:tcPr>
            <w:tcW w:w="441" w:type="dxa"/>
            <w:tcBorders>
              <w:top w:val="nil"/>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680" w:type="dxa"/>
            <w:tcBorders>
              <w:top w:val="single" w:color="000000" w:sz="8" w:space="0"/>
              <w:left w:val="nil"/>
              <w:bottom w:val="single" w:color="auto" w:sz="4" w:space="0"/>
              <w:right w:val="nil"/>
            </w:tcBorders>
            <w:vAlign w:val="center"/>
          </w:tcPr>
          <w:p>
            <w:pPr>
              <w:widowControl/>
              <w:jc w:val="center"/>
              <w:textAlignment w:val="center"/>
              <w:rPr>
                <w:rFonts w:hint="default" w:ascii="宋体" w:hAnsi="宋体" w:eastAsia="宋体" w:cs="宋体"/>
                <w:color w:val="auto"/>
                <w:sz w:val="22"/>
                <w:szCs w:val="22"/>
                <w:highlight w:val="none"/>
                <w:lang w:val="en-US" w:eastAsia="zh-CN"/>
              </w:rPr>
            </w:pPr>
            <w:r>
              <w:rPr>
                <w:rFonts w:hint="eastAsia" w:cs="宋体"/>
                <w:color w:val="auto"/>
                <w:sz w:val="22"/>
                <w:szCs w:val="22"/>
                <w:highlight w:val="none"/>
                <w:lang w:val="en-US" w:eastAsia="zh-CN"/>
              </w:rPr>
              <w:t>PP水槽</w:t>
            </w:r>
          </w:p>
        </w:tc>
        <w:tc>
          <w:tcPr>
            <w:tcW w:w="4677" w:type="dxa"/>
            <w:tcBorders>
              <w:top w:val="single" w:color="000000" w:sz="8" w:space="0"/>
              <w:left w:val="single" w:color="000000" w:sz="8" w:space="0"/>
              <w:bottom w:val="single" w:color="auto" w:sz="4" w:space="0"/>
              <w:right w:val="single" w:color="000000" w:sz="8" w:space="0"/>
            </w:tcBorders>
            <w:vAlign w:val="center"/>
          </w:tcPr>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1、采用耐腐蚀高密度PP材质，模具一次注塑成型，规格：内径380×270×190mm，水槽厚度不小于5 mm。</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2、水槽应具有耐酸碱、耐热、耐有机溶剂；排水口应有水封装置。</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3、水槽应采取台下托底式安装（带支撑托架），水槽与台面间采用防水密封胶封闭，无漏水现象。</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4、水槽的上水、下水均应隐蔽，专用下水管扣，使下水管弯曲成“S”型防臭。</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5、排水管必须连接可靠，避免因松动脱落造成漏水，引起电源短路，形成安全隐患。</w:t>
            </w:r>
          </w:p>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6、实验水槽安装位置应于中间位置，方便整排学生使用。</w:t>
            </w:r>
          </w:p>
        </w:tc>
        <w:tc>
          <w:tcPr>
            <w:tcW w:w="656" w:type="dxa"/>
            <w:tcBorders>
              <w:top w:val="single" w:color="000000" w:sz="8"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656" w:type="dxa"/>
            <w:tcBorders>
              <w:top w:val="single" w:color="000000" w:sz="8"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w:t>
            </w:r>
          </w:p>
        </w:tc>
        <w:tc>
          <w:tcPr>
            <w:tcW w:w="986" w:type="dxa"/>
            <w:tcBorders>
              <w:top w:val="single" w:color="000000" w:sz="8"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986" w:type="dxa"/>
            <w:tcBorders>
              <w:top w:val="nil"/>
              <w:left w:val="single" w:color="000000" w:sz="8"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highlight w:val="none"/>
              </w:rPr>
            </w:pPr>
          </w:p>
        </w:tc>
        <w:tc>
          <w:tcPr>
            <w:tcW w:w="681" w:type="dxa"/>
            <w:tcBorders>
              <w:top w:val="single" w:color="000000" w:sz="4" w:space="0"/>
              <w:left w:val="single" w:color="000000" w:sz="4" w:space="0"/>
              <w:bottom w:val="single" w:color="auto" w:sz="4" w:space="0"/>
              <w:right w:val="single" w:color="000000"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1974" w:hRule="atLeast"/>
        </w:trPr>
        <w:tc>
          <w:tcPr>
            <w:tcW w:w="44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学生小号三联水嘴</w:t>
            </w:r>
          </w:p>
        </w:tc>
        <w:tc>
          <w:tcPr>
            <w:tcW w:w="4677" w:type="dxa"/>
            <w:tcBorders>
              <w:top w:val="single" w:color="auto" w:sz="4" w:space="0"/>
              <w:left w:val="single" w:color="auto" w:sz="4" w:space="0"/>
              <w:bottom w:val="single" w:color="auto" w:sz="4" w:space="0"/>
              <w:right w:val="single" w:color="000000" w:sz="8"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主体：加厚铜质；2、涂层：高亮度环氧树脂涂层，耐腐蚀、耐热，防紫外线辐射；3、陶瓷阀芯90°旋转，使用寿命开关50万次，静态最大耐压20巴；4、经久耐用，不会出现渗水、断裂现象；5、鹅颈管可360°旋转；6、开关旋钮：高密度PP，人体工学设计，手感舒适。</w:t>
            </w:r>
          </w:p>
        </w:tc>
        <w:tc>
          <w:tcPr>
            <w:tcW w:w="65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支</w:t>
            </w:r>
          </w:p>
        </w:tc>
        <w:tc>
          <w:tcPr>
            <w:tcW w:w="65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w:t>
            </w:r>
          </w:p>
        </w:tc>
        <w:tc>
          <w:tcPr>
            <w:tcW w:w="98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986" w:type="dxa"/>
            <w:tcBorders>
              <w:top w:val="single" w:color="auto" w:sz="4" w:space="0"/>
              <w:left w:val="single" w:color="000000" w:sz="8"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highlight w:val="none"/>
              </w:rPr>
            </w:pPr>
          </w:p>
        </w:tc>
        <w:tc>
          <w:tcPr>
            <w:tcW w:w="681" w:type="dxa"/>
            <w:tcBorders>
              <w:top w:val="single" w:color="auto" w:sz="4" w:space="0"/>
              <w:left w:val="single" w:color="000000" w:sz="4" w:space="0"/>
              <w:bottom w:val="single" w:color="auto" w:sz="4" w:space="0"/>
              <w:right w:val="single" w:color="auto"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2754" w:hRule="atLeast"/>
        </w:trPr>
        <w:tc>
          <w:tcPr>
            <w:tcW w:w="441"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w:t>
            </w:r>
          </w:p>
        </w:tc>
        <w:tc>
          <w:tcPr>
            <w:tcW w:w="680" w:type="dxa"/>
            <w:tcBorders>
              <w:top w:val="single" w:color="auto" w:sz="4"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教师电源交直流主控台</w:t>
            </w:r>
          </w:p>
        </w:tc>
        <w:tc>
          <w:tcPr>
            <w:tcW w:w="4677" w:type="dxa"/>
            <w:tcBorders>
              <w:top w:val="single" w:color="auto" w:sz="4"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符合 JY/T0374-2004《教学实验室设备电源系统》标准，电源主控台采用抽屉结构机箱；</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总控台教师电源采用轻触按键操作、数码显示,密码开机功能；</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直流电压分辨率为0.1V，全数字化控制；通过上行，下行软键，平滑选取直流0-30.0V电压，电流0-3A。三位数码管监测显示输出端子两端电压；</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交流电压分辨率为2V，全数字化控制。通过上行，下行软键，递进选取交流0-30V电压，电流0-6A。具备过载保护点智能侦测功能，电流高于过载点则自动保护、电流低于过载点则自动恢复至设定值。二位数码管监测显示输出端子两端电压；</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控制大电流9V输出。短时输出电流值为40A，输出10秒自动关断。</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通过全数字按键三位数码显示，可直接选取远程控制并锁定学生低压交直流电源。交流电压0-30V，分辨率为1V。直流电压1.5-30.0V，分辨率0.1V，交直流电源由轻触按键操作选择输出；</w:t>
            </w:r>
          </w:p>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系统具备漏电保护功能，分4组向学生实验桌输出交流220V电源，并具备过载和短路保护功能。</w:t>
            </w:r>
          </w:p>
        </w:tc>
        <w:tc>
          <w:tcPr>
            <w:tcW w:w="656"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656"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986"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986" w:type="dxa"/>
            <w:tcBorders>
              <w:top w:val="single" w:color="auto" w:sz="4" w:space="0"/>
              <w:left w:val="single" w:color="000000" w:sz="8" w:space="0"/>
              <w:bottom w:val="single" w:color="000000" w:sz="8" w:space="0"/>
              <w:right w:val="nil"/>
            </w:tcBorders>
            <w:noWrap/>
            <w:vAlign w:val="center"/>
          </w:tcPr>
          <w:p>
            <w:pPr>
              <w:widowControl/>
              <w:jc w:val="center"/>
              <w:textAlignment w:val="center"/>
              <w:rPr>
                <w:rFonts w:hint="eastAsia" w:ascii="宋体" w:hAnsi="宋体" w:cs="宋体"/>
                <w:color w:val="000000"/>
                <w:sz w:val="22"/>
                <w:szCs w:val="22"/>
                <w:highlight w:val="none"/>
              </w:rPr>
            </w:pPr>
          </w:p>
        </w:tc>
        <w:tc>
          <w:tcPr>
            <w:tcW w:w="681" w:type="dxa"/>
            <w:tcBorders>
              <w:top w:val="single" w:color="auto"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2158" w:hRule="atLeast"/>
        </w:trPr>
        <w:tc>
          <w:tcPr>
            <w:tcW w:w="44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w:t>
            </w:r>
          </w:p>
        </w:tc>
        <w:tc>
          <w:tcPr>
            <w:tcW w:w="6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学生实验操作电源</w:t>
            </w:r>
          </w:p>
        </w:tc>
        <w:tc>
          <w:tcPr>
            <w:tcW w:w="4677"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1、学生安全电源设置在学生桌书包斗之间，每2个学生用一台电源。 2、学生交流220V，两路输出（教学安全总电源开关）。3、学生安全电源具备自动过载保护功能，保证学生操作时安全。</w:t>
            </w:r>
            <w:r>
              <w:rPr>
                <w:rFonts w:hint="eastAsia" w:cs="宋体"/>
                <w:color w:val="auto"/>
                <w:kern w:val="0"/>
                <w:sz w:val="22"/>
                <w:szCs w:val="22"/>
                <w:highlight w:val="none"/>
                <w:lang w:val="en-US" w:eastAsia="zh-CN"/>
              </w:rPr>
              <w:t>4</w:t>
            </w:r>
            <w:r>
              <w:rPr>
                <w:rFonts w:hint="eastAsia" w:ascii="宋体" w:hAnsi="宋体" w:cs="宋体"/>
                <w:color w:val="auto"/>
                <w:kern w:val="0"/>
                <w:sz w:val="22"/>
                <w:szCs w:val="22"/>
                <w:highlight w:val="none"/>
              </w:rPr>
              <w:t>、学生安全电源性能应符合《 JY0374-2004》中的相关要求。</w:t>
            </w:r>
          </w:p>
        </w:tc>
        <w:tc>
          <w:tcPr>
            <w:tcW w:w="656"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656"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24</w:t>
            </w:r>
          </w:p>
        </w:tc>
        <w:tc>
          <w:tcPr>
            <w:tcW w:w="986"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986" w:type="dxa"/>
            <w:tcBorders>
              <w:top w:val="nil"/>
              <w:left w:val="single" w:color="000000" w:sz="8" w:space="0"/>
              <w:bottom w:val="single" w:color="000000" w:sz="8" w:space="0"/>
              <w:right w:val="nil"/>
            </w:tcBorders>
            <w:noWrap/>
            <w:vAlign w:val="center"/>
          </w:tcPr>
          <w:p>
            <w:pPr>
              <w:widowControl/>
              <w:jc w:val="center"/>
              <w:textAlignment w:val="center"/>
              <w:rPr>
                <w:rFonts w:hint="eastAsia" w:ascii="宋体" w:hAnsi="宋体" w:cs="宋体"/>
                <w:color w:val="000000"/>
                <w:sz w:val="22"/>
                <w:szCs w:val="22"/>
                <w:highlight w:val="none"/>
              </w:rPr>
            </w:pPr>
          </w:p>
        </w:tc>
        <w:tc>
          <w:tcPr>
            <w:tcW w:w="6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2364" w:hRule="atLeast"/>
        </w:trPr>
        <w:tc>
          <w:tcPr>
            <w:tcW w:w="441" w:type="dxa"/>
            <w:tcBorders>
              <w:top w:val="nil"/>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9</w:t>
            </w:r>
          </w:p>
        </w:tc>
        <w:tc>
          <w:tcPr>
            <w:tcW w:w="680" w:type="dxa"/>
            <w:tcBorders>
              <w:top w:val="single" w:color="000000" w:sz="8" w:space="0"/>
              <w:left w:val="single" w:color="000000" w:sz="8" w:space="0"/>
              <w:bottom w:val="single" w:color="auto" w:sz="4" w:space="0"/>
              <w:right w:val="single" w:color="000000" w:sz="8"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光源系统</w:t>
            </w:r>
          </w:p>
        </w:tc>
        <w:tc>
          <w:tcPr>
            <w:tcW w:w="4677" w:type="dxa"/>
            <w:tcBorders>
              <w:top w:val="single" w:color="000000" w:sz="8" w:space="0"/>
              <w:left w:val="single" w:color="000000" w:sz="8" w:space="0"/>
              <w:bottom w:val="single" w:color="auto" w:sz="4" w:space="0"/>
              <w:right w:val="single" w:color="000000" w:sz="8"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固定式荧光灯：1、规格：长640mm，高约200mm，底座规格355*95*40mm。2、外壳材料：工程塑料外壳+金属支架。3、为防止渗水漏电，台灯底座配有底盖，底座嵌入底盖中，组合严密，都采用阻燃PP材料一次注塑成型。4、功率：20W。5、灯管：三基色直管荧光灯管。6、控制方式：内置高精密电子镇流器。7、投射角度：180度，可调节。</w:t>
            </w:r>
          </w:p>
        </w:tc>
        <w:tc>
          <w:tcPr>
            <w:tcW w:w="656" w:type="dxa"/>
            <w:tcBorders>
              <w:top w:val="single" w:color="000000" w:sz="8"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盏</w:t>
            </w:r>
          </w:p>
        </w:tc>
        <w:tc>
          <w:tcPr>
            <w:tcW w:w="656" w:type="dxa"/>
            <w:tcBorders>
              <w:top w:val="single" w:color="000000" w:sz="8"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24</w:t>
            </w:r>
          </w:p>
        </w:tc>
        <w:tc>
          <w:tcPr>
            <w:tcW w:w="986" w:type="dxa"/>
            <w:tcBorders>
              <w:top w:val="single" w:color="000000" w:sz="8"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986" w:type="dxa"/>
            <w:tcBorders>
              <w:top w:val="nil"/>
              <w:left w:val="single" w:color="000000" w:sz="8"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highlight w:val="none"/>
              </w:rPr>
            </w:pPr>
          </w:p>
        </w:tc>
        <w:tc>
          <w:tcPr>
            <w:tcW w:w="681" w:type="dxa"/>
            <w:tcBorders>
              <w:top w:val="single" w:color="000000" w:sz="4" w:space="0"/>
              <w:left w:val="single" w:color="000000" w:sz="4" w:space="0"/>
              <w:bottom w:val="single" w:color="auto" w:sz="4" w:space="0"/>
              <w:right w:val="single" w:color="000000"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4703" w:hRule="atLeast"/>
        </w:trPr>
        <w:tc>
          <w:tcPr>
            <w:tcW w:w="44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11</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推拉绿板</w:t>
            </w:r>
          </w:p>
        </w:tc>
        <w:tc>
          <w:tcPr>
            <w:tcW w:w="4677" w:type="dxa"/>
            <w:tcBorders>
              <w:top w:val="single" w:color="auto" w:sz="4" w:space="0"/>
              <w:left w:val="single" w:color="auto" w:sz="4" w:space="0"/>
              <w:bottom w:val="single" w:color="auto" w:sz="4" w:space="0"/>
              <w:right w:val="single" w:color="000000" w:sz="8"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整体长宽要求为：4000mm*1200mm（绿板与电子白板相配而成的组合推拉板）结构要求为双层结构；内层结构要求为：绿板+交互式电子白板+绿板固定组合而成；外层结构要求：由两块移动的绿板组成，用上下双轨道平行推拉，确保灵活无噪音；安装要求：采用隐型安装，安装后无任何可见安装件，使整体更为美观。二、绿板要求:1、面板要求为厚度为0.6㎜韩国浦项板；2、背板材料要求：厚度0.4㎜的日本进口镀锌钢板，为整张板无拼接；3、衬板材料要求：高密度环保EPS，厚度：24 ㎜，面层无折痕、不透筋；4、边框材料要求：氧化着色铝合金型材（香槟色）边框尺寸115mm（宽） *70mm（厚）*1.2mm（壁厚）；5、书写板材料整体组装要求：包角：ABS塑料包角，与边框颜色一致，外观要求：面板无损伤，无纵向的棱型，铝合金无划伤，无色差，平面板平整。</w:t>
            </w:r>
          </w:p>
        </w:tc>
        <w:tc>
          <w:tcPr>
            <w:tcW w:w="65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65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98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986" w:type="dxa"/>
            <w:tcBorders>
              <w:top w:val="single" w:color="auto" w:sz="4" w:space="0"/>
              <w:left w:val="single" w:color="000000" w:sz="8"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highlight w:val="none"/>
              </w:rPr>
            </w:pPr>
          </w:p>
        </w:tc>
        <w:tc>
          <w:tcPr>
            <w:tcW w:w="681" w:type="dxa"/>
            <w:tcBorders>
              <w:top w:val="single" w:color="auto" w:sz="4" w:space="0"/>
              <w:left w:val="single" w:color="000000" w:sz="4" w:space="0"/>
              <w:bottom w:val="single" w:color="auto" w:sz="4" w:space="0"/>
              <w:right w:val="single" w:color="auto"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1374" w:hRule="atLeast"/>
        </w:trPr>
        <w:tc>
          <w:tcPr>
            <w:tcW w:w="441"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15</w:t>
            </w:r>
          </w:p>
        </w:tc>
        <w:tc>
          <w:tcPr>
            <w:tcW w:w="680" w:type="dxa"/>
            <w:tcBorders>
              <w:top w:val="single" w:color="auto" w:sz="4"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电气布线</w:t>
            </w:r>
          </w:p>
        </w:tc>
        <w:tc>
          <w:tcPr>
            <w:tcW w:w="4677" w:type="dxa"/>
            <w:tcBorders>
              <w:top w:val="single" w:color="auto" w:sz="4"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铺设优质耐压PVC套管或实验专用压线板，主干电源线采用4㎡优质多芯铜质护套线，支干电源线采用2.5㎡、1.5㎡优质多芯铜质护套线。</w:t>
            </w:r>
          </w:p>
        </w:tc>
        <w:tc>
          <w:tcPr>
            <w:tcW w:w="656"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项</w:t>
            </w:r>
          </w:p>
        </w:tc>
        <w:tc>
          <w:tcPr>
            <w:tcW w:w="656"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986"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986" w:type="dxa"/>
            <w:tcBorders>
              <w:top w:val="single" w:color="auto" w:sz="4" w:space="0"/>
              <w:left w:val="single" w:color="000000" w:sz="8" w:space="0"/>
              <w:bottom w:val="single" w:color="000000" w:sz="8" w:space="0"/>
              <w:right w:val="nil"/>
            </w:tcBorders>
            <w:noWrap/>
            <w:vAlign w:val="center"/>
          </w:tcPr>
          <w:p>
            <w:pPr>
              <w:widowControl/>
              <w:jc w:val="center"/>
              <w:textAlignment w:val="center"/>
              <w:rPr>
                <w:rFonts w:hint="eastAsia" w:ascii="宋体" w:hAnsi="宋体" w:cs="宋体"/>
                <w:color w:val="000000"/>
                <w:sz w:val="22"/>
                <w:szCs w:val="22"/>
                <w:highlight w:val="none"/>
              </w:rPr>
            </w:pPr>
          </w:p>
        </w:tc>
        <w:tc>
          <w:tcPr>
            <w:tcW w:w="681" w:type="dxa"/>
            <w:tcBorders>
              <w:top w:val="single" w:color="auto"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1194" w:hRule="atLeast"/>
        </w:trPr>
        <w:tc>
          <w:tcPr>
            <w:tcW w:w="44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16</w:t>
            </w:r>
          </w:p>
        </w:tc>
        <w:tc>
          <w:tcPr>
            <w:tcW w:w="6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供排水系统</w:t>
            </w:r>
          </w:p>
        </w:tc>
        <w:tc>
          <w:tcPr>
            <w:tcW w:w="4677"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给水管采用优质PPR管，主管直径20、25mm；排水管采用优质PVC耐蚀管，管直径50mm。</w:t>
            </w:r>
          </w:p>
        </w:tc>
        <w:tc>
          <w:tcPr>
            <w:tcW w:w="656"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项</w:t>
            </w:r>
          </w:p>
        </w:tc>
        <w:tc>
          <w:tcPr>
            <w:tcW w:w="656"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986"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986" w:type="dxa"/>
            <w:tcBorders>
              <w:top w:val="nil"/>
              <w:left w:val="single" w:color="000000" w:sz="8" w:space="0"/>
              <w:bottom w:val="single" w:color="000000" w:sz="8" w:space="0"/>
              <w:right w:val="nil"/>
            </w:tcBorders>
            <w:noWrap/>
            <w:vAlign w:val="center"/>
          </w:tcPr>
          <w:p>
            <w:pPr>
              <w:widowControl/>
              <w:jc w:val="center"/>
              <w:textAlignment w:val="center"/>
              <w:rPr>
                <w:rFonts w:hint="eastAsia" w:ascii="宋体" w:hAnsi="宋体" w:cs="宋体"/>
                <w:color w:val="000000"/>
                <w:sz w:val="22"/>
                <w:szCs w:val="22"/>
                <w:highlight w:val="none"/>
              </w:rPr>
            </w:pPr>
          </w:p>
        </w:tc>
        <w:tc>
          <w:tcPr>
            <w:tcW w:w="6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1999" w:hRule="atLeast"/>
        </w:trPr>
        <w:tc>
          <w:tcPr>
            <w:tcW w:w="44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17</w:t>
            </w:r>
          </w:p>
        </w:tc>
        <w:tc>
          <w:tcPr>
            <w:tcW w:w="6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抽风换气系统</w:t>
            </w:r>
          </w:p>
        </w:tc>
        <w:tc>
          <w:tcPr>
            <w:tcW w:w="4677"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含吸风罩,风机进出口消声装置,风机，风机变频调速控制器等；</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地下风管:ф110、ф200、ф400采用国标PVC型材通风管道，包括地下开沟复原，弯头、三通等辅件。根据通风要求对地下风管施工。</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室外风管：400×400/600mm，PVC材质，根据通风需要设计规格施工。采用优质PVC板焊接成型。</w:t>
            </w:r>
          </w:p>
        </w:tc>
        <w:tc>
          <w:tcPr>
            <w:tcW w:w="656"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项</w:t>
            </w:r>
          </w:p>
        </w:tc>
        <w:tc>
          <w:tcPr>
            <w:tcW w:w="656"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986"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986" w:type="dxa"/>
            <w:tcBorders>
              <w:top w:val="nil"/>
              <w:left w:val="single" w:color="000000" w:sz="8" w:space="0"/>
              <w:bottom w:val="single" w:color="000000" w:sz="8" w:space="0"/>
              <w:right w:val="nil"/>
            </w:tcBorders>
            <w:noWrap/>
            <w:vAlign w:val="center"/>
          </w:tcPr>
          <w:p>
            <w:pPr>
              <w:widowControl/>
              <w:jc w:val="center"/>
              <w:textAlignment w:val="center"/>
              <w:rPr>
                <w:rFonts w:hint="eastAsia" w:ascii="宋体" w:hAnsi="宋体" w:cs="宋体"/>
                <w:color w:val="000000"/>
                <w:sz w:val="22"/>
                <w:szCs w:val="22"/>
                <w:highlight w:val="none"/>
              </w:rPr>
            </w:pPr>
          </w:p>
        </w:tc>
        <w:tc>
          <w:tcPr>
            <w:tcW w:w="6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924" w:hRule="atLeast"/>
        </w:trPr>
        <w:tc>
          <w:tcPr>
            <w:tcW w:w="441" w:type="dxa"/>
            <w:tcBorders>
              <w:top w:val="nil"/>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18</w:t>
            </w:r>
          </w:p>
        </w:tc>
        <w:tc>
          <w:tcPr>
            <w:tcW w:w="680" w:type="dxa"/>
            <w:tcBorders>
              <w:top w:val="single" w:color="000000" w:sz="8" w:space="0"/>
              <w:left w:val="single" w:color="000000" w:sz="8" w:space="0"/>
              <w:bottom w:val="single" w:color="auto" w:sz="4" w:space="0"/>
              <w:right w:val="single" w:color="000000" w:sz="8"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教师转椅</w:t>
            </w:r>
          </w:p>
        </w:tc>
        <w:tc>
          <w:tcPr>
            <w:tcW w:w="4677" w:type="dxa"/>
            <w:tcBorders>
              <w:top w:val="single" w:color="000000" w:sz="8" w:space="0"/>
              <w:left w:val="single" w:color="000000" w:sz="8" w:space="0"/>
              <w:bottom w:val="single" w:color="auto" w:sz="4" w:space="0"/>
              <w:right w:val="single" w:color="000000" w:sz="8"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五轮升降转椅，高弹性网布面料 高密度海绵座垫，气压式升降装。</w:t>
            </w:r>
          </w:p>
        </w:tc>
        <w:tc>
          <w:tcPr>
            <w:tcW w:w="656" w:type="dxa"/>
            <w:tcBorders>
              <w:top w:val="single" w:color="000000" w:sz="8"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张</w:t>
            </w:r>
          </w:p>
        </w:tc>
        <w:tc>
          <w:tcPr>
            <w:tcW w:w="656" w:type="dxa"/>
            <w:tcBorders>
              <w:top w:val="single" w:color="000000" w:sz="8"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986" w:type="dxa"/>
            <w:tcBorders>
              <w:top w:val="single" w:color="000000" w:sz="8"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986" w:type="dxa"/>
            <w:tcBorders>
              <w:top w:val="nil"/>
              <w:left w:val="single" w:color="000000" w:sz="8"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highlight w:val="none"/>
              </w:rPr>
            </w:pPr>
          </w:p>
        </w:tc>
        <w:tc>
          <w:tcPr>
            <w:tcW w:w="681" w:type="dxa"/>
            <w:tcBorders>
              <w:top w:val="single" w:color="000000" w:sz="4" w:space="0"/>
              <w:left w:val="single" w:color="000000" w:sz="4" w:space="0"/>
              <w:bottom w:val="single" w:color="auto" w:sz="4" w:space="0"/>
              <w:right w:val="single" w:color="000000"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2754" w:hRule="atLeast"/>
        </w:trPr>
        <w:tc>
          <w:tcPr>
            <w:tcW w:w="441" w:type="dxa"/>
            <w:tcBorders>
              <w:top w:val="single" w:color="auto" w:sz="4" w:space="0"/>
              <w:left w:val="single" w:color="auto" w:sz="4"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19</w:t>
            </w:r>
          </w:p>
        </w:tc>
        <w:tc>
          <w:tcPr>
            <w:tcW w:w="680" w:type="dxa"/>
            <w:tcBorders>
              <w:top w:val="single" w:color="auto" w:sz="4" w:space="0"/>
              <w:left w:val="single" w:color="000000" w:sz="8" w:space="0"/>
              <w:bottom w:val="single" w:color="auto" w:sz="4" w:space="0"/>
              <w:right w:val="single" w:color="000000" w:sz="8"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学生凳</w:t>
            </w:r>
          </w:p>
        </w:tc>
        <w:tc>
          <w:tcPr>
            <w:tcW w:w="4677" w:type="dxa"/>
            <w:tcBorders>
              <w:top w:val="single" w:color="auto" w:sz="4" w:space="0"/>
              <w:left w:val="single" w:color="000000" w:sz="8" w:space="0"/>
              <w:bottom w:val="single" w:color="auto" w:sz="4" w:space="0"/>
              <w:right w:val="single" w:color="000000" w:sz="8"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1.凳面：采用高密度ABS材质的凳面，直径320mm，凳面表层有颗粒凸起（乳白色），起到按摩抗疲劳作用。凳面下有底盖，底盖和凳面之间装有壁厚为1.5mm厚直径为160mm钢板托盘，使得凳子更加稳固。</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2.凳脚：4个凳脚采用20×40×1.2mm的无缝钢管一次弯曲成型，全自动焊接机械手焊接，焊点准确且均匀，四脚配耐磨脚垫，防滑消音，保护地板。质量稳定，坚固耐用，美观大方。</w:t>
            </w:r>
          </w:p>
        </w:tc>
        <w:tc>
          <w:tcPr>
            <w:tcW w:w="65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张</w:t>
            </w:r>
          </w:p>
        </w:tc>
        <w:tc>
          <w:tcPr>
            <w:tcW w:w="65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48</w:t>
            </w:r>
          </w:p>
        </w:tc>
        <w:tc>
          <w:tcPr>
            <w:tcW w:w="98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986" w:type="dxa"/>
            <w:tcBorders>
              <w:top w:val="single" w:color="auto" w:sz="4" w:space="0"/>
              <w:left w:val="single" w:color="000000" w:sz="8"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highlight w:val="none"/>
              </w:rPr>
            </w:pPr>
          </w:p>
        </w:tc>
        <w:tc>
          <w:tcPr>
            <w:tcW w:w="681" w:type="dxa"/>
            <w:tcBorders>
              <w:top w:val="single" w:color="auto" w:sz="4" w:space="0"/>
              <w:left w:val="single" w:color="000000" w:sz="4" w:space="0"/>
              <w:bottom w:val="single" w:color="auto" w:sz="4" w:space="0"/>
              <w:right w:val="single" w:color="auto"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534" w:hRule="atLeast"/>
        </w:trPr>
        <w:tc>
          <w:tcPr>
            <w:tcW w:w="441"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68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药品柜</w:t>
            </w:r>
          </w:p>
        </w:tc>
        <w:tc>
          <w:tcPr>
            <w:tcW w:w="467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1、规格：1000*500*2000mm（±10mm）</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2、材质：PP材质，分上、下对开门柜体，柜体中间有层板。</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3、柜体：侧板、背板、顶板、底板采用增强型PP材质，一次注塑成型。表面做磨砂处理，结构紧密，耐腐蚀性强。</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4、上柜门：采用增强型PP材质一次注塑成型，外嵌5mm钢化烤漆玻璃,中间玻璃做镂空处理，透明可视。</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5、下柜门：采用增强型PP材质一次注塑成型，外嵌5mm钢化烤漆玻璃。</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6、层板：上柜配两块活动层板，下柜配一块活动层板。层板为增强型PP材质一次注塑成型，层板下部有两条30*15*940mm镀锌钢管，增强了层板承重强度，也避免了后安装钢制横梁，避免腐蚀。美观耐用。层板可以抽取，自由组合各层空间。上柜配置有PP材质一次注塑成型阶梯型层板，增加储物空间。</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7、门把手：采用增强型PP材质一次注塑成型，美观耐用。</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8、门铰链：用增强型PP材质一次注塑成型，内嵌隐藏安装方便，耐腐蚀。</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9、内部无可视金属材料，确保了设备耐腐蚀性。</w:t>
            </w:r>
          </w:p>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10、柜顶预留通风系统，可以与通风管路连接。</w:t>
            </w:r>
          </w:p>
        </w:tc>
        <w:tc>
          <w:tcPr>
            <w:tcW w:w="656" w:type="dxa"/>
            <w:tcBorders>
              <w:top w:val="single" w:color="auto" w:sz="4" w:space="0"/>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656" w:type="dxa"/>
            <w:tcBorders>
              <w:top w:val="single" w:color="auto" w:sz="4" w:space="0"/>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986"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986" w:type="dxa"/>
            <w:tcBorders>
              <w:top w:val="single" w:color="auto" w:sz="4" w:space="0"/>
              <w:left w:val="single" w:color="000000" w:sz="8" w:space="0"/>
              <w:bottom w:val="single" w:color="000000" w:sz="8" w:space="0"/>
              <w:right w:val="nil"/>
            </w:tcBorders>
            <w:noWrap/>
            <w:vAlign w:val="center"/>
          </w:tcPr>
          <w:p>
            <w:pPr>
              <w:widowControl/>
              <w:jc w:val="center"/>
              <w:textAlignment w:val="center"/>
              <w:rPr>
                <w:rFonts w:hint="eastAsia" w:ascii="宋体" w:hAnsi="宋体" w:cs="宋体"/>
                <w:color w:val="000000"/>
                <w:sz w:val="22"/>
                <w:szCs w:val="22"/>
                <w:highlight w:val="none"/>
              </w:rPr>
            </w:pPr>
          </w:p>
        </w:tc>
        <w:tc>
          <w:tcPr>
            <w:tcW w:w="681" w:type="dxa"/>
            <w:tcBorders>
              <w:top w:val="single" w:color="auto"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1194" w:hRule="atLeast"/>
        </w:trPr>
        <w:tc>
          <w:tcPr>
            <w:tcW w:w="44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21</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危险品柜</w:t>
            </w:r>
          </w:p>
        </w:tc>
        <w:tc>
          <w:tcPr>
            <w:tcW w:w="467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1、规格：1120*1090*460（mm） </w:t>
            </w:r>
          </w:p>
          <w:p>
            <w:pPr>
              <w:widowControl/>
              <w:jc w:val="left"/>
              <w:textAlignment w:val="top"/>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2、高质量的安全柜符合OSHA 29 CFR 1910.106 和NFPA CODE30 标准。</w:t>
            </w:r>
          </w:p>
          <w:p>
            <w:pPr>
              <w:widowControl/>
              <w:jc w:val="left"/>
              <w:textAlignment w:val="top"/>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3、全部双层防火钢板构造，两层钢板之间相隔有38mm 的绝缘层。</w:t>
            </w:r>
          </w:p>
          <w:p>
            <w:pPr>
              <w:widowControl/>
              <w:jc w:val="left"/>
              <w:textAlignment w:val="top"/>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4、厚度大于1.0mm 的优质钢板经过完全焊接，使用寿命更长，防火性能更好。</w:t>
            </w:r>
          </w:p>
          <w:p>
            <w:pPr>
              <w:widowControl/>
              <w:jc w:val="left"/>
              <w:textAlignment w:val="top"/>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5、完全焊接、非铆接的构造结实牢固，延长使用寿命，并且由于减少了空隙，能够在火灾中提供更多的保护。</w:t>
            </w:r>
          </w:p>
          <w:p>
            <w:pPr>
              <w:widowControl/>
              <w:jc w:val="left"/>
              <w:textAlignment w:val="top"/>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6、三点联动式门锁，轻松自如启闭180 度的柜门配有双钥匙锁。实现双人双锁管理，保证柜内物品的安全。</w:t>
            </w:r>
          </w:p>
          <w:p>
            <w:pPr>
              <w:widowControl/>
              <w:jc w:val="left"/>
              <w:textAlignment w:val="top"/>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7、51mm液体密封围堵槽可容纳意外泄露液体，符合美国EPA要求。</w:t>
            </w:r>
          </w:p>
          <w:p>
            <w:pPr>
              <w:widowControl/>
              <w:jc w:val="left"/>
              <w:textAlignment w:val="top"/>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8、专业规范的夜光警示标签显而易见,即使在失火或者停电的情况下经手电筒照亮，人高度可见。</w:t>
            </w:r>
          </w:p>
          <w:p>
            <w:pPr>
              <w:widowControl/>
              <w:jc w:val="left"/>
              <w:textAlignment w:val="top"/>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9、装设有防闭火装置的双透气孔。</w:t>
            </w:r>
          </w:p>
          <w:p>
            <w:pPr>
              <w:widowControl/>
              <w:jc w:val="left"/>
              <w:textAlignment w:val="top"/>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10、优质镀锌层板可在每6厘米层挡上下之间自由调节，并提供最大的“防滑”稳定性。</w:t>
            </w:r>
          </w:p>
          <w:p>
            <w:pPr>
              <w:widowControl/>
              <w:jc w:val="left"/>
              <w:textAlignment w:val="top"/>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11、柜子内外都喷涂有持久的、无铅的环氧树脂漆，使表面保持光泽，并最大程度地降低腐蚀和湿度的影响，增加抗化学品的能力。</w:t>
            </w:r>
          </w:p>
          <w:p>
            <w:pPr>
              <w:widowControl/>
              <w:jc w:val="left"/>
              <w:textAlignment w:val="top"/>
              <w:rPr>
                <w:rFonts w:hint="eastAsia" w:ascii="宋体" w:hAnsi="宋体" w:cs="宋体"/>
                <w:color w:val="auto"/>
                <w:sz w:val="22"/>
                <w:szCs w:val="22"/>
                <w:highlight w:val="none"/>
              </w:rPr>
            </w:pPr>
            <w:r>
              <w:rPr>
                <w:rFonts w:hint="eastAsia" w:ascii="宋体" w:hAnsi="宋体" w:cs="宋体"/>
                <w:color w:val="auto"/>
                <w:kern w:val="0"/>
                <w:sz w:val="22"/>
                <w:szCs w:val="22"/>
                <w:highlight w:val="none"/>
              </w:rPr>
              <w:t>12、严格按照OSHA 规范，柜身设有静电接地传导端口，方便连接静电接地导线。</w:t>
            </w:r>
          </w:p>
        </w:tc>
        <w:tc>
          <w:tcPr>
            <w:tcW w:w="656"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656"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986"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986" w:type="dxa"/>
            <w:tcBorders>
              <w:top w:val="nil"/>
              <w:left w:val="single" w:color="000000" w:sz="8" w:space="0"/>
              <w:bottom w:val="single" w:color="000000" w:sz="8" w:space="0"/>
              <w:right w:val="nil"/>
            </w:tcBorders>
            <w:noWrap/>
            <w:vAlign w:val="center"/>
          </w:tcPr>
          <w:p>
            <w:pPr>
              <w:widowControl/>
              <w:jc w:val="center"/>
              <w:textAlignment w:val="center"/>
              <w:rPr>
                <w:rFonts w:hint="eastAsia" w:ascii="宋体" w:hAnsi="宋体" w:cs="宋体"/>
                <w:color w:val="000000"/>
                <w:sz w:val="22"/>
                <w:szCs w:val="22"/>
                <w:highlight w:val="none"/>
              </w:rPr>
            </w:pPr>
          </w:p>
        </w:tc>
        <w:tc>
          <w:tcPr>
            <w:tcW w:w="6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1584" w:hRule="atLeast"/>
        </w:trPr>
        <w:tc>
          <w:tcPr>
            <w:tcW w:w="441" w:type="dxa"/>
            <w:tcBorders>
              <w:top w:val="nil"/>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22</w:t>
            </w:r>
          </w:p>
        </w:tc>
        <w:tc>
          <w:tcPr>
            <w:tcW w:w="68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设备安装及调试</w:t>
            </w:r>
          </w:p>
        </w:tc>
        <w:tc>
          <w:tcPr>
            <w:tcW w:w="4677"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设备安装及调试等，须按JY/T0385-2006《中小学理科教室装备规范》有关规定执行。</w:t>
            </w:r>
          </w:p>
        </w:tc>
        <w:tc>
          <w:tcPr>
            <w:tcW w:w="656" w:type="dxa"/>
            <w:tcBorders>
              <w:top w:val="single" w:color="000000" w:sz="4" w:space="0"/>
              <w:left w:val="nil"/>
              <w:bottom w:val="single" w:color="auto" w:sz="4" w:space="0"/>
              <w:right w:val="single" w:color="000000" w:sz="4" w:space="0"/>
            </w:tcBorders>
            <w:noWrap/>
            <w:vAlign w:val="center"/>
          </w:tcPr>
          <w:p>
            <w:pPr>
              <w:jc w:val="center"/>
              <w:rPr>
                <w:rFonts w:hint="eastAsia" w:ascii="宋体" w:hAnsi="宋体" w:cs="宋体"/>
                <w:color w:val="000000"/>
                <w:sz w:val="20"/>
                <w:szCs w:val="20"/>
                <w:highlight w:val="none"/>
              </w:rPr>
            </w:pPr>
          </w:p>
        </w:tc>
        <w:tc>
          <w:tcPr>
            <w:tcW w:w="656" w:type="dxa"/>
            <w:tcBorders>
              <w:top w:val="single" w:color="000000" w:sz="4" w:space="0"/>
              <w:left w:val="nil"/>
              <w:bottom w:val="single" w:color="auto" w:sz="4" w:space="0"/>
              <w:right w:val="single" w:color="000000" w:sz="4" w:space="0"/>
            </w:tcBorders>
            <w:noWrap/>
            <w:vAlign w:val="center"/>
          </w:tcPr>
          <w:p>
            <w:pPr>
              <w:jc w:val="center"/>
              <w:rPr>
                <w:rFonts w:hint="eastAsia" w:ascii="宋体" w:hAnsi="宋体" w:cs="宋体"/>
                <w:color w:val="000000"/>
                <w:sz w:val="20"/>
                <w:szCs w:val="20"/>
                <w:highlight w:val="none"/>
              </w:rPr>
            </w:pPr>
          </w:p>
        </w:tc>
        <w:tc>
          <w:tcPr>
            <w:tcW w:w="986" w:type="dxa"/>
            <w:tcBorders>
              <w:top w:val="single" w:color="000000" w:sz="8" w:space="0"/>
              <w:left w:val="single" w:color="000000" w:sz="8" w:space="0"/>
              <w:bottom w:val="single" w:color="auto" w:sz="4" w:space="0"/>
              <w:right w:val="single" w:color="000000" w:sz="8" w:space="0"/>
            </w:tcBorders>
            <w:noWrap/>
            <w:vAlign w:val="center"/>
          </w:tcPr>
          <w:p>
            <w:pPr>
              <w:jc w:val="center"/>
              <w:rPr>
                <w:rFonts w:hint="eastAsia" w:ascii="宋体" w:hAnsi="宋体" w:cs="宋体"/>
                <w:color w:val="000000"/>
                <w:sz w:val="22"/>
                <w:szCs w:val="22"/>
                <w:highlight w:val="none"/>
              </w:rPr>
            </w:pPr>
          </w:p>
        </w:tc>
        <w:tc>
          <w:tcPr>
            <w:tcW w:w="986" w:type="dxa"/>
            <w:tcBorders>
              <w:top w:val="nil"/>
              <w:left w:val="single" w:color="000000" w:sz="8" w:space="0"/>
              <w:bottom w:val="single" w:color="auto" w:sz="4" w:space="0"/>
              <w:right w:val="nil"/>
            </w:tcBorders>
            <w:noWrap/>
            <w:vAlign w:val="center"/>
          </w:tcPr>
          <w:p>
            <w:pPr>
              <w:jc w:val="center"/>
              <w:rPr>
                <w:rFonts w:hint="eastAsia" w:ascii="宋体" w:hAnsi="宋体" w:cs="宋体"/>
                <w:color w:val="000000"/>
                <w:sz w:val="22"/>
                <w:szCs w:val="22"/>
                <w:highlight w:val="none"/>
              </w:rPr>
            </w:pPr>
          </w:p>
        </w:tc>
        <w:tc>
          <w:tcPr>
            <w:tcW w:w="681" w:type="dxa"/>
            <w:tcBorders>
              <w:top w:val="single" w:color="000000" w:sz="4" w:space="0"/>
              <w:left w:val="single" w:color="000000" w:sz="4" w:space="0"/>
              <w:bottom w:val="single" w:color="auto" w:sz="4" w:space="0"/>
              <w:right w:val="single" w:color="000000"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414" w:hRule="atLeast"/>
        </w:trPr>
        <w:tc>
          <w:tcPr>
            <w:tcW w:w="8096" w:type="dxa"/>
            <w:gridSpan w:val="6"/>
            <w:tcBorders>
              <w:top w:val="single" w:color="auto" w:sz="4" w:space="0"/>
              <w:left w:val="single" w:color="auto" w:sz="4"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总合计（元）</w:t>
            </w:r>
          </w:p>
        </w:tc>
        <w:tc>
          <w:tcPr>
            <w:tcW w:w="98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681" w:type="dxa"/>
            <w:tcBorders>
              <w:top w:val="single" w:color="auto" w:sz="4" w:space="0"/>
              <w:left w:val="nil"/>
              <w:bottom w:val="single" w:color="auto" w:sz="4" w:space="0"/>
              <w:right w:val="single" w:color="auto"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414" w:hRule="atLeast"/>
        </w:trPr>
        <w:tc>
          <w:tcPr>
            <w:tcW w:w="441" w:type="dxa"/>
            <w:tcBorders>
              <w:top w:val="single" w:color="auto" w:sz="4" w:space="0"/>
              <w:left w:val="nil"/>
              <w:bottom w:val="nil"/>
              <w:right w:val="nil"/>
            </w:tcBorders>
            <w:noWrap/>
            <w:vAlign w:val="center"/>
          </w:tcPr>
          <w:p>
            <w:pPr>
              <w:rPr>
                <w:rFonts w:hint="eastAsia" w:ascii="宋体" w:hAnsi="宋体" w:cs="宋体"/>
                <w:color w:val="000000"/>
                <w:sz w:val="22"/>
                <w:szCs w:val="22"/>
                <w:highlight w:val="none"/>
              </w:rPr>
            </w:pPr>
          </w:p>
        </w:tc>
        <w:tc>
          <w:tcPr>
            <w:tcW w:w="680" w:type="dxa"/>
            <w:tcBorders>
              <w:top w:val="single" w:color="auto" w:sz="4" w:space="0"/>
              <w:left w:val="nil"/>
              <w:bottom w:val="nil"/>
              <w:right w:val="nil"/>
            </w:tcBorders>
            <w:noWrap/>
            <w:vAlign w:val="center"/>
          </w:tcPr>
          <w:p>
            <w:pPr>
              <w:rPr>
                <w:rFonts w:hint="eastAsia" w:ascii="宋体" w:hAnsi="宋体" w:cs="宋体"/>
                <w:color w:val="000000"/>
                <w:sz w:val="22"/>
                <w:szCs w:val="22"/>
                <w:highlight w:val="none"/>
              </w:rPr>
            </w:pPr>
          </w:p>
        </w:tc>
        <w:tc>
          <w:tcPr>
            <w:tcW w:w="4677" w:type="dxa"/>
            <w:tcBorders>
              <w:top w:val="single" w:color="auto" w:sz="4" w:space="0"/>
              <w:left w:val="nil"/>
              <w:bottom w:val="nil"/>
              <w:right w:val="nil"/>
            </w:tcBorders>
            <w:noWrap/>
            <w:vAlign w:val="center"/>
          </w:tcPr>
          <w:p>
            <w:pPr>
              <w:rPr>
                <w:rFonts w:hint="eastAsia" w:ascii="宋体" w:hAnsi="宋体" w:cs="宋体"/>
                <w:color w:val="000000"/>
                <w:sz w:val="22"/>
                <w:szCs w:val="22"/>
                <w:highlight w:val="none"/>
              </w:rPr>
            </w:pPr>
          </w:p>
        </w:tc>
        <w:tc>
          <w:tcPr>
            <w:tcW w:w="656" w:type="dxa"/>
            <w:tcBorders>
              <w:top w:val="single" w:color="auto" w:sz="4" w:space="0"/>
              <w:left w:val="nil"/>
              <w:bottom w:val="nil"/>
              <w:right w:val="nil"/>
            </w:tcBorders>
            <w:noWrap/>
            <w:vAlign w:val="center"/>
          </w:tcPr>
          <w:p>
            <w:pPr>
              <w:rPr>
                <w:rFonts w:hint="eastAsia" w:ascii="宋体" w:hAnsi="宋体" w:cs="宋体"/>
                <w:color w:val="000000"/>
                <w:sz w:val="22"/>
                <w:szCs w:val="22"/>
                <w:highlight w:val="none"/>
              </w:rPr>
            </w:pPr>
          </w:p>
        </w:tc>
        <w:tc>
          <w:tcPr>
            <w:tcW w:w="656" w:type="dxa"/>
            <w:tcBorders>
              <w:top w:val="single" w:color="auto" w:sz="4" w:space="0"/>
              <w:left w:val="nil"/>
              <w:bottom w:val="nil"/>
              <w:right w:val="nil"/>
            </w:tcBorders>
            <w:noWrap/>
            <w:vAlign w:val="center"/>
          </w:tcPr>
          <w:p>
            <w:pPr>
              <w:rPr>
                <w:rFonts w:hint="eastAsia" w:ascii="宋体" w:hAnsi="宋体" w:cs="宋体"/>
                <w:color w:val="000000"/>
                <w:sz w:val="22"/>
                <w:szCs w:val="22"/>
                <w:highlight w:val="none"/>
              </w:rPr>
            </w:pPr>
          </w:p>
        </w:tc>
        <w:tc>
          <w:tcPr>
            <w:tcW w:w="986" w:type="dxa"/>
            <w:tcBorders>
              <w:top w:val="single" w:color="auto" w:sz="4" w:space="0"/>
              <w:left w:val="nil"/>
              <w:bottom w:val="nil"/>
              <w:right w:val="nil"/>
            </w:tcBorders>
            <w:noWrap/>
            <w:vAlign w:val="center"/>
          </w:tcPr>
          <w:p>
            <w:pPr>
              <w:rPr>
                <w:rFonts w:hint="eastAsia" w:ascii="宋体" w:hAnsi="宋体" w:cs="宋体"/>
                <w:color w:val="000000"/>
                <w:sz w:val="22"/>
                <w:szCs w:val="22"/>
                <w:highlight w:val="none"/>
              </w:rPr>
            </w:pPr>
          </w:p>
        </w:tc>
        <w:tc>
          <w:tcPr>
            <w:tcW w:w="986" w:type="dxa"/>
            <w:tcBorders>
              <w:top w:val="single" w:color="auto" w:sz="4" w:space="0"/>
              <w:left w:val="nil"/>
              <w:bottom w:val="nil"/>
              <w:right w:val="nil"/>
            </w:tcBorders>
            <w:noWrap/>
            <w:vAlign w:val="center"/>
          </w:tcPr>
          <w:p>
            <w:pPr>
              <w:rPr>
                <w:rFonts w:hint="eastAsia" w:ascii="宋体" w:hAnsi="宋体" w:cs="宋体"/>
                <w:color w:val="000000"/>
                <w:sz w:val="22"/>
                <w:szCs w:val="22"/>
                <w:highlight w:val="none"/>
              </w:rPr>
            </w:pPr>
          </w:p>
        </w:tc>
        <w:tc>
          <w:tcPr>
            <w:tcW w:w="681" w:type="dxa"/>
            <w:tcBorders>
              <w:top w:val="single" w:color="auto" w:sz="4" w:space="0"/>
              <w:left w:val="nil"/>
              <w:bottom w:val="nil"/>
              <w:right w:val="nil"/>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402" w:hRule="atLeast"/>
        </w:trPr>
        <w:tc>
          <w:tcPr>
            <w:tcW w:w="112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学校</w:t>
            </w:r>
          </w:p>
        </w:tc>
        <w:tc>
          <w:tcPr>
            <w:tcW w:w="4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设备清单</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数量</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单位</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单价/元</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金额/元</w:t>
            </w:r>
          </w:p>
        </w:tc>
        <w:tc>
          <w:tcPr>
            <w:tcW w:w="6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备注</w:t>
            </w:r>
          </w:p>
        </w:tc>
      </w:tr>
      <w:tr>
        <w:tblPrEx>
          <w:tblCellMar>
            <w:top w:w="0" w:type="dxa"/>
            <w:left w:w="108" w:type="dxa"/>
            <w:bottom w:w="0" w:type="dxa"/>
            <w:right w:w="108" w:type="dxa"/>
          </w:tblCellMar>
        </w:tblPrEx>
        <w:trPr>
          <w:trHeight w:val="1572" w:hRule="atLeast"/>
        </w:trPr>
        <w:tc>
          <w:tcPr>
            <w:tcW w:w="11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五指山市红星学校</w:t>
            </w:r>
          </w:p>
        </w:tc>
        <w:tc>
          <w:tcPr>
            <w:tcW w:w="4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教师演示台1、教师洗眼器1、教师化验水槽1、学生实验桌12、</w:t>
            </w:r>
            <w:r>
              <w:rPr>
                <w:rFonts w:hint="eastAsia" w:cs="宋体"/>
                <w:color w:val="auto"/>
                <w:kern w:val="0"/>
                <w:sz w:val="22"/>
                <w:szCs w:val="22"/>
                <w:highlight w:val="none"/>
                <w:lang w:val="en-US" w:eastAsia="zh-CN"/>
              </w:rPr>
              <w:t>PP</w:t>
            </w:r>
            <w:r>
              <w:rPr>
                <w:rFonts w:hint="eastAsia" w:ascii="宋体" w:hAnsi="宋体" w:cs="宋体"/>
                <w:color w:val="auto"/>
                <w:kern w:val="0"/>
                <w:sz w:val="22"/>
                <w:szCs w:val="22"/>
                <w:highlight w:val="none"/>
              </w:rPr>
              <w:t>水槽</w:t>
            </w:r>
            <w:r>
              <w:rPr>
                <w:rFonts w:hint="eastAsia" w:ascii="宋体" w:hAnsi="宋体" w:cs="宋体"/>
                <w:color w:val="000000"/>
                <w:kern w:val="0"/>
                <w:sz w:val="22"/>
                <w:szCs w:val="22"/>
                <w:highlight w:val="none"/>
              </w:rPr>
              <w:t>12、学生小号三联水嘴、教师电源交直流主控台1、学生实验操作电源24、推拉绿板1、电气布线1、供排水系统、抽风换气系统、教师转椅1、学生凳48、药品柜4、危险品柜3</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trHeight w:val="402" w:hRule="atLeast"/>
        </w:trPr>
        <w:tc>
          <w:tcPr>
            <w:tcW w:w="579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合计</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c>
          <w:tcPr>
            <w:tcW w:w="68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r>
    </w:tbl>
    <w:p>
      <w:pPr>
        <w:pStyle w:val="7"/>
        <w:jc w:val="both"/>
        <w:rPr>
          <w:highlight w:val="none"/>
        </w:rPr>
      </w:pPr>
    </w:p>
    <w:p>
      <w:pPr>
        <w:rPr>
          <w:highlight w:val="none"/>
        </w:rPr>
      </w:pPr>
    </w:p>
    <w:p>
      <w:pPr>
        <w:pStyle w:val="7"/>
        <w:rPr>
          <w:highlight w:val="none"/>
        </w:rPr>
      </w:pPr>
    </w:p>
    <w:p>
      <w:pPr>
        <w:rPr>
          <w:highlight w:val="none"/>
        </w:rPr>
      </w:pPr>
    </w:p>
    <w:p>
      <w:pPr>
        <w:pStyle w:val="7"/>
        <w:rPr>
          <w:highlight w:val="none"/>
        </w:rPr>
      </w:pPr>
    </w:p>
    <w:p>
      <w:pPr>
        <w:rPr>
          <w:highlight w:val="none"/>
        </w:rPr>
      </w:pPr>
    </w:p>
    <w:p>
      <w:pPr>
        <w:pStyle w:val="7"/>
        <w:rPr>
          <w:highlight w:val="none"/>
        </w:rPr>
      </w:pPr>
    </w:p>
    <w:p>
      <w:pPr>
        <w:rPr>
          <w:highlight w:val="none"/>
        </w:rPr>
      </w:pPr>
    </w:p>
    <w:p>
      <w:pPr>
        <w:pStyle w:val="2"/>
        <w:rPr>
          <w:highlight w:val="none"/>
        </w:rPr>
      </w:pPr>
    </w:p>
    <w:p>
      <w:pPr>
        <w:pStyle w:val="4"/>
        <w:rPr>
          <w:highlight w:val="none"/>
        </w:rPr>
      </w:pPr>
    </w:p>
    <w:p>
      <w:pPr>
        <w:pStyle w:val="4"/>
        <w:rPr>
          <w:highlight w:val="none"/>
        </w:rPr>
      </w:pPr>
    </w:p>
    <w:p>
      <w:pPr>
        <w:pStyle w:val="4"/>
        <w:rPr>
          <w:highlight w:val="none"/>
        </w:rPr>
      </w:pPr>
    </w:p>
    <w:p>
      <w:pPr>
        <w:pStyle w:val="4"/>
        <w:rPr>
          <w:highlight w:val="none"/>
        </w:rPr>
      </w:pPr>
    </w:p>
    <w:p>
      <w:pPr>
        <w:rPr>
          <w:highlight w:val="none"/>
        </w:rPr>
      </w:pPr>
    </w:p>
    <w:tbl>
      <w:tblPr>
        <w:tblStyle w:val="17"/>
        <w:tblW w:w="9738" w:type="dxa"/>
        <w:tblInd w:w="93" w:type="dxa"/>
        <w:tblLayout w:type="fixed"/>
        <w:tblCellMar>
          <w:top w:w="0" w:type="dxa"/>
          <w:left w:w="108" w:type="dxa"/>
          <w:bottom w:w="0" w:type="dxa"/>
          <w:right w:w="108" w:type="dxa"/>
        </w:tblCellMar>
      </w:tblPr>
      <w:tblGrid>
        <w:gridCol w:w="612"/>
        <w:gridCol w:w="769"/>
        <w:gridCol w:w="5841"/>
        <w:gridCol w:w="437"/>
        <w:gridCol w:w="437"/>
        <w:gridCol w:w="766"/>
        <w:gridCol w:w="876"/>
      </w:tblGrid>
      <w:tr>
        <w:tblPrEx>
          <w:tblCellMar>
            <w:top w:w="0" w:type="dxa"/>
            <w:left w:w="108" w:type="dxa"/>
            <w:bottom w:w="0" w:type="dxa"/>
            <w:right w:w="108" w:type="dxa"/>
          </w:tblCellMar>
        </w:tblPrEx>
        <w:trPr>
          <w:trHeight w:val="1176" w:hRule="atLeast"/>
        </w:trPr>
        <w:tc>
          <w:tcPr>
            <w:tcW w:w="9738" w:type="dxa"/>
            <w:gridSpan w:val="7"/>
            <w:tcBorders>
              <w:top w:val="single" w:color="000000" w:sz="4" w:space="0"/>
              <w:left w:val="single" w:color="000000" w:sz="4" w:space="0"/>
              <w:bottom w:val="single" w:color="000000" w:sz="4" w:space="0"/>
              <w:right w:val="single" w:color="000000" w:sz="4" w:space="0"/>
            </w:tcBorders>
            <w:shd w:val="clear" w:color="auto" w:fill="FDE9D9"/>
            <w:noWrap/>
            <w:vAlign w:val="center"/>
          </w:tcPr>
          <w:p>
            <w:pPr>
              <w:widowControl/>
              <w:jc w:val="center"/>
              <w:textAlignment w:val="center"/>
              <w:rPr>
                <w:rFonts w:hint="eastAsia" w:ascii="宋体" w:hAnsi="宋体" w:cs="宋体"/>
                <w:color w:val="000000"/>
                <w:sz w:val="52"/>
                <w:szCs w:val="52"/>
                <w:highlight w:val="none"/>
              </w:rPr>
            </w:pPr>
            <w:r>
              <w:rPr>
                <w:rFonts w:hint="eastAsia" w:ascii="宋体" w:hAnsi="宋体" w:cs="宋体"/>
                <w:color w:val="000000"/>
                <w:kern w:val="0"/>
                <w:sz w:val="52"/>
                <w:szCs w:val="52"/>
                <w:highlight w:val="none"/>
              </w:rPr>
              <w:t>6、初中生物实验室设施配置</w:t>
            </w:r>
          </w:p>
        </w:tc>
      </w:tr>
      <w:tr>
        <w:tblPrEx>
          <w:tblCellMar>
            <w:top w:w="0" w:type="dxa"/>
            <w:left w:w="108" w:type="dxa"/>
            <w:bottom w:w="0" w:type="dxa"/>
            <w:right w:w="108" w:type="dxa"/>
          </w:tblCellMar>
        </w:tblPrEx>
        <w:trPr>
          <w:trHeight w:val="794" w:hRule="atLeast"/>
        </w:trPr>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序号</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品名</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 xml:space="preserve">参数 </w:t>
            </w:r>
          </w:p>
        </w:tc>
        <w:tc>
          <w:tcPr>
            <w:tcW w:w="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单位</w:t>
            </w:r>
          </w:p>
        </w:tc>
        <w:tc>
          <w:tcPr>
            <w:tcW w:w="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数量</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单价</w:t>
            </w: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合价</w:t>
            </w:r>
          </w:p>
        </w:tc>
      </w:tr>
      <w:tr>
        <w:tblPrEx>
          <w:tblCellMar>
            <w:top w:w="0" w:type="dxa"/>
            <w:left w:w="108" w:type="dxa"/>
            <w:bottom w:w="0" w:type="dxa"/>
            <w:right w:w="108" w:type="dxa"/>
          </w:tblCellMar>
        </w:tblPrEx>
        <w:trPr>
          <w:trHeight w:val="7227"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教师演示台</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尺寸：2800（长）×700（宽）×850mm（高）。2、结构：演示台设有储物柜，中间为演示台，设置电源主控系统、多媒体设备（主机、显示器、中控、功放、交换机）的位置预留。3、台面：一体化台面，采用12.7mm厚实芯理化板，结构加工坚固致密、机械精打磨圆滑细致，造型美观，具有优异的稳定、持久、耐水和易清洗维护等特性。4、桌体：采用1.0mm优质镀锌钢板，CO2保护焊焊接，打磨处理，表面经耐酸碱EPOXY粉末烤漆处理（烤漆膜厚度平均值≥ 70μm），表面硬度附着力、耐腐蚀性符合国家GB/T3668-200X标准。5、滑轨：三节重型滚珠滑轨，承重性强，滑动性能良好，无噪音，开合十万次不变形。6、铰链：采用自动型110°大伸展角度，锌合金铰链，开合五万次不变形。7、拉手：采用C型不锈钢拉手，造型独特美观。8、脚垫：采用柜体内置可调ABS脚垫，保证桌面平整，防水防潮，延长设备使用寿命。</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9、台面甲醛释放量检测达到国家标准(GB 18580-2017)E1级的技术指标要求，甲醛释放量检测结果值小于0.01mg/M3（未检出）。</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10、生产厂家需满足如下条件：具有质量管理体系、环境管理体系及职业健康安全管理体系认证证书。</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★投标人</w:t>
            </w:r>
            <w:r>
              <w:rPr>
                <w:rFonts w:hint="eastAsia" w:ascii="宋体" w:hAnsi="宋体" w:cs="宋体"/>
                <w:color w:val="auto"/>
                <w:kern w:val="0"/>
                <w:sz w:val="22"/>
                <w:szCs w:val="22"/>
                <w:highlight w:val="none"/>
              </w:rPr>
              <w:t>应</w:t>
            </w:r>
            <w:r>
              <w:rPr>
                <w:rFonts w:hint="eastAsia" w:ascii="宋体" w:hAnsi="宋体" w:cs="宋体"/>
                <w:color w:val="000000"/>
                <w:kern w:val="0"/>
                <w:sz w:val="22"/>
                <w:szCs w:val="22"/>
                <w:highlight w:val="none"/>
              </w:rPr>
              <w:t>提供有资质的检测机构出具的检测报告复印件，供货厂家投标授权书复印件和质保服务承诺函复印件加盖厂家公章。</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张</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2206"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教师洗眼器</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台面安装方式，平时放置于台面，紧急使用时可随意抽起，使用方便。2、洗眼喷头：具有过滤泡棉及防尘功能，上面防尘盖平常可防尘，使用时可随时被水冲开，并降低突然打开时短暂的高水压，避免冲伤眼睛。3、控水阀采用黄铜制作，经高亮度环氧树脂涂层处理，外观美观大方，阀门可自动关闭，密封可靠。4、供水软管：采用2m长不锈钢软管。</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2880"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教师化验水槽</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1、采用耐腐蚀高密度PP材质，模具一次注塑成型，规格：内径490×390×290mm，水槽厚度不小于5 mm。2、水槽应具有耐酸碱、耐热、耐有机溶剂；排水口应有水封装置。3、水槽应采取台下托底式安装（带支撑托架），水槽与台面间采用防水密封胶封闭，无漏水现象。4、水槽的上水、下水均应隐蔽，专用下水管扣，使下水管弯曲成“S”型防臭。5、排水管必须连接可靠，避免因松动脱落造成漏水，引起电源短路，形成安全隐患。6、实验水槽安装位置应于中间位置。7、含1大号三联水嘴。</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90"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学生实验桌</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学生实验桌2400*600*760mm</w:t>
            </w:r>
            <w:r>
              <w:rPr>
                <w:rFonts w:hint="eastAsia" w:ascii="宋体" w:hAnsi="宋体" w:cs="宋体"/>
                <w:color w:val="C00000"/>
                <w:kern w:val="0"/>
                <w:sz w:val="22"/>
                <w:szCs w:val="22"/>
                <w:highlight w:val="none"/>
              </w:rPr>
              <w:t>±2</w:t>
            </w:r>
            <w:r>
              <w:rPr>
                <w:rFonts w:hint="eastAsia" w:cs="宋体"/>
                <w:color w:val="C00000"/>
                <w:kern w:val="0"/>
                <w:sz w:val="22"/>
                <w:szCs w:val="22"/>
                <w:highlight w:val="none"/>
                <w:lang w:val="en-US" w:eastAsia="zh-CN"/>
              </w:rPr>
              <w:t>0mm</w:t>
            </w:r>
            <w:r>
              <w:rPr>
                <w:rFonts w:hint="eastAsia" w:ascii="宋体" w:hAnsi="宋体" w:cs="宋体"/>
                <w:color w:val="000000"/>
                <w:kern w:val="0"/>
                <w:sz w:val="22"/>
                <w:szCs w:val="22"/>
                <w:highlight w:val="none"/>
              </w:rPr>
              <w:t xml:space="preserve"> 1.台面：一体化台面，采用12.7mm厚双面</w:t>
            </w:r>
            <w:r>
              <w:rPr>
                <w:rFonts w:hint="eastAsia" w:cs="宋体"/>
                <w:color w:val="000000"/>
                <w:kern w:val="0"/>
                <w:sz w:val="22"/>
                <w:szCs w:val="22"/>
                <w:highlight w:val="none"/>
                <w:lang w:val="en-US" w:eastAsia="zh-CN"/>
              </w:rPr>
              <w:t>实芯</w:t>
            </w:r>
            <w:r>
              <w:rPr>
                <w:rFonts w:hint="eastAsia" w:ascii="宋体" w:hAnsi="宋体" w:cs="宋体"/>
                <w:color w:val="000000"/>
                <w:kern w:val="0"/>
                <w:sz w:val="22"/>
                <w:szCs w:val="22"/>
                <w:highlight w:val="none"/>
              </w:rPr>
              <w:t>理化板。理化板抗翘曲、易清洁、防水、防火、耐酸碱、耐腐蚀、其截面由硬质PVC利用进口封边机械封边高温热压封边。2.主体：结构为铝合金框架结构，铝合金框架采用表面环氧树脂静电喷涂，ABS专业连接件连接，组装接缝严密，牢固无松动现象不变形，美观耐用。3.连接件：ABS连接件组装，牢固可靠。4.脚垫:ABS工程注塑，可有效防止桌身受潮，延长设备使用寿命。</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5、台面甲醛释放量检测达到国家标准(GB 18580-2017)E1级的技术指标要求，甲醛释放量检测结果值小于0.01mg/M3（未检出）。</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10、生产厂家需满足如下条件：具有质量管理体系、环境管理体系及职业健康安全管理体系认证证书。</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★投标人</w:t>
            </w:r>
            <w:r>
              <w:rPr>
                <w:rFonts w:hint="eastAsia" w:ascii="宋体" w:hAnsi="宋体" w:cs="宋体"/>
                <w:color w:val="auto"/>
                <w:kern w:val="0"/>
                <w:sz w:val="22"/>
                <w:szCs w:val="22"/>
                <w:highlight w:val="none"/>
              </w:rPr>
              <w:t>应针对以上桌面技术参数要求，</w:t>
            </w:r>
            <w:r>
              <w:rPr>
                <w:rFonts w:hint="eastAsia" w:ascii="宋体" w:hAnsi="宋体" w:cs="宋体"/>
                <w:color w:val="000000"/>
                <w:kern w:val="0"/>
                <w:sz w:val="22"/>
                <w:szCs w:val="22"/>
                <w:highlight w:val="none"/>
              </w:rPr>
              <w:t>提供有资质的检测机构出具的检测报告复印件，供货厂家投标授权书复印件和质保服务承诺函复印件加盖厂家公章。</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张</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333"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PP水槽</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1、采用耐腐蚀高密度PP材质，模具一次注塑成型，规格：内径380×270×190mm，水槽厚度不小于5 mm。</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2、水槽应具有耐酸碱、耐热、耐有机溶剂；排水口应有水封装置。</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3、水槽应采取台下托底式安装（带支撑托架），水槽与台面间采用防水密封胶封闭，无漏水现象。</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4、水槽的上水、下水均应隐蔽，专用下水管扣，使下水管弯曲成“S”型防臭。</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5、排水管必须连接可靠，避免因松动脱落造成漏水，引起电源短路，形成安全隐患。</w:t>
            </w:r>
          </w:p>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6、实验水槽安装位置应于中间位置，方便整排学生使用。</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1609"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学生小号三联水嘴</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主体：加厚铜质；2、涂层：高亮度环氧树脂涂层，耐腐蚀、耐热，防紫外线辐射；3、陶瓷阀芯90°旋转，使用寿命开关50万次，静态最大耐压20巴；4、经久耐用，不会出现渗水、断裂现象；5、鹅颈管可360°旋转；6、开关旋钮：高密度PP，人体工学设计，手感舒适。</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支</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2562"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教师电源交直流主控台</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1、电源面板采用彩色PVC贴面，轻触按键操作。</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2、40A总电源漏电保护断路装置，分A、B、C、D四组控制学生220V市电电源。</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3、220V/6A新国标五孔插座。</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4、交流电源0-30V/3A，通过面板按键叠加选取，电压分辨率为2V,三位半数字电压表实时显示当前交流输出电压值。</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5、直流稳压电源0-27V/3A，通过面板上行、下行按键点动选取，电压分辨率为0.1V,三位半数字电压表实时显示当前直流稳压输出电压值。</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6、9V±10% 10S大电流输出。</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7、以上各组交直流电源具备有过载和短路保护功能。</w:t>
            </w:r>
          </w:p>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8、符合 JY/T0374-2004《教学实验室设备电源系统》标准。</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1508"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学生实验操作电源</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1、学生安全电源设置在学生桌书包斗之间，每2个学生用一台电源。 2、学生交流220V，两路输出（教学安全总电源开关）。</w:t>
            </w:r>
            <w:r>
              <w:rPr>
                <w:rFonts w:hint="eastAsia" w:cs="宋体"/>
                <w:color w:val="auto"/>
                <w:kern w:val="0"/>
                <w:sz w:val="22"/>
                <w:szCs w:val="22"/>
                <w:highlight w:val="none"/>
                <w:lang w:val="en-US" w:eastAsia="zh-CN"/>
              </w:rPr>
              <w:t>3</w:t>
            </w:r>
            <w:r>
              <w:rPr>
                <w:rFonts w:hint="eastAsia" w:ascii="宋体" w:hAnsi="宋体" w:cs="宋体"/>
                <w:color w:val="auto"/>
                <w:kern w:val="0"/>
                <w:sz w:val="22"/>
                <w:szCs w:val="22"/>
                <w:highlight w:val="none"/>
              </w:rPr>
              <w:t>、学生安全电源具备自动过载保护功能，保证学生操作时安全。</w:t>
            </w:r>
            <w:r>
              <w:rPr>
                <w:rFonts w:hint="eastAsia" w:cs="宋体"/>
                <w:color w:val="auto"/>
                <w:kern w:val="0"/>
                <w:sz w:val="22"/>
                <w:szCs w:val="22"/>
                <w:highlight w:val="none"/>
                <w:lang w:val="en-US" w:eastAsia="zh-CN"/>
              </w:rPr>
              <w:t>4</w:t>
            </w:r>
            <w:r>
              <w:rPr>
                <w:rFonts w:hint="eastAsia" w:ascii="宋体" w:hAnsi="宋体" w:cs="宋体"/>
                <w:color w:val="auto"/>
                <w:kern w:val="0"/>
                <w:sz w:val="22"/>
                <w:szCs w:val="22"/>
                <w:highlight w:val="none"/>
              </w:rPr>
              <w:t>、学生安全电源性能应符合《 JY0374-2004》中的相关要求。</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24</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1926"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9</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光源系统</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固定式荧光灯：1、规格：长640mm，高约200mm，底座规格355*95*40mm。2、外壳材料：工程塑料外壳+金属支架。3、为防止渗水漏电，台灯底座配有底盖，底座嵌入底盖中，组合严密，都采用阻燃PP材料一次注塑成型。4、功率：20W。5、灯管：三基色直管荧光灯管。6、控制方式：内置高精密电子镇流器。7、投射角度：180度，可调节。</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盏</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24</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10040" w:hRule="atLeast"/>
        </w:trPr>
        <w:tc>
          <w:tcPr>
            <w:tcW w:w="61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7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教学一体机</w:t>
            </w:r>
          </w:p>
        </w:tc>
        <w:tc>
          <w:tcPr>
            <w:tcW w:w="58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一、整机设计及功能</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1.整机采用一体化全金属外壳设计，外部无任何可见内部功能模块连接线；边角采用弧形设计，表面无尖锐边缘或凸起。</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2.整机屏幕采用≥86英寸液晶显示器，整机采用UHD超高清LED 液晶屏，显示比例为16:9，分辨率不低于3840*2160。</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3.嵌入式系统版本不低于Android9.0，内存≥2GB，存储空间≥8GB。</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4.支持红外触控，支持Windows系统中进行20点或以上触控，安卓系统中进行 10 点或以上触控，支持红外笔书写。</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5.整机能感应并自动调节屏幕亮度来达到在不同光照环境下的不同亮度显示效果，此功能可自行开启或关闭。</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6.整机内置 2.1 声道扬声器，前朝向 15W中高音扬声器 2 个，后朝向 20W 低音扬声器 1 个，额定总功率 50W。</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7.支持传屏功能，可以将外部电脑的屏幕画面通过无线方式传输到整机上显示。</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8.整机内置无线网络模块，PC模块无任何外接或转接天线、网卡可实现Wi-Fi无线上网连接和AP无线热点发射；Wi-Fi和AP热点均支持频段 2.4GHz/5GHz ，满足IEEE 802.11 a/b/g/n/ac标准。</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9.三合一电源按键，同一电源物理按键完成Android系统和Windows系统的开机、节能熄屏、关机操作；关机状态下轻按按键开机；开机状态下轻按按键实现节能熄屏/唤醒，长按按键实现关机。</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10.整机具备至少6个前置按键，实现老师开关机、调出中控菜单、音量+/-、护眼、录屏的操作。</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11.整机具有护眼功能，可通过前置面板物理功能按键一键启用护眼模式。</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12.设备支持通过前置面板物理按键一键启动录屏功能，可将屏幕中显示的课件、音频内容与老师人声同时录制。</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13.支持智能U盘锁功能，整机可设置触摸及按键锁定，锁定后无法随意自由操作，需要使用时插入USB key可解锁。</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14.整机内置非独立的高清摄像头，可拍摄不低于 800 万像素数的照片；摄像头对角角度≥120°。</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15.整机内置非独立外扩展的阵列麦克风，可用于对教室环境音频进行采集，拾音距离≥12m。</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16.Android系统和Windows系统下，支持通过任何一个前置USB接口读取外接移动存储设备。</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17.外接电脑设备通过HDMI线投送画面至整机时，再连接TypeB USB线至整机触控输出接口，即可直接调用整机内置的摄像头、麦克风、扬声器，在外接电脑即可拍摄教室画面。</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18.整机具备不少于1路侧置双通道USB接口，双系统USB接口支持Windows和Android双系统读取外接存储设备数据和识别展台信号。</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19.支持前置Type-C接口，通过Type-C接口实现音视频输入，外接电脑设备通过标准Type-C线连接至整机Type-C口，即可把外接电脑设备画面投到整机上，同时在整机上操作画面，可实现触摸电脑的操作，无需再连接触控USB线。</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20.外接电脑设备通过机外Type-C线连接至整机Type-C口，可直接调用整机内置的摄像头、麦克风、扬声器，在外接电脑可拍摄教室画面。</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21.支持外接信号输入时自动唤醒功能，整机处于关机通电状态，外接电脑显示信号通过HDMI传输线连接至整机时，整机可智能识别外接电脑设备信号输入并自动开机。</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22.具备智能手势识别功能，在任意信号源通道下可识别五指上、下、左、右方向手势滑动并调用响应功能，支持将各手势滑动方向自定义设置为无操作、熄屏、批注、桌面、半屏模式。</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23.整机内置专业硬件自检维护工具（非第三方工具），支持对触摸框、PC模块等模块进行检测，针对不同模块给出问题原因提示。</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24.支持同一支红外笔笔头、笔尾书写不同的颜色，且颜色可自定义。</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 xml:space="preserve">25.整机屏幕触摸有效识别高度不超过3.5mm,，即触摸物体距离玻璃外表面高度不超过3.5mm时，触摸屏识别为点击操作。 </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26.无PC状态下，嵌入式Android操作系统下可实现windows系统中常用的教学应用功能，如白板书写、WPS软件使用、网页浏览。</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二、内置电脑配置</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1.主板采用H310芯片组，搭载Intel 酷睿系列I5 CPU或以上，内存：8GB DDR4</w:t>
            </w:r>
          </w:p>
        </w:tc>
        <w:tc>
          <w:tcPr>
            <w:tcW w:w="43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台</w:t>
            </w:r>
          </w:p>
        </w:tc>
        <w:tc>
          <w:tcPr>
            <w:tcW w:w="43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6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11522" w:hRule="atLeast"/>
        </w:trPr>
        <w:tc>
          <w:tcPr>
            <w:tcW w:w="61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c>
          <w:tcPr>
            <w:tcW w:w="7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c>
          <w:tcPr>
            <w:tcW w:w="584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highlight w:val="none"/>
              </w:rPr>
            </w:pPr>
          </w:p>
        </w:tc>
        <w:tc>
          <w:tcPr>
            <w:tcW w:w="4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c>
          <w:tcPr>
            <w:tcW w:w="4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c>
          <w:tcPr>
            <w:tcW w:w="76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c>
          <w:tcPr>
            <w:tcW w:w="8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4151"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11</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推拉绿板</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整体长宽要求为：根据教学一体机尺寸定制（绿板与教学一体机相配而成的组合推拉板）结构要求为双层结构；内层结构要求为：绿板+教学一体机+绿板固定组合而成；外层结构要求：由两块移动的绿板组成，用上下双轨道平行推拉，确保灵活无噪音；安装要求：采用隐型安装，安装后无任何可见安装件，使整体更为美观。二、绿板要求:1、面板要求为厚度为0.6㎜韩国浦项板；2、背板材料要求：厚度0.4㎜的日本进口镀锌钢板，为整张板无拼接；3、衬板材料要求：高密度环保EPS，厚度：24 ㎜，面层无折痕、不透筋；4、边框材料要求：氧化着色铝合金型材（香槟色）；5、书写板材料整体组装要求：包角：ABS塑料包角，与边框颜色一致，外观要求：面板无损伤，无纵向的棱型，铝合金无划伤，无色差，平面板平整。</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4469"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视频展台</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1.壁挂式安装，防盗防破坏。</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2.无锐角无利边设计，有效防止师生碰伤、划伤。</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3.采用三折叠开合式托板，展开后托板尺寸≥A4面积，收起时小巧不占空间，高效利用挂墙面积。</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4.采用USB高速接口，单根USB线实现供电、高清数据传输需求。</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5.采用≥800W像素自动对焦摄像头，可拍摄A4画幅。</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6.展台按键采用触摸按键，可实现一键启动展台画面、画面放大、画面缩小、画面旋转、拍照截图等功能，同时也支持在一体机或电脑上进行同样的操作。</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7.整机自带均光罩LED补光灯，光线不足时可进行亮度补充，亮度均匀。</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8.外壳在摄像头部分带保护镜片密封，防止灰尘沾染摄像头，防护等级达到IP4X级别。</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台</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r>
      <w:tr>
        <w:trPr>
          <w:trHeight w:val="2449"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13</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音箱</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(1)采用功放与有源音箱一体化设计，内置麦克风无线接收模块。(2)双音箱有线连接，机箱采用塑胶材质，保护设备免受环境影响。(3)输出额定功率: ≥2*15W，喇叭单元尺寸≥5寸。(4)麦克风和功放音箱之间采用数字U段传输技术，有效避免环境中2.4G信号干扰。(5)配置独立音频数字信号处理芯片，支持啸叫抑制功能。(6)支持教师扩声和输入音源叠加输出，可对接录播系统实现教师扩声音频的纯净采集，避免环境杂音干扰采集效果。</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274"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14</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无线麦</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耳戴式麦克风无需任何外接辅助设备实现本地扩声功能。(2)麦克风和功放音箱之间要效避免环境中信号干扰。(3)开机即可快速完成与教学扩声音箱对码，无需繁琐操作。可与移动音箱或录播主机对码连接。(4)麦克风音频距离讲话人嘴边距离不超过3cm，保证拾音效果。(5)整机重量轻便，长时间佩戴无疲劳感。(6)佩戴部位采用耳戴式设计，无需老师长时间手持，也不需绕耳固定引起长头发老师的不适。(7)配件中附带多种大小的耳塞，耳塞采用透气结构设计，不影响佩戴者听力。(8)支持快速充电与超低功耗工作模式，课间充电短，续航时间长。(9)麦克风距离音箱最大有效工作距离≥10米，保证全教室覆盖。</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支</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973"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15</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电气布线</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铺设优质耐压PVC套管或实验专用压线板，主干电源线采用4㎡优质多芯铜质护套线，支干电源线采用2.5㎡、1.5㎡优质多芯铜质护套线。</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项</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794"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16</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供排水系统</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给水管采用优质PPR管，主管直径20、25mm；排水管采用优质PVC耐蚀管，管直径50mm。</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项</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794"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17</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教师转椅</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五轮升降转椅，高弹性网布面料 高密度海绵座垫，气压式升降装。</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张</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2520"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18</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学生凳</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1、凳面：采用高密度ABS材质的凳面，直径320mm，凳面表层有颗粒凸起（乳白色），起到按摩抗疲劳作用。凳面下有底盖，底盖和凳面之间装有壁厚为1.5mm厚直径为160mm钢板托盘，使得凳子更加稳固。</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2、凳脚：4个凳脚采用20×40×1.2mm的无缝钢管一次弯曲成型，全自动焊接机械手焊接，焊点准确且均匀，四脚配耐磨脚垫，防滑消音，保护地板。质量稳定，坚固耐用，美观大方。</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张</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48</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1176" w:hRule="atLeast"/>
        </w:trPr>
        <w:tc>
          <w:tcPr>
            <w:tcW w:w="612"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19</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设备安装及调试</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设备安装及调试等，须按JY/T0385-2006《中小学理科教室装备规范》有关规定执行。</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c>
          <w:tcPr>
            <w:tcW w:w="4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634" w:hRule="atLeast"/>
        </w:trPr>
        <w:tc>
          <w:tcPr>
            <w:tcW w:w="138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总合计（元）</w:t>
            </w:r>
          </w:p>
        </w:tc>
        <w:tc>
          <w:tcPr>
            <w:tcW w:w="584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highlight w:val="none"/>
              </w:rPr>
            </w:pPr>
          </w:p>
        </w:tc>
        <w:tc>
          <w:tcPr>
            <w:tcW w:w="4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c>
          <w:tcPr>
            <w:tcW w:w="4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r>
    </w:tbl>
    <w:p>
      <w:pPr>
        <w:pStyle w:val="7"/>
        <w:jc w:val="both"/>
        <w:rPr>
          <w:highlight w:val="none"/>
        </w:rPr>
      </w:pPr>
    </w:p>
    <w:p>
      <w:pPr>
        <w:rPr>
          <w:highlight w:val="none"/>
        </w:rPr>
      </w:pPr>
    </w:p>
    <w:p>
      <w:pPr>
        <w:pStyle w:val="7"/>
        <w:rPr>
          <w:highlight w:val="none"/>
        </w:rPr>
      </w:pPr>
    </w:p>
    <w:p>
      <w:pPr>
        <w:rPr>
          <w:highlight w:val="none"/>
        </w:rPr>
      </w:pPr>
    </w:p>
    <w:p>
      <w:pPr>
        <w:pStyle w:val="7"/>
        <w:rPr>
          <w:highlight w:val="none"/>
        </w:rPr>
      </w:pPr>
    </w:p>
    <w:p>
      <w:pPr>
        <w:rPr>
          <w:highlight w:val="none"/>
        </w:rPr>
      </w:pPr>
    </w:p>
    <w:tbl>
      <w:tblPr>
        <w:tblStyle w:val="17"/>
        <w:tblW w:w="9892" w:type="dxa"/>
        <w:tblInd w:w="93" w:type="dxa"/>
        <w:tblLayout w:type="fixed"/>
        <w:tblCellMar>
          <w:top w:w="0" w:type="dxa"/>
          <w:left w:w="108" w:type="dxa"/>
          <w:bottom w:w="0" w:type="dxa"/>
          <w:right w:w="108" w:type="dxa"/>
        </w:tblCellMar>
      </w:tblPr>
      <w:tblGrid>
        <w:gridCol w:w="833"/>
        <w:gridCol w:w="5048"/>
        <w:gridCol w:w="603"/>
        <w:gridCol w:w="632"/>
        <w:gridCol w:w="1024"/>
        <w:gridCol w:w="1064"/>
        <w:gridCol w:w="688"/>
      </w:tblGrid>
      <w:tr>
        <w:tblPrEx>
          <w:tblCellMar>
            <w:top w:w="0" w:type="dxa"/>
            <w:left w:w="108" w:type="dxa"/>
            <w:bottom w:w="0" w:type="dxa"/>
            <w:right w:w="108" w:type="dxa"/>
          </w:tblCellMar>
        </w:tblPrEx>
        <w:trPr>
          <w:trHeight w:val="1482" w:hRule="atLeast"/>
        </w:trPr>
        <w:tc>
          <w:tcPr>
            <w:tcW w:w="8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学校</w:t>
            </w:r>
          </w:p>
        </w:tc>
        <w:tc>
          <w:tcPr>
            <w:tcW w:w="50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设备清单</w:t>
            </w:r>
          </w:p>
        </w:tc>
        <w:tc>
          <w:tcPr>
            <w:tcW w:w="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数量</w:t>
            </w:r>
          </w:p>
        </w:tc>
        <w:tc>
          <w:tcPr>
            <w:tcW w:w="6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单位</w:t>
            </w:r>
          </w:p>
        </w:tc>
        <w:tc>
          <w:tcPr>
            <w:tcW w:w="10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单价/元</w:t>
            </w:r>
          </w:p>
        </w:tc>
        <w:tc>
          <w:tcPr>
            <w:tcW w:w="10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金额/元</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备注</w:t>
            </w:r>
          </w:p>
        </w:tc>
      </w:tr>
      <w:tr>
        <w:tblPrEx>
          <w:tblCellMar>
            <w:top w:w="0" w:type="dxa"/>
            <w:left w:w="108" w:type="dxa"/>
            <w:bottom w:w="0" w:type="dxa"/>
            <w:right w:w="108" w:type="dxa"/>
          </w:tblCellMar>
        </w:tblPrEx>
        <w:trPr>
          <w:trHeight w:val="2206"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五指山思源实验学校</w:t>
            </w:r>
          </w:p>
        </w:tc>
        <w:tc>
          <w:tcPr>
            <w:tcW w:w="50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教师演示台1、教师洗眼器1、教师化验水槽1、学生实验桌12、</w:t>
            </w:r>
            <w:r>
              <w:rPr>
                <w:rFonts w:hint="eastAsia" w:cs="宋体"/>
                <w:color w:val="auto"/>
                <w:kern w:val="0"/>
                <w:sz w:val="22"/>
                <w:szCs w:val="22"/>
                <w:highlight w:val="none"/>
                <w:lang w:val="en-US" w:eastAsia="zh-CN"/>
              </w:rPr>
              <w:t>PP水槽</w:t>
            </w:r>
            <w:r>
              <w:rPr>
                <w:rFonts w:hint="eastAsia" w:ascii="宋体" w:hAnsi="宋体" w:cs="宋体"/>
                <w:color w:val="000000"/>
                <w:kern w:val="0"/>
                <w:sz w:val="22"/>
                <w:szCs w:val="22"/>
                <w:highlight w:val="none"/>
              </w:rPr>
              <w:t>1、学生小号三联水嘴12、教师电源交直流主控台1、学生实验操作电源24、光源系统24、投影一体机1、推拉绿板1、视频展台1、音箱1、无线麦1、电气布线1、供排水系统1、教师转椅1、学生凳48</w:t>
            </w:r>
          </w:p>
        </w:tc>
        <w:tc>
          <w:tcPr>
            <w:tcW w:w="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6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10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0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trHeight w:val="759" w:hRule="atLeast"/>
        </w:trPr>
        <w:tc>
          <w:tcPr>
            <w:tcW w:w="588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合计</w:t>
            </w:r>
          </w:p>
        </w:tc>
        <w:tc>
          <w:tcPr>
            <w:tcW w:w="60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c>
          <w:tcPr>
            <w:tcW w:w="63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c>
          <w:tcPr>
            <w:tcW w:w="102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c>
          <w:tcPr>
            <w:tcW w:w="10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c>
          <w:tcPr>
            <w:tcW w:w="6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r>
    </w:tbl>
    <w:p>
      <w:pPr>
        <w:rPr>
          <w:highlight w:val="none"/>
        </w:rPr>
      </w:pPr>
    </w:p>
    <w:p>
      <w:pPr>
        <w:pStyle w:val="7"/>
        <w:rPr>
          <w:highlight w:val="none"/>
        </w:rPr>
      </w:pPr>
    </w:p>
    <w:p>
      <w:pPr>
        <w:rPr>
          <w:highlight w:val="none"/>
        </w:rPr>
      </w:pPr>
    </w:p>
    <w:p>
      <w:pPr>
        <w:pStyle w:val="7"/>
        <w:rPr>
          <w:highlight w:val="none"/>
        </w:rPr>
      </w:pPr>
    </w:p>
    <w:p>
      <w:pPr>
        <w:rPr>
          <w:highlight w:val="none"/>
        </w:rPr>
      </w:pPr>
    </w:p>
    <w:p>
      <w:pPr>
        <w:pStyle w:val="7"/>
        <w:rPr>
          <w:highlight w:val="none"/>
        </w:rPr>
      </w:pPr>
    </w:p>
    <w:p>
      <w:pPr>
        <w:rPr>
          <w:highlight w:val="none"/>
        </w:rPr>
      </w:pPr>
    </w:p>
    <w:p>
      <w:pPr>
        <w:pStyle w:val="7"/>
        <w:rPr>
          <w:highlight w:val="none"/>
        </w:rPr>
      </w:pPr>
    </w:p>
    <w:p>
      <w:pPr>
        <w:rPr>
          <w:highlight w:val="none"/>
        </w:rPr>
      </w:pPr>
    </w:p>
    <w:p>
      <w:pPr>
        <w:pStyle w:val="7"/>
        <w:rPr>
          <w:highlight w:val="none"/>
        </w:rPr>
      </w:pPr>
    </w:p>
    <w:p>
      <w:pPr>
        <w:rPr>
          <w:highlight w:val="none"/>
        </w:rPr>
      </w:pPr>
    </w:p>
    <w:p>
      <w:pPr>
        <w:pStyle w:val="7"/>
        <w:rPr>
          <w:highlight w:val="none"/>
        </w:rPr>
      </w:pPr>
    </w:p>
    <w:p>
      <w:pPr>
        <w:rPr>
          <w:highlight w:val="none"/>
        </w:rPr>
      </w:pPr>
    </w:p>
    <w:p>
      <w:pPr>
        <w:pStyle w:val="7"/>
        <w:rPr>
          <w:highlight w:val="none"/>
        </w:rPr>
      </w:pPr>
    </w:p>
    <w:p>
      <w:pPr>
        <w:rPr>
          <w:highlight w:val="none"/>
        </w:rPr>
      </w:pPr>
    </w:p>
    <w:p>
      <w:pPr>
        <w:pStyle w:val="7"/>
        <w:rPr>
          <w:highlight w:val="none"/>
        </w:rPr>
      </w:pPr>
    </w:p>
    <w:p>
      <w:pPr>
        <w:rPr>
          <w:highlight w:val="none"/>
        </w:rPr>
      </w:pPr>
    </w:p>
    <w:p>
      <w:pPr>
        <w:pStyle w:val="7"/>
        <w:rPr>
          <w:highlight w:val="none"/>
        </w:rPr>
      </w:pPr>
    </w:p>
    <w:p>
      <w:pPr>
        <w:rPr>
          <w:highlight w:val="none"/>
        </w:rPr>
      </w:pPr>
    </w:p>
    <w:p>
      <w:pPr>
        <w:pStyle w:val="7"/>
        <w:rPr>
          <w:highlight w:val="none"/>
        </w:rPr>
      </w:pPr>
    </w:p>
    <w:p>
      <w:pPr>
        <w:rPr>
          <w:highlight w:val="none"/>
        </w:rPr>
      </w:pPr>
    </w:p>
    <w:p>
      <w:pPr>
        <w:widowControl/>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 xml:space="preserve"> </w:t>
      </w:r>
    </w:p>
    <w:p>
      <w:pPr>
        <w:pStyle w:val="7"/>
        <w:rPr>
          <w:rFonts w:hint="eastAsia" w:ascii="宋体" w:hAnsi="宋体" w:eastAsia="宋体" w:cs="宋体"/>
          <w:color w:val="000000"/>
          <w:sz w:val="24"/>
          <w:szCs w:val="24"/>
          <w:highlight w:val="none"/>
        </w:rPr>
      </w:pPr>
    </w:p>
    <w:p>
      <w:pPr>
        <w:rPr>
          <w:rFonts w:hint="eastAsia" w:ascii="宋体" w:hAnsi="宋体" w:cs="宋体"/>
          <w:color w:val="000000"/>
          <w:kern w:val="0"/>
          <w:sz w:val="24"/>
          <w:highlight w:val="none"/>
        </w:rPr>
      </w:pPr>
    </w:p>
    <w:p>
      <w:pPr>
        <w:pStyle w:val="7"/>
        <w:rPr>
          <w:rFonts w:hint="eastAsia" w:ascii="宋体" w:hAnsi="宋体" w:eastAsia="宋体" w:cs="宋体"/>
          <w:color w:val="000000"/>
          <w:sz w:val="24"/>
          <w:szCs w:val="24"/>
          <w:highlight w:val="none"/>
        </w:rPr>
      </w:pPr>
    </w:p>
    <w:tbl>
      <w:tblPr>
        <w:tblStyle w:val="17"/>
        <w:tblW w:w="9788" w:type="dxa"/>
        <w:tblInd w:w="93" w:type="dxa"/>
        <w:tblLayout w:type="fixed"/>
        <w:tblCellMar>
          <w:top w:w="0" w:type="dxa"/>
          <w:left w:w="108" w:type="dxa"/>
          <w:bottom w:w="0" w:type="dxa"/>
          <w:right w:w="108" w:type="dxa"/>
        </w:tblCellMar>
      </w:tblPr>
      <w:tblGrid>
        <w:gridCol w:w="584"/>
        <w:gridCol w:w="952"/>
        <w:gridCol w:w="5950"/>
        <w:gridCol w:w="437"/>
        <w:gridCol w:w="443"/>
        <w:gridCol w:w="656"/>
        <w:gridCol w:w="766"/>
      </w:tblGrid>
      <w:tr>
        <w:tblPrEx>
          <w:tblCellMar>
            <w:top w:w="0" w:type="dxa"/>
            <w:left w:w="108" w:type="dxa"/>
            <w:bottom w:w="0" w:type="dxa"/>
            <w:right w:w="108" w:type="dxa"/>
          </w:tblCellMar>
        </w:tblPrEx>
        <w:trPr>
          <w:trHeight w:val="1169" w:hRule="atLeast"/>
        </w:trPr>
        <w:tc>
          <w:tcPr>
            <w:tcW w:w="9788" w:type="dxa"/>
            <w:gridSpan w:val="7"/>
            <w:tcBorders>
              <w:top w:val="single" w:color="000000" w:sz="4" w:space="0"/>
              <w:left w:val="single" w:color="000000" w:sz="4" w:space="0"/>
              <w:bottom w:val="single" w:color="000000" w:sz="4" w:space="0"/>
              <w:right w:val="single" w:color="000000" w:sz="4" w:space="0"/>
            </w:tcBorders>
            <w:shd w:val="clear" w:color="auto" w:fill="FDE9D9"/>
            <w:noWrap/>
            <w:vAlign w:val="center"/>
          </w:tcPr>
          <w:p>
            <w:pPr>
              <w:widowControl/>
              <w:jc w:val="center"/>
              <w:textAlignment w:val="center"/>
              <w:rPr>
                <w:rFonts w:hint="eastAsia" w:ascii="宋体" w:hAnsi="宋体" w:cs="宋体"/>
                <w:color w:val="000000"/>
                <w:sz w:val="52"/>
                <w:szCs w:val="52"/>
                <w:highlight w:val="none"/>
              </w:rPr>
            </w:pPr>
            <w:r>
              <w:rPr>
                <w:rFonts w:hint="eastAsia" w:ascii="宋体" w:hAnsi="宋体" w:cs="宋体"/>
                <w:color w:val="000000"/>
                <w:kern w:val="0"/>
                <w:sz w:val="52"/>
                <w:szCs w:val="52"/>
                <w:highlight w:val="none"/>
              </w:rPr>
              <w:t>7、初中地理实验室设施配置</w:t>
            </w:r>
          </w:p>
        </w:tc>
      </w:tr>
      <w:tr>
        <w:tblPrEx>
          <w:tblCellMar>
            <w:top w:w="0" w:type="dxa"/>
            <w:left w:w="108" w:type="dxa"/>
            <w:bottom w:w="0" w:type="dxa"/>
            <w:right w:w="108" w:type="dxa"/>
          </w:tblCellMar>
        </w:tblPrEx>
        <w:trPr>
          <w:trHeight w:val="786"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序号</w:t>
            </w:r>
          </w:p>
        </w:tc>
        <w:tc>
          <w:tcPr>
            <w:tcW w:w="9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品名</w:t>
            </w:r>
          </w:p>
        </w:tc>
        <w:tc>
          <w:tcPr>
            <w:tcW w:w="5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 xml:space="preserve">规格、参数 </w:t>
            </w:r>
          </w:p>
        </w:tc>
        <w:tc>
          <w:tcPr>
            <w:tcW w:w="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单位</w:t>
            </w:r>
          </w:p>
        </w:tc>
        <w:tc>
          <w:tcPr>
            <w:tcW w:w="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数量</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单价</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合价</w:t>
            </w:r>
          </w:p>
        </w:tc>
      </w:tr>
      <w:tr>
        <w:tblPrEx>
          <w:tblCellMar>
            <w:top w:w="0" w:type="dxa"/>
            <w:left w:w="108" w:type="dxa"/>
            <w:bottom w:w="0" w:type="dxa"/>
            <w:right w:w="108" w:type="dxa"/>
          </w:tblCellMar>
        </w:tblPrEx>
        <w:trPr>
          <w:trHeight w:val="6602"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9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教师讲台</w:t>
            </w:r>
          </w:p>
        </w:tc>
        <w:tc>
          <w:tcPr>
            <w:tcW w:w="5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1、尺寸：2800（长）×700（宽）×850mm（高）。</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2、结构：演示台设有储物柜，中间为演示台，设置电源主控系统、多媒体设备（主机、显示器、中控、功放、交换机）的位置预留。</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3、台面：一体化台面，采用12.7mm厚，四周边缘双层加至25.4mm厚防腐蚀、耐酸碱、防静电、防火、耐磨、耐烟酌、抗污染的实芯理化板，结构加工坚固致密、机械精打磨圆滑细致，造型美观，具有优异的稳定、持久、耐水和易清洗维护等特性。</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4、桌体：采用1.0mm优质镀锌钢板，CO2保护焊焊接，打磨处理，表面经耐酸碱EPOXY粉末烤漆处理（烤漆膜厚度平均值≥ 70μm），表面硬度附着力、耐腐蚀性符合国家GB/T3668-200X标准。</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5、滑轨：三节重型滚珠滑轨，承重性强，滑动性能良好，无噪音，开合十万次不变形。</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6、铰链：采用自动型110°大伸展角度，锌合金铰链，开合五万次不变形。</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7、拉手：采用C型不锈钢拉手，造型独特美观。</w:t>
            </w:r>
          </w:p>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8、脚垫：采用柜体内置可调ABS脚垫，保证桌面平整，防水防潮，延长设备使用寿命。</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张</w:t>
            </w: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4090"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9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推拉绿板</w:t>
            </w:r>
          </w:p>
        </w:tc>
        <w:tc>
          <w:tcPr>
            <w:tcW w:w="5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整体长宽要求为：4000mm*1200mm（绿板与电子白板相配而成的组合推拉板）结构要求为双层结构；内层结构要求为：绿板+交互式电子白板+绿板固定组合而成；外层结构要求：由两块移动的绿板组成，用上下双轨道平行推拉，确保灵活无噪音；安装要求：采用隐型安装，安装后无任何可见安装件，使整体更为美观。二、绿板要求:1、面板要求为厚度为0.6㎜韩国浦项板；2、背板材料要求：厚度0.4㎜的日本进口镀锌钢板，为整张板无拼接；3、衬板材料要求：高密度环保EPS，厚度：24 ㎜，面层无折痕、不透筋；4、边框材料要求：氧化着色铝合金型材（香槟色）边框尺寸115mm（宽） *70mm（厚）*1.2mm（壁厚）；5、书写板材料整体组装要求：包角：ABS塑料包角，与边框颜色一致，外观要求：面板无损伤，无纵向的棱型，铝合金无划伤，无色差，平面板平整。</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951"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9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教师主控台</w:t>
            </w:r>
          </w:p>
        </w:tc>
        <w:tc>
          <w:tcPr>
            <w:tcW w:w="5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1、交流高压220V/2A插座输出。</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2、空气开关，分A，B，C，D四组控制学生220V电压。</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3、过载，短路保护。</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4、电源面板为触摸式。数码显示，数字控制轻触摸按键操作。</w:t>
            </w:r>
          </w:p>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5、符合JY/T0374-2004《教学实验室设备电源系统》标准。</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台</w:t>
            </w: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90"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9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000000"/>
                <w:kern w:val="0"/>
                <w:sz w:val="22"/>
                <w:szCs w:val="22"/>
                <w:highlight w:val="none"/>
              </w:rPr>
              <w:t>六角实验桌</w:t>
            </w:r>
          </w:p>
        </w:tc>
        <w:tc>
          <w:tcPr>
            <w:tcW w:w="5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尺寸：1400（对角）*700（边长）*780mm（六角桌）</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桌面：采用12.7mm厚、四周加厚至25.4mm厚实芯理化板，抗弯、易清洁、耐磨、耐辐射、耐高温、耐冲击、耐酸碱、耐腐蚀、防静电、防水、防火，机械打磨,造型美观。</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台身：16mm三聚氰胺板，其截面由硬质PVC利用进口封边机械高温热压封边。</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结构：铝木结构。板材为16mm三聚氰胺板，其四条截面均用进口封存边机械高温热压封边，其中外露的边用2mm硬质PVC封边条，其余用1mm软质封边条封边</w:t>
            </w:r>
            <w:r>
              <w:rPr>
                <w:rFonts w:hint="eastAsia" w:cs="宋体"/>
                <w:color w:val="auto"/>
                <w:kern w:val="0"/>
                <w:sz w:val="22"/>
                <w:szCs w:val="22"/>
                <w:highlight w:val="none"/>
                <w:lang w:eastAsia="zh-CN"/>
              </w:rPr>
              <w:t>。</w:t>
            </w:r>
            <w:r>
              <w:rPr>
                <w:rFonts w:hint="eastAsia" w:ascii="宋体" w:hAnsi="宋体" w:cs="宋体"/>
                <w:color w:val="auto"/>
                <w:kern w:val="0"/>
                <w:sz w:val="22"/>
                <w:szCs w:val="22"/>
                <w:highlight w:val="none"/>
              </w:rPr>
              <w:t>中间为实验室专用PP水槽及三联水嘴.台两侧板设置学生电源为220V、50HZ及学生实验电源。每台为六座，</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脚垫：采用进口ABS工程塑料，模具注塑成形，高20mm防水及防潮。有效使设备寿命延长。</w:t>
            </w:r>
          </w:p>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★投标人应针对以上桌面技术参数要求，提供有资质的检测机构出具的检测报告复印件，供货厂家投标授权书复印件和质保服务承诺函复印件加盖厂家公章。</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1551"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FF0000"/>
                <w:sz w:val="22"/>
                <w:szCs w:val="22"/>
                <w:highlight w:val="none"/>
              </w:rPr>
            </w:pPr>
            <w:r>
              <w:rPr>
                <w:rFonts w:hint="eastAsia" w:ascii="宋体" w:hAnsi="宋体" w:cs="宋体"/>
                <w:color w:val="FF0000"/>
                <w:kern w:val="0"/>
                <w:sz w:val="22"/>
                <w:szCs w:val="22"/>
                <w:highlight w:val="none"/>
              </w:rPr>
              <w:t>5</w:t>
            </w:r>
          </w:p>
        </w:tc>
        <w:tc>
          <w:tcPr>
            <w:tcW w:w="9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学生实验台</w:t>
            </w:r>
          </w:p>
        </w:tc>
        <w:tc>
          <w:tcPr>
            <w:tcW w:w="5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1、外框尺寸：130*109*34mm。</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2、学生安全电源设置在学生桌上，每2个学生用一组电源。                              </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3、2+3带防尘盖插座，学生交流220V，两路输出，受教师主控台控制。</w:t>
            </w:r>
          </w:p>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4、学生安全电源带指示灯，具备自动过载保护功能，全自动复位功能，保证学生操作时安全。</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支</w:t>
            </w: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24</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786"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w:t>
            </w:r>
          </w:p>
        </w:tc>
        <w:tc>
          <w:tcPr>
            <w:tcW w:w="9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教师转椅</w:t>
            </w:r>
          </w:p>
        </w:tc>
        <w:tc>
          <w:tcPr>
            <w:tcW w:w="5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五轮升降转椅，高弹性网布面料 高密度海绵座垫，气压式升降装。</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张</w:t>
            </w: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2207"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w:t>
            </w:r>
          </w:p>
        </w:tc>
        <w:tc>
          <w:tcPr>
            <w:tcW w:w="9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学生凳</w:t>
            </w:r>
          </w:p>
        </w:tc>
        <w:tc>
          <w:tcPr>
            <w:tcW w:w="5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1、凳面：采用高密度ABS材质的凳面，直径320mm，凳面表层有颗粒凸起（乳白色），起到按摩抗疲劳作用。凳面下有底盖，底盖和凳面之间装有壁厚为1.5mm厚直径为160mm钢板托盘，使得凳子更加稳固。</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2、凳脚：4个凳脚采用20×40×1.2mm的无缝钢管一次弯曲成型，全自动焊接机械手焊接，焊点准确且均匀，四脚配耐磨脚垫，防滑消音，保护地板。质量稳定，坚固耐用，美观大方。</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张</w:t>
            </w: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48</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951"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w:t>
            </w:r>
          </w:p>
        </w:tc>
        <w:tc>
          <w:tcPr>
            <w:tcW w:w="9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电气布线</w:t>
            </w:r>
          </w:p>
        </w:tc>
        <w:tc>
          <w:tcPr>
            <w:tcW w:w="5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铺设优质耐压PVC套管或实验专用压线板，主干电源线采用4㎡优质多芯铜质护套线，支干电源线采用2.5㎡、1.5㎡优质多芯铜质护套线。</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项</w:t>
            </w: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1169" w:hRule="atLeast"/>
        </w:trPr>
        <w:tc>
          <w:tcPr>
            <w:tcW w:w="584"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9</w:t>
            </w:r>
          </w:p>
        </w:tc>
        <w:tc>
          <w:tcPr>
            <w:tcW w:w="9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设备安装及调试</w:t>
            </w:r>
          </w:p>
        </w:tc>
        <w:tc>
          <w:tcPr>
            <w:tcW w:w="5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设备安装及调试等，须按JY/T0385-2006《中小学理科教室装备规范》有关规定执行。</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c>
          <w:tcPr>
            <w:tcW w:w="44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448" w:hRule="atLeast"/>
        </w:trPr>
        <w:tc>
          <w:tcPr>
            <w:tcW w:w="153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总合计（元）</w:t>
            </w:r>
          </w:p>
        </w:tc>
        <w:tc>
          <w:tcPr>
            <w:tcW w:w="595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highlight w:val="none"/>
              </w:rPr>
            </w:pPr>
          </w:p>
        </w:tc>
        <w:tc>
          <w:tcPr>
            <w:tcW w:w="4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c>
          <w:tcPr>
            <w:tcW w:w="44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r>
    </w:tbl>
    <w:p>
      <w:pPr>
        <w:pStyle w:val="7"/>
        <w:rPr>
          <w:highlight w:val="none"/>
        </w:rPr>
      </w:pPr>
    </w:p>
    <w:tbl>
      <w:tblPr>
        <w:tblStyle w:val="17"/>
        <w:tblW w:w="9719" w:type="dxa"/>
        <w:tblInd w:w="93" w:type="dxa"/>
        <w:tblLayout w:type="fixed"/>
        <w:tblCellMar>
          <w:top w:w="0" w:type="dxa"/>
          <w:left w:w="108" w:type="dxa"/>
          <w:bottom w:w="0" w:type="dxa"/>
          <w:right w:w="108" w:type="dxa"/>
        </w:tblCellMar>
      </w:tblPr>
      <w:tblGrid>
        <w:gridCol w:w="883"/>
        <w:gridCol w:w="5314"/>
        <w:gridCol w:w="436"/>
        <w:gridCol w:w="436"/>
        <w:gridCol w:w="766"/>
        <w:gridCol w:w="766"/>
        <w:gridCol w:w="1118"/>
      </w:tblGrid>
      <w:tr>
        <w:tblPrEx>
          <w:tblCellMar>
            <w:top w:w="0" w:type="dxa"/>
            <w:left w:w="108" w:type="dxa"/>
            <w:bottom w:w="0" w:type="dxa"/>
            <w:right w:w="108" w:type="dxa"/>
          </w:tblCellMar>
        </w:tblPrEx>
        <w:trPr>
          <w:trHeight w:val="1205" w:hRule="atLeast"/>
        </w:trPr>
        <w:tc>
          <w:tcPr>
            <w:tcW w:w="8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学校</w:t>
            </w:r>
          </w:p>
        </w:tc>
        <w:tc>
          <w:tcPr>
            <w:tcW w:w="53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设备清单</w:t>
            </w:r>
          </w:p>
        </w:tc>
        <w:tc>
          <w:tcPr>
            <w:tcW w:w="4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数量</w:t>
            </w:r>
          </w:p>
        </w:tc>
        <w:tc>
          <w:tcPr>
            <w:tcW w:w="4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单位</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单价/元</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金额/元</w:t>
            </w:r>
          </w:p>
        </w:tc>
        <w:tc>
          <w:tcPr>
            <w:tcW w:w="11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备注</w:t>
            </w:r>
          </w:p>
        </w:tc>
      </w:tr>
      <w:tr>
        <w:tblPrEx>
          <w:tblCellMar>
            <w:top w:w="0" w:type="dxa"/>
            <w:left w:w="108" w:type="dxa"/>
            <w:bottom w:w="0" w:type="dxa"/>
            <w:right w:w="108" w:type="dxa"/>
          </w:tblCellMar>
        </w:tblPrEx>
        <w:trPr>
          <w:trHeight w:val="1205"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五指山思源实验学校</w:t>
            </w:r>
          </w:p>
        </w:tc>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教师讲台1、推拉绿板1、教师主控台1、学生实验桌1、学生实验台1、教师转椅1、学生凳48、电气布线1</w:t>
            </w:r>
          </w:p>
        </w:tc>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4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1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trHeight w:val="646" w:hRule="atLeast"/>
        </w:trPr>
        <w:tc>
          <w:tcPr>
            <w:tcW w:w="619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合计</w:t>
            </w:r>
          </w:p>
        </w:tc>
        <w:tc>
          <w:tcPr>
            <w:tcW w:w="4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c>
          <w:tcPr>
            <w:tcW w:w="4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c>
          <w:tcPr>
            <w:tcW w:w="11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r>
    </w:tbl>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pStyle w:val="7"/>
        <w:rPr>
          <w:rFonts w:hint="eastAsia"/>
          <w:b/>
          <w:sz w:val="24"/>
          <w:highlight w:val="none"/>
        </w:rPr>
      </w:pPr>
    </w:p>
    <w:p>
      <w:pPr>
        <w:rPr>
          <w:rFonts w:hint="eastAsia"/>
          <w:b/>
          <w:sz w:val="24"/>
          <w:highlight w:val="none"/>
        </w:rPr>
      </w:pPr>
    </w:p>
    <w:p>
      <w:pPr>
        <w:pStyle w:val="7"/>
        <w:rPr>
          <w:rFonts w:hint="eastAsia"/>
          <w:b/>
          <w:sz w:val="24"/>
          <w:highlight w:val="none"/>
        </w:rPr>
      </w:pPr>
    </w:p>
    <w:p>
      <w:pPr>
        <w:rPr>
          <w:rFonts w:hint="eastAsia"/>
          <w:b/>
          <w:sz w:val="24"/>
          <w:highlight w:val="none"/>
        </w:rPr>
      </w:pPr>
    </w:p>
    <w:p>
      <w:pPr>
        <w:pStyle w:val="7"/>
        <w:rPr>
          <w:rFonts w:hint="eastAsia"/>
          <w:b/>
          <w:sz w:val="24"/>
          <w:highlight w:val="none"/>
        </w:rPr>
      </w:pPr>
    </w:p>
    <w:p>
      <w:pPr>
        <w:rPr>
          <w:rFonts w:hint="eastAsia"/>
          <w:b/>
          <w:sz w:val="24"/>
          <w:highlight w:val="none"/>
        </w:rPr>
      </w:pPr>
    </w:p>
    <w:p>
      <w:pPr>
        <w:pStyle w:val="7"/>
        <w:rPr>
          <w:rFonts w:hint="eastAsia"/>
          <w:b/>
          <w:sz w:val="24"/>
          <w:highlight w:val="none"/>
        </w:rPr>
      </w:pPr>
    </w:p>
    <w:p>
      <w:pPr>
        <w:rPr>
          <w:rFonts w:hint="eastAsia"/>
          <w:b/>
          <w:sz w:val="24"/>
          <w:highlight w:val="none"/>
        </w:rPr>
      </w:pPr>
    </w:p>
    <w:p>
      <w:pPr>
        <w:pStyle w:val="7"/>
        <w:rPr>
          <w:rFonts w:hint="eastAsia"/>
          <w:b/>
          <w:sz w:val="24"/>
          <w:highlight w:val="none"/>
        </w:rPr>
      </w:pPr>
    </w:p>
    <w:p>
      <w:pPr>
        <w:rPr>
          <w:rFonts w:hint="eastAsia"/>
          <w:b/>
          <w:sz w:val="24"/>
          <w:highlight w:val="none"/>
        </w:rPr>
      </w:pPr>
    </w:p>
    <w:p>
      <w:pPr>
        <w:pStyle w:val="7"/>
        <w:rPr>
          <w:rFonts w:hint="eastAsia"/>
          <w:b/>
          <w:sz w:val="24"/>
          <w:highlight w:val="none"/>
        </w:rPr>
      </w:pPr>
    </w:p>
    <w:p>
      <w:pPr>
        <w:rPr>
          <w:rFonts w:hint="eastAsia"/>
          <w:b/>
          <w:sz w:val="24"/>
          <w:highlight w:val="none"/>
        </w:rPr>
      </w:pPr>
    </w:p>
    <w:p>
      <w:pPr>
        <w:pStyle w:val="7"/>
        <w:rPr>
          <w:rFonts w:hint="eastAsia"/>
          <w:b/>
          <w:sz w:val="24"/>
          <w:highlight w:val="none"/>
        </w:rPr>
      </w:pPr>
    </w:p>
    <w:p>
      <w:pPr>
        <w:rPr>
          <w:rFonts w:hint="eastAsia"/>
          <w:b/>
          <w:sz w:val="24"/>
          <w:highlight w:val="none"/>
        </w:rPr>
      </w:pPr>
    </w:p>
    <w:p>
      <w:pPr>
        <w:pStyle w:val="7"/>
        <w:rPr>
          <w:rFonts w:hint="eastAsia"/>
          <w:b/>
          <w:sz w:val="24"/>
          <w:highlight w:val="none"/>
        </w:rPr>
      </w:pPr>
    </w:p>
    <w:p>
      <w:pPr>
        <w:rPr>
          <w:rFonts w:hint="eastAsia"/>
          <w:b/>
          <w:sz w:val="24"/>
          <w:highlight w:val="none"/>
        </w:rPr>
      </w:pPr>
    </w:p>
    <w:p>
      <w:pPr>
        <w:pStyle w:val="7"/>
        <w:rPr>
          <w:rFonts w:hint="eastAsia"/>
          <w:b/>
          <w:sz w:val="24"/>
          <w:highlight w:val="none"/>
        </w:rPr>
      </w:pPr>
    </w:p>
    <w:p>
      <w:pPr>
        <w:rPr>
          <w:rFonts w:hint="eastAsia"/>
          <w:highlight w:val="none"/>
        </w:rPr>
      </w:pPr>
    </w:p>
    <w:p>
      <w:pPr>
        <w:spacing w:line="400" w:lineRule="exact"/>
        <w:rPr>
          <w:rFonts w:hint="eastAsia"/>
          <w:b/>
          <w:sz w:val="24"/>
          <w:highlight w:val="none"/>
        </w:rPr>
      </w:pPr>
    </w:p>
    <w:p>
      <w:pPr>
        <w:pStyle w:val="7"/>
        <w:rPr>
          <w:rFonts w:hint="eastAsia"/>
          <w:highlight w:val="none"/>
        </w:rPr>
      </w:pPr>
    </w:p>
    <w:tbl>
      <w:tblPr>
        <w:tblStyle w:val="17"/>
        <w:tblW w:w="9359" w:type="dxa"/>
        <w:tblInd w:w="93" w:type="dxa"/>
        <w:tblLayout w:type="fixed"/>
        <w:tblCellMar>
          <w:top w:w="0" w:type="dxa"/>
          <w:left w:w="108" w:type="dxa"/>
          <w:bottom w:w="0" w:type="dxa"/>
          <w:right w:w="108" w:type="dxa"/>
        </w:tblCellMar>
      </w:tblPr>
      <w:tblGrid>
        <w:gridCol w:w="510"/>
        <w:gridCol w:w="1068"/>
        <w:gridCol w:w="4761"/>
        <w:gridCol w:w="471"/>
        <w:gridCol w:w="546"/>
        <w:gridCol w:w="656"/>
        <w:gridCol w:w="876"/>
        <w:gridCol w:w="471"/>
      </w:tblGrid>
      <w:tr>
        <w:tblPrEx>
          <w:tblCellMar>
            <w:top w:w="0" w:type="dxa"/>
            <w:left w:w="108" w:type="dxa"/>
            <w:bottom w:w="0" w:type="dxa"/>
            <w:right w:w="108" w:type="dxa"/>
          </w:tblCellMar>
        </w:tblPrEx>
        <w:trPr>
          <w:trHeight w:val="1048" w:hRule="atLeast"/>
        </w:trPr>
        <w:tc>
          <w:tcPr>
            <w:tcW w:w="9359" w:type="dxa"/>
            <w:gridSpan w:val="8"/>
            <w:tcBorders>
              <w:top w:val="single" w:color="auto" w:sz="4" w:space="0"/>
              <w:left w:val="single" w:color="auto" w:sz="4" w:space="0"/>
              <w:bottom w:val="single" w:color="auto" w:sz="4" w:space="0"/>
              <w:right w:val="single" w:color="auto" w:sz="4" w:space="0"/>
            </w:tcBorders>
            <w:shd w:val="clear" w:color="auto" w:fill="FDE9D9"/>
            <w:noWrap/>
            <w:vAlign w:val="center"/>
          </w:tcPr>
          <w:p>
            <w:pPr>
              <w:jc w:val="center"/>
              <w:rPr>
                <w:rFonts w:hint="eastAsia" w:ascii="宋体" w:hAnsi="宋体" w:cs="宋体"/>
                <w:color w:val="000000"/>
                <w:sz w:val="22"/>
                <w:szCs w:val="22"/>
                <w:highlight w:val="none"/>
                <w:shd w:val="clear" w:color="auto" w:fill="auto"/>
              </w:rPr>
            </w:pPr>
            <w:r>
              <w:rPr>
                <w:rFonts w:hint="eastAsia" w:ascii="宋体" w:hAnsi="宋体" w:cs="宋体"/>
                <w:color w:val="000000"/>
                <w:kern w:val="0"/>
                <w:sz w:val="52"/>
                <w:szCs w:val="52"/>
                <w:highlight w:val="none"/>
                <w:shd w:val="clear" w:color="auto" w:fill="auto"/>
              </w:rPr>
              <w:t>8、初中物理仪器设备</w:t>
            </w:r>
          </w:p>
        </w:tc>
      </w:tr>
      <w:tr>
        <w:tblPrEx>
          <w:tblCellMar>
            <w:top w:w="0" w:type="dxa"/>
            <w:left w:w="108" w:type="dxa"/>
            <w:bottom w:w="0" w:type="dxa"/>
            <w:right w:w="108" w:type="dxa"/>
          </w:tblCellMar>
        </w:tblPrEx>
        <w:trPr>
          <w:trHeight w:val="356" w:hRule="atLeast"/>
        </w:trPr>
        <w:tc>
          <w:tcPr>
            <w:tcW w:w="51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序号</w:t>
            </w:r>
          </w:p>
        </w:tc>
        <w:tc>
          <w:tcPr>
            <w:tcW w:w="1068"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品名</w:t>
            </w:r>
          </w:p>
        </w:tc>
        <w:tc>
          <w:tcPr>
            <w:tcW w:w="4761"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 xml:space="preserve">参数 </w:t>
            </w:r>
          </w:p>
        </w:tc>
        <w:tc>
          <w:tcPr>
            <w:tcW w:w="471"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单位</w:t>
            </w:r>
          </w:p>
        </w:tc>
        <w:tc>
          <w:tcPr>
            <w:tcW w:w="54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数量</w:t>
            </w:r>
          </w:p>
        </w:tc>
        <w:tc>
          <w:tcPr>
            <w:tcW w:w="65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单价</w:t>
            </w:r>
          </w:p>
        </w:tc>
        <w:tc>
          <w:tcPr>
            <w:tcW w:w="87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合价</w:t>
            </w:r>
          </w:p>
        </w:tc>
        <w:tc>
          <w:tcPr>
            <w:tcW w:w="471"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备注</w:t>
            </w:r>
          </w:p>
        </w:tc>
      </w:tr>
      <w:tr>
        <w:tblPrEx>
          <w:tblCellMar>
            <w:top w:w="0" w:type="dxa"/>
            <w:left w:w="108" w:type="dxa"/>
            <w:bottom w:w="0" w:type="dxa"/>
            <w:right w:w="108" w:type="dxa"/>
          </w:tblCellMar>
        </w:tblPrEx>
        <w:trPr>
          <w:trHeight w:val="3815"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书写投影仪</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1.壁挂式安装，防盗防破坏。</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2.无锐角无利边设计，有效防止师生碰伤、划伤。</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3.采用三折叠开合式托板，展开后托板尺寸≥A4面积，收起时小巧不占空间，高效利用挂墙面积。</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4.采用USB高速接口，单根USB线实现供电、高清数据传输需求。</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5.采用≥800W像素自动对焦摄像头，可拍摄A4画幅。</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6.展台按键采用触摸按键，可实现一键启动展台画面、画面放大、画面缩小、画面旋转、拍照截图等功能，同时也支持在一体机或电脑上进行同样的操作。</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7.整机自带均光罩LED补光灯，光线不足时可进行亮度补充，亮度均匀。</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8.外壳在摄像头部分带保护镜片密封，防止灰尘沾染摄像头，防护等级达到IP4X级别。250mmx250mm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台</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五指山思源实验学校</w:t>
            </w:r>
          </w:p>
        </w:tc>
      </w:tr>
      <w:tr>
        <w:tblPrEx>
          <w:tblCellMar>
            <w:top w:w="0" w:type="dxa"/>
            <w:left w:w="108" w:type="dxa"/>
            <w:bottom w:w="0" w:type="dxa"/>
            <w:right w:w="108" w:type="dxa"/>
          </w:tblCellMar>
        </w:tblPrEx>
        <w:trPr>
          <w:trHeight w:val="609"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抽气筒</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材质：PP塑料；直径4CM，长度28.5CM，拉长约48.3CM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176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天文望远镜</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光学系统：牛顿式反射/主镜口径: 100-200mm/焦距：1000MM/有效倍率：269X/集光率：265X、分辨率：1.22角秒/焦比9.8/主镜长度: 1020mm/倍率1000/一键智能寻星、红点寻星镜/天顶镜：1.25英寸正象/三角架/铝制/基座：电动经纬仪/220V-12V转接电源线/T7C行星摄像头/PL4MM目镜/5X增倍镜/</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碘的升华凝华管</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密封式/尺寸：130*73CMM/材质：玻璃</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案秤</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10公斤/26*26*23CM</w:t>
            </w:r>
            <w:r>
              <w:rPr>
                <w:rStyle w:val="26"/>
                <w:rFonts w:hint="default"/>
                <w:highlight w:val="none"/>
              </w:rPr>
              <w:t>±</w:t>
            </w:r>
            <w:r>
              <w:rPr>
                <w:rStyle w:val="26"/>
                <w:rFonts w:hint="eastAsia"/>
                <w:highlight w:val="none"/>
                <w:lang w:val="en-US" w:eastAsia="zh-CN"/>
              </w:rPr>
              <w:t>2C</w:t>
            </w:r>
            <w:r>
              <w:rPr>
                <w:rStyle w:val="26"/>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台</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机械停钟</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0.1s/85*95*40MM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体温计</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水银35℃～42℃</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支</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条形盒测力器</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2.5N/尺寸15*3.5CM</w:t>
            </w:r>
            <w:r>
              <w:rPr>
                <w:rStyle w:val="26"/>
                <w:rFonts w:hint="default"/>
                <w:highlight w:val="none"/>
              </w:rPr>
              <w:t>±</w:t>
            </w:r>
            <w:r>
              <w:rPr>
                <w:rStyle w:val="26"/>
                <w:rFonts w:hint="eastAsia"/>
                <w:highlight w:val="none"/>
                <w:lang w:val="en-US" w:eastAsia="zh-CN"/>
              </w:rPr>
              <w:t>1C</w:t>
            </w:r>
            <w:r>
              <w:rPr>
                <w:rStyle w:val="26"/>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9</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压力和压强演示器</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12*7.5*4CM</w:t>
            </w:r>
            <w:r>
              <w:rPr>
                <w:rStyle w:val="26"/>
                <w:rFonts w:hint="default"/>
                <w:highlight w:val="none"/>
              </w:rPr>
              <w:t>±</w:t>
            </w:r>
            <w:r>
              <w:rPr>
                <w:rStyle w:val="26"/>
                <w:rFonts w:hint="eastAsia"/>
                <w:highlight w:val="none"/>
                <w:lang w:val="en-US" w:eastAsia="zh-CN"/>
              </w:rPr>
              <w:t>0.5C</w:t>
            </w:r>
            <w:r>
              <w:rPr>
                <w:rStyle w:val="26"/>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盒</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空气压缩引火仪</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60*270MM</w:t>
            </w:r>
            <w:r>
              <w:rPr>
                <w:rStyle w:val="26"/>
                <w:rFonts w:hint="default"/>
                <w:highlight w:val="none"/>
              </w:rPr>
              <w:t>±</w:t>
            </w:r>
            <w:r>
              <w:rPr>
                <w:rStyle w:val="26"/>
                <w:rFonts w:hint="eastAsia"/>
                <w:highlight w:val="none"/>
                <w:lang w:val="en-US" w:eastAsia="zh-CN"/>
              </w:rPr>
              <w:t>5M</w:t>
            </w:r>
            <w:r>
              <w:rPr>
                <w:rStyle w:val="26"/>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11</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小灯座</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7.5*3.5*2.5CM</w:t>
            </w:r>
            <w:r>
              <w:rPr>
                <w:rStyle w:val="26"/>
                <w:rFonts w:hint="default"/>
                <w:highlight w:val="none"/>
              </w:rPr>
              <w:t>±</w:t>
            </w:r>
            <w:r>
              <w:rPr>
                <w:rStyle w:val="26"/>
                <w:rFonts w:hint="eastAsia"/>
                <w:highlight w:val="none"/>
                <w:lang w:val="en-US" w:eastAsia="zh-CN"/>
              </w:rPr>
              <w:t>0.2C</w:t>
            </w:r>
            <w:r>
              <w:rPr>
                <w:rStyle w:val="26"/>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150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焦耳定律演示器</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29*13*29CM</w:t>
            </w:r>
            <w:r>
              <w:rPr>
                <w:rStyle w:val="26"/>
                <w:rFonts w:hint="default"/>
                <w:highlight w:val="none"/>
              </w:rPr>
              <w:t>±</w:t>
            </w:r>
            <w:r>
              <w:rPr>
                <w:rStyle w:val="26"/>
                <w:rFonts w:hint="eastAsia"/>
                <w:highlight w:val="none"/>
                <w:lang w:val="en-US" w:eastAsia="zh-CN"/>
              </w:rPr>
              <w:t>1C</w:t>
            </w:r>
            <w:r>
              <w:rPr>
                <w:rStyle w:val="26"/>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13</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蹄形磁铁</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rPr>
              <w:t>5.5*6.5*1.4</w:t>
            </w:r>
            <w:r>
              <w:rPr>
                <w:rStyle w:val="26"/>
                <w:rFonts w:hint="default"/>
                <w:highlight w:val="none"/>
              </w:rPr>
              <w:t>±</w:t>
            </w:r>
            <w:r>
              <w:rPr>
                <w:rStyle w:val="26"/>
                <w:rFonts w:hint="eastAsia"/>
                <w:highlight w:val="none"/>
                <w:lang w:val="en-US" w:eastAsia="zh-CN"/>
              </w:rPr>
              <w:t>0.2</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14</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手摇交直流发电机</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30.2*20.2*20.7CM</w:t>
            </w:r>
            <w:r>
              <w:rPr>
                <w:rStyle w:val="26"/>
                <w:rFonts w:hint="default"/>
                <w:highlight w:val="none"/>
              </w:rPr>
              <w:t>±</w:t>
            </w:r>
            <w:r>
              <w:rPr>
                <w:rStyle w:val="26"/>
                <w:rFonts w:hint="eastAsia"/>
                <w:highlight w:val="none"/>
                <w:lang w:val="en-US" w:eastAsia="zh-CN"/>
              </w:rPr>
              <w:t>1C</w:t>
            </w:r>
            <w:r>
              <w:rPr>
                <w:rStyle w:val="26"/>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45</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15</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激光笔</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红光，可见/功率小于1000MW/波长650NM±10/尺寸155MM/配置USB充电口</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16</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动能势能演示器</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47*17*45CM</w:t>
            </w:r>
            <w:r>
              <w:rPr>
                <w:rStyle w:val="26"/>
                <w:rFonts w:hint="default"/>
                <w:highlight w:val="none"/>
              </w:rPr>
              <w:t>±</w:t>
            </w:r>
            <w:r>
              <w:rPr>
                <w:rStyle w:val="26"/>
                <w:rFonts w:hint="eastAsia"/>
                <w:highlight w:val="none"/>
                <w:lang w:val="en-US" w:eastAsia="zh-CN"/>
              </w:rPr>
              <w:t>1C</w:t>
            </w:r>
            <w:r>
              <w:rPr>
                <w:rStyle w:val="26"/>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17</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初中物理光学实验箱</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59*21*11CM</w:t>
            </w:r>
            <w:r>
              <w:rPr>
                <w:rStyle w:val="26"/>
                <w:rFonts w:hint="default"/>
                <w:highlight w:val="none"/>
              </w:rPr>
              <w:t>±</w:t>
            </w:r>
            <w:r>
              <w:rPr>
                <w:rStyle w:val="26"/>
                <w:rFonts w:hint="eastAsia"/>
                <w:highlight w:val="none"/>
                <w:lang w:val="en-US" w:eastAsia="zh-CN"/>
              </w:rPr>
              <w:t>1C</w:t>
            </w:r>
            <w:r>
              <w:rPr>
                <w:rStyle w:val="26"/>
                <w:rFonts w:hint="default"/>
                <w:highlight w:val="none"/>
              </w:rPr>
              <w:t>M</w:t>
            </w:r>
            <w:r>
              <w:rPr>
                <w:rFonts w:hint="eastAsia" w:ascii="宋体" w:hAnsi="宋体" w:cs="宋体"/>
                <w:color w:val="000000"/>
                <w:kern w:val="0"/>
                <w:sz w:val="22"/>
                <w:szCs w:val="22"/>
                <w:highlight w:val="none"/>
              </w:rPr>
              <w:t>双层收纳大手提箱</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18</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磁悬浮演示器</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8*6*8CM</w:t>
            </w:r>
            <w:r>
              <w:rPr>
                <w:rStyle w:val="26"/>
                <w:rFonts w:hint="default"/>
                <w:highlight w:val="none"/>
              </w:rPr>
              <w:t>±</w:t>
            </w:r>
            <w:r>
              <w:rPr>
                <w:rStyle w:val="26"/>
                <w:rFonts w:hint="eastAsia"/>
                <w:highlight w:val="none"/>
                <w:lang w:val="en-US" w:eastAsia="zh-CN"/>
              </w:rPr>
              <w:t>0.5C</w:t>
            </w:r>
            <w:r>
              <w:rPr>
                <w:rStyle w:val="26"/>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19</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飞机升力原理演示器模型</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52*15*26CM</w:t>
            </w:r>
            <w:r>
              <w:rPr>
                <w:rStyle w:val="26"/>
                <w:rFonts w:hint="default"/>
                <w:highlight w:val="none"/>
              </w:rPr>
              <w:t>±</w:t>
            </w:r>
            <w:r>
              <w:rPr>
                <w:rStyle w:val="26"/>
                <w:rFonts w:hint="eastAsia"/>
                <w:highlight w:val="none"/>
                <w:lang w:val="en-US" w:eastAsia="zh-CN"/>
              </w:rPr>
              <w:t>1C</w:t>
            </w:r>
            <w:r>
              <w:rPr>
                <w:rStyle w:val="26"/>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1048"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流体流速与压强关系演示器大号</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44*30CM</w:t>
            </w:r>
            <w:r>
              <w:rPr>
                <w:rStyle w:val="26"/>
                <w:rFonts w:hint="default"/>
                <w:highlight w:val="none"/>
              </w:rPr>
              <w:t>±</w:t>
            </w:r>
            <w:r>
              <w:rPr>
                <w:rStyle w:val="26"/>
                <w:rFonts w:hint="eastAsia"/>
                <w:highlight w:val="none"/>
                <w:lang w:val="en-US" w:eastAsia="zh-CN"/>
              </w:rPr>
              <w:t>1C</w:t>
            </w:r>
            <w:r>
              <w:rPr>
                <w:rStyle w:val="26"/>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21</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液压传动模型</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280*12.5*17CM</w:t>
            </w:r>
            <w:r>
              <w:rPr>
                <w:rStyle w:val="26"/>
                <w:rFonts w:hint="default"/>
                <w:highlight w:val="none"/>
              </w:rPr>
              <w:t>±</w:t>
            </w:r>
            <w:r>
              <w:rPr>
                <w:rStyle w:val="26"/>
                <w:rFonts w:hint="eastAsia"/>
                <w:highlight w:val="none"/>
                <w:lang w:val="en-US" w:eastAsia="zh-CN"/>
              </w:rPr>
              <w:t>1C</w:t>
            </w:r>
            <w:r>
              <w:rPr>
                <w:rStyle w:val="26"/>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22</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奥斯特实验演示器</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25*18*12CM</w:t>
            </w:r>
            <w:r>
              <w:rPr>
                <w:rStyle w:val="26"/>
                <w:rFonts w:hint="default"/>
                <w:highlight w:val="none"/>
              </w:rPr>
              <w:t>±</w:t>
            </w:r>
            <w:r>
              <w:rPr>
                <w:rStyle w:val="26"/>
                <w:rFonts w:hint="eastAsia"/>
                <w:highlight w:val="none"/>
                <w:lang w:val="en-US" w:eastAsia="zh-CN"/>
              </w:rPr>
              <w:t>1C</w:t>
            </w:r>
            <w:r>
              <w:rPr>
                <w:rStyle w:val="26"/>
                <w:rFonts w:hint="default"/>
                <w:highlight w:val="none"/>
              </w:rPr>
              <w:t>M</w:t>
            </w:r>
            <w:r>
              <w:rPr>
                <w:rFonts w:hint="eastAsia" w:ascii="宋体" w:hAnsi="宋体" w:cs="宋体"/>
                <w:color w:val="000000"/>
                <w:kern w:val="0"/>
                <w:sz w:val="22"/>
                <w:szCs w:val="22"/>
                <w:highlight w:val="none"/>
              </w:rPr>
              <w:t>/搭配强磁针</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23</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磁感线演示器</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上底173*下底198*205MM/配套：条形磁铁、蹄形磁铁、半圆形板</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24</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磁感线演示板</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边长25CM</w:t>
            </w:r>
            <w:r>
              <w:rPr>
                <w:rStyle w:val="26"/>
                <w:rFonts w:hint="default"/>
                <w:highlight w:val="none"/>
              </w:rPr>
              <w:t>±</w:t>
            </w:r>
            <w:r>
              <w:rPr>
                <w:rStyle w:val="26"/>
                <w:rFonts w:hint="eastAsia"/>
                <w:highlight w:val="none"/>
                <w:lang w:val="en-US" w:eastAsia="zh-CN"/>
              </w:rPr>
              <w:t>1C</w:t>
            </w:r>
            <w:r>
              <w:rPr>
                <w:rStyle w:val="26"/>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25</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初中电学演示箱</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磁贴式/规格：66.5*15*36CM</w:t>
            </w:r>
            <w:r>
              <w:rPr>
                <w:rStyle w:val="26"/>
                <w:rFonts w:hint="default"/>
                <w:highlight w:val="none"/>
              </w:rPr>
              <w:t>±</w:t>
            </w:r>
            <w:r>
              <w:rPr>
                <w:rStyle w:val="26"/>
                <w:rFonts w:hint="eastAsia"/>
                <w:highlight w:val="none"/>
                <w:lang w:val="en-US" w:eastAsia="zh-CN"/>
              </w:rPr>
              <w:t>1C</w:t>
            </w:r>
            <w:r>
              <w:rPr>
                <w:rStyle w:val="26"/>
                <w:rFonts w:hint="default"/>
                <w:highlight w:val="none"/>
              </w:rPr>
              <w:t>M</w:t>
            </w:r>
            <w:r>
              <w:rPr>
                <w:rFonts w:hint="eastAsia" w:ascii="宋体" w:hAnsi="宋体" w:cs="宋体"/>
                <w:color w:val="000000"/>
                <w:kern w:val="0"/>
                <w:sz w:val="22"/>
                <w:szCs w:val="22"/>
                <w:highlight w:val="none"/>
              </w:rPr>
              <w:t>/铝合金外箱</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26</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初中光学演示箱</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磁贴式/规格：81.5*14.3*40CM</w:t>
            </w:r>
            <w:r>
              <w:rPr>
                <w:rStyle w:val="26"/>
                <w:rFonts w:hint="default"/>
                <w:highlight w:val="none"/>
              </w:rPr>
              <w:t>±</w:t>
            </w:r>
            <w:r>
              <w:rPr>
                <w:rStyle w:val="26"/>
                <w:rFonts w:hint="eastAsia"/>
                <w:highlight w:val="none"/>
                <w:lang w:val="en-US" w:eastAsia="zh-CN"/>
              </w:rPr>
              <w:t>1C</w:t>
            </w:r>
            <w:r>
              <w:rPr>
                <w:rStyle w:val="26"/>
                <w:rFonts w:hint="default"/>
                <w:highlight w:val="none"/>
              </w:rPr>
              <w:t>M</w:t>
            </w:r>
            <w:r>
              <w:rPr>
                <w:rFonts w:hint="eastAsia" w:ascii="宋体" w:hAnsi="宋体" w:cs="宋体"/>
                <w:color w:val="000000"/>
                <w:kern w:val="0"/>
                <w:sz w:val="22"/>
                <w:szCs w:val="22"/>
                <w:highlight w:val="none"/>
              </w:rPr>
              <w:t>/铝合金外箱</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27</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蜡烛</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直径1.5*高度15CM</w:t>
            </w:r>
            <w:r>
              <w:rPr>
                <w:rStyle w:val="26"/>
                <w:rFonts w:hint="default"/>
                <w:highlight w:val="none"/>
              </w:rPr>
              <w:t>±</w:t>
            </w:r>
            <w:r>
              <w:rPr>
                <w:rStyle w:val="26"/>
                <w:rFonts w:hint="eastAsia"/>
                <w:highlight w:val="none"/>
                <w:lang w:val="en-US" w:eastAsia="zh-CN"/>
              </w:rPr>
              <w:t>1C</w:t>
            </w:r>
            <w:r>
              <w:rPr>
                <w:rStyle w:val="26"/>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支</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150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28</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二力平衡演示器圆盘</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立体/33*51CM</w:t>
            </w:r>
            <w:r>
              <w:rPr>
                <w:rStyle w:val="26"/>
                <w:rFonts w:hint="default"/>
                <w:highlight w:val="none"/>
              </w:rPr>
              <w:t>±</w:t>
            </w:r>
            <w:r>
              <w:rPr>
                <w:rStyle w:val="26"/>
                <w:rFonts w:hint="eastAsia"/>
                <w:highlight w:val="none"/>
                <w:lang w:val="en-US" w:eastAsia="zh-CN"/>
              </w:rPr>
              <w:t>2C</w:t>
            </w:r>
            <w:r>
              <w:rPr>
                <w:rStyle w:val="26"/>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29</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潜水艇沉浮原理演示器</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球直径7CM</w:t>
            </w:r>
            <w:r>
              <w:rPr>
                <w:rStyle w:val="26"/>
                <w:rFonts w:hint="default"/>
                <w:highlight w:val="none"/>
              </w:rPr>
              <w:t>±</w:t>
            </w:r>
            <w:r>
              <w:rPr>
                <w:rStyle w:val="26"/>
                <w:rFonts w:hint="eastAsia"/>
                <w:highlight w:val="none"/>
                <w:lang w:val="en-US" w:eastAsia="zh-CN"/>
              </w:rPr>
              <w:t>1C</w:t>
            </w:r>
            <w:r>
              <w:rPr>
                <w:rStyle w:val="26"/>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阿基米德定律演示器</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大筒14.3*6.3CM/溢水杯10.9*4CM/带盖小桶8.4*3.5CM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31</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玩具电动机</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12种电机齿轮包/电压1.5V-6V/轴径2MM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32</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感应起电机</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29.4*18.3*32.4CM</w:t>
            </w:r>
            <w:r>
              <w:rPr>
                <w:rStyle w:val="26"/>
                <w:rFonts w:hint="default"/>
                <w:highlight w:val="none"/>
              </w:rPr>
              <w:t>±</w:t>
            </w:r>
            <w:r>
              <w:rPr>
                <w:rStyle w:val="26"/>
                <w:rFonts w:hint="eastAsia"/>
                <w:highlight w:val="none"/>
                <w:lang w:val="en-US" w:eastAsia="zh-CN"/>
              </w:rPr>
              <w:t>1C</w:t>
            </w:r>
            <w:r>
              <w:rPr>
                <w:rStyle w:val="26"/>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33</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保险丝作用演示器</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45.5*4.6*31CM</w:t>
            </w:r>
            <w:r>
              <w:rPr>
                <w:rStyle w:val="26"/>
                <w:rFonts w:hint="default"/>
                <w:highlight w:val="none"/>
              </w:rPr>
              <w:t>±</w:t>
            </w:r>
            <w:r>
              <w:rPr>
                <w:rStyle w:val="26"/>
                <w:rFonts w:hint="eastAsia"/>
                <w:highlight w:val="none"/>
                <w:lang w:val="en-US" w:eastAsia="zh-CN"/>
              </w:rPr>
              <w:t>1C</w:t>
            </w:r>
            <w:r>
              <w:rPr>
                <w:rStyle w:val="26"/>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34</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声传播演示器</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宽207*高380*厚25MM</w:t>
            </w:r>
            <w:r>
              <w:rPr>
                <w:rStyle w:val="26"/>
                <w:rFonts w:hint="default"/>
                <w:highlight w:val="none"/>
              </w:rPr>
              <w:t>±</w:t>
            </w:r>
            <w:r>
              <w:rPr>
                <w:rStyle w:val="26"/>
                <w:rFonts w:hint="eastAsia"/>
                <w:highlight w:val="none"/>
                <w:lang w:val="en-US" w:eastAsia="zh-CN"/>
              </w:rPr>
              <w:t>10M</w:t>
            </w:r>
            <w:r>
              <w:rPr>
                <w:rStyle w:val="26"/>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35</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惯性演示器</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17*11*13CM</w:t>
            </w:r>
            <w:r>
              <w:rPr>
                <w:rStyle w:val="26"/>
                <w:rFonts w:hint="default"/>
                <w:highlight w:val="none"/>
              </w:rPr>
              <w:t>±</w:t>
            </w:r>
            <w:r>
              <w:rPr>
                <w:rStyle w:val="26"/>
                <w:rFonts w:hint="eastAsia"/>
                <w:highlight w:val="none"/>
                <w:lang w:val="en-US" w:eastAsia="zh-CN"/>
              </w:rPr>
              <w:t>1C</w:t>
            </w:r>
            <w:r>
              <w:rPr>
                <w:rStyle w:val="26"/>
                <w:rFonts w:hint="default"/>
                <w:highlight w:val="none"/>
              </w:rPr>
              <w:t>M</w:t>
            </w:r>
            <w:r>
              <w:rPr>
                <w:rFonts w:hint="eastAsia" w:ascii="宋体" w:hAnsi="宋体" w:cs="宋体"/>
                <w:color w:val="000000"/>
                <w:kern w:val="0"/>
                <w:sz w:val="22"/>
                <w:szCs w:val="22"/>
                <w:highlight w:val="none"/>
              </w:rPr>
              <w:t>/材质：金属及塑料</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36</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浮力原理演示器</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大水箱120*302MM/小水箱80*95MM/浮体80*75MM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37</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三球仪日食月食原理演示器</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38*25CM</w:t>
            </w:r>
            <w:r>
              <w:rPr>
                <w:rStyle w:val="26"/>
                <w:rFonts w:hint="default"/>
                <w:highlight w:val="none"/>
              </w:rPr>
              <w:t>±</w:t>
            </w:r>
            <w:r>
              <w:rPr>
                <w:rStyle w:val="26"/>
                <w:rFonts w:hint="eastAsia"/>
                <w:highlight w:val="none"/>
                <w:lang w:val="en-US" w:eastAsia="zh-CN"/>
              </w:rPr>
              <w:t>2C</w:t>
            </w:r>
            <w:r>
              <w:rPr>
                <w:rStyle w:val="26"/>
                <w:rFonts w:hint="default"/>
                <w:highlight w:val="none"/>
              </w:rPr>
              <w:t>M</w:t>
            </w:r>
            <w:r>
              <w:rPr>
                <w:rFonts w:hint="eastAsia" w:ascii="宋体" w:hAnsi="宋体" w:cs="宋体"/>
                <w:color w:val="000000"/>
                <w:kern w:val="0"/>
                <w:sz w:val="22"/>
                <w:szCs w:val="22"/>
                <w:highlight w:val="none"/>
              </w:rPr>
              <w:t>/ABS工程塑料</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38</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汽油机模型</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17*11*30CM</w:t>
            </w:r>
            <w:r>
              <w:rPr>
                <w:rStyle w:val="26"/>
                <w:rFonts w:hint="default"/>
                <w:highlight w:val="none"/>
              </w:rPr>
              <w:t>±</w:t>
            </w:r>
            <w:r>
              <w:rPr>
                <w:rStyle w:val="26"/>
                <w:rFonts w:hint="eastAsia"/>
                <w:highlight w:val="none"/>
                <w:lang w:val="en-US" w:eastAsia="zh-CN"/>
              </w:rPr>
              <w:t>1C</w:t>
            </w:r>
            <w:r>
              <w:rPr>
                <w:rStyle w:val="26"/>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39</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柴油机模型</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17*11*30CM</w:t>
            </w:r>
            <w:r>
              <w:rPr>
                <w:rStyle w:val="26"/>
                <w:rFonts w:hint="default"/>
                <w:highlight w:val="none"/>
              </w:rPr>
              <w:t>±</w:t>
            </w:r>
            <w:r>
              <w:rPr>
                <w:rStyle w:val="26"/>
                <w:rFonts w:hint="eastAsia"/>
                <w:highlight w:val="none"/>
                <w:lang w:val="en-US" w:eastAsia="zh-CN"/>
              </w:rPr>
              <w:t>1C</w:t>
            </w:r>
            <w:r>
              <w:rPr>
                <w:rStyle w:val="26"/>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40</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电流磁场演示器</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17.8*14CM</w:t>
            </w:r>
            <w:r>
              <w:rPr>
                <w:rStyle w:val="26"/>
                <w:rFonts w:hint="default"/>
                <w:highlight w:val="none"/>
              </w:rPr>
              <w:t>±</w:t>
            </w:r>
            <w:r>
              <w:rPr>
                <w:rStyle w:val="26"/>
                <w:rFonts w:hint="eastAsia"/>
                <w:highlight w:val="none"/>
                <w:lang w:val="en-US" w:eastAsia="zh-CN"/>
              </w:rPr>
              <w:t>1C</w:t>
            </w:r>
            <w:r>
              <w:rPr>
                <w:rStyle w:val="26"/>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41</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安倍力实验器</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150*110*65MM</w:t>
            </w:r>
            <w:r>
              <w:rPr>
                <w:rStyle w:val="26"/>
                <w:rFonts w:hint="default"/>
                <w:highlight w:val="none"/>
              </w:rPr>
              <w:t>±</w:t>
            </w:r>
            <w:r>
              <w:rPr>
                <w:rStyle w:val="26"/>
                <w:rFonts w:hint="eastAsia"/>
                <w:highlight w:val="none"/>
                <w:lang w:val="en-US" w:eastAsia="zh-CN"/>
              </w:rPr>
              <w:t>10M</w:t>
            </w:r>
            <w:r>
              <w:rPr>
                <w:rStyle w:val="26"/>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42</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条型盒测力计</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5N/15.1*3.5</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43</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条型盒测力计</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1N/15.1*3.5</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44</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电池</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南孚1号无汞</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对</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45</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打火机</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电子点火/80*21.5*11MM</w:t>
            </w:r>
            <w:r>
              <w:rPr>
                <w:rStyle w:val="26"/>
                <w:rFonts w:hint="default"/>
                <w:highlight w:val="none"/>
              </w:rPr>
              <w:t>±</w:t>
            </w:r>
            <w:r>
              <w:rPr>
                <w:rStyle w:val="26"/>
                <w:rFonts w:hint="eastAsia"/>
                <w:highlight w:val="none"/>
                <w:lang w:val="en-US" w:eastAsia="zh-CN"/>
              </w:rPr>
              <w:t>3M</w:t>
            </w:r>
            <w:r>
              <w:rPr>
                <w:rStyle w:val="26"/>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272" w:hRule="atLeast"/>
        </w:trPr>
        <w:tc>
          <w:tcPr>
            <w:tcW w:w="510"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46</w:t>
            </w:r>
          </w:p>
        </w:tc>
        <w:tc>
          <w:tcPr>
            <w:tcW w:w="1068"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酒精</w:t>
            </w:r>
          </w:p>
        </w:tc>
        <w:tc>
          <w:tcPr>
            <w:tcW w:w="4761"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rPr>
              <w:t>7500</w:t>
            </w:r>
            <w:r>
              <w:rPr>
                <w:rFonts w:hint="eastAsia" w:cs="宋体"/>
                <w:color w:val="000000"/>
                <w:kern w:val="0"/>
                <w:sz w:val="22"/>
                <w:szCs w:val="22"/>
                <w:highlight w:val="none"/>
                <w:lang w:val="en-US" w:eastAsia="zh-CN"/>
              </w:rPr>
              <w:t>ML</w:t>
            </w:r>
          </w:p>
        </w:tc>
        <w:tc>
          <w:tcPr>
            <w:tcW w:w="471"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mL</w:t>
            </w:r>
          </w:p>
        </w:tc>
        <w:tc>
          <w:tcPr>
            <w:tcW w:w="54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65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471"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56" w:hRule="atLeast"/>
        </w:trPr>
        <w:tc>
          <w:tcPr>
            <w:tcW w:w="510" w:type="dxa"/>
            <w:tcBorders>
              <w:top w:val="single" w:color="auto" w:sz="4" w:space="0"/>
              <w:left w:val="single" w:color="auto" w:sz="4" w:space="0"/>
              <w:bottom w:val="single" w:color="auto" w:sz="4" w:space="0"/>
              <w:right w:val="nil"/>
            </w:tcBorders>
            <w:noWrap/>
            <w:vAlign w:val="center"/>
          </w:tcPr>
          <w:p>
            <w:pPr>
              <w:rPr>
                <w:rFonts w:hint="eastAsia" w:ascii="宋体" w:hAnsi="宋体" w:cs="宋体"/>
                <w:color w:val="000000"/>
                <w:sz w:val="22"/>
                <w:szCs w:val="22"/>
                <w:highlight w:val="none"/>
              </w:rPr>
            </w:pPr>
          </w:p>
        </w:tc>
        <w:tc>
          <w:tcPr>
            <w:tcW w:w="5829" w:type="dxa"/>
            <w:gridSpan w:val="2"/>
            <w:tcBorders>
              <w:top w:val="single" w:color="auto" w:sz="4" w:space="0"/>
              <w:left w:val="nil"/>
              <w:bottom w:val="single" w:color="auto" w:sz="4" w:space="0"/>
              <w:right w:val="nil"/>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合计</w:t>
            </w:r>
          </w:p>
        </w:tc>
        <w:tc>
          <w:tcPr>
            <w:tcW w:w="471" w:type="dxa"/>
            <w:tcBorders>
              <w:top w:val="single" w:color="auto" w:sz="4" w:space="0"/>
              <w:left w:val="nil"/>
              <w:bottom w:val="single" w:color="auto" w:sz="4" w:space="0"/>
              <w:right w:val="nil"/>
            </w:tcBorders>
            <w:noWrap/>
            <w:vAlign w:val="center"/>
          </w:tcPr>
          <w:p>
            <w:pPr>
              <w:rPr>
                <w:rFonts w:hint="eastAsia" w:ascii="宋体" w:hAnsi="宋体" w:cs="宋体"/>
                <w:color w:val="000000"/>
                <w:sz w:val="22"/>
                <w:szCs w:val="22"/>
                <w:highlight w:val="none"/>
              </w:rPr>
            </w:pPr>
          </w:p>
        </w:tc>
        <w:tc>
          <w:tcPr>
            <w:tcW w:w="546" w:type="dxa"/>
            <w:tcBorders>
              <w:top w:val="single" w:color="auto" w:sz="4" w:space="0"/>
              <w:left w:val="nil"/>
              <w:bottom w:val="single" w:color="auto" w:sz="4" w:space="0"/>
              <w:right w:val="nil"/>
            </w:tcBorders>
            <w:noWrap/>
            <w:vAlign w:val="center"/>
          </w:tcPr>
          <w:p>
            <w:pPr>
              <w:rPr>
                <w:rFonts w:hint="eastAsia" w:ascii="宋体" w:hAnsi="宋体" w:cs="宋体"/>
                <w:color w:val="000000"/>
                <w:sz w:val="22"/>
                <w:szCs w:val="22"/>
                <w:highlight w:val="none"/>
              </w:rPr>
            </w:pPr>
          </w:p>
        </w:tc>
        <w:tc>
          <w:tcPr>
            <w:tcW w:w="656" w:type="dxa"/>
            <w:tcBorders>
              <w:top w:val="single" w:color="auto" w:sz="4" w:space="0"/>
              <w:left w:val="nil"/>
              <w:bottom w:val="single" w:color="auto" w:sz="4" w:space="0"/>
              <w:right w:val="nil"/>
            </w:tcBorders>
            <w:noWrap/>
            <w:vAlign w:val="center"/>
          </w:tcPr>
          <w:p>
            <w:pPr>
              <w:rPr>
                <w:rFonts w:hint="eastAsia" w:ascii="宋体" w:hAnsi="宋体" w:cs="宋体"/>
                <w:color w:val="000000"/>
                <w:sz w:val="22"/>
                <w:szCs w:val="22"/>
                <w:highlight w:val="none"/>
              </w:rPr>
            </w:pPr>
          </w:p>
        </w:tc>
        <w:tc>
          <w:tcPr>
            <w:tcW w:w="1347" w:type="dxa"/>
            <w:gridSpan w:val="2"/>
            <w:tcBorders>
              <w:top w:val="single" w:color="auto" w:sz="4" w:space="0"/>
              <w:left w:val="single" w:color="000000" w:sz="8" w:space="0"/>
              <w:bottom w:val="single" w:color="auto" w:sz="4" w:space="0"/>
              <w:right w:val="single" w:color="auto" w:sz="4" w:space="0"/>
            </w:tcBorders>
            <w:noWrap/>
            <w:vAlign w:val="center"/>
          </w:tcPr>
          <w:p>
            <w:pPr>
              <w:rPr>
                <w:rFonts w:hint="eastAsia" w:ascii="宋体" w:hAnsi="宋体" w:cs="宋体"/>
                <w:color w:val="000000"/>
                <w:sz w:val="22"/>
                <w:szCs w:val="22"/>
                <w:highlight w:val="none"/>
              </w:rPr>
            </w:pPr>
          </w:p>
        </w:tc>
      </w:tr>
    </w:tbl>
    <w:p>
      <w:pPr>
        <w:spacing w:line="400" w:lineRule="exact"/>
        <w:rPr>
          <w:rFonts w:hint="eastAsia"/>
          <w:b/>
          <w:sz w:val="24"/>
          <w:highlight w:val="none"/>
        </w:rPr>
      </w:pPr>
    </w:p>
    <w:p>
      <w:pPr>
        <w:rPr>
          <w:rFonts w:hint="eastAsia"/>
          <w:b/>
          <w:sz w:val="24"/>
          <w:highlight w:val="none"/>
        </w:rPr>
      </w:pPr>
    </w:p>
    <w:tbl>
      <w:tblPr>
        <w:tblStyle w:val="17"/>
        <w:tblW w:w="9519" w:type="dxa"/>
        <w:tblInd w:w="93" w:type="dxa"/>
        <w:tblLayout w:type="fixed"/>
        <w:tblCellMar>
          <w:top w:w="0" w:type="dxa"/>
          <w:left w:w="108" w:type="dxa"/>
          <w:bottom w:w="0" w:type="dxa"/>
          <w:right w:w="108" w:type="dxa"/>
        </w:tblCellMar>
      </w:tblPr>
      <w:tblGrid>
        <w:gridCol w:w="522"/>
        <w:gridCol w:w="1125"/>
        <w:gridCol w:w="4104"/>
        <w:gridCol w:w="723"/>
        <w:gridCol w:w="723"/>
        <w:gridCol w:w="723"/>
        <w:gridCol w:w="876"/>
        <w:gridCol w:w="723"/>
      </w:tblGrid>
      <w:tr>
        <w:tblPrEx>
          <w:tblCellMar>
            <w:top w:w="0" w:type="dxa"/>
            <w:left w:w="108" w:type="dxa"/>
            <w:bottom w:w="0" w:type="dxa"/>
            <w:right w:w="108" w:type="dxa"/>
          </w:tblCellMar>
        </w:tblPrEx>
        <w:trPr>
          <w:trHeight w:val="753" w:hRule="atLeast"/>
        </w:trPr>
        <w:tc>
          <w:tcPr>
            <w:tcW w:w="9519" w:type="dxa"/>
            <w:gridSpan w:val="8"/>
            <w:tcBorders>
              <w:top w:val="single" w:color="auto" w:sz="4" w:space="0"/>
              <w:left w:val="single" w:color="auto" w:sz="4" w:space="0"/>
              <w:bottom w:val="single" w:color="auto" w:sz="4" w:space="0"/>
              <w:right w:val="single" w:color="auto" w:sz="4" w:space="0"/>
            </w:tcBorders>
            <w:shd w:val="clear" w:color="auto" w:fill="FDE9D9"/>
            <w:noWrap/>
            <w:vAlign w:val="center"/>
          </w:tcPr>
          <w:p>
            <w:pPr>
              <w:jc w:val="center"/>
              <w:rPr>
                <w:rFonts w:hint="eastAsia" w:ascii="宋体" w:hAnsi="宋体" w:cs="宋体"/>
                <w:color w:val="000000"/>
                <w:sz w:val="22"/>
                <w:szCs w:val="22"/>
                <w:highlight w:val="none"/>
              </w:rPr>
            </w:pPr>
            <w:r>
              <w:rPr>
                <w:rFonts w:hint="eastAsia" w:ascii="宋体" w:hAnsi="宋体" w:cs="宋体"/>
                <w:color w:val="000000"/>
                <w:kern w:val="0"/>
                <w:sz w:val="36"/>
                <w:szCs w:val="36"/>
                <w:highlight w:val="none"/>
              </w:rPr>
              <w:t>9、初中化学仪器设备</w:t>
            </w:r>
          </w:p>
        </w:tc>
      </w:tr>
      <w:tr>
        <w:tblPrEx>
          <w:tblCellMar>
            <w:top w:w="0" w:type="dxa"/>
            <w:left w:w="108" w:type="dxa"/>
            <w:bottom w:w="0" w:type="dxa"/>
            <w:right w:w="108" w:type="dxa"/>
          </w:tblCellMar>
        </w:tblPrEx>
        <w:trPr>
          <w:trHeight w:val="382" w:hRule="atLeast"/>
        </w:trPr>
        <w:tc>
          <w:tcPr>
            <w:tcW w:w="52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序号</w:t>
            </w:r>
          </w:p>
        </w:tc>
        <w:tc>
          <w:tcPr>
            <w:tcW w:w="112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品名</w:t>
            </w:r>
          </w:p>
        </w:tc>
        <w:tc>
          <w:tcPr>
            <w:tcW w:w="4104"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 xml:space="preserve">参数 </w:t>
            </w:r>
          </w:p>
        </w:tc>
        <w:tc>
          <w:tcPr>
            <w:tcW w:w="723"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单位</w:t>
            </w:r>
          </w:p>
        </w:tc>
        <w:tc>
          <w:tcPr>
            <w:tcW w:w="723"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数量</w:t>
            </w:r>
          </w:p>
        </w:tc>
        <w:tc>
          <w:tcPr>
            <w:tcW w:w="723"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单价</w:t>
            </w:r>
          </w:p>
        </w:tc>
        <w:tc>
          <w:tcPr>
            <w:tcW w:w="87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合价</w:t>
            </w:r>
          </w:p>
        </w:tc>
        <w:tc>
          <w:tcPr>
            <w:tcW w:w="723"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备注</w:t>
            </w: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试管</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18*180mm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根</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五指山思源实验学校</w:t>
            </w: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试管</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20*200mm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根</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试管</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30*200mm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根</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具支试管</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顶部具支20*200mm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根</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集气瓶</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250ml/瓶口内径37*高度122*瓶底直径67MM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集气瓶</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500ml/瓶口内径44*高度155*瓶底直径80MM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水电解器</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25ml/尺寸：底座120*82*335MM/玻璃管外径15MM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教学电源</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12V/交流输出：2-12V，每2V一档，共6档</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9</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教学电源</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16V/交流输出：2-16V，每2V一档，共8档</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教学电源</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24V/交流输出：2-16V，每2V一档，共8档</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11</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量筒</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10ml/高110MM/玻璃自带刻度</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510"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滴管</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5ml/长200MM/带吸球、刻度</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13</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水槽</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直径27*高14CM/270*140mm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14</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蓝石蕊试纸</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100条/盒</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盒</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红石蕊试纸</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100条/盒</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盒</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16</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pH广泛试纸</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7*4.5CM/80张一本</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盒</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17</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提篮</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42*28*38CM</w:t>
            </w:r>
            <w:r>
              <w:rPr>
                <w:rStyle w:val="26"/>
                <w:rFonts w:hint="default"/>
                <w:highlight w:val="none"/>
              </w:rPr>
              <w:t>±</w:t>
            </w:r>
            <w:r>
              <w:rPr>
                <w:rStyle w:val="26"/>
                <w:rFonts w:hint="eastAsia"/>
                <w:highlight w:val="none"/>
                <w:lang w:val="en-US" w:eastAsia="zh-CN"/>
              </w:rPr>
              <w:t>2C</w:t>
            </w:r>
            <w:r>
              <w:rPr>
                <w:rStyle w:val="26"/>
                <w:rFonts w:hint="default"/>
                <w:highlight w:val="none"/>
              </w:rPr>
              <w:t>M</w:t>
            </w:r>
            <w:r>
              <w:rPr>
                <w:rFonts w:hint="eastAsia" w:ascii="宋体" w:hAnsi="宋体" w:cs="宋体"/>
                <w:color w:val="000000"/>
                <w:kern w:val="0"/>
                <w:sz w:val="22"/>
                <w:szCs w:val="22"/>
                <w:highlight w:val="none"/>
              </w:rPr>
              <w:t>/底部高8CM</w:t>
            </w:r>
            <w:r>
              <w:rPr>
                <w:rStyle w:val="26"/>
                <w:rFonts w:hint="default"/>
                <w:highlight w:val="none"/>
              </w:rPr>
              <w:t>±</w:t>
            </w:r>
            <w:r>
              <w:rPr>
                <w:rStyle w:val="26"/>
                <w:rFonts w:hint="eastAsia"/>
                <w:highlight w:val="none"/>
                <w:lang w:val="en-US" w:eastAsia="zh-CN"/>
              </w:rPr>
              <w:t>1C</w:t>
            </w:r>
            <w:r>
              <w:rPr>
                <w:rStyle w:val="26"/>
                <w:rFonts w:hint="default"/>
                <w:highlight w:val="none"/>
              </w:rPr>
              <w:t>M</w:t>
            </w:r>
            <w:r>
              <w:rPr>
                <w:rFonts w:hint="eastAsia" w:ascii="宋体" w:hAnsi="宋体" w:cs="宋体"/>
                <w:color w:val="000000"/>
                <w:kern w:val="0"/>
                <w:sz w:val="22"/>
                <w:szCs w:val="22"/>
                <w:highlight w:val="none"/>
              </w:rPr>
              <w:t>/材质：木</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18</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乳胶管</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5*7mm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19</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烧杯</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1000ml/瓶外径105*高度158MM/材质：高硼硅/刻度清晰</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试剂瓶</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3000ml/螺纹外径45*瓶身外径160*高295MM</w:t>
            </w:r>
            <w:r>
              <w:rPr>
                <w:rStyle w:val="26"/>
                <w:rFonts w:hint="default"/>
                <w:highlight w:val="none"/>
              </w:rPr>
              <w:t>±</w:t>
            </w:r>
            <w:r>
              <w:rPr>
                <w:rStyle w:val="26"/>
                <w:rFonts w:hint="eastAsia"/>
                <w:highlight w:val="none"/>
                <w:lang w:val="en-US" w:eastAsia="zh-CN"/>
              </w:rPr>
              <w:t>10M</w:t>
            </w:r>
            <w:r>
              <w:rPr>
                <w:rStyle w:val="26"/>
                <w:rFonts w:hint="default"/>
                <w:highlight w:val="none"/>
              </w:rPr>
              <w:t>M</w:t>
            </w:r>
            <w:r>
              <w:rPr>
                <w:rFonts w:hint="eastAsia" w:ascii="宋体" w:hAnsi="宋体" w:cs="宋体"/>
                <w:color w:val="000000"/>
                <w:kern w:val="0"/>
                <w:sz w:val="22"/>
                <w:szCs w:val="22"/>
                <w:highlight w:val="none"/>
              </w:rPr>
              <w:t>/材质：高硼硅透明</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21</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试剂瓶</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500ml/螺纹外径45*瓶身外径86*高176MM/材质：高硼硅透明</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22</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碱式滴瓶</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30ml/38*94MM</w:t>
            </w:r>
            <w:r>
              <w:rPr>
                <w:rStyle w:val="26"/>
                <w:rFonts w:hint="default"/>
                <w:highlight w:val="none"/>
              </w:rPr>
              <w:t>±</w:t>
            </w:r>
            <w:r>
              <w:rPr>
                <w:rStyle w:val="26"/>
                <w:rFonts w:hint="eastAsia"/>
                <w:highlight w:val="none"/>
                <w:lang w:val="en-US" w:eastAsia="zh-CN"/>
              </w:rPr>
              <w:t>5M</w:t>
            </w:r>
            <w:r>
              <w:rPr>
                <w:rStyle w:val="26"/>
                <w:rFonts w:hint="default"/>
                <w:highlight w:val="none"/>
              </w:rPr>
              <w:t>M</w:t>
            </w:r>
            <w:r>
              <w:rPr>
                <w:rFonts w:hint="eastAsia" w:ascii="宋体" w:hAnsi="宋体" w:cs="宋体"/>
                <w:color w:val="000000"/>
                <w:kern w:val="0"/>
                <w:sz w:val="22"/>
                <w:szCs w:val="22"/>
                <w:highlight w:val="none"/>
              </w:rPr>
              <w:t>/加厚透明</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23</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滤纸</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9cm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盒</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24</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滤纸</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11cm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盒</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滤纸</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12.5cm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盒</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26</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蒸发皿</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100ml/上盖直接105*下底直径100*高20MM/材质：玻璃</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753"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27</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铁架台</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杆长：50CM，底座尺寸：21*13.5CM/构成：底板1个，烧瓶夹1个，大小铁圈各1个（自带固定 夹），十字夹1个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150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753"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28</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小型启普发生器</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125ml</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753"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29</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小型启普发生器</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250ml</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医用脱脂棉花</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500克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包</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31</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酒精灯芯</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8mm/长：15CM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根</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32</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分液漏斗</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球形/加厚玻璃 耐高温/500ML</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33</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塑料注射器</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100ml</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支</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34</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塑料注射器</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10ml</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支</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天平</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2千克/19.5*9CM</w:t>
            </w:r>
            <w:r>
              <w:rPr>
                <w:rStyle w:val="26"/>
                <w:rFonts w:hint="default"/>
                <w:highlight w:val="none"/>
              </w:rPr>
              <w:t>±</w:t>
            </w:r>
            <w:r>
              <w:rPr>
                <w:rStyle w:val="26"/>
                <w:rFonts w:hint="eastAsia"/>
                <w:highlight w:val="none"/>
                <w:lang w:val="en-US" w:eastAsia="zh-CN"/>
              </w:rPr>
              <w:t>1C</w:t>
            </w:r>
            <w:r>
              <w:rPr>
                <w:rStyle w:val="26"/>
                <w:rFonts w:hint="default"/>
                <w:highlight w:val="none"/>
              </w:rPr>
              <w:t>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36</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天平</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500克/19.5*9CM</w:t>
            </w:r>
            <w:r>
              <w:rPr>
                <w:rStyle w:val="26"/>
                <w:rFonts w:hint="default"/>
                <w:highlight w:val="none"/>
              </w:rPr>
              <w:t>±</w:t>
            </w:r>
            <w:r>
              <w:rPr>
                <w:rStyle w:val="26"/>
                <w:rFonts w:hint="eastAsia"/>
                <w:highlight w:val="none"/>
                <w:lang w:val="en-US" w:eastAsia="zh-CN"/>
              </w:rPr>
              <w:t>1C</w:t>
            </w:r>
            <w:r>
              <w:rPr>
                <w:rStyle w:val="26"/>
                <w:rFonts w:hint="default"/>
                <w:highlight w:val="none"/>
              </w:rPr>
              <w:t>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37</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天平</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100克/19.5*9CM</w:t>
            </w:r>
            <w:r>
              <w:rPr>
                <w:rStyle w:val="26"/>
                <w:rFonts w:hint="default"/>
                <w:highlight w:val="none"/>
              </w:rPr>
              <w:t>±</w:t>
            </w:r>
            <w:r>
              <w:rPr>
                <w:rStyle w:val="26"/>
                <w:rFonts w:hint="eastAsia"/>
                <w:highlight w:val="none"/>
                <w:lang w:val="en-US" w:eastAsia="zh-CN"/>
              </w:rPr>
              <w:t>1C</w:t>
            </w:r>
            <w:r>
              <w:rPr>
                <w:rStyle w:val="26"/>
                <w:rFonts w:hint="default"/>
                <w:highlight w:val="none"/>
              </w:rPr>
              <w:t>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38</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酒精喷灯</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全铜座式/底径10.5*高16CM/250ML</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39</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凡士林</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680g</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753"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40</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研钵</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216mm/外直径219*高度89MM</w:t>
            </w:r>
            <w:r>
              <w:rPr>
                <w:rStyle w:val="26"/>
                <w:rFonts w:hint="default"/>
                <w:highlight w:val="none"/>
              </w:rPr>
              <w:t>±</w:t>
            </w:r>
            <w:r>
              <w:rPr>
                <w:rStyle w:val="26"/>
                <w:rFonts w:hint="eastAsia"/>
                <w:highlight w:val="none"/>
                <w:lang w:val="en-US" w:eastAsia="zh-CN"/>
              </w:rPr>
              <w:t>5M</w:t>
            </w:r>
            <w:r>
              <w:rPr>
                <w:rStyle w:val="26"/>
                <w:rFonts w:hint="default"/>
                <w:highlight w:val="none"/>
              </w:rPr>
              <w:t>M</w:t>
            </w:r>
            <w:r>
              <w:rPr>
                <w:rFonts w:hint="eastAsia" w:ascii="宋体" w:hAnsi="宋体" w:cs="宋体"/>
                <w:color w:val="000000"/>
                <w:kern w:val="0"/>
                <w:sz w:val="22"/>
                <w:szCs w:val="22"/>
                <w:highlight w:val="none"/>
              </w:rPr>
              <w:t>；研钵棒长度205MM</w:t>
            </w:r>
            <w:r>
              <w:rPr>
                <w:rStyle w:val="26"/>
                <w:rFonts w:hint="default"/>
                <w:highlight w:val="none"/>
              </w:rPr>
              <w:t>±</w:t>
            </w:r>
            <w:r>
              <w:rPr>
                <w:rStyle w:val="26"/>
                <w:rFonts w:hint="eastAsia"/>
                <w:highlight w:val="none"/>
                <w:lang w:val="en-US" w:eastAsia="zh-CN"/>
              </w:rPr>
              <w:t>5M</w:t>
            </w:r>
            <w:r>
              <w:rPr>
                <w:rStyle w:val="26"/>
                <w:rFonts w:hint="default"/>
                <w:highlight w:val="none"/>
              </w:rPr>
              <w:t>M</w:t>
            </w:r>
            <w:r>
              <w:rPr>
                <w:rFonts w:hint="eastAsia" w:ascii="宋体" w:hAnsi="宋体" w:cs="宋体"/>
                <w:color w:val="000000"/>
                <w:kern w:val="0"/>
                <w:sz w:val="22"/>
                <w:szCs w:val="22"/>
                <w:highlight w:val="none"/>
              </w:rPr>
              <w:t>/材质：陶瓷；白色</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41</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排插座</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线长2米/尺寸：230*55*32MM/4组合孔/阻燃耐高温/线芯加粗</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42</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排插座</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线长5米/尺寸：298*55*32MM/5组合孔/阻燃耐高温/线芯加粗</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43</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木制试管架</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8孔/孔直径22*长300*高90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44</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镁条</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25克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包</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硬铝</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0.8*100*100MM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46</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纯铝</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150*200*3MM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47</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黄铜</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100*100*1MM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48</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纯铜</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10*20*100MM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49</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氢氧化钙</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500克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氢氧化钠</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500克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51</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盐酸</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500ml</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52</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乙醇</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500ml 95%</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箱</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53</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碳酸钙</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500克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54</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锌粒</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100克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二氧化锰</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500克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56</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氨水</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500ml</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57</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硫酸铵</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500克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58</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活性炭</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500克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59</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磷矿粉</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500克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60</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过磷酸钙</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500克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61</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碳酸氢铵</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500克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62</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硝酸铵</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500克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63</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过氧化氢</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64</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高锰酸钾</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500克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硝酸</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500克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66</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氯酸钾</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500克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67</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硝酸钾</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500克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68</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生石灰</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500克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69</w:t>
            </w:r>
          </w:p>
        </w:tc>
        <w:tc>
          <w:tcPr>
            <w:tcW w:w="112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乙酸</w:t>
            </w:r>
          </w:p>
        </w:tc>
        <w:tc>
          <w:tcPr>
            <w:tcW w:w="410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500ml</w:t>
            </w:r>
          </w:p>
        </w:tc>
        <w:tc>
          <w:tcPr>
            <w:tcW w:w="72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72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72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876"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723"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82" w:hRule="atLeast"/>
        </w:trPr>
        <w:tc>
          <w:tcPr>
            <w:tcW w:w="6474" w:type="dxa"/>
            <w:gridSpan w:val="4"/>
            <w:tcBorders>
              <w:top w:val="single" w:color="auto" w:sz="4" w:space="0"/>
              <w:left w:val="single" w:color="auto" w:sz="4"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合计</w:t>
            </w:r>
          </w:p>
        </w:tc>
        <w:tc>
          <w:tcPr>
            <w:tcW w:w="723" w:type="dxa"/>
            <w:tcBorders>
              <w:top w:val="single" w:color="auto" w:sz="4" w:space="0"/>
              <w:left w:val="nil"/>
              <w:bottom w:val="single" w:color="auto" w:sz="4" w:space="0"/>
              <w:right w:val="nil"/>
            </w:tcBorders>
            <w:noWrap/>
            <w:vAlign w:val="center"/>
          </w:tcPr>
          <w:p>
            <w:pPr>
              <w:rPr>
                <w:rFonts w:hint="eastAsia" w:ascii="宋体" w:hAnsi="宋体" w:cs="宋体"/>
                <w:color w:val="000000"/>
                <w:sz w:val="22"/>
                <w:szCs w:val="22"/>
                <w:highlight w:val="none"/>
              </w:rPr>
            </w:pPr>
          </w:p>
        </w:tc>
        <w:tc>
          <w:tcPr>
            <w:tcW w:w="723" w:type="dxa"/>
            <w:tcBorders>
              <w:top w:val="single" w:color="auto" w:sz="4" w:space="0"/>
              <w:left w:val="nil"/>
              <w:bottom w:val="single" w:color="auto" w:sz="4" w:space="0"/>
              <w:right w:val="nil"/>
            </w:tcBorders>
            <w:noWrap/>
            <w:vAlign w:val="center"/>
          </w:tcPr>
          <w:p>
            <w:pPr>
              <w:rPr>
                <w:rFonts w:hint="eastAsia" w:ascii="宋体" w:hAnsi="宋体" w:cs="宋体"/>
                <w:color w:val="000000"/>
                <w:sz w:val="22"/>
                <w:szCs w:val="22"/>
                <w:highlight w:val="none"/>
              </w:rPr>
            </w:pPr>
          </w:p>
        </w:tc>
        <w:tc>
          <w:tcPr>
            <w:tcW w:w="1599" w:type="dxa"/>
            <w:gridSpan w:val="2"/>
            <w:tcBorders>
              <w:top w:val="single" w:color="auto" w:sz="4" w:space="0"/>
              <w:left w:val="single" w:color="000000" w:sz="4" w:space="0"/>
              <w:bottom w:val="single" w:color="auto" w:sz="4" w:space="0"/>
              <w:right w:val="single" w:color="auto" w:sz="4" w:space="0"/>
            </w:tcBorders>
            <w:noWrap/>
            <w:vAlign w:val="center"/>
          </w:tcPr>
          <w:p>
            <w:pPr>
              <w:rPr>
                <w:rFonts w:hint="eastAsia" w:ascii="宋体" w:hAnsi="宋体" w:cs="宋体"/>
                <w:color w:val="000000"/>
                <w:sz w:val="22"/>
                <w:szCs w:val="22"/>
                <w:highlight w:val="none"/>
              </w:rPr>
            </w:pPr>
          </w:p>
        </w:tc>
      </w:tr>
    </w:tbl>
    <w:p>
      <w:pPr>
        <w:pStyle w:val="7"/>
        <w:jc w:val="both"/>
        <w:rPr>
          <w:rFonts w:hint="eastAsia"/>
          <w:sz w:val="24"/>
          <w:highlight w:val="none"/>
        </w:rPr>
      </w:pPr>
    </w:p>
    <w:p>
      <w:pPr>
        <w:rPr>
          <w:rFonts w:hint="eastAsia"/>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pStyle w:val="7"/>
        <w:rPr>
          <w:rFonts w:hint="eastAsia"/>
          <w:sz w:val="24"/>
          <w:highlight w:val="none"/>
        </w:rPr>
      </w:pPr>
    </w:p>
    <w:p>
      <w:pPr>
        <w:rPr>
          <w:rFonts w:hint="eastAsia"/>
          <w:b/>
          <w:sz w:val="24"/>
          <w:highlight w:val="none"/>
        </w:rPr>
      </w:pPr>
    </w:p>
    <w:p>
      <w:pPr>
        <w:pStyle w:val="7"/>
        <w:rPr>
          <w:rFonts w:hint="eastAsia"/>
          <w:sz w:val="24"/>
          <w:highlight w:val="none"/>
        </w:rPr>
      </w:pPr>
    </w:p>
    <w:p>
      <w:pPr>
        <w:rPr>
          <w:rFonts w:hint="eastAsia"/>
          <w:b/>
          <w:sz w:val="24"/>
          <w:highlight w:val="none"/>
        </w:rPr>
      </w:pPr>
    </w:p>
    <w:p>
      <w:pPr>
        <w:pStyle w:val="7"/>
        <w:rPr>
          <w:rFonts w:hint="eastAsia"/>
          <w:sz w:val="24"/>
          <w:highlight w:val="none"/>
        </w:rPr>
      </w:pPr>
    </w:p>
    <w:p>
      <w:pPr>
        <w:rPr>
          <w:rFonts w:hint="eastAsia"/>
          <w:b/>
          <w:sz w:val="24"/>
          <w:highlight w:val="none"/>
        </w:rPr>
      </w:pPr>
    </w:p>
    <w:p>
      <w:pPr>
        <w:pStyle w:val="7"/>
        <w:rPr>
          <w:rFonts w:hint="eastAsia"/>
          <w:sz w:val="24"/>
          <w:highlight w:val="none"/>
        </w:rPr>
      </w:pPr>
    </w:p>
    <w:p>
      <w:pPr>
        <w:rPr>
          <w:rFonts w:hint="eastAsia"/>
          <w:b/>
          <w:sz w:val="24"/>
          <w:highlight w:val="none"/>
        </w:rPr>
      </w:pPr>
    </w:p>
    <w:p>
      <w:pPr>
        <w:pStyle w:val="7"/>
        <w:rPr>
          <w:rFonts w:hint="eastAsia"/>
          <w:sz w:val="24"/>
          <w:highlight w:val="none"/>
        </w:rPr>
      </w:pPr>
    </w:p>
    <w:p>
      <w:pPr>
        <w:rPr>
          <w:rFonts w:hint="eastAsia"/>
          <w:b/>
          <w:sz w:val="24"/>
          <w:highlight w:val="none"/>
        </w:rPr>
      </w:pPr>
    </w:p>
    <w:tbl>
      <w:tblPr>
        <w:tblStyle w:val="17"/>
        <w:tblW w:w="9319" w:type="dxa"/>
        <w:tblInd w:w="93"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463"/>
        <w:gridCol w:w="1059"/>
        <w:gridCol w:w="4751"/>
        <w:gridCol w:w="454"/>
        <w:gridCol w:w="546"/>
        <w:gridCol w:w="656"/>
        <w:gridCol w:w="766"/>
        <w:gridCol w:w="62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262" w:hRule="atLeast"/>
        </w:trPr>
        <w:tc>
          <w:tcPr>
            <w:tcW w:w="9319" w:type="dxa"/>
            <w:gridSpan w:val="8"/>
            <w:tcBorders>
              <w:bottom w:val="single" w:color="auto" w:sz="4" w:space="0"/>
            </w:tcBorders>
            <w:shd w:val="clear" w:color="auto" w:fill="FDE9D9"/>
            <w:noWrap/>
            <w:vAlign w:val="center"/>
          </w:tcPr>
          <w:p>
            <w:pPr>
              <w:jc w:val="center"/>
              <w:rPr>
                <w:rFonts w:hint="eastAsia" w:ascii="宋体" w:hAnsi="宋体" w:cs="宋体"/>
                <w:color w:val="000000"/>
                <w:sz w:val="22"/>
                <w:szCs w:val="22"/>
                <w:highlight w:val="none"/>
              </w:rPr>
            </w:pPr>
            <w:r>
              <w:rPr>
                <w:rFonts w:hint="eastAsia" w:ascii="宋体" w:hAnsi="宋体" w:cs="宋体"/>
                <w:color w:val="000000"/>
                <w:kern w:val="0"/>
                <w:sz w:val="52"/>
                <w:szCs w:val="52"/>
                <w:highlight w:val="none"/>
              </w:rPr>
              <w:t>10、初中生物仪器设备</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auto"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序号</w:t>
            </w:r>
          </w:p>
        </w:tc>
        <w:tc>
          <w:tcPr>
            <w:tcW w:w="1059"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品名</w:t>
            </w:r>
          </w:p>
        </w:tc>
        <w:tc>
          <w:tcPr>
            <w:tcW w:w="4751"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 xml:space="preserve">参数 </w:t>
            </w:r>
          </w:p>
        </w:tc>
        <w:tc>
          <w:tcPr>
            <w:tcW w:w="454"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单位</w:t>
            </w:r>
          </w:p>
        </w:tc>
        <w:tc>
          <w:tcPr>
            <w:tcW w:w="54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数量</w:t>
            </w:r>
          </w:p>
        </w:tc>
        <w:tc>
          <w:tcPr>
            <w:tcW w:w="65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单价</w:t>
            </w:r>
          </w:p>
        </w:tc>
        <w:tc>
          <w:tcPr>
            <w:tcW w:w="76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合价</w:t>
            </w:r>
          </w:p>
        </w:tc>
        <w:tc>
          <w:tcPr>
            <w:tcW w:w="624" w:type="dxa"/>
            <w:tcBorders>
              <w:top w:val="single" w:color="auto"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511"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双目生物显微镜</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放大倍数40X-1600X；观察镜筒：双目TV，45度倾斜，360度旋转；目镜：广角目镜WF10X/18mm，广角WF16X/14mm；物镜：平场消色差物镜4X、10X、40X（弹）、100X（弹油）；转换器：四孔内倾，钢珠定位；载物台双层机械移动平台，大小125×115mm，移动范围70×30mm；调焦机构：粗微动同轴，粗调20mm，微调0.002mm；聚光镜阿贝聚光镜,N.A.=1.25,可变光阑，拨杆升降；照明：临界照明；光源：LED冷光源,3W,亮度可调；电      源电子变压器,宽电压AC 100V-250V</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台</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15</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24" w:type="dxa"/>
            <w:vMerge w:val="restart"/>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五指山思源实验学校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057"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数码显微镜</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【放大倍数】40X-1600X</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【观察镜筒】无限远数字铰链双目，30°倾斜，瞳距55-75mm，内置CMOS摄像系统</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【目    镜】广角WF10X/20mm，广角WF16X/15mm</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【转 换 器】四孔内定位内倾</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【物    镜】无限远平场消色差物镜，IPL4X、IPL10X、IPL40X(弹)、IPL100X(弹油)</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【调焦机构】粗微动同轴，粗调22mm，微动精度0.002mm</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【载 物 台】双层机械移动平台，双切片夹，大小160mm×142mm，移动范围76mm×52mm</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【聚 光 镜】阿贝聚光镜，N.A.=1.25，可变光阑，聚光镜中心可调，手轮升降</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【光    源】LED 3W，不可充电，亮度可调</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【电    源】开关电源，自适应AC 100V-250V宽电压</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【图像设备】1/2" CMOS，500万像素，2592×1944分辨率</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【信号输出】USB2.0接口，USB2.0数据线</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台</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放大镜</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163*76*13CM/镜片倍率20X-10/</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6"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解剖器</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不锈钢</w:t>
            </w:r>
            <w:r>
              <w:rPr>
                <w:rFonts w:cs="Calibri"/>
                <w:color w:val="000000"/>
                <w:kern w:val="0"/>
                <w:sz w:val="22"/>
                <w:szCs w:val="22"/>
                <w:highlight w:val="none"/>
              </w:rPr>
              <w:t>,7</w:t>
            </w:r>
            <w:r>
              <w:rPr>
                <w:rFonts w:hint="eastAsia" w:ascii="宋体" w:hAnsi="宋体" w:cs="宋体"/>
                <w:color w:val="000000"/>
                <w:kern w:val="0"/>
                <w:sz w:val="22"/>
                <w:szCs w:val="22"/>
                <w:highlight w:val="none"/>
              </w:rPr>
              <w:t>件套</w:t>
            </w:r>
            <w:r>
              <w:rPr>
                <w:rFonts w:cs="Calibri"/>
                <w:color w:val="000000"/>
                <w:kern w:val="0"/>
                <w:sz w:val="22"/>
                <w:szCs w:val="22"/>
                <w:highlight w:val="none"/>
              </w:rPr>
              <w:t>/</w:t>
            </w:r>
            <w:r>
              <w:rPr>
                <w:rFonts w:hint="eastAsia" w:ascii="宋体" w:hAnsi="宋体" w:cs="宋体"/>
                <w:color w:val="000000"/>
                <w:kern w:val="0"/>
                <w:sz w:val="22"/>
                <w:szCs w:val="22"/>
                <w:highlight w:val="none"/>
              </w:rPr>
              <w:t>解剖弯剪</w:t>
            </w:r>
            <w:r>
              <w:rPr>
                <w:rFonts w:cs="Calibri"/>
                <w:color w:val="000000"/>
                <w:kern w:val="0"/>
                <w:sz w:val="22"/>
                <w:szCs w:val="22"/>
                <w:highlight w:val="none"/>
              </w:rPr>
              <w:t>135MM</w:t>
            </w:r>
            <w:r>
              <w:rPr>
                <w:rFonts w:hint="eastAsia" w:ascii="宋体" w:hAnsi="宋体" w:cs="宋体"/>
                <w:color w:val="000000"/>
                <w:kern w:val="0"/>
                <w:sz w:val="22"/>
                <w:szCs w:val="22"/>
                <w:highlight w:val="none"/>
              </w:rPr>
              <w:t>；解剖直剪；弯头镊子</w:t>
            </w:r>
            <w:r>
              <w:rPr>
                <w:rFonts w:cs="Calibri"/>
                <w:color w:val="000000"/>
                <w:kern w:val="0"/>
                <w:sz w:val="22"/>
                <w:szCs w:val="22"/>
                <w:highlight w:val="none"/>
              </w:rPr>
              <w:t>115MM</w:t>
            </w:r>
            <w:r>
              <w:rPr>
                <w:rFonts w:hint="eastAsia" w:ascii="宋体" w:hAnsi="宋体" w:cs="宋体"/>
                <w:color w:val="000000"/>
                <w:kern w:val="0"/>
                <w:sz w:val="22"/>
                <w:szCs w:val="22"/>
                <w:highlight w:val="none"/>
              </w:rPr>
              <w:t>；直头镊子</w:t>
            </w:r>
            <w:r>
              <w:rPr>
                <w:rFonts w:cs="Calibri"/>
                <w:color w:val="000000"/>
                <w:kern w:val="0"/>
                <w:sz w:val="22"/>
                <w:szCs w:val="22"/>
                <w:highlight w:val="none"/>
              </w:rPr>
              <w:t>119MM</w:t>
            </w:r>
            <w:r>
              <w:rPr>
                <w:rFonts w:hint="eastAsia" w:ascii="宋体" w:hAnsi="宋体" w:cs="宋体"/>
                <w:color w:val="000000"/>
                <w:kern w:val="0"/>
                <w:sz w:val="22"/>
                <w:szCs w:val="22"/>
                <w:highlight w:val="none"/>
              </w:rPr>
              <w:t>；解剖刀柄</w:t>
            </w:r>
            <w:r>
              <w:rPr>
                <w:rFonts w:cs="Calibri"/>
                <w:color w:val="000000"/>
                <w:kern w:val="0"/>
                <w:sz w:val="22"/>
                <w:szCs w:val="22"/>
                <w:highlight w:val="none"/>
              </w:rPr>
              <w:t>120MM</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PrEx>
        <w:trPr>
          <w:trHeight w:val="846"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青霉装片（生物玻片）</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highlight w:val="none"/>
              </w:rPr>
            </w:pPr>
            <w:r>
              <w:rPr>
                <w:rFonts w:cs="Calibri"/>
                <w:color w:val="000000"/>
                <w:kern w:val="0"/>
                <w:sz w:val="22"/>
                <w:szCs w:val="22"/>
                <w:highlight w:val="none"/>
              </w:rPr>
              <w:t>10</w:t>
            </w:r>
            <w:r>
              <w:rPr>
                <w:rFonts w:hint="eastAsia" w:ascii="宋体" w:hAnsi="宋体" w:cs="宋体"/>
                <w:color w:val="000000"/>
                <w:kern w:val="0"/>
                <w:sz w:val="22"/>
                <w:szCs w:val="22"/>
                <w:highlight w:val="none"/>
              </w:rPr>
              <w:t>片装</w:t>
            </w:r>
            <w:r>
              <w:rPr>
                <w:rFonts w:cs="Calibri"/>
                <w:color w:val="000000"/>
                <w:kern w:val="0"/>
                <w:sz w:val="22"/>
                <w:szCs w:val="22"/>
                <w:highlight w:val="none"/>
              </w:rPr>
              <w:t>/</w:t>
            </w:r>
            <w:r>
              <w:rPr>
                <w:rFonts w:hint="eastAsia" w:ascii="宋体" w:hAnsi="宋体" w:cs="宋体"/>
                <w:color w:val="000000"/>
                <w:kern w:val="0"/>
                <w:sz w:val="22"/>
                <w:szCs w:val="22"/>
                <w:highlight w:val="none"/>
              </w:rPr>
              <w:t>动物植物</w:t>
            </w:r>
            <w:r>
              <w:rPr>
                <w:rFonts w:cs="Calibri"/>
                <w:color w:val="000000"/>
                <w:kern w:val="0"/>
                <w:sz w:val="22"/>
                <w:szCs w:val="22"/>
                <w:highlight w:val="none"/>
              </w:rPr>
              <w:t>/</w:t>
            </w:r>
            <w:r>
              <w:rPr>
                <w:rFonts w:hint="eastAsia" w:ascii="宋体" w:hAnsi="宋体" w:cs="宋体"/>
                <w:color w:val="000000"/>
                <w:kern w:val="0"/>
                <w:sz w:val="22"/>
                <w:szCs w:val="22"/>
                <w:highlight w:val="none"/>
              </w:rPr>
              <w:t>人体组织</w:t>
            </w:r>
            <w:r>
              <w:rPr>
                <w:rFonts w:cs="Calibri"/>
                <w:color w:val="000000"/>
                <w:kern w:val="0"/>
                <w:sz w:val="22"/>
                <w:szCs w:val="22"/>
                <w:highlight w:val="none"/>
              </w:rPr>
              <w:t>/</w:t>
            </w:r>
            <w:r>
              <w:rPr>
                <w:rFonts w:hint="eastAsia" w:ascii="宋体" w:hAnsi="宋体" w:cs="宋体"/>
                <w:color w:val="000000"/>
                <w:kern w:val="0"/>
                <w:sz w:val="22"/>
                <w:szCs w:val="22"/>
                <w:highlight w:val="none"/>
              </w:rPr>
              <w:t>细菌</w:t>
            </w:r>
            <w:r>
              <w:rPr>
                <w:rFonts w:cs="Calibri"/>
                <w:color w:val="000000"/>
                <w:kern w:val="0"/>
                <w:sz w:val="22"/>
                <w:szCs w:val="22"/>
                <w:highlight w:val="none"/>
              </w:rPr>
              <w:t>/</w:t>
            </w:r>
            <w:r>
              <w:rPr>
                <w:rFonts w:hint="eastAsia" w:ascii="宋体" w:hAnsi="宋体" w:cs="宋体"/>
                <w:color w:val="000000"/>
                <w:kern w:val="0"/>
                <w:sz w:val="22"/>
                <w:szCs w:val="22"/>
                <w:highlight w:val="none"/>
              </w:rPr>
              <w:t>单片尺寸：</w:t>
            </w:r>
            <w:r>
              <w:rPr>
                <w:rFonts w:cs="Calibri"/>
                <w:color w:val="000000"/>
                <w:kern w:val="0"/>
                <w:sz w:val="22"/>
                <w:szCs w:val="22"/>
                <w:highlight w:val="none"/>
              </w:rPr>
              <w:t>75*25MM</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 xml:space="preserve">盒 </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6"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酵母菌装片（生物玻片）</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highlight w:val="none"/>
              </w:rPr>
            </w:pPr>
            <w:r>
              <w:rPr>
                <w:rFonts w:cs="Calibri"/>
                <w:color w:val="000000"/>
                <w:kern w:val="0"/>
                <w:sz w:val="22"/>
                <w:szCs w:val="22"/>
                <w:highlight w:val="none"/>
              </w:rPr>
              <w:t>200</w:t>
            </w:r>
            <w:r>
              <w:rPr>
                <w:rFonts w:hint="eastAsia" w:ascii="宋体" w:hAnsi="宋体" w:cs="宋体"/>
                <w:color w:val="000000"/>
                <w:kern w:val="0"/>
                <w:sz w:val="22"/>
                <w:szCs w:val="22"/>
                <w:highlight w:val="none"/>
              </w:rPr>
              <w:t>片装</w:t>
            </w:r>
            <w:r>
              <w:rPr>
                <w:rFonts w:cs="Calibri"/>
                <w:color w:val="000000"/>
                <w:kern w:val="0"/>
                <w:sz w:val="22"/>
                <w:szCs w:val="22"/>
                <w:highlight w:val="none"/>
              </w:rPr>
              <w:t>/</w:t>
            </w:r>
            <w:r>
              <w:rPr>
                <w:rFonts w:hint="eastAsia" w:ascii="宋体" w:hAnsi="宋体" w:cs="宋体"/>
                <w:color w:val="000000"/>
                <w:kern w:val="0"/>
                <w:sz w:val="22"/>
                <w:szCs w:val="22"/>
                <w:highlight w:val="none"/>
              </w:rPr>
              <w:t>单片尺寸：</w:t>
            </w:r>
            <w:r>
              <w:rPr>
                <w:rFonts w:cs="Calibri"/>
                <w:color w:val="000000"/>
                <w:kern w:val="0"/>
                <w:sz w:val="22"/>
                <w:szCs w:val="22"/>
                <w:highlight w:val="none"/>
              </w:rPr>
              <w:t>75*25MM</w:t>
            </w:r>
            <w:r>
              <w:rPr>
                <w:rStyle w:val="26"/>
                <w:rFonts w:hint="default"/>
                <w:highlight w:val="none"/>
              </w:rPr>
              <w:t>±</w:t>
            </w:r>
            <w:r>
              <w:rPr>
                <w:rStyle w:val="26"/>
                <w:rFonts w:hint="eastAsia"/>
                <w:highlight w:val="none"/>
                <w:lang w:val="en-US" w:eastAsia="zh-CN"/>
              </w:rPr>
              <w:t>5M</w:t>
            </w:r>
            <w:r>
              <w:rPr>
                <w:rStyle w:val="26"/>
                <w:rFonts w:hint="default"/>
                <w:highlight w:val="none"/>
              </w:rPr>
              <w:t>M</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盒</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6"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人血涂片（生物玻片）</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单片装/尺寸：75*25MM</w:t>
            </w:r>
            <w:r>
              <w:rPr>
                <w:rStyle w:val="26"/>
                <w:rFonts w:hint="default"/>
                <w:highlight w:val="none"/>
              </w:rPr>
              <w:t>±</w:t>
            </w:r>
            <w:r>
              <w:rPr>
                <w:rStyle w:val="26"/>
                <w:rFonts w:hint="eastAsia"/>
                <w:highlight w:val="none"/>
                <w:lang w:val="en-US" w:eastAsia="zh-CN"/>
              </w:rPr>
              <w:t>5M</w:t>
            </w:r>
            <w:r>
              <w:rPr>
                <w:rStyle w:val="26"/>
                <w:rFonts w:hint="default"/>
                <w:highlight w:val="none"/>
              </w:rPr>
              <w:t>M</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片</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6"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字母</w:t>
            </w:r>
            <w:r>
              <w:rPr>
                <w:rFonts w:cs="Calibri"/>
                <w:color w:val="000000"/>
                <w:kern w:val="0"/>
                <w:sz w:val="22"/>
                <w:szCs w:val="22"/>
                <w:highlight w:val="none"/>
              </w:rPr>
              <w:t>”</w:t>
            </w:r>
            <w:r>
              <w:rPr>
                <w:rFonts w:hint="eastAsia" w:ascii="宋体" w:hAnsi="宋体" w:cs="宋体"/>
                <w:color w:val="000000"/>
                <w:kern w:val="0"/>
                <w:sz w:val="22"/>
                <w:szCs w:val="22"/>
                <w:highlight w:val="none"/>
              </w:rPr>
              <w:t>e</w:t>
            </w:r>
            <w:r>
              <w:rPr>
                <w:rFonts w:cs="Calibri"/>
                <w:color w:val="000000"/>
                <w:kern w:val="0"/>
                <w:sz w:val="22"/>
                <w:szCs w:val="22"/>
                <w:highlight w:val="none"/>
              </w:rPr>
              <w:t>”</w:t>
            </w:r>
            <w:r>
              <w:rPr>
                <w:rFonts w:hint="eastAsia" w:ascii="宋体" w:hAnsi="宋体" w:cs="宋体"/>
                <w:color w:val="000000"/>
                <w:kern w:val="0"/>
                <w:sz w:val="22"/>
                <w:szCs w:val="22"/>
                <w:highlight w:val="none"/>
              </w:rPr>
              <w:t xml:space="preserve"> 装片（生物玻片）</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尺寸：</w:t>
            </w:r>
            <w:r>
              <w:rPr>
                <w:rFonts w:cs="Calibri"/>
                <w:color w:val="000000"/>
                <w:kern w:val="0"/>
                <w:sz w:val="22"/>
                <w:szCs w:val="22"/>
                <w:highlight w:val="none"/>
              </w:rPr>
              <w:t>75*25MM</w:t>
            </w:r>
            <w:r>
              <w:rPr>
                <w:rStyle w:val="26"/>
                <w:rFonts w:hint="default"/>
                <w:highlight w:val="none"/>
              </w:rPr>
              <w:t>±</w:t>
            </w:r>
            <w:r>
              <w:rPr>
                <w:rStyle w:val="26"/>
                <w:rFonts w:hint="eastAsia"/>
                <w:highlight w:val="none"/>
                <w:lang w:val="en-US" w:eastAsia="zh-CN"/>
              </w:rPr>
              <w:t>5M</w:t>
            </w:r>
            <w:r>
              <w:rPr>
                <w:rStyle w:val="26"/>
                <w:rFonts w:hint="default"/>
                <w:highlight w:val="none"/>
              </w:rPr>
              <w:t>M</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片</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9</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石棉网</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125mm×</w:t>
            </w:r>
            <w:r>
              <w:rPr>
                <w:rFonts w:cs="Calibri"/>
                <w:color w:val="000000"/>
                <w:kern w:val="0"/>
                <w:sz w:val="22"/>
                <w:szCs w:val="22"/>
                <w:highlight w:val="none"/>
              </w:rPr>
              <w:t>125</w:t>
            </w:r>
            <w:r>
              <w:rPr>
                <w:rFonts w:hint="eastAsia" w:cs="Calibri"/>
                <w:color w:val="000000"/>
                <w:kern w:val="0"/>
                <w:sz w:val="22"/>
                <w:szCs w:val="22"/>
                <w:highlight w:val="none"/>
                <w:lang w:val="en-US" w:eastAsia="zh-CN"/>
              </w:rPr>
              <w:t>mm</w:t>
            </w:r>
            <w:r>
              <w:rPr>
                <w:rStyle w:val="26"/>
                <w:rFonts w:hint="default"/>
                <w:highlight w:val="none"/>
              </w:rPr>
              <w:t>±</w:t>
            </w:r>
            <w:r>
              <w:rPr>
                <w:rStyle w:val="26"/>
                <w:rFonts w:hint="eastAsia"/>
                <w:highlight w:val="none"/>
                <w:lang w:val="en-US" w:eastAsia="zh-CN"/>
              </w:rPr>
              <w:t>5M</w:t>
            </w:r>
            <w:r>
              <w:rPr>
                <w:rStyle w:val="26"/>
                <w:rFonts w:hint="default"/>
                <w:highlight w:val="none"/>
              </w:rPr>
              <w:t>M</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酒精灯</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150ml</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11</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盖玻片</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highlight w:val="none"/>
              </w:rPr>
            </w:pPr>
            <w:r>
              <w:rPr>
                <w:rFonts w:cs="Calibri"/>
                <w:color w:val="000000"/>
                <w:kern w:val="0"/>
                <w:sz w:val="22"/>
                <w:szCs w:val="22"/>
                <w:highlight w:val="none"/>
              </w:rPr>
              <w:t>25.4*76.2MM</w:t>
            </w:r>
            <w:r>
              <w:rPr>
                <w:rStyle w:val="26"/>
                <w:rFonts w:hint="default"/>
                <w:highlight w:val="none"/>
              </w:rPr>
              <w:t>±</w:t>
            </w:r>
            <w:r>
              <w:rPr>
                <w:rStyle w:val="26"/>
                <w:rFonts w:hint="eastAsia"/>
                <w:highlight w:val="none"/>
                <w:lang w:val="en-US" w:eastAsia="zh-CN"/>
              </w:rPr>
              <w:t>5M</w:t>
            </w:r>
            <w:r>
              <w:rPr>
                <w:rStyle w:val="26"/>
                <w:rFonts w:hint="default"/>
                <w:highlight w:val="none"/>
              </w:rPr>
              <w:t>M</w:t>
            </w:r>
            <w:r>
              <w:rPr>
                <w:rFonts w:cs="Calibri"/>
                <w:color w:val="000000"/>
                <w:kern w:val="0"/>
                <w:sz w:val="22"/>
                <w:szCs w:val="22"/>
                <w:highlight w:val="none"/>
              </w:rPr>
              <w:t>/</w:t>
            </w:r>
            <w:r>
              <w:rPr>
                <w:rFonts w:hint="eastAsia" w:ascii="宋体" w:hAnsi="宋体" w:cs="宋体"/>
                <w:color w:val="000000"/>
                <w:kern w:val="0"/>
                <w:sz w:val="22"/>
                <w:szCs w:val="22"/>
                <w:highlight w:val="none"/>
              </w:rPr>
              <w:t>厚度</w:t>
            </w:r>
            <w:r>
              <w:rPr>
                <w:rFonts w:cs="Calibri"/>
                <w:color w:val="000000"/>
                <w:kern w:val="0"/>
                <w:sz w:val="22"/>
                <w:szCs w:val="22"/>
                <w:highlight w:val="none"/>
              </w:rPr>
              <w:t>1-1.2MM</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包</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生理盐水</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1000克</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88"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13</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碳酸氢钠</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试剂</w:t>
            </w:r>
            <w:r>
              <w:rPr>
                <w:rFonts w:cs="Calibri"/>
                <w:color w:val="000000"/>
                <w:kern w:val="0"/>
                <w:sz w:val="22"/>
                <w:szCs w:val="22"/>
                <w:highlight w:val="none"/>
              </w:rPr>
              <w:t>,500</w:t>
            </w:r>
            <w:r>
              <w:rPr>
                <w:rFonts w:hint="eastAsia" w:ascii="宋体" w:hAnsi="宋体" w:cs="宋体"/>
                <w:color w:val="000000"/>
                <w:kern w:val="0"/>
                <w:sz w:val="22"/>
                <w:szCs w:val="22"/>
                <w:highlight w:val="none"/>
              </w:rPr>
              <w:t>克</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6"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14</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氢氧化钙</w:t>
            </w:r>
            <w:r>
              <w:rPr>
                <w:rFonts w:cs="Calibri"/>
                <w:color w:val="000000"/>
                <w:kern w:val="0"/>
                <w:sz w:val="22"/>
                <w:szCs w:val="22"/>
                <w:highlight w:val="none"/>
              </w:rPr>
              <w:t>(</w:t>
            </w:r>
            <w:r>
              <w:rPr>
                <w:rFonts w:hint="eastAsia" w:ascii="宋体" w:hAnsi="宋体" w:cs="宋体"/>
                <w:color w:val="000000"/>
                <w:kern w:val="0"/>
                <w:sz w:val="22"/>
                <w:szCs w:val="22"/>
                <w:highlight w:val="none"/>
              </w:rPr>
              <w:t>熟石灰</w:t>
            </w:r>
            <w:r>
              <w:rPr>
                <w:rFonts w:cs="Calibri"/>
                <w:color w:val="000000"/>
                <w:kern w:val="0"/>
                <w:sz w:val="22"/>
                <w:szCs w:val="22"/>
                <w:highlight w:val="none"/>
              </w:rPr>
              <w:t>)</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试剂</w:t>
            </w:r>
            <w:r>
              <w:rPr>
                <w:rFonts w:cs="Calibri"/>
                <w:color w:val="000000"/>
                <w:kern w:val="0"/>
                <w:sz w:val="22"/>
                <w:szCs w:val="22"/>
                <w:highlight w:val="none"/>
              </w:rPr>
              <w:t>,500</w:t>
            </w:r>
            <w:r>
              <w:rPr>
                <w:rFonts w:hint="eastAsia" w:ascii="宋体" w:hAnsi="宋体" w:cs="宋体"/>
                <w:color w:val="000000"/>
                <w:kern w:val="0"/>
                <w:sz w:val="22"/>
                <w:szCs w:val="22"/>
                <w:highlight w:val="none"/>
              </w:rPr>
              <w:t>克</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15</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柠檬酸钠</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试剂</w:t>
            </w:r>
            <w:r>
              <w:rPr>
                <w:rFonts w:cs="Calibri"/>
                <w:color w:val="000000"/>
                <w:kern w:val="0"/>
                <w:sz w:val="22"/>
                <w:szCs w:val="22"/>
                <w:highlight w:val="none"/>
              </w:rPr>
              <w:t>,500</w:t>
            </w:r>
            <w:r>
              <w:rPr>
                <w:rFonts w:hint="eastAsia" w:ascii="宋体" w:hAnsi="宋体" w:cs="宋体"/>
                <w:color w:val="000000"/>
                <w:kern w:val="0"/>
                <w:sz w:val="22"/>
                <w:szCs w:val="22"/>
                <w:highlight w:val="none"/>
              </w:rPr>
              <w:t>克</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16</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琼脂</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500克</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17</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甘油</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试剂</w:t>
            </w:r>
            <w:r>
              <w:rPr>
                <w:rFonts w:cs="Calibri"/>
                <w:color w:val="000000"/>
                <w:kern w:val="0"/>
                <w:sz w:val="22"/>
                <w:szCs w:val="22"/>
                <w:highlight w:val="none"/>
              </w:rPr>
              <w:t>,500</w:t>
            </w:r>
            <w:r>
              <w:rPr>
                <w:rFonts w:hint="eastAsia" w:ascii="宋体" w:hAnsi="宋体" w:cs="宋体"/>
                <w:color w:val="000000"/>
                <w:kern w:val="0"/>
                <w:sz w:val="22"/>
                <w:szCs w:val="22"/>
                <w:highlight w:val="none"/>
              </w:rPr>
              <w:t>毫升</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18</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可溶性淀粉</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500克</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19</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工业酒精</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10公斤</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桶</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医用酒精</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4公斤</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桶</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21</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酚酞</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25克</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22</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PH广泛围试纸</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7*4.5CM/80张一本</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本</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23</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尿糖试纸</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尿糖检测</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盒</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24</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定性滤纸</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highlight w:val="none"/>
              </w:rPr>
            </w:pPr>
            <w:r>
              <w:rPr>
                <w:rFonts w:cs="Calibri"/>
                <w:color w:val="000000"/>
                <w:kern w:val="0"/>
                <w:sz w:val="22"/>
                <w:szCs w:val="22"/>
                <w:highlight w:val="none"/>
              </w:rPr>
              <w:t>7CM*100</w:t>
            </w:r>
            <w:r>
              <w:rPr>
                <w:rFonts w:hint="eastAsia" w:ascii="宋体" w:hAnsi="宋体" w:cs="宋体"/>
                <w:color w:val="000000"/>
                <w:kern w:val="0"/>
                <w:sz w:val="22"/>
                <w:szCs w:val="22"/>
                <w:highlight w:val="none"/>
              </w:rPr>
              <w:t>张</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盒</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25</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高锰酸钾</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试剂</w:t>
            </w:r>
            <w:r>
              <w:rPr>
                <w:rFonts w:cs="Calibri"/>
                <w:color w:val="000000"/>
                <w:kern w:val="0"/>
                <w:sz w:val="22"/>
                <w:szCs w:val="22"/>
                <w:highlight w:val="none"/>
              </w:rPr>
              <w:t>,500</w:t>
            </w:r>
            <w:r>
              <w:rPr>
                <w:rFonts w:hint="eastAsia" w:ascii="宋体" w:hAnsi="宋体" w:cs="宋体"/>
                <w:color w:val="000000"/>
                <w:kern w:val="0"/>
                <w:sz w:val="22"/>
                <w:szCs w:val="22"/>
                <w:highlight w:val="none"/>
              </w:rPr>
              <w:t>克</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26</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乙酸</w:t>
            </w:r>
            <w:r>
              <w:rPr>
                <w:rFonts w:cs="Calibri"/>
                <w:color w:val="000000"/>
                <w:kern w:val="0"/>
                <w:sz w:val="22"/>
                <w:szCs w:val="22"/>
                <w:highlight w:val="none"/>
              </w:rPr>
              <w:t>(</w:t>
            </w:r>
            <w:r>
              <w:rPr>
                <w:rFonts w:hint="eastAsia" w:ascii="宋体" w:hAnsi="宋体" w:cs="宋体"/>
                <w:color w:val="000000"/>
                <w:kern w:val="0"/>
                <w:sz w:val="22"/>
                <w:szCs w:val="22"/>
                <w:highlight w:val="none"/>
              </w:rPr>
              <w:t>醋酸</w:t>
            </w:r>
            <w:r>
              <w:rPr>
                <w:rFonts w:cs="Calibri"/>
                <w:color w:val="000000"/>
                <w:kern w:val="0"/>
                <w:sz w:val="22"/>
                <w:szCs w:val="22"/>
                <w:highlight w:val="none"/>
              </w:rPr>
              <w:t>)</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试剂</w:t>
            </w:r>
            <w:r>
              <w:rPr>
                <w:rFonts w:cs="Calibri"/>
                <w:color w:val="000000"/>
                <w:kern w:val="0"/>
                <w:sz w:val="22"/>
                <w:szCs w:val="22"/>
                <w:highlight w:val="none"/>
              </w:rPr>
              <w:t>,500</w:t>
            </w:r>
            <w:r>
              <w:rPr>
                <w:rFonts w:hint="eastAsia" w:ascii="宋体" w:hAnsi="宋体" w:cs="宋体"/>
                <w:color w:val="000000"/>
                <w:kern w:val="0"/>
                <w:sz w:val="22"/>
                <w:szCs w:val="22"/>
                <w:highlight w:val="none"/>
              </w:rPr>
              <w:t>毫升</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27</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硼酸</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试剂</w:t>
            </w:r>
            <w:r>
              <w:rPr>
                <w:rFonts w:cs="Calibri"/>
                <w:color w:val="000000"/>
                <w:kern w:val="0"/>
                <w:sz w:val="22"/>
                <w:szCs w:val="22"/>
                <w:highlight w:val="none"/>
              </w:rPr>
              <w:t>,500</w:t>
            </w:r>
            <w:r>
              <w:rPr>
                <w:rFonts w:hint="eastAsia" w:ascii="宋体" w:hAnsi="宋体" w:cs="宋体"/>
                <w:color w:val="000000"/>
                <w:kern w:val="0"/>
                <w:sz w:val="22"/>
                <w:szCs w:val="22"/>
                <w:highlight w:val="none"/>
              </w:rPr>
              <w:t>毫升</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28</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氢氧化钠</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试剂</w:t>
            </w:r>
            <w:r>
              <w:rPr>
                <w:rFonts w:cs="Calibri"/>
                <w:color w:val="000000"/>
                <w:kern w:val="0"/>
                <w:sz w:val="22"/>
                <w:szCs w:val="22"/>
                <w:highlight w:val="none"/>
              </w:rPr>
              <w:t>,500</w:t>
            </w:r>
            <w:r>
              <w:rPr>
                <w:rFonts w:hint="eastAsia" w:ascii="宋体" w:hAnsi="宋体" w:cs="宋体"/>
                <w:color w:val="000000"/>
                <w:kern w:val="0"/>
                <w:sz w:val="22"/>
                <w:szCs w:val="22"/>
                <w:highlight w:val="none"/>
              </w:rPr>
              <w:t>克</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29</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碘</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试剂</w:t>
            </w:r>
            <w:r>
              <w:rPr>
                <w:rFonts w:cs="Calibri"/>
                <w:color w:val="000000"/>
                <w:kern w:val="0"/>
                <w:sz w:val="22"/>
                <w:szCs w:val="22"/>
                <w:highlight w:val="none"/>
              </w:rPr>
              <w:t>,100</w:t>
            </w:r>
            <w:r>
              <w:rPr>
                <w:rFonts w:hint="eastAsia" w:ascii="宋体" w:hAnsi="宋体" w:cs="宋体"/>
                <w:color w:val="000000"/>
                <w:kern w:val="0"/>
                <w:sz w:val="22"/>
                <w:szCs w:val="22"/>
                <w:highlight w:val="none"/>
              </w:rPr>
              <w:t>克</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碘化钾</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试剂</w:t>
            </w:r>
            <w:r>
              <w:rPr>
                <w:rFonts w:cs="Calibri"/>
                <w:color w:val="000000"/>
                <w:kern w:val="0"/>
                <w:sz w:val="22"/>
                <w:szCs w:val="22"/>
                <w:highlight w:val="none"/>
              </w:rPr>
              <w:t>,500</w:t>
            </w:r>
            <w:r>
              <w:rPr>
                <w:rFonts w:hint="eastAsia" w:ascii="宋体" w:hAnsi="宋体" w:cs="宋体"/>
                <w:color w:val="000000"/>
                <w:kern w:val="0"/>
                <w:sz w:val="22"/>
                <w:szCs w:val="22"/>
                <w:highlight w:val="none"/>
              </w:rPr>
              <w:t>克</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31</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急救包</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highlight w:val="none"/>
              </w:rPr>
            </w:pPr>
            <w:r>
              <w:rPr>
                <w:rFonts w:hint="eastAsia" w:ascii="宋体" w:hAnsi="宋体" w:cs="宋体"/>
                <w:color w:val="000000"/>
                <w:kern w:val="0"/>
                <w:sz w:val="22"/>
                <w:szCs w:val="22"/>
                <w:highlight w:val="none"/>
              </w:rPr>
              <w:t>材质：牛津面料</w:t>
            </w:r>
            <w:r>
              <w:rPr>
                <w:rFonts w:cs="Calibri"/>
                <w:color w:val="000000"/>
                <w:kern w:val="0"/>
                <w:sz w:val="22"/>
                <w:szCs w:val="22"/>
                <w:highlight w:val="none"/>
              </w:rPr>
              <w:t>/24*15CM</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32</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肺活量计</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不锈钢</w:t>
            </w:r>
            <w:r>
              <w:rPr>
                <w:rFonts w:cs="Calibri"/>
                <w:color w:val="000000"/>
                <w:kern w:val="0"/>
                <w:sz w:val="22"/>
                <w:szCs w:val="22"/>
                <w:highlight w:val="none"/>
              </w:rPr>
              <w:t>,7</w:t>
            </w:r>
            <w:r>
              <w:rPr>
                <w:rFonts w:hint="eastAsia" w:ascii="宋体" w:hAnsi="宋体" w:cs="宋体"/>
                <w:color w:val="000000"/>
                <w:kern w:val="0"/>
                <w:sz w:val="22"/>
                <w:szCs w:val="22"/>
                <w:highlight w:val="none"/>
              </w:rPr>
              <w:t>件</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台</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33</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工作服</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highlight w:val="none"/>
              </w:rPr>
            </w:pPr>
            <w:r>
              <w:rPr>
                <w:rFonts w:cs="Calibri"/>
                <w:color w:val="000000"/>
                <w:kern w:val="0"/>
                <w:sz w:val="22"/>
                <w:szCs w:val="22"/>
                <w:highlight w:val="none"/>
              </w:rPr>
              <w:t>98%</w:t>
            </w:r>
            <w:r>
              <w:rPr>
                <w:rFonts w:hint="eastAsia" w:ascii="宋体" w:hAnsi="宋体" w:cs="宋体"/>
                <w:color w:val="000000"/>
                <w:kern w:val="0"/>
                <w:sz w:val="22"/>
                <w:szCs w:val="22"/>
                <w:highlight w:val="none"/>
              </w:rPr>
              <w:t>涤纶</w:t>
            </w:r>
            <w:r>
              <w:rPr>
                <w:rFonts w:cs="Calibri"/>
                <w:color w:val="000000"/>
                <w:kern w:val="0"/>
                <w:sz w:val="22"/>
                <w:szCs w:val="22"/>
                <w:highlight w:val="none"/>
              </w:rPr>
              <w:t>2%</w:t>
            </w:r>
            <w:r>
              <w:rPr>
                <w:rFonts w:hint="eastAsia" w:ascii="宋体" w:hAnsi="宋体" w:cs="宋体"/>
                <w:color w:val="000000"/>
                <w:kern w:val="0"/>
                <w:sz w:val="22"/>
                <w:szCs w:val="22"/>
                <w:highlight w:val="none"/>
              </w:rPr>
              <w:t>碳导电纤维（</w:t>
            </w:r>
            <w:r>
              <w:rPr>
                <w:rFonts w:cs="Calibri"/>
                <w:color w:val="000000"/>
                <w:kern w:val="0"/>
                <w:sz w:val="22"/>
                <w:szCs w:val="22"/>
                <w:highlight w:val="none"/>
              </w:rPr>
              <w:t>5MM</w:t>
            </w:r>
            <w:r>
              <w:rPr>
                <w:rFonts w:hint="eastAsia" w:ascii="宋体" w:hAnsi="宋体" w:cs="宋体"/>
                <w:color w:val="000000"/>
                <w:kern w:val="0"/>
                <w:sz w:val="22"/>
                <w:szCs w:val="22"/>
                <w:highlight w:val="none"/>
              </w:rPr>
              <w:t>条纹）摩擦静电电压≤</w:t>
            </w:r>
            <w:r>
              <w:rPr>
                <w:rFonts w:cs="Calibri"/>
                <w:color w:val="000000"/>
                <w:kern w:val="0"/>
                <w:sz w:val="22"/>
                <w:szCs w:val="22"/>
                <w:highlight w:val="none"/>
              </w:rPr>
              <w:t>1000V/</w:t>
            </w:r>
            <w:r>
              <w:rPr>
                <w:rFonts w:hint="eastAsia" w:ascii="宋体" w:hAnsi="宋体" w:cs="宋体"/>
                <w:color w:val="000000"/>
                <w:kern w:val="0"/>
                <w:sz w:val="22"/>
                <w:szCs w:val="22"/>
                <w:highlight w:val="none"/>
              </w:rPr>
              <w:t>绿色</w:t>
            </w:r>
            <w:r>
              <w:rPr>
                <w:rFonts w:cs="Calibri"/>
                <w:color w:val="000000"/>
                <w:kern w:val="0"/>
                <w:sz w:val="22"/>
                <w:szCs w:val="22"/>
                <w:highlight w:val="none"/>
              </w:rPr>
              <w:t>PVC</w:t>
            </w:r>
            <w:r>
              <w:rPr>
                <w:rFonts w:hint="eastAsia" w:ascii="宋体" w:hAnsi="宋体" w:cs="宋体"/>
                <w:color w:val="000000"/>
                <w:kern w:val="0"/>
                <w:sz w:val="22"/>
                <w:szCs w:val="22"/>
                <w:highlight w:val="none"/>
              </w:rPr>
              <w:t>胶皮软底</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件</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34</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乳胶手套</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highlight w:val="none"/>
              </w:rPr>
            </w:pPr>
            <w:r>
              <w:rPr>
                <w:rFonts w:hint="eastAsia" w:ascii="宋体" w:hAnsi="宋体" w:cs="宋体"/>
                <w:color w:val="000000"/>
                <w:kern w:val="0"/>
                <w:sz w:val="22"/>
                <w:szCs w:val="22"/>
                <w:highlight w:val="none"/>
              </w:rPr>
              <w:t>厚度</w:t>
            </w:r>
            <w:r>
              <w:rPr>
                <w:rFonts w:cs="Calibri"/>
                <w:color w:val="000000"/>
                <w:kern w:val="0"/>
                <w:sz w:val="22"/>
                <w:szCs w:val="22"/>
                <w:highlight w:val="none"/>
              </w:rPr>
              <w:t>0.12MM/</w:t>
            </w:r>
            <w:r>
              <w:rPr>
                <w:rFonts w:hint="eastAsia" w:ascii="宋体" w:hAnsi="宋体" w:cs="宋体"/>
                <w:color w:val="000000"/>
                <w:kern w:val="0"/>
                <w:sz w:val="22"/>
                <w:szCs w:val="22"/>
                <w:highlight w:val="none"/>
              </w:rPr>
              <w:t>指尖微糙面</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付</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43" w:hRule="atLeast"/>
        </w:trPr>
        <w:tc>
          <w:tcPr>
            <w:tcW w:w="6727" w:type="dxa"/>
            <w:gridSpan w:val="4"/>
            <w:tcBorders>
              <w:top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合计</w:t>
            </w:r>
          </w:p>
        </w:tc>
        <w:tc>
          <w:tcPr>
            <w:tcW w:w="2592" w:type="dxa"/>
            <w:gridSpan w:val="4"/>
            <w:tcBorders>
              <w:top w:val="single" w:color="000000" w:sz="4" w:space="0"/>
              <w:left w:val="single" w:color="000000" w:sz="4" w:space="0"/>
            </w:tcBorders>
            <w:noWrap/>
            <w:vAlign w:val="center"/>
          </w:tcPr>
          <w:p>
            <w:pPr>
              <w:rPr>
                <w:rFonts w:hint="eastAsia" w:ascii="宋体" w:hAnsi="宋体" w:cs="宋体"/>
                <w:color w:val="000000"/>
                <w:sz w:val="22"/>
                <w:szCs w:val="22"/>
                <w:highlight w:val="none"/>
              </w:rPr>
            </w:pPr>
          </w:p>
        </w:tc>
      </w:tr>
    </w:tbl>
    <w:p>
      <w:pPr>
        <w:pStyle w:val="7"/>
        <w:jc w:val="both"/>
        <w:rPr>
          <w:rFonts w:hint="eastAsia"/>
          <w:sz w:val="24"/>
          <w:highlight w:val="none"/>
        </w:rPr>
      </w:pPr>
    </w:p>
    <w:p>
      <w:pPr>
        <w:rPr>
          <w:rFonts w:hint="eastAsia"/>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pStyle w:val="7"/>
        <w:rPr>
          <w:rFonts w:hint="eastAsia"/>
          <w:sz w:val="24"/>
          <w:highlight w:val="none"/>
        </w:rPr>
      </w:pPr>
    </w:p>
    <w:p>
      <w:pPr>
        <w:rPr>
          <w:rFonts w:hint="eastAsia"/>
          <w:b/>
          <w:sz w:val="24"/>
          <w:highlight w:val="none"/>
        </w:rPr>
      </w:pPr>
    </w:p>
    <w:p>
      <w:pPr>
        <w:pStyle w:val="7"/>
        <w:rPr>
          <w:rFonts w:hint="eastAsia"/>
          <w:sz w:val="24"/>
          <w:highlight w:val="none"/>
        </w:rPr>
      </w:pPr>
    </w:p>
    <w:p>
      <w:pPr>
        <w:rPr>
          <w:rFonts w:hint="eastAsia"/>
          <w:b/>
          <w:sz w:val="24"/>
          <w:highlight w:val="none"/>
        </w:rPr>
      </w:pPr>
    </w:p>
    <w:p>
      <w:pPr>
        <w:pStyle w:val="7"/>
        <w:rPr>
          <w:rFonts w:hint="eastAsia"/>
          <w:sz w:val="24"/>
          <w:highlight w:val="none"/>
        </w:rPr>
      </w:pPr>
    </w:p>
    <w:p>
      <w:pPr>
        <w:rPr>
          <w:rFonts w:hint="eastAsia"/>
          <w:b/>
          <w:sz w:val="24"/>
          <w:highlight w:val="none"/>
        </w:rPr>
      </w:pPr>
    </w:p>
    <w:p>
      <w:pPr>
        <w:pStyle w:val="7"/>
        <w:rPr>
          <w:rFonts w:hint="eastAsia"/>
          <w:sz w:val="24"/>
          <w:highlight w:val="none"/>
        </w:rPr>
      </w:pPr>
    </w:p>
    <w:p>
      <w:pPr>
        <w:rPr>
          <w:rFonts w:hint="eastAsia"/>
          <w:b/>
          <w:sz w:val="24"/>
          <w:highlight w:val="none"/>
        </w:rPr>
      </w:pPr>
    </w:p>
    <w:p>
      <w:pPr>
        <w:pStyle w:val="7"/>
        <w:rPr>
          <w:rFonts w:hint="eastAsia"/>
          <w:sz w:val="24"/>
          <w:highlight w:val="none"/>
        </w:rPr>
      </w:pPr>
    </w:p>
    <w:p>
      <w:pPr>
        <w:rPr>
          <w:rFonts w:hint="eastAsia"/>
          <w:b/>
          <w:sz w:val="24"/>
          <w:highlight w:val="none"/>
        </w:rPr>
      </w:pPr>
    </w:p>
    <w:p>
      <w:pPr>
        <w:pStyle w:val="7"/>
        <w:rPr>
          <w:rFonts w:hint="eastAsia"/>
          <w:sz w:val="24"/>
          <w:highlight w:val="none"/>
        </w:rPr>
      </w:pPr>
    </w:p>
    <w:p>
      <w:pPr>
        <w:rPr>
          <w:rFonts w:hint="eastAsia"/>
          <w:b/>
          <w:sz w:val="24"/>
          <w:highlight w:val="none"/>
        </w:rPr>
      </w:pPr>
    </w:p>
    <w:p>
      <w:pPr>
        <w:pStyle w:val="7"/>
        <w:rPr>
          <w:rFonts w:hint="eastAsia"/>
          <w:sz w:val="24"/>
          <w:highlight w:val="none"/>
        </w:rPr>
      </w:pPr>
    </w:p>
    <w:p>
      <w:pPr>
        <w:rPr>
          <w:rFonts w:hint="eastAsia"/>
          <w:b/>
          <w:sz w:val="24"/>
          <w:highlight w:val="none"/>
        </w:rPr>
      </w:pPr>
    </w:p>
    <w:p>
      <w:pPr>
        <w:pStyle w:val="7"/>
        <w:rPr>
          <w:rFonts w:hint="eastAsia"/>
          <w:sz w:val="24"/>
          <w:highlight w:val="none"/>
        </w:rPr>
      </w:pPr>
    </w:p>
    <w:p>
      <w:pPr>
        <w:rPr>
          <w:rFonts w:hint="eastAsia"/>
          <w:b/>
          <w:sz w:val="24"/>
          <w:highlight w:val="none"/>
        </w:rPr>
      </w:pPr>
    </w:p>
    <w:p>
      <w:pPr>
        <w:pStyle w:val="7"/>
        <w:rPr>
          <w:rFonts w:hint="eastAsia"/>
          <w:sz w:val="24"/>
          <w:highlight w:val="none"/>
        </w:rPr>
      </w:pPr>
    </w:p>
    <w:p>
      <w:pPr>
        <w:rPr>
          <w:rFonts w:hint="eastAsia"/>
          <w:b/>
          <w:sz w:val="24"/>
          <w:highlight w:val="none"/>
        </w:rPr>
      </w:pPr>
    </w:p>
    <w:tbl>
      <w:tblPr>
        <w:tblStyle w:val="17"/>
        <w:tblW w:w="9579" w:type="dxa"/>
        <w:tblInd w:w="93" w:type="dxa"/>
        <w:tblLayout w:type="fixed"/>
        <w:tblCellMar>
          <w:top w:w="0" w:type="dxa"/>
          <w:left w:w="108" w:type="dxa"/>
          <w:bottom w:w="0" w:type="dxa"/>
          <w:right w:w="108" w:type="dxa"/>
        </w:tblCellMar>
      </w:tblPr>
      <w:tblGrid>
        <w:gridCol w:w="479"/>
        <w:gridCol w:w="1147"/>
        <w:gridCol w:w="4825"/>
        <w:gridCol w:w="497"/>
        <w:gridCol w:w="436"/>
        <w:gridCol w:w="766"/>
        <w:gridCol w:w="766"/>
        <w:gridCol w:w="663"/>
      </w:tblGrid>
      <w:tr>
        <w:tblPrEx>
          <w:tblCellMar>
            <w:top w:w="0" w:type="dxa"/>
            <w:left w:w="108" w:type="dxa"/>
            <w:bottom w:w="0" w:type="dxa"/>
            <w:right w:w="108" w:type="dxa"/>
          </w:tblCellMar>
        </w:tblPrEx>
        <w:trPr>
          <w:trHeight w:val="1146" w:hRule="atLeast"/>
        </w:trPr>
        <w:tc>
          <w:tcPr>
            <w:tcW w:w="9579" w:type="dxa"/>
            <w:gridSpan w:val="8"/>
            <w:tcBorders>
              <w:top w:val="single" w:color="auto" w:sz="4" w:space="0"/>
              <w:left w:val="single" w:color="auto" w:sz="4" w:space="0"/>
              <w:bottom w:val="single" w:color="auto" w:sz="4" w:space="0"/>
              <w:right w:val="single" w:color="auto" w:sz="4" w:space="0"/>
            </w:tcBorders>
            <w:shd w:val="clear" w:color="auto" w:fill="FDE9D9"/>
            <w:noWrap/>
            <w:vAlign w:val="center"/>
          </w:tcPr>
          <w:p>
            <w:pPr>
              <w:jc w:val="center"/>
              <w:rPr>
                <w:rFonts w:hint="eastAsia" w:ascii="宋体" w:hAnsi="宋体" w:cs="宋体"/>
                <w:color w:val="000000"/>
                <w:sz w:val="22"/>
                <w:szCs w:val="22"/>
                <w:highlight w:val="none"/>
              </w:rPr>
            </w:pPr>
            <w:r>
              <w:rPr>
                <w:rFonts w:hint="eastAsia" w:ascii="宋体" w:hAnsi="宋体" w:cs="宋体"/>
                <w:color w:val="000000"/>
                <w:kern w:val="0"/>
                <w:sz w:val="52"/>
                <w:szCs w:val="52"/>
                <w:highlight w:val="none"/>
              </w:rPr>
              <w:t>11、初中地理仪器设备</w:t>
            </w:r>
          </w:p>
        </w:tc>
      </w:tr>
      <w:tr>
        <w:tblPrEx>
          <w:tblCellMar>
            <w:top w:w="0" w:type="dxa"/>
            <w:left w:w="108" w:type="dxa"/>
            <w:bottom w:w="0" w:type="dxa"/>
            <w:right w:w="108" w:type="dxa"/>
          </w:tblCellMar>
        </w:tblPrEx>
        <w:trPr>
          <w:trHeight w:val="390" w:hRule="atLeast"/>
        </w:trPr>
        <w:tc>
          <w:tcPr>
            <w:tcW w:w="479"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序号</w:t>
            </w:r>
          </w:p>
        </w:tc>
        <w:tc>
          <w:tcPr>
            <w:tcW w:w="1147"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品名</w:t>
            </w:r>
          </w:p>
        </w:tc>
        <w:tc>
          <w:tcPr>
            <w:tcW w:w="482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 xml:space="preserve">参数 </w:t>
            </w:r>
          </w:p>
        </w:tc>
        <w:tc>
          <w:tcPr>
            <w:tcW w:w="497"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单位</w:t>
            </w:r>
          </w:p>
        </w:tc>
        <w:tc>
          <w:tcPr>
            <w:tcW w:w="43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数量</w:t>
            </w:r>
          </w:p>
        </w:tc>
        <w:tc>
          <w:tcPr>
            <w:tcW w:w="76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单价</w:t>
            </w:r>
          </w:p>
        </w:tc>
        <w:tc>
          <w:tcPr>
            <w:tcW w:w="76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合价</w:t>
            </w:r>
          </w:p>
        </w:tc>
        <w:tc>
          <w:tcPr>
            <w:tcW w:w="663"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备注</w:t>
            </w: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地理教学挂图</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120幅；挂图尺寸：77*53CM</w:t>
            </w:r>
            <w:r>
              <w:rPr>
                <w:rStyle w:val="26"/>
                <w:rFonts w:hint="default"/>
                <w:highlight w:val="none"/>
              </w:rPr>
              <w:t>±</w:t>
            </w:r>
            <w:r>
              <w:rPr>
                <w:rStyle w:val="26"/>
                <w:rFonts w:hint="eastAsia"/>
                <w:highlight w:val="none"/>
                <w:lang w:val="en-US" w:eastAsia="zh-CN"/>
              </w:rPr>
              <w:t>2C</w:t>
            </w:r>
            <w:r>
              <w:rPr>
                <w:rStyle w:val="26"/>
                <w:rFonts w:hint="default"/>
                <w:highlight w:val="none"/>
              </w:rPr>
              <w:t>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highlight w:val="none"/>
              </w:rPr>
            </w:pPr>
            <w:r>
              <w:rPr>
                <w:rFonts w:cs="Calibri"/>
                <w:color w:val="000000"/>
                <w:kern w:val="0"/>
                <w:sz w:val="22"/>
                <w:szCs w:val="22"/>
                <w:highlight w:val="none"/>
              </w:rPr>
              <w:t>5</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五指山思源实验学校</w:t>
            </w:r>
          </w:p>
        </w:tc>
      </w:tr>
      <w:tr>
        <w:tblPrEx>
          <w:tblCellMar>
            <w:top w:w="0" w:type="dxa"/>
            <w:left w:w="108" w:type="dxa"/>
            <w:bottom w:w="0" w:type="dxa"/>
            <w:right w:w="108" w:type="dxa"/>
          </w:tblCellMar>
        </w:tblPrEx>
        <w:trPr>
          <w:trHeight w:val="1146"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望远镜</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双筒；放大倍率：7X；物镜口径：50MM；视广角：6.8度；线性视场：119M@1000M；出瞳直径：7.1MM；出瞳距离：13MM；光学镀膜：多层镀膜；镜身：金属框架包胶；生活防水；尺寸：180*185*62MM</w:t>
            </w:r>
            <w:r>
              <w:rPr>
                <w:rStyle w:val="26"/>
                <w:rFonts w:hint="default"/>
                <w:highlight w:val="none"/>
              </w:rPr>
              <w:t>±</w:t>
            </w:r>
            <w:r>
              <w:rPr>
                <w:rStyle w:val="26"/>
                <w:rFonts w:hint="eastAsia"/>
                <w:highlight w:val="none"/>
                <w:lang w:val="en-US" w:eastAsia="zh-CN"/>
              </w:rPr>
              <w:t>5M</w:t>
            </w:r>
            <w:r>
              <w:rPr>
                <w:rStyle w:val="26"/>
                <w:rFonts w:hint="default"/>
                <w:highlight w:val="none"/>
              </w:rPr>
              <w:t>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1146"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天文望远镜</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highlight w:val="none"/>
              </w:rPr>
            </w:pPr>
            <w:r>
              <w:rPr>
                <w:rFonts w:hint="eastAsia" w:ascii="宋体" w:hAnsi="宋体" w:cs="宋体"/>
                <w:color w:val="000000"/>
                <w:kern w:val="0"/>
                <w:sz w:val="22"/>
                <w:szCs w:val="22"/>
                <w:highlight w:val="none"/>
              </w:rPr>
              <w:t>物径口径：</w:t>
            </w:r>
            <w:r>
              <w:rPr>
                <w:rFonts w:cs="Calibri"/>
                <w:color w:val="000000"/>
                <w:kern w:val="0"/>
                <w:sz w:val="22"/>
                <w:szCs w:val="22"/>
                <w:highlight w:val="none"/>
              </w:rPr>
              <w:t>70MM</w:t>
            </w:r>
            <w:r>
              <w:rPr>
                <w:rFonts w:hint="eastAsia" w:ascii="宋体" w:hAnsi="宋体" w:cs="宋体"/>
                <w:color w:val="000000"/>
                <w:kern w:val="0"/>
                <w:sz w:val="22"/>
                <w:szCs w:val="22"/>
                <w:highlight w:val="none"/>
              </w:rPr>
              <w:t>；物镜焦距：</w:t>
            </w:r>
            <w:r>
              <w:rPr>
                <w:rFonts w:cs="Calibri"/>
                <w:color w:val="000000"/>
                <w:kern w:val="0"/>
                <w:sz w:val="22"/>
                <w:szCs w:val="22"/>
                <w:highlight w:val="none"/>
              </w:rPr>
              <w:t>400MM</w:t>
            </w:r>
            <w:r>
              <w:rPr>
                <w:rFonts w:hint="eastAsia" w:ascii="宋体" w:hAnsi="宋体" w:cs="宋体"/>
                <w:color w:val="000000"/>
                <w:kern w:val="0"/>
                <w:sz w:val="22"/>
                <w:szCs w:val="22"/>
                <w:highlight w:val="none"/>
              </w:rPr>
              <w:t>；目镜</w:t>
            </w:r>
            <w:r>
              <w:rPr>
                <w:rFonts w:cs="Calibri"/>
                <w:color w:val="000000"/>
                <w:kern w:val="0"/>
                <w:sz w:val="22"/>
                <w:szCs w:val="22"/>
                <w:highlight w:val="none"/>
              </w:rPr>
              <w:t>1</w:t>
            </w:r>
            <w:r>
              <w:rPr>
                <w:rFonts w:hint="eastAsia" w:ascii="宋体" w:hAnsi="宋体" w:cs="宋体"/>
                <w:color w:val="000000"/>
                <w:kern w:val="0"/>
                <w:sz w:val="22"/>
                <w:szCs w:val="22"/>
                <w:highlight w:val="none"/>
              </w:rPr>
              <w:t>：</w:t>
            </w:r>
            <w:r>
              <w:rPr>
                <w:rFonts w:cs="Calibri"/>
                <w:color w:val="000000"/>
                <w:kern w:val="0"/>
                <w:sz w:val="22"/>
                <w:szCs w:val="22"/>
                <w:highlight w:val="none"/>
              </w:rPr>
              <w:t>25MM</w:t>
            </w:r>
            <w:r>
              <w:rPr>
                <w:rFonts w:hint="eastAsia" w:ascii="宋体" w:hAnsi="宋体" w:cs="宋体"/>
                <w:color w:val="000000"/>
                <w:kern w:val="0"/>
                <w:sz w:val="22"/>
                <w:szCs w:val="22"/>
                <w:highlight w:val="none"/>
              </w:rPr>
              <w:t>；目镜</w:t>
            </w:r>
            <w:r>
              <w:rPr>
                <w:rFonts w:cs="Calibri"/>
                <w:color w:val="000000"/>
                <w:kern w:val="0"/>
                <w:sz w:val="22"/>
                <w:szCs w:val="22"/>
                <w:highlight w:val="none"/>
              </w:rPr>
              <w:t>2</w:t>
            </w:r>
            <w:r>
              <w:rPr>
                <w:rFonts w:hint="eastAsia" w:ascii="宋体" w:hAnsi="宋体" w:cs="宋体"/>
                <w:color w:val="000000"/>
                <w:kern w:val="0"/>
                <w:sz w:val="22"/>
                <w:szCs w:val="22"/>
                <w:highlight w:val="none"/>
              </w:rPr>
              <w:t>：</w:t>
            </w:r>
            <w:r>
              <w:rPr>
                <w:rFonts w:cs="Calibri"/>
                <w:color w:val="000000"/>
                <w:kern w:val="0"/>
                <w:sz w:val="22"/>
                <w:szCs w:val="22"/>
                <w:highlight w:val="none"/>
              </w:rPr>
              <w:t>10MM</w:t>
            </w:r>
            <w:r>
              <w:rPr>
                <w:rFonts w:hint="eastAsia" w:ascii="宋体" w:hAnsi="宋体" w:cs="宋体"/>
                <w:color w:val="000000"/>
                <w:kern w:val="0"/>
                <w:sz w:val="22"/>
                <w:szCs w:val="22"/>
                <w:highlight w:val="none"/>
              </w:rPr>
              <w:t>；镜筒材料：铝合金；天顶镜：</w:t>
            </w:r>
            <w:r>
              <w:rPr>
                <w:rFonts w:cs="Calibri"/>
                <w:color w:val="000000"/>
                <w:kern w:val="0"/>
                <w:sz w:val="22"/>
                <w:szCs w:val="22"/>
                <w:highlight w:val="none"/>
              </w:rPr>
              <w:t>48</w:t>
            </w:r>
            <w:r>
              <w:rPr>
                <w:rFonts w:hint="eastAsia" w:ascii="宋体" w:hAnsi="宋体" w:cs="宋体"/>
                <w:color w:val="000000"/>
                <w:kern w:val="0"/>
                <w:sz w:val="22"/>
                <w:szCs w:val="22"/>
                <w:highlight w:val="none"/>
              </w:rPr>
              <w:t>度全正像镜；寻星镜：</w:t>
            </w:r>
            <w:r>
              <w:rPr>
                <w:rFonts w:cs="Calibri"/>
                <w:color w:val="000000"/>
                <w:kern w:val="0"/>
                <w:sz w:val="22"/>
                <w:szCs w:val="22"/>
                <w:highlight w:val="none"/>
              </w:rPr>
              <w:t>5X24</w:t>
            </w:r>
            <w:r>
              <w:rPr>
                <w:rFonts w:hint="eastAsia" w:ascii="宋体" w:hAnsi="宋体" w:cs="宋体"/>
                <w:color w:val="000000"/>
                <w:kern w:val="0"/>
                <w:sz w:val="22"/>
                <w:szCs w:val="22"/>
                <w:highlight w:val="none"/>
              </w:rPr>
              <w:t>光学寻星镜；境倍镜</w:t>
            </w:r>
            <w:r>
              <w:rPr>
                <w:rFonts w:cs="Calibri"/>
                <w:color w:val="000000"/>
                <w:kern w:val="0"/>
                <w:sz w:val="22"/>
                <w:szCs w:val="22"/>
                <w:highlight w:val="none"/>
              </w:rPr>
              <w:t>3X</w:t>
            </w:r>
            <w:r>
              <w:rPr>
                <w:rFonts w:hint="eastAsia" w:ascii="宋体" w:hAnsi="宋体" w:cs="宋体"/>
                <w:color w:val="000000"/>
                <w:kern w:val="0"/>
                <w:sz w:val="22"/>
                <w:szCs w:val="22"/>
                <w:highlight w:val="none"/>
              </w:rPr>
              <w:t>增倍镜；光学结构：折射式；托架：</w:t>
            </w:r>
            <w:r>
              <w:rPr>
                <w:rFonts w:cs="Calibri"/>
                <w:color w:val="000000"/>
                <w:kern w:val="0"/>
                <w:sz w:val="22"/>
                <w:szCs w:val="22"/>
                <w:highlight w:val="none"/>
              </w:rPr>
              <w:t>AZ</w:t>
            </w:r>
            <w:r>
              <w:rPr>
                <w:rFonts w:hint="eastAsia" w:ascii="宋体" w:hAnsi="宋体" w:cs="宋体"/>
                <w:color w:val="000000"/>
                <w:kern w:val="0"/>
                <w:sz w:val="22"/>
                <w:szCs w:val="22"/>
                <w:highlight w:val="none"/>
              </w:rPr>
              <w:t>经纬仪；三角架：铝合金三角架</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1524"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天文望远镜</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光学系统：马克苏托夫-卡塞格林式/主镜口径:127mm/焦距：1500MM/有效倍率：329X/集光率：329X、分辨率：1.1角秒/焦比F12/主镜长度: 1020mm/倍率1000/红点寻星镜/天顶镜：1.25英寸正象/三角架/钢制/托架：马达驱动经纬仪/最大倍率：300倍；最低有效放大倍率18倍/目镜1：25毫米/目镜2：9毫米/手机支架/5X境倍镜/蓝牙快门/月亮滤镜</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温度表支架</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显示屏：LED数码管屏；尺寸：140*93*93MM</w:t>
            </w:r>
            <w:r>
              <w:rPr>
                <w:rStyle w:val="26"/>
                <w:rFonts w:hint="default"/>
                <w:highlight w:val="none"/>
              </w:rPr>
              <w:t>±</w:t>
            </w:r>
            <w:r>
              <w:rPr>
                <w:rStyle w:val="26"/>
                <w:rFonts w:hint="eastAsia"/>
                <w:highlight w:val="none"/>
                <w:lang w:val="en-US" w:eastAsia="zh-CN"/>
              </w:rPr>
              <w:t>5M</w:t>
            </w:r>
            <w:r>
              <w:rPr>
                <w:rStyle w:val="26"/>
                <w:rFonts w:hint="default"/>
                <w:highlight w:val="none"/>
              </w:rPr>
              <w:t>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付</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百叶箱支架</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金属架；高150CM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百叶箱支架</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木制</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百叶箱</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460mm×290mm×537mm</w:t>
            </w:r>
            <w:r>
              <w:rPr>
                <w:rStyle w:val="26"/>
                <w:rFonts w:hint="default"/>
                <w:highlight w:val="none"/>
              </w:rPr>
              <w:t>±</w:t>
            </w:r>
            <w:r>
              <w:rPr>
                <w:rStyle w:val="26"/>
                <w:rFonts w:hint="eastAsia"/>
                <w:highlight w:val="none"/>
                <w:lang w:val="en-US" w:eastAsia="zh-CN"/>
              </w:rPr>
              <w:t>10M</w:t>
            </w:r>
            <w:r>
              <w:rPr>
                <w:rStyle w:val="26"/>
                <w:rFonts w:hint="default"/>
                <w:highlight w:val="none"/>
              </w:rPr>
              <w:t>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9</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钢卷尺</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2000mm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盒</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布卷尺</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盒</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11</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世界钟</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普及型</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温度计</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红液，0℃～100℃</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支</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13</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寒暑表</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指针式, -40℃～+50℃</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只</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14</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寒暑表</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-40℃～+50℃</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只</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15</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最高温度表</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-16℃～+81℃</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支</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16</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最低温度表</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-52℃～+41℃</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支</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17</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干湿球温度计</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-36℃～+46℃</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付</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18</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地面温度表</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-36℃～+81℃</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支</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19</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自记温度计</w:t>
            </w:r>
          </w:p>
        </w:tc>
        <w:tc>
          <w:tcPr>
            <w:tcW w:w="4825" w:type="dxa"/>
            <w:tcBorders>
              <w:top w:val="single" w:color="000000" w:sz="4" w:space="0"/>
              <w:left w:val="single" w:color="000000" w:sz="4" w:space="0"/>
              <w:bottom w:val="single" w:color="000000" w:sz="4" w:space="0"/>
              <w:right w:val="single" w:color="000000" w:sz="4" w:space="0"/>
            </w:tcBorders>
            <w:vAlign w:val="center"/>
          </w:tcPr>
          <w:p>
            <w:pPr>
              <w:jc w:val="center"/>
              <w:rPr>
                <w:rFonts w:cs="Calibri"/>
                <w:color w:val="000000"/>
                <w:sz w:val="22"/>
                <w:szCs w:val="22"/>
                <w:highlight w:val="none"/>
              </w:rPr>
            </w:pP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台</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768"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地质罗盘</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圆盆式地质罗盘仪『材质』锌合金，军绿烤漆</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『规格』8.5×6.5×3cm</w:t>
            </w:r>
            <w:r>
              <w:rPr>
                <w:rStyle w:val="26"/>
                <w:rFonts w:hint="default"/>
                <w:highlight w:val="none"/>
              </w:rPr>
              <w:t>±</w:t>
            </w:r>
            <w:r>
              <w:rPr>
                <w:rStyle w:val="26"/>
                <w:rFonts w:hint="eastAsia"/>
                <w:highlight w:val="none"/>
                <w:lang w:val="en-US" w:eastAsia="zh-CN"/>
              </w:rPr>
              <w:t>0.5C</w:t>
            </w:r>
            <w:r>
              <w:rPr>
                <w:rStyle w:val="26"/>
                <w:rFonts w:hint="default"/>
                <w:highlight w:val="none"/>
              </w:rPr>
              <w:t>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只</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21</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指南针</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Φ40</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22</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空盒气压表</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DYM3型；测量范围：800-1060hpa</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台</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23</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毛发表</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单发；底板长度215*厚度5MM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24</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蒸发器</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蒸发器面积314cm2</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25</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雨量器</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承水口内径200mm；高60CM</w:t>
            </w:r>
            <w:r>
              <w:rPr>
                <w:rStyle w:val="26"/>
                <w:rFonts w:hint="default"/>
                <w:highlight w:val="none"/>
              </w:rPr>
              <w:t>±</w:t>
            </w:r>
            <w:r>
              <w:rPr>
                <w:rStyle w:val="26"/>
                <w:rFonts w:hint="eastAsia"/>
                <w:highlight w:val="none"/>
                <w:lang w:val="en-US" w:eastAsia="zh-CN"/>
              </w:rPr>
              <w:t>3C</w:t>
            </w:r>
            <w:r>
              <w:rPr>
                <w:rStyle w:val="26"/>
                <w:rFonts w:hint="default"/>
                <w:highlight w:val="none"/>
              </w:rPr>
              <w:t>M</w:t>
            </w:r>
            <w:r>
              <w:rPr>
                <w:rFonts w:hint="eastAsia" w:ascii="宋体" w:hAnsi="宋体" w:cs="宋体"/>
                <w:color w:val="000000"/>
                <w:kern w:val="0"/>
                <w:sz w:val="22"/>
                <w:szCs w:val="22"/>
                <w:highlight w:val="none"/>
              </w:rPr>
              <w:t>；容量范围0-800ML</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26</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雨量计</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highlight w:val="none"/>
              </w:rPr>
            </w:pPr>
            <w:r>
              <w:rPr>
                <w:rFonts w:hint="eastAsia" w:ascii="宋体" w:hAnsi="宋体" w:cs="宋体"/>
                <w:color w:val="000000"/>
                <w:kern w:val="0"/>
                <w:sz w:val="22"/>
                <w:szCs w:val="22"/>
                <w:highlight w:val="none"/>
              </w:rPr>
              <w:t>材质：</w:t>
            </w:r>
            <w:r>
              <w:rPr>
                <w:rFonts w:cs="Calibri"/>
                <w:color w:val="000000"/>
                <w:kern w:val="0"/>
                <w:sz w:val="22"/>
                <w:szCs w:val="22"/>
                <w:highlight w:val="none"/>
              </w:rPr>
              <w:t>ABS</w:t>
            </w:r>
            <w:r>
              <w:rPr>
                <w:rFonts w:hint="eastAsia" w:ascii="宋体" w:hAnsi="宋体" w:cs="宋体"/>
                <w:color w:val="000000"/>
                <w:kern w:val="0"/>
                <w:sz w:val="22"/>
                <w:szCs w:val="22"/>
                <w:highlight w:val="none"/>
              </w:rPr>
              <w:t>；口直径：</w:t>
            </w:r>
            <w:r>
              <w:rPr>
                <w:rFonts w:cs="Calibri"/>
                <w:color w:val="000000"/>
                <w:kern w:val="0"/>
                <w:sz w:val="22"/>
                <w:szCs w:val="22"/>
                <w:highlight w:val="none"/>
              </w:rPr>
              <w:t xml:space="preserve">164MM* </w:t>
            </w:r>
            <w:r>
              <w:rPr>
                <w:rFonts w:hint="eastAsia" w:ascii="宋体" w:hAnsi="宋体" w:cs="宋体"/>
                <w:color w:val="000000"/>
                <w:kern w:val="0"/>
                <w:sz w:val="22"/>
                <w:szCs w:val="22"/>
                <w:highlight w:val="none"/>
              </w:rPr>
              <w:t>高</w:t>
            </w:r>
            <w:r>
              <w:rPr>
                <w:rFonts w:cs="Calibri"/>
                <w:color w:val="000000"/>
                <w:kern w:val="0"/>
                <w:sz w:val="22"/>
                <w:szCs w:val="22"/>
                <w:highlight w:val="none"/>
              </w:rPr>
              <w:t>264MM</w:t>
            </w:r>
            <w:r>
              <w:rPr>
                <w:rStyle w:val="26"/>
                <w:rFonts w:hint="default"/>
                <w:highlight w:val="none"/>
              </w:rPr>
              <w:t>±</w:t>
            </w:r>
            <w:r>
              <w:rPr>
                <w:rStyle w:val="26"/>
                <w:rFonts w:hint="eastAsia"/>
                <w:highlight w:val="none"/>
                <w:lang w:val="en-US" w:eastAsia="zh-CN"/>
              </w:rPr>
              <w:t>5M</w:t>
            </w:r>
            <w:r>
              <w:rPr>
                <w:rStyle w:val="26"/>
                <w:rFonts w:hint="default"/>
                <w:highlight w:val="none"/>
              </w:rPr>
              <w:t>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台</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27</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轻风表</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三杯带风向；尺寸：350*80*80MM</w:t>
            </w:r>
            <w:r>
              <w:rPr>
                <w:rStyle w:val="26"/>
                <w:rFonts w:hint="default"/>
                <w:highlight w:val="none"/>
              </w:rPr>
              <w:t>±</w:t>
            </w:r>
            <w:r>
              <w:rPr>
                <w:rStyle w:val="26"/>
                <w:rFonts w:hint="eastAsia"/>
                <w:highlight w:val="none"/>
                <w:lang w:val="en-US" w:eastAsia="zh-CN"/>
              </w:rPr>
              <w:t>5M</w:t>
            </w:r>
            <w:r>
              <w:rPr>
                <w:rStyle w:val="26"/>
                <w:rFonts w:hint="default"/>
                <w:highlight w:val="none"/>
              </w:rPr>
              <w:t>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台</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28</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测量标杆</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highlight w:val="none"/>
              </w:rPr>
            </w:pPr>
            <w:r>
              <w:rPr>
                <w:rFonts w:cs="Calibri"/>
                <w:color w:val="000000"/>
                <w:kern w:val="0"/>
                <w:sz w:val="22"/>
                <w:szCs w:val="22"/>
                <w:highlight w:val="none"/>
              </w:rPr>
              <w:t>3</w:t>
            </w:r>
            <w:r>
              <w:rPr>
                <w:rFonts w:hint="eastAsia" w:ascii="宋体" w:hAnsi="宋体" w:cs="宋体"/>
                <w:color w:val="000000"/>
                <w:kern w:val="0"/>
                <w:sz w:val="22"/>
                <w:szCs w:val="22"/>
                <w:highlight w:val="none"/>
              </w:rPr>
              <w:t>白两红节；</w:t>
            </w:r>
            <w:r>
              <w:rPr>
                <w:rFonts w:cs="Calibri"/>
                <w:color w:val="000000"/>
                <w:kern w:val="0"/>
                <w:sz w:val="22"/>
                <w:szCs w:val="22"/>
                <w:highlight w:val="none"/>
              </w:rPr>
              <w:t>100CM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29</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噪声测定仪</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手持数字式、测声范围：40dB-130dB</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台</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地球运行仪</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highlight w:val="none"/>
              </w:rPr>
            </w:pPr>
            <w:r>
              <w:rPr>
                <w:rFonts w:hint="eastAsia" w:ascii="宋体" w:hAnsi="宋体" w:cs="宋体"/>
                <w:color w:val="000000"/>
                <w:kern w:val="0"/>
                <w:sz w:val="22"/>
                <w:szCs w:val="22"/>
                <w:highlight w:val="none"/>
              </w:rPr>
              <w:t>球体直径：</w:t>
            </w:r>
            <w:r>
              <w:rPr>
                <w:rFonts w:cs="Calibri"/>
                <w:color w:val="000000"/>
                <w:kern w:val="0"/>
                <w:sz w:val="22"/>
                <w:szCs w:val="22"/>
                <w:highlight w:val="none"/>
              </w:rPr>
              <w:t>23CM</w:t>
            </w:r>
            <w:r>
              <w:rPr>
                <w:rFonts w:hint="eastAsia" w:ascii="宋体" w:hAnsi="宋体" w:cs="宋体"/>
                <w:color w:val="000000"/>
                <w:kern w:val="0"/>
                <w:sz w:val="22"/>
                <w:szCs w:val="22"/>
                <w:highlight w:val="none"/>
              </w:rPr>
              <w:t>；宽</w:t>
            </w:r>
            <w:r>
              <w:rPr>
                <w:rFonts w:cs="Calibri"/>
                <w:color w:val="000000"/>
                <w:kern w:val="0"/>
                <w:sz w:val="22"/>
                <w:szCs w:val="22"/>
                <w:highlight w:val="none"/>
              </w:rPr>
              <w:t>25*</w:t>
            </w:r>
            <w:r>
              <w:rPr>
                <w:rFonts w:hint="eastAsia" w:ascii="宋体" w:hAnsi="宋体" w:cs="宋体"/>
                <w:color w:val="000000"/>
                <w:kern w:val="0"/>
                <w:sz w:val="22"/>
                <w:szCs w:val="22"/>
                <w:highlight w:val="none"/>
              </w:rPr>
              <w:t>高</w:t>
            </w:r>
            <w:r>
              <w:rPr>
                <w:rFonts w:cs="Calibri"/>
                <w:color w:val="000000"/>
                <w:kern w:val="0"/>
                <w:sz w:val="22"/>
                <w:szCs w:val="22"/>
                <w:highlight w:val="none"/>
              </w:rPr>
              <w:t>32CM</w:t>
            </w:r>
            <w:r>
              <w:rPr>
                <w:rStyle w:val="26"/>
                <w:rFonts w:hint="default"/>
                <w:highlight w:val="none"/>
              </w:rPr>
              <w:t>±</w:t>
            </w:r>
            <w:r>
              <w:rPr>
                <w:rStyle w:val="26"/>
                <w:rFonts w:hint="eastAsia"/>
                <w:highlight w:val="none"/>
                <w:lang w:val="en-US" w:eastAsia="zh-CN"/>
              </w:rPr>
              <w:t>1C</w:t>
            </w:r>
            <w:r>
              <w:rPr>
                <w:rStyle w:val="26"/>
                <w:rFonts w:hint="default"/>
                <w:highlight w:val="none"/>
              </w:rPr>
              <w:t>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件</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31</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晨昏仪</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highlight w:val="none"/>
              </w:rPr>
            </w:pPr>
            <w:r>
              <w:rPr>
                <w:rFonts w:hint="eastAsia" w:ascii="宋体" w:hAnsi="宋体" w:cs="宋体"/>
                <w:color w:val="000000"/>
                <w:kern w:val="0"/>
                <w:sz w:val="22"/>
                <w:szCs w:val="22"/>
                <w:highlight w:val="none"/>
              </w:rPr>
              <w:t>球直径：</w:t>
            </w:r>
            <w:r>
              <w:rPr>
                <w:rFonts w:cs="Calibri"/>
                <w:color w:val="000000"/>
                <w:kern w:val="0"/>
                <w:sz w:val="22"/>
                <w:szCs w:val="22"/>
                <w:highlight w:val="none"/>
              </w:rPr>
              <w:t>18*</w:t>
            </w:r>
            <w:r>
              <w:rPr>
                <w:rFonts w:hint="eastAsia" w:ascii="宋体" w:hAnsi="宋体" w:cs="宋体"/>
                <w:color w:val="000000"/>
                <w:kern w:val="0"/>
                <w:sz w:val="22"/>
                <w:szCs w:val="22"/>
                <w:highlight w:val="none"/>
              </w:rPr>
              <w:t>高</w:t>
            </w:r>
            <w:r>
              <w:rPr>
                <w:rFonts w:cs="Calibri"/>
                <w:color w:val="000000"/>
                <w:kern w:val="0"/>
                <w:sz w:val="22"/>
                <w:szCs w:val="22"/>
                <w:highlight w:val="none"/>
              </w:rPr>
              <w:t>30CM</w:t>
            </w:r>
            <w:r>
              <w:rPr>
                <w:rStyle w:val="26"/>
                <w:rFonts w:hint="default"/>
                <w:highlight w:val="none"/>
              </w:rPr>
              <w:t>±</w:t>
            </w:r>
            <w:r>
              <w:rPr>
                <w:rStyle w:val="26"/>
                <w:rFonts w:hint="eastAsia"/>
                <w:highlight w:val="none"/>
                <w:lang w:val="en-US" w:eastAsia="zh-CN"/>
              </w:rPr>
              <w:t>1C</w:t>
            </w:r>
            <w:r>
              <w:rPr>
                <w:rStyle w:val="26"/>
                <w:rFonts w:hint="default"/>
                <w:highlight w:val="none"/>
              </w:rPr>
              <w:t>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件</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036"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32</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日地月运行仪太阳系模型天体仪</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圆盘直径：1m*高1M；教学语音讲解；电源、演示、停止按钮；电源：220V/2A；结构：1.太阳：以红塑料球表示，它的中心现地球中心等高。</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2.地球：其上能观察七大洲，四大洋，南北极圈。南北回归线，赤道和国际日期变更线。</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3.月球：其中心平均高度和地球中心等高。本仪器的日、地、月球之大小，距离均无法按实际比例制做，故将黄白道面夹角5°9′适当放大。</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4.四季盘：表示四季的二十四个节气名称、次序和日期。</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5.月相盘：用它表明月相的位置和地球上的昼夜。</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6.指针：地球公转时，指示地球上的季节和节气。</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件</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33</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太阳视运动仪</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highlight w:val="none"/>
              </w:rPr>
            </w:pPr>
            <w:r>
              <w:rPr>
                <w:rFonts w:hint="eastAsia" w:ascii="宋体" w:hAnsi="宋体" w:cs="宋体"/>
                <w:color w:val="000000"/>
                <w:kern w:val="0"/>
                <w:sz w:val="22"/>
                <w:szCs w:val="22"/>
                <w:highlight w:val="none"/>
              </w:rPr>
              <w:t>球体直径：12.5CM±3CM；透明天球；</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件</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34</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天体运行仪</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highlight w:val="none"/>
              </w:rPr>
            </w:pPr>
            <w:r>
              <w:rPr>
                <w:rFonts w:hint="eastAsia" w:ascii="宋体" w:hAnsi="宋体" w:cs="宋体"/>
                <w:color w:val="000000"/>
                <w:kern w:val="0"/>
                <w:sz w:val="22"/>
                <w:szCs w:val="22"/>
                <w:highlight w:val="none"/>
              </w:rPr>
              <w:t>球体直径：</w:t>
            </w:r>
            <w:r>
              <w:rPr>
                <w:rFonts w:cs="Calibri"/>
                <w:color w:val="000000"/>
                <w:kern w:val="0"/>
                <w:sz w:val="22"/>
                <w:szCs w:val="22"/>
                <w:highlight w:val="none"/>
              </w:rPr>
              <w:t>32CM</w:t>
            </w:r>
            <w:r>
              <w:rPr>
                <w:rFonts w:hint="eastAsia" w:ascii="宋体" w:hAnsi="宋体" w:cs="宋体"/>
                <w:color w:val="000000"/>
                <w:kern w:val="0"/>
                <w:sz w:val="22"/>
                <w:szCs w:val="22"/>
                <w:highlight w:val="none"/>
              </w:rPr>
              <w:t>，总高</w:t>
            </w:r>
            <w:r>
              <w:rPr>
                <w:rFonts w:cs="Calibri"/>
                <w:color w:val="000000"/>
                <w:kern w:val="0"/>
                <w:sz w:val="22"/>
                <w:szCs w:val="22"/>
                <w:highlight w:val="none"/>
              </w:rPr>
              <w:t>45CM</w:t>
            </w:r>
            <w:r>
              <w:rPr>
                <w:rStyle w:val="26"/>
                <w:rFonts w:hint="default"/>
                <w:highlight w:val="none"/>
              </w:rPr>
              <w:t>±</w:t>
            </w:r>
            <w:r>
              <w:rPr>
                <w:rStyle w:val="26"/>
                <w:rFonts w:hint="eastAsia"/>
                <w:highlight w:val="none"/>
                <w:lang w:val="en-US" w:eastAsia="zh-CN"/>
              </w:rPr>
              <w:t>3C</w:t>
            </w:r>
            <w:r>
              <w:rPr>
                <w:rStyle w:val="26"/>
                <w:rFonts w:hint="default"/>
                <w:highlight w:val="none"/>
              </w:rPr>
              <w:t>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件</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35</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三球仪</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操作：手动/电动一休；尺寸：长42*高30CM</w:t>
            </w:r>
            <w:r>
              <w:rPr>
                <w:rStyle w:val="26"/>
                <w:rFonts w:hint="default"/>
                <w:highlight w:val="none"/>
              </w:rPr>
              <w:t>±</w:t>
            </w:r>
            <w:r>
              <w:rPr>
                <w:rStyle w:val="26"/>
                <w:rFonts w:hint="eastAsia"/>
                <w:highlight w:val="none"/>
                <w:lang w:val="en-US" w:eastAsia="zh-CN"/>
              </w:rPr>
              <w:t>3C</w:t>
            </w:r>
            <w:r>
              <w:rPr>
                <w:rStyle w:val="26"/>
                <w:rFonts w:hint="default"/>
                <w:highlight w:val="none"/>
              </w:rPr>
              <w:t>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件</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36</w:t>
            </w:r>
          </w:p>
        </w:tc>
        <w:tc>
          <w:tcPr>
            <w:tcW w:w="114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月球运行仪</w:t>
            </w:r>
          </w:p>
        </w:tc>
        <w:tc>
          <w:tcPr>
            <w:tcW w:w="482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cs="Calibri"/>
                <w:color w:val="000000"/>
                <w:sz w:val="22"/>
                <w:szCs w:val="22"/>
                <w:highlight w:val="none"/>
              </w:rPr>
            </w:pPr>
            <w:r>
              <w:rPr>
                <w:rFonts w:hint="eastAsia" w:ascii="宋体" w:hAnsi="宋体" w:cs="宋体"/>
                <w:color w:val="000000"/>
                <w:kern w:val="0"/>
                <w:sz w:val="22"/>
                <w:szCs w:val="22"/>
                <w:highlight w:val="none"/>
              </w:rPr>
              <w:t>尺寸：长37*高32CM±5cm</w:t>
            </w:r>
          </w:p>
        </w:tc>
        <w:tc>
          <w:tcPr>
            <w:tcW w:w="49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件</w:t>
            </w:r>
          </w:p>
        </w:tc>
        <w:tc>
          <w:tcPr>
            <w:tcW w:w="43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76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768" w:hRule="atLeast"/>
        </w:trPr>
        <w:tc>
          <w:tcPr>
            <w:tcW w:w="479" w:type="dxa"/>
            <w:tcBorders>
              <w:top w:val="single" w:color="auto" w:sz="4" w:space="0"/>
              <w:left w:val="single" w:color="auto"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37</w:t>
            </w:r>
          </w:p>
        </w:tc>
        <w:tc>
          <w:tcPr>
            <w:tcW w:w="1147"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沉积作用演示装置</w:t>
            </w:r>
          </w:p>
        </w:tc>
        <w:tc>
          <w:tcPr>
            <w:tcW w:w="4825" w:type="dxa"/>
            <w:tcBorders>
              <w:top w:val="single" w:color="auto" w:sz="4" w:space="0"/>
              <w:left w:val="nil"/>
              <w:bottom w:val="single" w:color="auto" w:sz="4" w:space="0"/>
              <w:right w:val="nil"/>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尺寸： 长43cm宽11cm高13cm</w:t>
            </w:r>
            <w:r>
              <w:rPr>
                <w:rStyle w:val="26"/>
                <w:rFonts w:hint="default"/>
                <w:highlight w:val="none"/>
              </w:rPr>
              <w:t>±</w:t>
            </w:r>
            <w:r>
              <w:rPr>
                <w:rStyle w:val="26"/>
                <w:rFonts w:hint="eastAsia"/>
                <w:highlight w:val="none"/>
                <w:lang w:val="en-US" w:eastAsia="zh-CN"/>
              </w:rPr>
              <w:t>1C</w:t>
            </w:r>
            <w:r>
              <w:rPr>
                <w:rStyle w:val="26"/>
                <w:rFonts w:hint="default"/>
                <w:highlight w:val="none"/>
              </w:rPr>
              <w:t>M</w:t>
            </w:r>
          </w:p>
        </w:tc>
        <w:tc>
          <w:tcPr>
            <w:tcW w:w="497"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436"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66"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auto" w:sz="4" w:space="0"/>
              <w:left w:val="single" w:color="000000"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768" w:hRule="atLeast"/>
        </w:trPr>
        <w:tc>
          <w:tcPr>
            <w:tcW w:w="479"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38</w:t>
            </w:r>
          </w:p>
        </w:tc>
        <w:tc>
          <w:tcPr>
            <w:tcW w:w="1147"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流水作用演示装置</w:t>
            </w:r>
          </w:p>
        </w:tc>
        <w:tc>
          <w:tcPr>
            <w:tcW w:w="482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highlight w:val="none"/>
              </w:rPr>
            </w:pPr>
            <w:r>
              <w:rPr>
                <w:rFonts w:hint="eastAsia" w:ascii="宋体" w:hAnsi="宋体" w:cs="宋体"/>
                <w:color w:val="000000"/>
                <w:kern w:val="0"/>
                <w:sz w:val="22"/>
                <w:szCs w:val="22"/>
                <w:highlight w:val="none"/>
              </w:rPr>
              <w:t>外开尺寸：</w:t>
            </w:r>
            <w:r>
              <w:rPr>
                <w:rFonts w:cs="Calibri"/>
                <w:color w:val="000000"/>
                <w:kern w:val="0"/>
                <w:sz w:val="22"/>
                <w:szCs w:val="22"/>
                <w:highlight w:val="none"/>
              </w:rPr>
              <w:t>455*113*150CM</w:t>
            </w:r>
            <w:r>
              <w:rPr>
                <w:rStyle w:val="26"/>
                <w:rFonts w:hint="default"/>
                <w:highlight w:val="none"/>
              </w:rPr>
              <w:t>±</w:t>
            </w:r>
            <w:r>
              <w:rPr>
                <w:rStyle w:val="26"/>
                <w:rFonts w:hint="eastAsia"/>
                <w:highlight w:val="none"/>
                <w:lang w:val="en-US" w:eastAsia="zh-CN"/>
              </w:rPr>
              <w:t>3C</w:t>
            </w:r>
            <w:r>
              <w:rPr>
                <w:rStyle w:val="26"/>
                <w:rFonts w:hint="default"/>
                <w:highlight w:val="none"/>
              </w:rPr>
              <w:t>M</w:t>
            </w:r>
          </w:p>
        </w:tc>
        <w:tc>
          <w:tcPr>
            <w:tcW w:w="497"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43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6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768"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39</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断层、褶皱演示器</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highlight w:val="none"/>
              </w:rPr>
            </w:pPr>
            <w:r>
              <w:rPr>
                <w:rFonts w:hint="eastAsia" w:ascii="宋体" w:hAnsi="宋体" w:cs="宋体"/>
                <w:color w:val="000000"/>
                <w:kern w:val="0"/>
                <w:sz w:val="22"/>
                <w:szCs w:val="22"/>
                <w:highlight w:val="none"/>
              </w:rPr>
              <w:t>尺寸：</w:t>
            </w:r>
            <w:r>
              <w:rPr>
                <w:rFonts w:cs="Calibri"/>
                <w:color w:val="000000"/>
                <w:kern w:val="0"/>
                <w:sz w:val="22"/>
                <w:szCs w:val="22"/>
                <w:highlight w:val="none"/>
              </w:rPr>
              <w:t>48*18*19CM</w:t>
            </w:r>
            <w:r>
              <w:rPr>
                <w:rStyle w:val="26"/>
                <w:rFonts w:hint="default"/>
                <w:highlight w:val="none"/>
              </w:rPr>
              <w:t>±</w:t>
            </w:r>
            <w:r>
              <w:rPr>
                <w:rStyle w:val="26"/>
                <w:rFonts w:hint="eastAsia"/>
                <w:highlight w:val="none"/>
                <w:lang w:val="en-US" w:eastAsia="zh-CN"/>
              </w:rPr>
              <w:t>1C</w:t>
            </w:r>
            <w:r>
              <w:rPr>
                <w:rStyle w:val="26"/>
                <w:rFonts w:hint="default"/>
                <w:highlight w:val="none"/>
              </w:rPr>
              <w:t>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768"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40</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地壳变动演示器</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highlight w:val="none"/>
              </w:rPr>
            </w:pPr>
            <w:r>
              <w:rPr>
                <w:rFonts w:hint="eastAsia" w:ascii="宋体" w:hAnsi="宋体" w:cs="宋体"/>
                <w:color w:val="000000"/>
                <w:kern w:val="0"/>
                <w:sz w:val="22"/>
                <w:szCs w:val="22"/>
                <w:highlight w:val="none"/>
              </w:rPr>
              <w:t>尺寸：约</w:t>
            </w:r>
            <w:r>
              <w:rPr>
                <w:rFonts w:cs="Calibri"/>
                <w:color w:val="000000"/>
                <w:kern w:val="0"/>
                <w:sz w:val="22"/>
                <w:szCs w:val="22"/>
                <w:highlight w:val="none"/>
              </w:rPr>
              <w:t>45*17*12cm</w:t>
            </w:r>
            <w:r>
              <w:rPr>
                <w:rStyle w:val="26"/>
                <w:rFonts w:hint="default"/>
                <w:highlight w:val="none"/>
              </w:rPr>
              <w:t>±</w:t>
            </w:r>
            <w:r>
              <w:rPr>
                <w:rStyle w:val="26"/>
                <w:rFonts w:hint="eastAsia"/>
                <w:highlight w:val="none"/>
                <w:lang w:val="en-US" w:eastAsia="zh-CN"/>
              </w:rPr>
              <w:t>1C</w:t>
            </w:r>
            <w:r>
              <w:rPr>
                <w:rStyle w:val="26"/>
                <w:rFonts w:hint="default"/>
                <w:highlight w:val="none"/>
              </w:rPr>
              <w:t>M</w:t>
            </w:r>
            <w:r>
              <w:rPr>
                <w:rFonts w:hint="eastAsia" w:ascii="宋体" w:hAnsi="宋体" w:cs="宋体"/>
                <w:color w:val="000000"/>
                <w:kern w:val="0"/>
                <w:sz w:val="22"/>
                <w:szCs w:val="22"/>
                <w:highlight w:val="none"/>
              </w:rPr>
              <w:t>；材质：</w:t>
            </w:r>
            <w:r>
              <w:rPr>
                <w:rFonts w:cs="Calibri"/>
                <w:color w:val="000000"/>
                <w:kern w:val="0"/>
                <w:sz w:val="22"/>
                <w:szCs w:val="22"/>
                <w:highlight w:val="none"/>
              </w:rPr>
              <w:t>PVC</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768"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41</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季风活动演示仪</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595*40*445MM</w:t>
            </w:r>
            <w:r>
              <w:rPr>
                <w:rStyle w:val="26"/>
                <w:rFonts w:hint="default"/>
                <w:highlight w:val="none"/>
              </w:rPr>
              <w:t>±</w:t>
            </w:r>
            <w:r>
              <w:rPr>
                <w:rStyle w:val="26"/>
                <w:rFonts w:hint="eastAsia"/>
                <w:highlight w:val="none"/>
                <w:lang w:val="en-US" w:eastAsia="zh-CN"/>
              </w:rPr>
              <w:t>5M</w:t>
            </w:r>
            <w:r>
              <w:rPr>
                <w:rStyle w:val="26"/>
                <w:rFonts w:hint="default"/>
                <w:highlight w:val="none"/>
              </w:rPr>
              <w:t>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件</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42</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洋流演示仪</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56*46CM</w:t>
            </w:r>
            <w:r>
              <w:rPr>
                <w:rStyle w:val="26"/>
                <w:rFonts w:hint="default"/>
                <w:highlight w:val="none"/>
              </w:rPr>
              <w:t>±</w:t>
            </w:r>
            <w:r>
              <w:rPr>
                <w:rStyle w:val="26"/>
                <w:rFonts w:hint="eastAsia"/>
                <w:highlight w:val="none"/>
                <w:lang w:val="en-US" w:eastAsia="zh-CN"/>
              </w:rPr>
              <w:t>2C</w:t>
            </w:r>
            <w:r>
              <w:rPr>
                <w:rStyle w:val="26"/>
                <w:rFonts w:hint="default"/>
                <w:highlight w:val="none"/>
              </w:rPr>
              <w:t>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件</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43</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环境速测箱</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土壤pH值，P、N测定，水质测定，空气质量测定</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件</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44</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月相查算盘</w:t>
            </w:r>
          </w:p>
        </w:tc>
        <w:tc>
          <w:tcPr>
            <w:tcW w:w="4825" w:type="dxa"/>
            <w:tcBorders>
              <w:top w:val="nil"/>
              <w:left w:val="nil"/>
              <w:bottom w:val="nil"/>
              <w:right w:val="nil"/>
            </w:tcBorders>
            <w:vAlign w:val="center"/>
          </w:tcPr>
          <w:p>
            <w:pPr>
              <w:widowControl/>
              <w:jc w:val="center"/>
              <w:textAlignment w:val="center"/>
              <w:rPr>
                <w:rFonts w:hint="eastAsia" w:ascii="宋体" w:hAnsi="宋体" w:cs="宋体"/>
                <w:color w:val="3C3C3C"/>
                <w:sz w:val="22"/>
                <w:szCs w:val="22"/>
                <w:highlight w:val="none"/>
              </w:rPr>
            </w:pPr>
            <w:r>
              <w:rPr>
                <w:rFonts w:hint="eastAsia" w:ascii="宋体" w:hAnsi="宋体" w:cs="宋体"/>
                <w:color w:val="3C3C3C"/>
                <w:kern w:val="0"/>
                <w:sz w:val="22"/>
                <w:szCs w:val="22"/>
                <w:highlight w:val="none"/>
              </w:rPr>
              <w:t>月相变化演</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768" w:hRule="atLeast"/>
        </w:trPr>
        <w:tc>
          <w:tcPr>
            <w:tcW w:w="479"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45</w:t>
            </w:r>
          </w:p>
        </w:tc>
        <w:tc>
          <w:tcPr>
            <w:tcW w:w="114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地球科学探究活动器材套装</w:t>
            </w:r>
          </w:p>
        </w:tc>
        <w:tc>
          <w:tcPr>
            <w:tcW w:w="482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cs="Calibri"/>
                <w:color w:val="000000"/>
                <w:sz w:val="22"/>
                <w:szCs w:val="22"/>
                <w:highlight w:val="none"/>
              </w:rPr>
            </w:pPr>
            <w:r>
              <w:rPr>
                <w:rFonts w:hint="eastAsia" w:ascii="宋体" w:hAnsi="宋体" w:cs="宋体"/>
                <w:color w:val="000000"/>
                <w:kern w:val="0"/>
                <w:sz w:val="22"/>
                <w:szCs w:val="22"/>
                <w:highlight w:val="none"/>
              </w:rPr>
              <w:t>金属盘长</w:t>
            </w:r>
            <w:r>
              <w:rPr>
                <w:rFonts w:cs="Calibri"/>
                <w:color w:val="000000"/>
                <w:kern w:val="0"/>
                <w:sz w:val="22"/>
                <w:szCs w:val="22"/>
                <w:highlight w:val="none"/>
              </w:rPr>
              <w:t>26*</w:t>
            </w:r>
            <w:r>
              <w:rPr>
                <w:rFonts w:hint="eastAsia" w:ascii="宋体" w:hAnsi="宋体" w:cs="宋体"/>
                <w:color w:val="000000"/>
                <w:kern w:val="0"/>
                <w:sz w:val="22"/>
                <w:szCs w:val="22"/>
                <w:highlight w:val="none"/>
              </w:rPr>
              <w:t>宽</w:t>
            </w:r>
            <w:r>
              <w:rPr>
                <w:rFonts w:cs="Calibri"/>
                <w:color w:val="000000"/>
                <w:kern w:val="0"/>
                <w:sz w:val="22"/>
                <w:szCs w:val="22"/>
                <w:highlight w:val="none"/>
              </w:rPr>
              <w:t>19CM</w:t>
            </w:r>
            <w:r>
              <w:rPr>
                <w:rStyle w:val="26"/>
                <w:rFonts w:hint="default"/>
                <w:highlight w:val="none"/>
              </w:rPr>
              <w:t>±</w:t>
            </w:r>
            <w:r>
              <w:rPr>
                <w:rStyle w:val="26"/>
                <w:rFonts w:hint="eastAsia"/>
                <w:highlight w:val="none"/>
                <w:lang w:val="en-US" w:eastAsia="zh-CN"/>
              </w:rPr>
              <w:t>1C</w:t>
            </w:r>
            <w:r>
              <w:rPr>
                <w:rStyle w:val="26"/>
                <w:rFonts w:hint="default"/>
                <w:highlight w:val="none"/>
              </w:rPr>
              <w:t>M</w:t>
            </w:r>
            <w:r>
              <w:rPr>
                <w:rFonts w:hint="eastAsia" w:ascii="宋体" w:hAnsi="宋体" w:cs="宋体"/>
                <w:color w:val="000000"/>
                <w:kern w:val="0"/>
                <w:sz w:val="22"/>
                <w:szCs w:val="22"/>
                <w:highlight w:val="none"/>
              </w:rPr>
              <w:t>；球直径</w:t>
            </w:r>
            <w:r>
              <w:rPr>
                <w:rFonts w:cs="Calibri"/>
                <w:color w:val="000000"/>
                <w:kern w:val="0"/>
                <w:sz w:val="22"/>
                <w:szCs w:val="22"/>
                <w:highlight w:val="none"/>
              </w:rPr>
              <w:t>8*</w:t>
            </w:r>
            <w:r>
              <w:rPr>
                <w:rFonts w:hint="eastAsia" w:ascii="宋体" w:hAnsi="宋体" w:cs="宋体"/>
                <w:color w:val="000000"/>
                <w:kern w:val="0"/>
                <w:sz w:val="22"/>
                <w:szCs w:val="22"/>
                <w:highlight w:val="none"/>
              </w:rPr>
              <w:t>高</w:t>
            </w:r>
            <w:r>
              <w:rPr>
                <w:rFonts w:cs="Calibri"/>
                <w:color w:val="000000"/>
                <w:kern w:val="0"/>
                <w:sz w:val="22"/>
                <w:szCs w:val="22"/>
                <w:highlight w:val="none"/>
              </w:rPr>
              <w:t>13CM</w:t>
            </w:r>
            <w:r>
              <w:rPr>
                <w:rStyle w:val="26"/>
                <w:rFonts w:hint="default"/>
                <w:highlight w:val="none"/>
              </w:rPr>
              <w:t>±</w:t>
            </w:r>
            <w:r>
              <w:rPr>
                <w:rStyle w:val="26"/>
                <w:rFonts w:hint="eastAsia"/>
                <w:highlight w:val="none"/>
                <w:lang w:val="en-US" w:eastAsia="zh-CN"/>
              </w:rPr>
              <w:t>1C</w:t>
            </w:r>
            <w:r>
              <w:rPr>
                <w:rStyle w:val="26"/>
                <w:rFonts w:hint="default"/>
                <w:highlight w:val="none"/>
              </w:rPr>
              <w:t>M</w:t>
            </w:r>
          </w:p>
        </w:tc>
        <w:tc>
          <w:tcPr>
            <w:tcW w:w="49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43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76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766"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63" w:type="dxa"/>
            <w:vMerge w:val="continue"/>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402" w:hRule="atLeast"/>
        </w:trPr>
        <w:tc>
          <w:tcPr>
            <w:tcW w:w="6948" w:type="dxa"/>
            <w:gridSpan w:val="4"/>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合计</w:t>
            </w:r>
          </w:p>
        </w:tc>
        <w:tc>
          <w:tcPr>
            <w:tcW w:w="2631" w:type="dxa"/>
            <w:gridSpan w:val="4"/>
            <w:tcBorders>
              <w:top w:val="single" w:color="auto" w:sz="4" w:space="0"/>
              <w:left w:val="single" w:color="000000" w:sz="4" w:space="0"/>
              <w:bottom w:val="single" w:color="auto" w:sz="4" w:space="0"/>
              <w:right w:val="single" w:color="auto" w:sz="4" w:space="0"/>
            </w:tcBorders>
            <w:noWrap/>
            <w:vAlign w:val="center"/>
          </w:tcPr>
          <w:p>
            <w:pPr>
              <w:rPr>
                <w:rFonts w:hint="eastAsia" w:ascii="宋体" w:hAnsi="宋体" w:cs="宋体"/>
                <w:color w:val="000000"/>
                <w:sz w:val="22"/>
                <w:szCs w:val="22"/>
                <w:highlight w:val="none"/>
              </w:rPr>
            </w:pPr>
          </w:p>
        </w:tc>
      </w:tr>
    </w:tbl>
    <w:p>
      <w:pPr>
        <w:pStyle w:val="7"/>
        <w:jc w:val="both"/>
        <w:rPr>
          <w:rFonts w:hint="eastAsia"/>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pStyle w:val="7"/>
        <w:rPr>
          <w:rFonts w:hint="eastAsia"/>
          <w:b/>
          <w:sz w:val="24"/>
          <w:highlight w:val="none"/>
        </w:rPr>
      </w:pPr>
    </w:p>
    <w:p>
      <w:pPr>
        <w:rPr>
          <w:rFonts w:hint="eastAsia"/>
          <w:highlight w:val="none"/>
        </w:rPr>
      </w:pPr>
    </w:p>
    <w:p>
      <w:pPr>
        <w:spacing w:line="400" w:lineRule="exact"/>
        <w:rPr>
          <w:rFonts w:hint="eastAsia"/>
          <w:b/>
          <w:sz w:val="24"/>
          <w:highlight w:val="none"/>
        </w:rPr>
      </w:pPr>
    </w:p>
    <w:p>
      <w:pPr>
        <w:spacing w:line="400" w:lineRule="exact"/>
        <w:rPr>
          <w:rFonts w:hint="eastAsia"/>
          <w:b/>
          <w:sz w:val="24"/>
          <w:highlight w:val="none"/>
        </w:rPr>
      </w:pPr>
    </w:p>
    <w:tbl>
      <w:tblPr>
        <w:tblStyle w:val="17"/>
        <w:tblW w:w="9819" w:type="dxa"/>
        <w:tblInd w:w="93" w:type="dxa"/>
        <w:tblLayout w:type="fixed"/>
        <w:tblCellMar>
          <w:top w:w="0" w:type="dxa"/>
          <w:left w:w="108" w:type="dxa"/>
          <w:bottom w:w="0" w:type="dxa"/>
          <w:right w:w="108" w:type="dxa"/>
        </w:tblCellMar>
      </w:tblPr>
      <w:tblGrid>
        <w:gridCol w:w="469"/>
        <w:gridCol w:w="103"/>
        <w:gridCol w:w="912"/>
        <w:gridCol w:w="300"/>
        <w:gridCol w:w="3744"/>
        <w:gridCol w:w="500"/>
        <w:gridCol w:w="573"/>
        <w:gridCol w:w="147"/>
        <w:gridCol w:w="471"/>
        <w:gridCol w:w="132"/>
        <w:gridCol w:w="662"/>
        <w:gridCol w:w="191"/>
        <w:gridCol w:w="628"/>
        <w:gridCol w:w="328"/>
        <w:gridCol w:w="618"/>
        <w:gridCol w:w="41"/>
      </w:tblGrid>
      <w:tr>
        <w:tblPrEx>
          <w:tblCellMar>
            <w:top w:w="0" w:type="dxa"/>
            <w:left w:w="108" w:type="dxa"/>
            <w:bottom w:w="0" w:type="dxa"/>
            <w:right w:w="108" w:type="dxa"/>
          </w:tblCellMar>
        </w:tblPrEx>
        <w:trPr>
          <w:trHeight w:val="1282" w:hRule="atLeast"/>
        </w:trPr>
        <w:tc>
          <w:tcPr>
            <w:tcW w:w="9819" w:type="dxa"/>
            <w:gridSpan w:val="16"/>
            <w:tcBorders>
              <w:top w:val="single" w:color="auto" w:sz="4" w:space="0"/>
              <w:left w:val="single" w:color="auto" w:sz="4" w:space="0"/>
              <w:bottom w:val="single" w:color="auto" w:sz="4" w:space="0"/>
              <w:right w:val="single" w:color="auto" w:sz="4" w:space="0"/>
            </w:tcBorders>
            <w:shd w:val="clear" w:color="auto" w:fill="FDE9D9"/>
            <w:noWrap/>
            <w:vAlign w:val="center"/>
          </w:tcPr>
          <w:p>
            <w:pPr>
              <w:jc w:val="center"/>
              <w:rPr>
                <w:rFonts w:hint="eastAsia" w:ascii="宋体" w:hAnsi="宋体" w:cs="宋体"/>
                <w:color w:val="000000"/>
                <w:sz w:val="22"/>
                <w:szCs w:val="22"/>
                <w:highlight w:val="none"/>
              </w:rPr>
            </w:pPr>
            <w:r>
              <w:rPr>
                <w:rFonts w:hint="eastAsia" w:ascii="宋体" w:hAnsi="宋体" w:cs="宋体"/>
                <w:color w:val="000000"/>
                <w:kern w:val="0"/>
                <w:sz w:val="52"/>
                <w:szCs w:val="52"/>
                <w:highlight w:val="none"/>
              </w:rPr>
              <w:t>12、综合实践仪器设备</w:t>
            </w:r>
          </w:p>
        </w:tc>
      </w:tr>
      <w:tr>
        <w:tblPrEx>
          <w:tblCellMar>
            <w:top w:w="0" w:type="dxa"/>
            <w:left w:w="108" w:type="dxa"/>
            <w:bottom w:w="0" w:type="dxa"/>
            <w:right w:w="108" w:type="dxa"/>
          </w:tblCellMar>
        </w:tblPrEx>
        <w:trPr>
          <w:trHeight w:val="859" w:hRule="atLeast"/>
        </w:trPr>
        <w:tc>
          <w:tcPr>
            <w:tcW w:w="469"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序号</w:t>
            </w:r>
          </w:p>
        </w:tc>
        <w:tc>
          <w:tcPr>
            <w:tcW w:w="1315" w:type="dxa"/>
            <w:gridSpan w:val="3"/>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品名</w:t>
            </w:r>
          </w:p>
        </w:tc>
        <w:tc>
          <w:tcPr>
            <w:tcW w:w="3744"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 xml:space="preserve">参数 </w:t>
            </w:r>
          </w:p>
        </w:tc>
        <w:tc>
          <w:tcPr>
            <w:tcW w:w="1073" w:type="dxa"/>
            <w:gridSpan w:val="2"/>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单位</w:t>
            </w:r>
          </w:p>
        </w:tc>
        <w:tc>
          <w:tcPr>
            <w:tcW w:w="618" w:type="dxa"/>
            <w:gridSpan w:val="2"/>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数量</w:t>
            </w:r>
          </w:p>
        </w:tc>
        <w:tc>
          <w:tcPr>
            <w:tcW w:w="794" w:type="dxa"/>
            <w:gridSpan w:val="2"/>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单价</w:t>
            </w:r>
          </w:p>
        </w:tc>
        <w:tc>
          <w:tcPr>
            <w:tcW w:w="819" w:type="dxa"/>
            <w:gridSpan w:val="2"/>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合计</w:t>
            </w:r>
          </w:p>
        </w:tc>
        <w:tc>
          <w:tcPr>
            <w:tcW w:w="987" w:type="dxa"/>
            <w:gridSpan w:val="3"/>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备注</w:t>
            </w:r>
          </w:p>
        </w:tc>
      </w:tr>
      <w:tr>
        <w:tblPrEx>
          <w:tblCellMar>
            <w:top w:w="0" w:type="dxa"/>
            <w:left w:w="108" w:type="dxa"/>
            <w:bottom w:w="0" w:type="dxa"/>
            <w:right w:w="108" w:type="dxa"/>
          </w:tblCellMar>
        </w:tblPrEx>
        <w:trPr>
          <w:trHeight w:val="1097"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能力风暴积木教育机器人</w:t>
            </w:r>
          </w:p>
        </w:tc>
        <w:tc>
          <w:tcPr>
            <w:tcW w:w="3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伯牙0号/零件数153个/控制器：支持WIFI连接+扬声器/图形编程APP</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毛阳2</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能力风暴积木教育机器人</w:t>
            </w:r>
          </w:p>
        </w:tc>
        <w:tc>
          <w:tcPr>
            <w:tcW w:w="3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伯牙2号/零件数227个/控制器：支持WIFI连接+扬声器/图形编程APP</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毛阳2</w:t>
            </w:r>
          </w:p>
        </w:tc>
      </w:tr>
      <w:tr>
        <w:tblPrEx>
          <w:tblCellMar>
            <w:top w:w="0" w:type="dxa"/>
            <w:left w:w="108" w:type="dxa"/>
            <w:bottom w:w="0" w:type="dxa"/>
            <w:right w:w="108" w:type="dxa"/>
          </w:tblCellMar>
        </w:tblPrEx>
        <w:trPr>
          <w:trHeight w:val="1282"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能力风暴积木教育机器人</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氪2号/745块积木，62种积木类型、六面搭建上下拼接/非触摸屏，通过APP软件连接网络</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毛阳2</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能力风暴积木教育机器人</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氪4号/944块积木、六面搭建上下拼接/触摸屏，内置WIFI热点</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毛阳2</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能力风暴积木教育机器人</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氪8号/1551块积木、六面搭建上下拼接/触摸屏，内置WIFI热点</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毛阳2</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炉灶</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电磁炉</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9</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5</w:t>
            </w:r>
            <w:r>
              <w:rPr>
                <w:rFonts w:hint="eastAsia" w:ascii="宋体" w:hAnsi="宋体" w:cs="宋体"/>
                <w:color w:val="000000"/>
                <w:kern w:val="0"/>
                <w:sz w:val="20"/>
                <w:szCs w:val="20"/>
                <w:highlight w:val="none"/>
              </w:rPr>
              <w:t>、思源</w:t>
            </w:r>
            <w:r>
              <w:rPr>
                <w:rFonts w:ascii="Times New Roman" w:hAnsi="Times New Roman"/>
                <w:color w:val="000000"/>
                <w:kern w:val="0"/>
                <w:sz w:val="20"/>
                <w:szCs w:val="20"/>
                <w:highlight w:val="none"/>
              </w:rPr>
              <w:t>4</w:t>
            </w:r>
          </w:p>
        </w:tc>
      </w:tr>
      <w:tr>
        <w:tblPrEx>
          <w:tblCellMar>
            <w:top w:w="0" w:type="dxa"/>
            <w:left w:w="108" w:type="dxa"/>
            <w:bottom w:w="0" w:type="dxa"/>
            <w:right w:w="108" w:type="dxa"/>
          </w:tblCellMar>
        </w:tblPrEx>
        <w:trPr>
          <w:trHeight w:val="1282"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砧板</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300</w:t>
            </w:r>
            <w:r>
              <w:rPr>
                <w:rStyle w:val="34"/>
                <w:rFonts w:hint="default"/>
                <w:highlight w:val="none"/>
              </w:rPr>
              <w:t>×400mm</w:t>
            </w:r>
            <w:r>
              <w:rPr>
                <w:rStyle w:val="26"/>
                <w:rFonts w:hint="default"/>
                <w:highlight w:val="none"/>
              </w:rPr>
              <w:t>±</w:t>
            </w:r>
            <w:r>
              <w:rPr>
                <w:rStyle w:val="26"/>
                <w:rFonts w:hint="eastAsia"/>
                <w:highlight w:val="none"/>
                <w:lang w:val="en-US" w:eastAsia="zh-CN"/>
              </w:rPr>
              <w:t>5M</w:t>
            </w:r>
            <w:r>
              <w:rPr>
                <w:rStyle w:val="26"/>
                <w:rFonts w:hint="default"/>
                <w:highlight w:val="none"/>
              </w:rPr>
              <w:t>M</w:t>
            </w:r>
            <w:r>
              <w:rPr>
                <w:rStyle w:val="34"/>
                <w:rFonts w:hint="default"/>
                <w:highlight w:val="none"/>
              </w:rPr>
              <w:t>竹制</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块</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15</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5</w:t>
            </w:r>
            <w:r>
              <w:rPr>
                <w:rFonts w:hint="eastAsia" w:ascii="宋体" w:hAnsi="宋体" w:cs="宋体"/>
                <w:color w:val="000000"/>
                <w:kern w:val="0"/>
                <w:sz w:val="20"/>
                <w:szCs w:val="20"/>
                <w:highlight w:val="none"/>
              </w:rPr>
              <w:t>、一小</w:t>
            </w:r>
            <w:r>
              <w:rPr>
                <w:rFonts w:ascii="Times New Roman" w:hAnsi="Times New Roman"/>
                <w:color w:val="000000"/>
                <w:kern w:val="0"/>
                <w:sz w:val="20"/>
                <w:szCs w:val="20"/>
                <w:highlight w:val="none"/>
              </w:rPr>
              <w:t>5</w:t>
            </w:r>
            <w:r>
              <w:rPr>
                <w:rFonts w:hint="eastAsia" w:ascii="宋体" w:hAnsi="宋体" w:cs="宋体"/>
                <w:color w:val="000000"/>
                <w:kern w:val="0"/>
                <w:sz w:val="20"/>
                <w:szCs w:val="20"/>
                <w:highlight w:val="none"/>
              </w:rPr>
              <w:t>、思源</w:t>
            </w:r>
            <w:r>
              <w:rPr>
                <w:rFonts w:ascii="Times New Roman" w:hAnsi="Times New Roman"/>
                <w:color w:val="000000"/>
                <w:kern w:val="0"/>
                <w:sz w:val="20"/>
                <w:szCs w:val="20"/>
                <w:highlight w:val="none"/>
              </w:rPr>
              <w:t>5</w:t>
            </w:r>
          </w:p>
        </w:tc>
      </w:tr>
      <w:tr>
        <w:tblPrEx>
          <w:tblCellMar>
            <w:top w:w="0" w:type="dxa"/>
            <w:left w:w="108" w:type="dxa"/>
            <w:bottom w:w="0" w:type="dxa"/>
            <w:right w:w="108" w:type="dxa"/>
          </w:tblCellMar>
        </w:tblPrEx>
        <w:trPr>
          <w:trHeight w:val="1282"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菜刀</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不锈钢</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13</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畅好5、一小5、思源3</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9</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厨房用秤</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台式</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台</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2</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1</w:t>
            </w:r>
            <w:r>
              <w:rPr>
                <w:rFonts w:hint="eastAsia" w:ascii="宋体" w:hAnsi="宋体" w:cs="宋体"/>
                <w:color w:val="000000"/>
                <w:kern w:val="0"/>
                <w:sz w:val="20"/>
                <w:szCs w:val="20"/>
                <w:highlight w:val="none"/>
              </w:rPr>
              <w:t>、一小</w:t>
            </w:r>
            <w:r>
              <w:rPr>
                <w:rFonts w:ascii="Times New Roman" w:hAnsi="Times New Roman"/>
                <w:color w:val="000000"/>
                <w:kern w:val="0"/>
                <w:sz w:val="20"/>
                <w:szCs w:val="20"/>
                <w:highlight w:val="none"/>
              </w:rPr>
              <w:t>1</w:t>
            </w:r>
          </w:p>
        </w:tc>
      </w:tr>
      <w:tr>
        <w:tblPrEx>
          <w:tblCellMar>
            <w:top w:w="0" w:type="dxa"/>
            <w:left w:w="108" w:type="dxa"/>
            <w:bottom w:w="0" w:type="dxa"/>
            <w:right w:w="108" w:type="dxa"/>
          </w:tblCellMar>
        </w:tblPrEx>
        <w:trPr>
          <w:trHeight w:val="1282"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炒菜锅</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铁制</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只</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12</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5</w:t>
            </w:r>
            <w:r>
              <w:rPr>
                <w:rFonts w:hint="eastAsia" w:ascii="宋体" w:hAnsi="宋体" w:cs="宋体"/>
                <w:color w:val="000000"/>
                <w:kern w:val="0"/>
                <w:sz w:val="20"/>
                <w:szCs w:val="20"/>
                <w:highlight w:val="none"/>
              </w:rPr>
              <w:t>、一小</w:t>
            </w:r>
            <w:r>
              <w:rPr>
                <w:rFonts w:ascii="Times New Roman" w:hAnsi="Times New Roman"/>
                <w:color w:val="000000"/>
                <w:kern w:val="0"/>
                <w:sz w:val="20"/>
                <w:szCs w:val="20"/>
                <w:highlight w:val="none"/>
              </w:rPr>
              <w:t>5</w:t>
            </w:r>
            <w:r>
              <w:rPr>
                <w:rFonts w:hint="eastAsia" w:ascii="宋体" w:hAnsi="宋体" w:cs="宋体"/>
                <w:color w:val="000000"/>
                <w:kern w:val="0"/>
                <w:sz w:val="20"/>
                <w:szCs w:val="20"/>
                <w:highlight w:val="none"/>
              </w:rPr>
              <w:t>、思源</w:t>
            </w:r>
            <w:r>
              <w:rPr>
                <w:rFonts w:ascii="Times New Roman" w:hAnsi="Times New Roman"/>
                <w:color w:val="000000"/>
                <w:kern w:val="0"/>
                <w:sz w:val="20"/>
                <w:szCs w:val="20"/>
                <w:highlight w:val="none"/>
              </w:rPr>
              <w:t>2</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11</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锅铲</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不锈钢</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10</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5</w:t>
            </w:r>
            <w:r>
              <w:rPr>
                <w:rFonts w:hint="eastAsia" w:ascii="宋体" w:hAnsi="宋体" w:cs="宋体"/>
                <w:color w:val="000000"/>
                <w:kern w:val="0"/>
                <w:sz w:val="20"/>
                <w:szCs w:val="20"/>
                <w:highlight w:val="none"/>
              </w:rPr>
              <w:t>、一小</w:t>
            </w:r>
            <w:r>
              <w:rPr>
                <w:rFonts w:ascii="Times New Roman" w:hAnsi="Times New Roman"/>
                <w:color w:val="000000"/>
                <w:kern w:val="0"/>
                <w:sz w:val="20"/>
                <w:szCs w:val="20"/>
                <w:highlight w:val="none"/>
              </w:rPr>
              <w:t>5</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饭锅</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不锈钢</w:t>
            </w:r>
            <w:r>
              <w:rPr>
                <w:rStyle w:val="34"/>
                <w:rFonts w:hint="default"/>
                <w:highlight w:val="none"/>
              </w:rPr>
              <w:t>260mm</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只</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10</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5</w:t>
            </w:r>
            <w:r>
              <w:rPr>
                <w:rFonts w:hint="eastAsia" w:ascii="宋体" w:hAnsi="宋体" w:cs="宋体"/>
                <w:color w:val="000000"/>
                <w:kern w:val="0"/>
                <w:sz w:val="20"/>
                <w:szCs w:val="20"/>
                <w:highlight w:val="none"/>
              </w:rPr>
              <w:t>、一小</w:t>
            </w:r>
            <w:r>
              <w:rPr>
                <w:rFonts w:ascii="Times New Roman" w:hAnsi="Times New Roman"/>
                <w:color w:val="000000"/>
                <w:kern w:val="0"/>
                <w:sz w:val="20"/>
                <w:szCs w:val="20"/>
                <w:highlight w:val="none"/>
              </w:rPr>
              <w:t>5</w:t>
            </w:r>
          </w:p>
        </w:tc>
      </w:tr>
      <w:tr>
        <w:tblPrEx>
          <w:tblCellMar>
            <w:top w:w="0" w:type="dxa"/>
            <w:left w:w="108" w:type="dxa"/>
            <w:bottom w:w="0" w:type="dxa"/>
            <w:right w:w="108" w:type="dxa"/>
          </w:tblCellMar>
        </w:tblPrEx>
        <w:trPr>
          <w:trHeight w:val="1282"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13</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电饭锅</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容量：5L；直径：30*内直径24*高度14CM</w:t>
            </w:r>
            <w:r>
              <w:rPr>
                <w:rStyle w:val="26"/>
                <w:rFonts w:hint="default"/>
                <w:highlight w:val="none"/>
              </w:rPr>
              <w:t>±</w:t>
            </w:r>
            <w:r>
              <w:rPr>
                <w:rStyle w:val="26"/>
                <w:rFonts w:hint="eastAsia"/>
                <w:highlight w:val="none"/>
                <w:lang w:val="en-US" w:eastAsia="zh-CN"/>
              </w:rPr>
              <w:t>1C</w:t>
            </w:r>
            <w:r>
              <w:rPr>
                <w:rStyle w:val="26"/>
                <w:rFonts w:hint="default"/>
                <w:highlight w:val="none"/>
              </w:rPr>
              <w:t>M</w:t>
            </w:r>
            <w:r>
              <w:rPr>
                <w:rFonts w:hint="eastAsia" w:ascii="宋体" w:hAnsi="宋体" w:cs="宋体"/>
                <w:color w:val="auto"/>
                <w:kern w:val="0"/>
                <w:sz w:val="20"/>
                <w:szCs w:val="20"/>
                <w:highlight w:val="none"/>
              </w:rPr>
              <w:t>；额定功率：800W</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只</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auto"/>
                <w:sz w:val="20"/>
                <w:szCs w:val="20"/>
                <w:highlight w:val="none"/>
              </w:rPr>
            </w:pPr>
            <w:r>
              <w:rPr>
                <w:rFonts w:ascii="Times New Roman" w:hAnsi="Times New Roman"/>
                <w:color w:val="auto"/>
                <w:kern w:val="0"/>
                <w:sz w:val="20"/>
                <w:szCs w:val="20"/>
                <w:highlight w:val="none"/>
              </w:rPr>
              <w:t>18</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FF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FF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FF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5</w:t>
            </w:r>
            <w:r>
              <w:rPr>
                <w:rFonts w:hint="eastAsia" w:ascii="宋体" w:hAnsi="宋体" w:cs="宋体"/>
                <w:color w:val="000000"/>
                <w:kern w:val="0"/>
                <w:sz w:val="20"/>
                <w:szCs w:val="20"/>
                <w:highlight w:val="none"/>
              </w:rPr>
              <w:t>、一小</w:t>
            </w:r>
            <w:r>
              <w:rPr>
                <w:rFonts w:ascii="Times New Roman" w:hAnsi="Times New Roman"/>
                <w:color w:val="000000"/>
                <w:kern w:val="0"/>
                <w:sz w:val="20"/>
                <w:szCs w:val="20"/>
                <w:highlight w:val="none"/>
              </w:rPr>
              <w:t>5</w:t>
            </w:r>
            <w:r>
              <w:rPr>
                <w:rFonts w:hint="eastAsia" w:ascii="宋体" w:hAnsi="宋体" w:cs="宋体"/>
                <w:color w:val="000000"/>
                <w:kern w:val="0"/>
                <w:sz w:val="20"/>
                <w:szCs w:val="20"/>
                <w:highlight w:val="none"/>
              </w:rPr>
              <w:t>、思源4</w:t>
            </w:r>
            <w:r>
              <w:rPr>
                <w:rFonts w:hint="eastAsia" w:ascii="宋体" w:hAnsi="宋体" w:cs="宋体"/>
                <w:color w:val="000000"/>
                <w:kern w:val="0"/>
                <w:sz w:val="20"/>
                <w:szCs w:val="20"/>
                <w:highlight w:val="none"/>
                <w:lang w:eastAsia="zh-CN"/>
              </w:rPr>
              <w:t>、畅好</w:t>
            </w:r>
            <w:r>
              <w:rPr>
                <w:rFonts w:hint="eastAsia" w:ascii="宋体" w:hAnsi="宋体" w:cs="宋体"/>
                <w:color w:val="000000"/>
                <w:kern w:val="0"/>
                <w:sz w:val="20"/>
                <w:szCs w:val="20"/>
                <w:highlight w:val="none"/>
                <w:lang w:val="en-US" w:eastAsia="zh-CN"/>
              </w:rPr>
              <w:t>2、番阳2</w:t>
            </w:r>
          </w:p>
        </w:tc>
      </w:tr>
      <w:tr>
        <w:tblPrEx>
          <w:tblCellMar>
            <w:top w:w="0" w:type="dxa"/>
            <w:left w:w="108" w:type="dxa"/>
            <w:bottom w:w="0" w:type="dxa"/>
            <w:right w:w="108" w:type="dxa"/>
          </w:tblCellMar>
        </w:tblPrEx>
        <w:trPr>
          <w:trHeight w:val="1282"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14</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碗、碟、汤匙、筷子</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高级美耐瓷</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50</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25</w:t>
            </w:r>
            <w:r>
              <w:rPr>
                <w:rFonts w:hint="eastAsia" w:ascii="宋体" w:hAnsi="宋体" w:cs="宋体"/>
                <w:color w:val="000000"/>
                <w:kern w:val="0"/>
                <w:sz w:val="20"/>
                <w:szCs w:val="20"/>
                <w:highlight w:val="none"/>
              </w:rPr>
              <w:t>、一小</w:t>
            </w:r>
            <w:r>
              <w:rPr>
                <w:rFonts w:ascii="Times New Roman" w:hAnsi="Times New Roman"/>
                <w:color w:val="000000"/>
                <w:kern w:val="0"/>
                <w:sz w:val="20"/>
                <w:szCs w:val="20"/>
                <w:highlight w:val="none"/>
              </w:rPr>
              <w:t>20</w:t>
            </w:r>
            <w:r>
              <w:rPr>
                <w:rFonts w:hint="eastAsia" w:ascii="宋体" w:hAnsi="宋体" w:cs="宋体"/>
                <w:color w:val="000000"/>
                <w:kern w:val="0"/>
                <w:sz w:val="20"/>
                <w:szCs w:val="20"/>
                <w:highlight w:val="none"/>
              </w:rPr>
              <w:t>、思源</w:t>
            </w:r>
            <w:r>
              <w:rPr>
                <w:rFonts w:ascii="Times New Roman" w:hAnsi="Times New Roman"/>
                <w:color w:val="000000"/>
                <w:kern w:val="0"/>
                <w:sz w:val="20"/>
                <w:szCs w:val="20"/>
                <w:highlight w:val="none"/>
              </w:rPr>
              <w:t>5</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15</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漏勺</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不锈钢</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只</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6</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5</w:t>
            </w:r>
            <w:r>
              <w:rPr>
                <w:rFonts w:hint="eastAsia" w:ascii="宋体" w:hAnsi="宋体" w:cs="宋体"/>
                <w:color w:val="000000"/>
                <w:kern w:val="0"/>
                <w:sz w:val="20"/>
                <w:szCs w:val="20"/>
                <w:highlight w:val="none"/>
              </w:rPr>
              <w:t>、思源</w:t>
            </w:r>
            <w:r>
              <w:rPr>
                <w:rFonts w:ascii="Times New Roman" w:hAnsi="Times New Roman"/>
                <w:color w:val="000000"/>
                <w:kern w:val="0"/>
                <w:sz w:val="20"/>
                <w:szCs w:val="20"/>
                <w:highlight w:val="none"/>
              </w:rPr>
              <w:t>1</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16</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围裙</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棉布、带袖套、防水。</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条</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45</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畅好25、一小20</w:t>
            </w:r>
          </w:p>
        </w:tc>
      </w:tr>
      <w:tr>
        <w:tblPrEx>
          <w:tblCellMar>
            <w:top w:w="0" w:type="dxa"/>
            <w:left w:w="108" w:type="dxa"/>
            <w:bottom w:w="0" w:type="dxa"/>
            <w:right w:w="108" w:type="dxa"/>
          </w:tblCellMar>
        </w:tblPrEx>
        <w:trPr>
          <w:trHeight w:val="1282"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17</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洗碗布</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300</w:t>
            </w:r>
            <w:r>
              <w:rPr>
                <w:rStyle w:val="34"/>
                <w:rFonts w:hint="default"/>
                <w:highlight w:val="none"/>
              </w:rPr>
              <w:t>×300mm</w:t>
            </w:r>
            <w:r>
              <w:rPr>
                <w:rStyle w:val="26"/>
                <w:rFonts w:hint="default"/>
                <w:highlight w:val="none"/>
              </w:rPr>
              <w:t>±</w:t>
            </w:r>
            <w:r>
              <w:rPr>
                <w:rStyle w:val="26"/>
                <w:rFonts w:hint="eastAsia"/>
                <w:highlight w:val="none"/>
                <w:lang w:val="en-US" w:eastAsia="zh-CN"/>
              </w:rPr>
              <w:t>5mm</w:t>
            </w:r>
            <w:r>
              <w:rPr>
                <w:rStyle w:val="34"/>
                <w:rFonts w:hint="default"/>
                <w:highlight w:val="none"/>
              </w:rPr>
              <w:t xml:space="preserve"> 、GDK09-2005</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块</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34</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10</w:t>
            </w:r>
            <w:r>
              <w:rPr>
                <w:rFonts w:hint="eastAsia" w:ascii="宋体" w:hAnsi="宋体" w:cs="宋体"/>
                <w:color w:val="000000"/>
                <w:kern w:val="0"/>
                <w:sz w:val="20"/>
                <w:szCs w:val="20"/>
                <w:highlight w:val="none"/>
              </w:rPr>
              <w:t>、一小</w:t>
            </w:r>
            <w:r>
              <w:rPr>
                <w:rFonts w:ascii="Times New Roman" w:hAnsi="Times New Roman"/>
                <w:color w:val="000000"/>
                <w:kern w:val="0"/>
                <w:sz w:val="20"/>
                <w:szCs w:val="20"/>
                <w:highlight w:val="none"/>
              </w:rPr>
              <w:t>20</w:t>
            </w:r>
            <w:r>
              <w:rPr>
                <w:rFonts w:hint="eastAsia" w:ascii="宋体" w:hAnsi="宋体" w:cs="宋体"/>
                <w:color w:val="000000"/>
                <w:kern w:val="0"/>
                <w:sz w:val="20"/>
                <w:szCs w:val="20"/>
                <w:highlight w:val="none"/>
              </w:rPr>
              <w:t>、思源</w:t>
            </w:r>
            <w:r>
              <w:rPr>
                <w:rFonts w:ascii="Times New Roman" w:hAnsi="Times New Roman"/>
                <w:color w:val="000000"/>
                <w:kern w:val="0"/>
                <w:sz w:val="20"/>
                <w:szCs w:val="20"/>
                <w:highlight w:val="none"/>
              </w:rPr>
              <w:t>4</w:t>
            </w:r>
          </w:p>
        </w:tc>
      </w:tr>
      <w:tr>
        <w:tblPrEx>
          <w:tblCellMar>
            <w:top w:w="0" w:type="dxa"/>
            <w:left w:w="108" w:type="dxa"/>
            <w:bottom w:w="0" w:type="dxa"/>
            <w:right w:w="108" w:type="dxa"/>
          </w:tblCellMar>
        </w:tblPrEx>
        <w:trPr>
          <w:trHeight w:val="1282"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18</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消毒柜</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尺寸：800*450*1560MM</w:t>
            </w:r>
            <w:r>
              <w:rPr>
                <w:rStyle w:val="26"/>
                <w:rFonts w:hint="default"/>
                <w:highlight w:val="none"/>
              </w:rPr>
              <w:t>±</w:t>
            </w:r>
            <w:r>
              <w:rPr>
                <w:rStyle w:val="26"/>
                <w:rFonts w:hint="eastAsia"/>
                <w:highlight w:val="none"/>
                <w:lang w:val="en-US" w:eastAsia="zh-CN"/>
              </w:rPr>
              <w:t>10M</w:t>
            </w:r>
            <w:r>
              <w:rPr>
                <w:rStyle w:val="26"/>
                <w:rFonts w:hint="default"/>
                <w:highlight w:val="none"/>
              </w:rPr>
              <w:t>M</w:t>
            </w:r>
            <w:r>
              <w:rPr>
                <w:rFonts w:hint="eastAsia" w:ascii="宋体" w:hAnsi="宋体" w:cs="宋体"/>
                <w:color w:val="000000"/>
                <w:kern w:val="0"/>
                <w:sz w:val="20"/>
                <w:szCs w:val="20"/>
                <w:highlight w:val="none"/>
              </w:rPr>
              <w:t>；容量910L（四层架）；功率400W；材质：不锈钢+钢化玻璃；开门方式：折边拉手对开门</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台</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3</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1</w:t>
            </w:r>
            <w:r>
              <w:rPr>
                <w:rFonts w:hint="eastAsia" w:ascii="宋体" w:hAnsi="宋体" w:cs="宋体"/>
                <w:color w:val="000000"/>
                <w:kern w:val="0"/>
                <w:sz w:val="20"/>
                <w:szCs w:val="20"/>
                <w:highlight w:val="none"/>
              </w:rPr>
              <w:t>、一小</w:t>
            </w:r>
            <w:r>
              <w:rPr>
                <w:rFonts w:ascii="Times New Roman" w:hAnsi="Times New Roman"/>
                <w:color w:val="000000"/>
                <w:kern w:val="0"/>
                <w:sz w:val="20"/>
                <w:szCs w:val="20"/>
                <w:highlight w:val="none"/>
              </w:rPr>
              <w:t>1</w:t>
            </w:r>
            <w:r>
              <w:rPr>
                <w:rFonts w:hint="eastAsia" w:ascii="宋体" w:hAnsi="宋体" w:cs="宋体"/>
                <w:color w:val="000000"/>
                <w:kern w:val="0"/>
                <w:sz w:val="20"/>
                <w:szCs w:val="20"/>
                <w:highlight w:val="none"/>
              </w:rPr>
              <w:t>、思源</w:t>
            </w:r>
            <w:r>
              <w:rPr>
                <w:rFonts w:ascii="Times New Roman" w:hAnsi="Times New Roman"/>
                <w:color w:val="000000"/>
                <w:kern w:val="0"/>
                <w:sz w:val="20"/>
                <w:szCs w:val="20"/>
                <w:highlight w:val="none"/>
              </w:rPr>
              <w:t>1</w:t>
            </w:r>
          </w:p>
        </w:tc>
      </w:tr>
      <w:tr>
        <w:tblPrEx>
          <w:tblCellMar>
            <w:top w:w="0" w:type="dxa"/>
            <w:left w:w="108" w:type="dxa"/>
            <w:bottom w:w="0" w:type="dxa"/>
            <w:right w:w="108" w:type="dxa"/>
          </w:tblCellMar>
        </w:tblPrEx>
        <w:trPr>
          <w:trHeight w:val="1705"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19</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抽油烟机</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ahoma" w:hAnsi="Tahoma" w:eastAsia="Tahoma" w:cs="Tahoma"/>
                <w:color w:val="000000"/>
                <w:sz w:val="18"/>
                <w:szCs w:val="18"/>
                <w:highlight w:val="none"/>
              </w:rPr>
            </w:pPr>
            <w:r>
              <w:rPr>
                <w:rStyle w:val="35"/>
                <w:rFonts w:hint="default"/>
                <w:highlight w:val="none"/>
              </w:rPr>
              <w:t>尺寸</w:t>
            </w:r>
            <w:r>
              <w:rPr>
                <w:rStyle w:val="36"/>
                <w:highlight w:val="none"/>
              </w:rPr>
              <w:t>: 896×460×575</w:t>
            </w:r>
            <w:r>
              <w:rPr>
                <w:rStyle w:val="26"/>
                <w:rFonts w:hint="default"/>
                <w:highlight w:val="none"/>
              </w:rPr>
              <w:t>±</w:t>
            </w:r>
            <w:r>
              <w:rPr>
                <w:rStyle w:val="26"/>
                <w:rFonts w:hint="eastAsia"/>
                <w:highlight w:val="none"/>
                <w:lang w:val="en-US" w:eastAsia="zh-CN"/>
              </w:rPr>
              <w:t>5</w:t>
            </w:r>
            <w:r>
              <w:rPr>
                <w:rStyle w:val="35"/>
                <w:rFonts w:hint="default"/>
                <w:highlight w:val="none"/>
              </w:rPr>
              <w:t>；控制面板材质</w:t>
            </w:r>
            <w:r>
              <w:rPr>
                <w:rStyle w:val="36"/>
                <w:highlight w:val="none"/>
              </w:rPr>
              <w:t xml:space="preserve">: </w:t>
            </w:r>
            <w:r>
              <w:rPr>
                <w:rStyle w:val="35"/>
                <w:rFonts w:hint="default"/>
                <w:highlight w:val="none"/>
              </w:rPr>
              <w:t>钢化玻璃</w:t>
            </w:r>
            <w:r>
              <w:rPr>
                <w:rStyle w:val="36"/>
                <w:highlight w:val="none"/>
              </w:rPr>
              <w:t>+</w:t>
            </w:r>
            <w:r>
              <w:rPr>
                <w:rStyle w:val="35"/>
                <w:rFonts w:hint="default"/>
                <w:highlight w:val="none"/>
              </w:rPr>
              <w:t>不锈钢；油烟机种类</w:t>
            </w:r>
            <w:r>
              <w:rPr>
                <w:rStyle w:val="36"/>
                <w:highlight w:val="none"/>
              </w:rPr>
              <w:t xml:space="preserve">: </w:t>
            </w:r>
            <w:r>
              <w:rPr>
                <w:rStyle w:val="35"/>
                <w:rFonts w:hint="default"/>
                <w:highlight w:val="none"/>
              </w:rPr>
              <w:t>侧吸；按键类型</w:t>
            </w:r>
            <w:r>
              <w:rPr>
                <w:rStyle w:val="36"/>
                <w:highlight w:val="none"/>
              </w:rPr>
              <w:t xml:space="preserve">: </w:t>
            </w:r>
            <w:r>
              <w:rPr>
                <w:rStyle w:val="35"/>
                <w:rFonts w:hint="default"/>
                <w:highlight w:val="none"/>
              </w:rPr>
              <w:t>按键式；油烟机排风量</w:t>
            </w:r>
            <w:r>
              <w:rPr>
                <w:rStyle w:val="36"/>
                <w:highlight w:val="none"/>
              </w:rPr>
              <w:t>: 17</w:t>
            </w:r>
            <w:r>
              <w:rPr>
                <w:rStyle w:val="35"/>
                <w:rFonts w:hint="default"/>
                <w:highlight w:val="none"/>
              </w:rPr>
              <w:t>立方米</w:t>
            </w:r>
            <w:r>
              <w:rPr>
                <w:rStyle w:val="36"/>
                <w:highlight w:val="none"/>
              </w:rPr>
              <w:t>/</w:t>
            </w:r>
            <w:r>
              <w:rPr>
                <w:rStyle w:val="35"/>
                <w:rFonts w:hint="default"/>
                <w:highlight w:val="none"/>
              </w:rPr>
              <w:t>分钟；噪声</w:t>
            </w:r>
            <w:r>
              <w:rPr>
                <w:rStyle w:val="36"/>
                <w:highlight w:val="none"/>
              </w:rPr>
              <w:t>: 69dB</w:t>
            </w:r>
            <w:r>
              <w:rPr>
                <w:rStyle w:val="35"/>
                <w:rFonts w:hint="default"/>
                <w:highlight w:val="none"/>
              </w:rPr>
              <w:t>；拢烟罩结构</w:t>
            </w:r>
            <w:r>
              <w:rPr>
                <w:rStyle w:val="36"/>
                <w:highlight w:val="none"/>
              </w:rPr>
              <w:t xml:space="preserve">: </w:t>
            </w:r>
            <w:r>
              <w:rPr>
                <w:rStyle w:val="35"/>
                <w:rFonts w:hint="default"/>
                <w:highlight w:val="none"/>
              </w:rPr>
              <w:t>平罩型</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台</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4</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1</w:t>
            </w:r>
            <w:r>
              <w:rPr>
                <w:rFonts w:hint="eastAsia" w:ascii="宋体" w:hAnsi="宋体" w:cs="宋体"/>
                <w:color w:val="000000"/>
                <w:kern w:val="0"/>
                <w:sz w:val="20"/>
                <w:szCs w:val="20"/>
                <w:highlight w:val="none"/>
              </w:rPr>
              <w:t>、一小</w:t>
            </w:r>
            <w:r>
              <w:rPr>
                <w:rFonts w:ascii="Times New Roman" w:hAnsi="Times New Roman"/>
                <w:color w:val="000000"/>
                <w:kern w:val="0"/>
                <w:sz w:val="20"/>
                <w:szCs w:val="20"/>
                <w:highlight w:val="none"/>
              </w:rPr>
              <w:t>3</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垃圾桶</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塑料</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5</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5</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21</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微波炉</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家用</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台</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5</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5</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22</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冰箱</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hint="eastAsia" w:ascii="宋体" w:hAnsi="宋体" w:cs="宋体"/>
                <w:color w:val="000000"/>
                <w:kern w:val="0"/>
                <w:sz w:val="20"/>
                <w:szCs w:val="20"/>
                <w:highlight w:val="none"/>
              </w:rPr>
              <w:t>尺寸：</w:t>
            </w:r>
            <w:r>
              <w:rPr>
                <w:rFonts w:ascii="Times New Roman" w:hAnsi="Times New Roman"/>
                <w:color w:val="000000"/>
                <w:kern w:val="0"/>
                <w:sz w:val="20"/>
                <w:szCs w:val="20"/>
                <w:highlight w:val="none"/>
              </w:rPr>
              <w:t>544*595*1725MM</w:t>
            </w:r>
            <w:r>
              <w:rPr>
                <w:rStyle w:val="26"/>
                <w:rFonts w:hint="default"/>
                <w:highlight w:val="none"/>
              </w:rPr>
              <w:t>±</w:t>
            </w:r>
            <w:r>
              <w:rPr>
                <w:rStyle w:val="26"/>
                <w:rFonts w:hint="eastAsia"/>
                <w:highlight w:val="none"/>
                <w:lang w:val="en-US" w:eastAsia="zh-CN"/>
              </w:rPr>
              <w:t>10M</w:t>
            </w:r>
            <w:r>
              <w:rPr>
                <w:rStyle w:val="26"/>
                <w:rFonts w:hint="default"/>
                <w:highlight w:val="none"/>
              </w:rPr>
              <w:t>M</w:t>
            </w:r>
            <w:r>
              <w:rPr>
                <w:rFonts w:hint="eastAsia" w:ascii="宋体" w:hAnsi="宋体" w:cs="宋体"/>
                <w:color w:val="000000"/>
                <w:kern w:val="0"/>
                <w:sz w:val="20"/>
                <w:szCs w:val="20"/>
                <w:highlight w:val="none"/>
              </w:rPr>
              <w:t>；能效：</w:t>
            </w:r>
            <w:r>
              <w:rPr>
                <w:rFonts w:ascii="Times New Roman" w:hAnsi="Times New Roman"/>
                <w:color w:val="000000"/>
                <w:kern w:val="0"/>
                <w:sz w:val="20"/>
                <w:szCs w:val="20"/>
                <w:highlight w:val="none"/>
              </w:rPr>
              <w:t>2</w:t>
            </w:r>
            <w:r>
              <w:rPr>
                <w:rFonts w:hint="eastAsia" w:ascii="宋体" w:hAnsi="宋体" w:cs="宋体"/>
                <w:color w:val="000000"/>
                <w:kern w:val="0"/>
                <w:sz w:val="20"/>
                <w:szCs w:val="20"/>
                <w:highlight w:val="none"/>
              </w:rPr>
              <w:t>级；总容量：</w:t>
            </w:r>
            <w:r>
              <w:rPr>
                <w:rFonts w:ascii="Times New Roman" w:hAnsi="Times New Roman"/>
                <w:color w:val="000000"/>
                <w:kern w:val="0"/>
                <w:sz w:val="20"/>
                <w:szCs w:val="20"/>
                <w:highlight w:val="none"/>
              </w:rPr>
              <w:t>213L</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台</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2</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1</w:t>
            </w:r>
            <w:r>
              <w:rPr>
                <w:rFonts w:hint="eastAsia" w:ascii="宋体" w:hAnsi="宋体" w:cs="宋体"/>
                <w:color w:val="000000"/>
                <w:kern w:val="0"/>
                <w:sz w:val="20"/>
                <w:szCs w:val="20"/>
                <w:highlight w:val="none"/>
              </w:rPr>
              <w:t>、思源</w:t>
            </w:r>
            <w:r>
              <w:rPr>
                <w:rFonts w:ascii="Times New Roman" w:hAnsi="Times New Roman"/>
                <w:color w:val="000000"/>
                <w:kern w:val="0"/>
                <w:sz w:val="20"/>
                <w:szCs w:val="20"/>
                <w:highlight w:val="none"/>
              </w:rPr>
              <w:t>1</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23</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剪刀</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不锈钢制、</w:t>
            </w:r>
            <w:r>
              <w:rPr>
                <w:rStyle w:val="34"/>
                <w:rFonts w:hint="default"/>
                <w:highlight w:val="none"/>
              </w:rPr>
              <w:t>14cm，</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23</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23</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24</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美工刀</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大号、带活动扣</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23</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23</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25</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塑料垫板</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多用型</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块</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23</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23</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26</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三角尺</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25cm</w:t>
            </w:r>
            <w:r>
              <w:rPr>
                <w:rStyle w:val="34"/>
                <w:rFonts w:hint="default"/>
                <w:highlight w:val="none"/>
              </w:rPr>
              <w:t>有机、60°、45°各1块。</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付</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23</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23</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27</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圆规</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木制</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只</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23</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23</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28</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毛笔</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大、中、小号</w:t>
            </w:r>
            <w:r>
              <w:rPr>
                <w:rStyle w:val="34"/>
                <w:rFonts w:hint="default"/>
                <w:highlight w:val="none"/>
              </w:rPr>
              <w:t>3件/套</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23</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23</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29</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木锤</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200mm</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只</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10</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10</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大缸</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2L</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只</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1</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rPr>
              <w:t>畅好</w:t>
            </w:r>
            <w:r>
              <w:rPr>
                <w:rFonts w:hint="eastAsia" w:ascii="宋体" w:hAnsi="宋体" w:cs="宋体"/>
                <w:color w:val="000000"/>
                <w:kern w:val="0"/>
                <w:sz w:val="20"/>
                <w:szCs w:val="20"/>
                <w:highlight w:val="none"/>
                <w:lang w:val="en-US" w:eastAsia="zh-CN"/>
              </w:rPr>
              <w:t>1</w:t>
            </w:r>
          </w:p>
        </w:tc>
      </w:tr>
      <w:tr>
        <w:tblPrEx>
          <w:tblCellMar>
            <w:top w:w="0" w:type="dxa"/>
            <w:left w:w="108" w:type="dxa"/>
            <w:bottom w:w="0" w:type="dxa"/>
            <w:right w:w="108" w:type="dxa"/>
          </w:tblCellMar>
        </w:tblPrEx>
        <w:trPr>
          <w:trHeight w:val="1282"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31</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竹制泥篦</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一头扁圆一头斜口，一头扁薄一头斜口，一头细尖一头粗尖，一头扁平口一头斜弯，一头扁薄一头刀口；5把/套</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23</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23</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32</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毛笔</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羊毫中号</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支</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45</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45</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33</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手枪钻</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RT-ID13020</w:t>
            </w:r>
            <w:r>
              <w:rPr>
                <w:rStyle w:val="34"/>
                <w:rFonts w:hint="default"/>
                <w:highlight w:val="none"/>
              </w:rPr>
              <w:t>、Φ13MM、380W</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1</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1</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34</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板锯</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300mm</w:t>
            </w:r>
            <w:r>
              <w:rPr>
                <w:rStyle w:val="34"/>
                <w:rFonts w:hint="default"/>
                <w:highlight w:val="none"/>
              </w:rPr>
              <w:t>，</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7</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7</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35</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手锥</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塑料柄</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7</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7</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36</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钉锤</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0.25kg</w:t>
            </w:r>
            <w:r>
              <w:rPr>
                <w:rStyle w:val="34"/>
                <w:rFonts w:hint="default"/>
                <w:highlight w:val="none"/>
              </w:rPr>
              <w:t>羊角锤</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23</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23</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37</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木锉</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中号，</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23</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23</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38</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电热丝切割器</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工作台尺寸：</w:t>
            </w:r>
            <w:r>
              <w:rPr>
                <w:rStyle w:val="34"/>
                <w:rFonts w:hint="default"/>
                <w:highlight w:val="none"/>
              </w:rPr>
              <w:t>370 x 270mm</w:t>
            </w:r>
            <w:r>
              <w:rPr>
                <w:rStyle w:val="26"/>
                <w:rFonts w:hint="default"/>
                <w:highlight w:val="none"/>
              </w:rPr>
              <w:t>±</w:t>
            </w:r>
            <w:r>
              <w:rPr>
                <w:rStyle w:val="26"/>
                <w:rFonts w:hint="eastAsia"/>
                <w:highlight w:val="none"/>
                <w:lang w:val="en-US" w:eastAsia="zh-CN"/>
              </w:rPr>
              <w:t>5mm</w:t>
            </w:r>
            <w:r>
              <w:rPr>
                <w:rStyle w:val="34"/>
                <w:rFonts w:hint="default"/>
                <w:highlight w:val="none"/>
              </w:rPr>
              <w:t>,钢丝直径：0.18mm</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台</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1</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1</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39</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台钻</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350W GB/T5580</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台</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1</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1</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40</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钢锯</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小型</w:t>
            </w:r>
            <w:r>
              <w:rPr>
                <w:rStyle w:val="34"/>
                <w:rFonts w:hint="default"/>
                <w:highlight w:val="none"/>
              </w:rPr>
              <w:t>HB3252</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23</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23</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41</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台钳</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小号，</w:t>
            </w:r>
            <w:r>
              <w:rPr>
                <w:rStyle w:val="34"/>
                <w:rFonts w:hint="default"/>
                <w:highlight w:val="none"/>
              </w:rPr>
              <w:t>QB/T1558.2</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台</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13</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13</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42</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扁锉</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中号，</w:t>
            </w:r>
            <w:r>
              <w:rPr>
                <w:rStyle w:val="34"/>
                <w:rFonts w:hint="default"/>
                <w:highlight w:val="none"/>
              </w:rPr>
              <w:t>QB/T5806</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23</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23</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43</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什锦锉</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扁，圆，三角等五件</w:t>
            </w:r>
            <w:r>
              <w:rPr>
                <w:rStyle w:val="34"/>
                <w:rFonts w:hint="default"/>
                <w:highlight w:val="none"/>
              </w:rPr>
              <w:t>QB/T2569</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7</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7</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44</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游标卡</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0</w:t>
            </w:r>
            <w:r>
              <w:rPr>
                <w:rStyle w:val="34"/>
                <w:rFonts w:hint="default"/>
                <w:highlight w:val="none"/>
              </w:rPr>
              <w:t>～150mm</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1</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1</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45</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尖嘴钳</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8</w:t>
            </w:r>
            <w:r>
              <w:rPr>
                <w:rStyle w:val="34"/>
                <w:rFonts w:hint="default"/>
                <w:highlight w:val="none"/>
              </w:rPr>
              <w:t>寸，QB/T2442.3</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27</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畅好7、思源20</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46</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老虎（钢丝）钳</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180mm GB/T2442.1</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27</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7</w:t>
            </w:r>
            <w:r>
              <w:rPr>
                <w:rFonts w:hint="eastAsia" w:ascii="宋体" w:hAnsi="宋体" w:cs="宋体"/>
                <w:color w:val="000000"/>
                <w:kern w:val="0"/>
                <w:sz w:val="20"/>
                <w:szCs w:val="20"/>
                <w:highlight w:val="none"/>
              </w:rPr>
              <w:t>、思源</w:t>
            </w:r>
            <w:r>
              <w:rPr>
                <w:rFonts w:ascii="Times New Roman" w:hAnsi="Times New Roman"/>
                <w:color w:val="000000"/>
                <w:kern w:val="0"/>
                <w:sz w:val="20"/>
                <w:szCs w:val="20"/>
                <w:highlight w:val="none"/>
              </w:rPr>
              <w:t>20</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47</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白铁剪</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280mm HB3252</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7</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7</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48</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钢直尺</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500mm</w:t>
            </w:r>
            <w:r>
              <w:rPr>
                <w:rStyle w:val="34"/>
                <w:rFonts w:hint="default"/>
                <w:highlight w:val="none"/>
              </w:rPr>
              <w:t>，GB/T9056</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33</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23</w:t>
            </w:r>
            <w:r>
              <w:rPr>
                <w:rFonts w:hint="eastAsia" w:ascii="宋体" w:hAnsi="宋体" w:cs="宋体"/>
                <w:color w:val="000000"/>
                <w:kern w:val="0"/>
                <w:sz w:val="20"/>
                <w:szCs w:val="20"/>
                <w:highlight w:val="none"/>
              </w:rPr>
              <w:t>、思源</w:t>
            </w:r>
            <w:r>
              <w:rPr>
                <w:rFonts w:ascii="Times New Roman" w:hAnsi="Times New Roman"/>
                <w:color w:val="000000"/>
                <w:kern w:val="0"/>
                <w:sz w:val="20"/>
                <w:szCs w:val="20"/>
                <w:highlight w:val="none"/>
              </w:rPr>
              <w:t>10</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49</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卷尺</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3m</w:t>
            </w:r>
            <w:r>
              <w:rPr>
                <w:rStyle w:val="34"/>
                <w:rFonts w:hint="default"/>
                <w:highlight w:val="none"/>
              </w:rPr>
              <w:t>，QB/T1558.2</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2</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2</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90</w:t>
            </w:r>
            <w:r>
              <w:rPr>
                <w:rStyle w:val="34"/>
                <w:rFonts w:hint="default"/>
                <w:highlight w:val="none"/>
              </w:rPr>
              <w:t>度角尺</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130mm</w:t>
            </w:r>
            <w:r>
              <w:rPr>
                <w:rStyle w:val="34"/>
                <w:rFonts w:hint="default"/>
                <w:highlight w:val="none"/>
              </w:rPr>
              <w:t>×300mm</w:t>
            </w:r>
            <w:r>
              <w:rPr>
                <w:rStyle w:val="26"/>
                <w:rFonts w:hint="default"/>
                <w:highlight w:val="none"/>
              </w:rPr>
              <w:t>±</w:t>
            </w:r>
            <w:r>
              <w:rPr>
                <w:rStyle w:val="26"/>
                <w:rFonts w:hint="eastAsia"/>
                <w:highlight w:val="none"/>
                <w:lang w:val="en-US" w:eastAsia="zh-CN"/>
              </w:rPr>
              <w:t xml:space="preserve">5mm </w:t>
            </w:r>
            <w:r>
              <w:rPr>
                <w:rStyle w:val="34"/>
                <w:rFonts w:hint="default"/>
                <w:highlight w:val="none"/>
              </w:rPr>
              <w:t>HB3252</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23</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23</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51</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组合工具</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定位包装、</w:t>
            </w:r>
            <w:r>
              <w:rPr>
                <w:rStyle w:val="34"/>
                <w:rFonts w:hint="default"/>
                <w:highlight w:val="none"/>
              </w:rPr>
              <w:t>25件/套</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ascii="Times New Roman" w:hAnsi="Times New Roman"/>
                <w:color w:val="000000"/>
                <w:kern w:val="0"/>
                <w:sz w:val="20"/>
                <w:szCs w:val="20"/>
                <w:highlight w:val="none"/>
              </w:rPr>
              <w:t>1</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highlight w:val="none"/>
              </w:rPr>
            </w:pPr>
            <w:r>
              <w:rPr>
                <w:rFonts w:hint="eastAsia" w:ascii="宋体" w:hAnsi="宋体" w:cs="宋体"/>
                <w:color w:val="000000"/>
                <w:kern w:val="0"/>
                <w:sz w:val="20"/>
                <w:szCs w:val="20"/>
                <w:highlight w:val="none"/>
              </w:rPr>
              <w:t>畅好</w:t>
            </w:r>
            <w:r>
              <w:rPr>
                <w:rFonts w:ascii="Times New Roman" w:hAnsi="Times New Roman"/>
                <w:color w:val="000000"/>
                <w:kern w:val="0"/>
                <w:sz w:val="20"/>
                <w:szCs w:val="20"/>
                <w:highlight w:val="none"/>
              </w:rPr>
              <w:t>1</w:t>
            </w:r>
          </w:p>
        </w:tc>
      </w:tr>
      <w:tr>
        <w:tblPrEx>
          <w:tblCellMar>
            <w:top w:w="0" w:type="dxa"/>
            <w:left w:w="108" w:type="dxa"/>
            <w:bottom w:w="0" w:type="dxa"/>
            <w:right w:w="108" w:type="dxa"/>
          </w:tblCellMar>
        </w:tblPrEx>
        <w:trPr>
          <w:trHeight w:val="1282"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52</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液化气灶电磁炉</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尺寸：780*450*150MM</w:t>
            </w:r>
            <w:r>
              <w:rPr>
                <w:rStyle w:val="26"/>
                <w:rFonts w:hint="default"/>
                <w:highlight w:val="none"/>
              </w:rPr>
              <w:t>±</w:t>
            </w:r>
            <w:r>
              <w:rPr>
                <w:rStyle w:val="26"/>
                <w:rFonts w:hint="eastAsia"/>
                <w:highlight w:val="none"/>
                <w:lang w:val="en-US" w:eastAsia="zh-CN"/>
              </w:rPr>
              <w:t>10M</w:t>
            </w:r>
            <w:r>
              <w:rPr>
                <w:rStyle w:val="26"/>
                <w:rFonts w:hint="default"/>
                <w:highlight w:val="none"/>
              </w:rPr>
              <w:t>M</w:t>
            </w:r>
            <w:r>
              <w:rPr>
                <w:rFonts w:hint="eastAsia" w:ascii="宋体" w:hAnsi="宋体" w:cs="宋体"/>
                <w:color w:val="000000"/>
                <w:kern w:val="0"/>
                <w:sz w:val="22"/>
                <w:szCs w:val="22"/>
                <w:highlight w:val="none"/>
              </w:rPr>
              <w:t>；气电两用；脉冲点火；7MM三层防爆面板；热负荷：左2000W，右4.2KW</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台</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一小3</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53</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平底锅</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包装体积: 50CM*30cm*6cm±10cm；材质：铝合金；不粘、无油烟</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口</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一小5</w:t>
            </w:r>
          </w:p>
        </w:tc>
      </w:tr>
      <w:tr>
        <w:tblPrEx>
          <w:tblCellMar>
            <w:top w:w="0" w:type="dxa"/>
            <w:left w:w="108" w:type="dxa"/>
            <w:bottom w:w="0" w:type="dxa"/>
            <w:right w:w="108" w:type="dxa"/>
          </w:tblCellMar>
        </w:tblPrEx>
        <w:trPr>
          <w:trHeight w:val="1282"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54</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三层蒸锅</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规格：28CM；材质：304不锈钢；锅底类型: 三层复合底；包装体积: 37cmX36cmX20cm</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口</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一小3、思源2</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55</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擀面杖</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尺寸：长28、直径2.5CM</w:t>
            </w:r>
            <w:r>
              <w:rPr>
                <w:rStyle w:val="26"/>
                <w:rFonts w:hint="default"/>
                <w:highlight w:val="none"/>
              </w:rPr>
              <w:t>±</w:t>
            </w:r>
            <w:r>
              <w:rPr>
                <w:rStyle w:val="26"/>
                <w:rFonts w:hint="eastAsia"/>
                <w:highlight w:val="none"/>
                <w:lang w:val="en-US" w:eastAsia="zh-CN"/>
              </w:rPr>
              <w:t>1C</w:t>
            </w:r>
            <w:r>
              <w:rPr>
                <w:rStyle w:val="26"/>
                <w:rFonts w:hint="default"/>
                <w:highlight w:val="none"/>
              </w:rPr>
              <w:t>M</w:t>
            </w:r>
            <w:r>
              <w:rPr>
                <w:rFonts w:hint="eastAsia" w:ascii="宋体" w:hAnsi="宋体" w:cs="宋体"/>
                <w:color w:val="000000"/>
                <w:kern w:val="0"/>
                <w:sz w:val="22"/>
                <w:szCs w:val="22"/>
                <w:highlight w:val="none"/>
              </w:rPr>
              <w:t>；材质：巴西花梨木</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19</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一小15、思源4</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56</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洗菜盆</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材质：PP；2层沥水篮；尺寸：高12.6*直径23.9CM±6CM</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16</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一小12、思源4</w:t>
            </w:r>
          </w:p>
        </w:tc>
      </w:tr>
      <w:tr>
        <w:tblPrEx>
          <w:tblCellMar>
            <w:top w:w="0" w:type="dxa"/>
            <w:left w:w="108" w:type="dxa"/>
            <w:bottom w:w="0" w:type="dxa"/>
            <w:right w:w="108" w:type="dxa"/>
          </w:tblCellMar>
        </w:tblPrEx>
        <w:trPr>
          <w:trHeight w:val="1705"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57</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破壁机</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附加功能: 自动清洗； 预约控制方式: 触摸式；功率: 900W容量；1200ml；转速: 32000转/分钟；尺寸：245*205*410MM</w:t>
            </w:r>
            <w:r>
              <w:rPr>
                <w:rStyle w:val="26"/>
                <w:rFonts w:hint="default"/>
                <w:highlight w:val="none"/>
              </w:rPr>
              <w:t>±</w:t>
            </w:r>
            <w:r>
              <w:rPr>
                <w:rStyle w:val="26"/>
                <w:rFonts w:hint="eastAsia"/>
                <w:highlight w:val="none"/>
                <w:lang w:val="en-US" w:eastAsia="zh-CN"/>
              </w:rPr>
              <w:t>5M</w:t>
            </w:r>
            <w:r>
              <w:rPr>
                <w:rStyle w:val="26"/>
                <w:rFonts w:hint="default"/>
                <w:highlight w:val="none"/>
              </w:rPr>
              <w:t>M</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台</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一小2</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58</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漏勺</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材质：304不锈钢</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台</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一小6</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59</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垃圾桶</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50L</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一小3</w:t>
            </w:r>
          </w:p>
        </w:tc>
      </w:tr>
      <w:tr>
        <w:tblPrEx>
          <w:tblCellMar>
            <w:top w:w="0" w:type="dxa"/>
            <w:left w:w="108" w:type="dxa"/>
            <w:bottom w:w="0" w:type="dxa"/>
            <w:right w:w="108" w:type="dxa"/>
          </w:tblCellMar>
        </w:tblPrEx>
        <w:trPr>
          <w:trHeight w:val="1282"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60</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微波炉</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尺寸：442*336*260MM</w:t>
            </w:r>
            <w:r>
              <w:rPr>
                <w:rStyle w:val="26"/>
                <w:rFonts w:hint="default"/>
                <w:highlight w:val="none"/>
              </w:rPr>
              <w:t>±</w:t>
            </w:r>
            <w:r>
              <w:rPr>
                <w:rStyle w:val="26"/>
                <w:rFonts w:hint="eastAsia"/>
                <w:highlight w:val="none"/>
                <w:lang w:val="en-US" w:eastAsia="zh-CN"/>
              </w:rPr>
              <w:t>10M</w:t>
            </w:r>
            <w:r>
              <w:rPr>
                <w:rStyle w:val="26"/>
                <w:rFonts w:hint="default"/>
                <w:highlight w:val="none"/>
              </w:rPr>
              <w:t>M</w:t>
            </w:r>
            <w:r>
              <w:rPr>
                <w:rFonts w:hint="eastAsia" w:ascii="宋体" w:hAnsi="宋体" w:cs="宋体"/>
                <w:color w:val="000000"/>
                <w:kern w:val="0"/>
                <w:sz w:val="22"/>
                <w:szCs w:val="22"/>
                <w:highlight w:val="none"/>
              </w:rPr>
              <w:t>；额定输入功率：1250W；微波输出功率：800W；LED数显屏幕；颜色：白</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台</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一小2</w:t>
            </w:r>
          </w:p>
        </w:tc>
      </w:tr>
      <w:tr>
        <w:tblPrEx>
          <w:tblCellMar>
            <w:top w:w="0" w:type="dxa"/>
            <w:left w:w="108" w:type="dxa"/>
            <w:bottom w:w="0" w:type="dxa"/>
            <w:right w:w="108" w:type="dxa"/>
          </w:tblCellMar>
        </w:tblPrEx>
        <w:trPr>
          <w:trHeight w:val="2128"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61</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冰箱</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总容积：638L；尺寸：910*750*1808MM</w:t>
            </w:r>
            <w:r>
              <w:rPr>
                <w:rStyle w:val="26"/>
                <w:rFonts w:hint="default"/>
                <w:highlight w:val="none"/>
              </w:rPr>
              <w:t>±</w:t>
            </w:r>
            <w:r>
              <w:rPr>
                <w:rStyle w:val="26"/>
                <w:rFonts w:hint="eastAsia"/>
                <w:highlight w:val="none"/>
                <w:lang w:val="en-US" w:eastAsia="zh-CN"/>
              </w:rPr>
              <w:t>10M</w:t>
            </w:r>
            <w:r>
              <w:rPr>
                <w:rStyle w:val="26"/>
                <w:rFonts w:hint="default"/>
                <w:highlight w:val="none"/>
              </w:rPr>
              <w:t>M</w:t>
            </w:r>
            <w:r>
              <w:rPr>
                <w:rFonts w:hint="eastAsia" w:ascii="宋体" w:hAnsi="宋体" w:cs="宋体"/>
                <w:color w:val="000000"/>
                <w:kern w:val="0"/>
                <w:sz w:val="22"/>
                <w:szCs w:val="22"/>
                <w:highlight w:val="none"/>
              </w:rPr>
              <w:t>；双变频；冷控系统：电脑控温-风冷；门板类型：钢板-对开门；雷达感温；能效等级：一级能效；颜色：米兰金</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台</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一小1</w:t>
            </w:r>
          </w:p>
        </w:tc>
      </w:tr>
      <w:tr>
        <w:tblPrEx>
          <w:tblCellMar>
            <w:top w:w="0" w:type="dxa"/>
            <w:left w:w="108" w:type="dxa"/>
            <w:bottom w:w="0" w:type="dxa"/>
            <w:right w:w="108" w:type="dxa"/>
          </w:tblCellMar>
        </w:tblPrEx>
        <w:trPr>
          <w:trHeight w:val="217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62</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烤箱</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尺寸：450*560*395MM</w:t>
            </w:r>
            <w:r>
              <w:rPr>
                <w:rStyle w:val="26"/>
                <w:rFonts w:hint="default"/>
                <w:highlight w:val="none"/>
              </w:rPr>
              <w:t>±</w:t>
            </w:r>
            <w:r>
              <w:rPr>
                <w:rStyle w:val="26"/>
                <w:rFonts w:hint="eastAsia"/>
                <w:highlight w:val="none"/>
                <w:lang w:val="en-US" w:eastAsia="zh-CN"/>
              </w:rPr>
              <w:t>5M</w:t>
            </w:r>
            <w:r>
              <w:rPr>
                <w:rStyle w:val="26"/>
                <w:rFonts w:hint="default"/>
                <w:highlight w:val="none"/>
              </w:rPr>
              <w:t>M</w:t>
            </w:r>
            <w:r>
              <w:rPr>
                <w:rFonts w:hint="eastAsia" w:ascii="宋体" w:hAnsi="宋体" w:cs="宋体"/>
                <w:color w:val="000000"/>
                <w:kern w:val="0"/>
                <w:sz w:val="20"/>
                <w:szCs w:val="20"/>
                <w:highlight w:val="none"/>
              </w:rPr>
              <w:t>；额定功率：1850W；可调温度：20-350度；可调时间：1-9999min;含风机内胆：370*355*240MM</w:t>
            </w:r>
            <w:r>
              <w:rPr>
                <w:rStyle w:val="26"/>
                <w:rFonts w:hint="default"/>
                <w:highlight w:val="none"/>
              </w:rPr>
              <w:t>±</w:t>
            </w:r>
            <w:r>
              <w:rPr>
                <w:rStyle w:val="26"/>
                <w:rFonts w:hint="eastAsia"/>
                <w:highlight w:val="none"/>
                <w:lang w:val="en-US" w:eastAsia="zh-CN"/>
              </w:rPr>
              <w:t>5M</w:t>
            </w:r>
            <w:r>
              <w:rPr>
                <w:rStyle w:val="26"/>
                <w:rFonts w:hint="default"/>
                <w:highlight w:val="none"/>
              </w:rPr>
              <w:t>M</w:t>
            </w:r>
            <w:r>
              <w:rPr>
                <w:rFonts w:hint="eastAsia" w:ascii="宋体" w:hAnsi="宋体" w:cs="宋体"/>
                <w:color w:val="000000"/>
                <w:kern w:val="0"/>
                <w:sz w:val="20"/>
                <w:szCs w:val="20"/>
                <w:highlight w:val="none"/>
              </w:rPr>
              <w:t>；烤盘尺寸：350*275*20MM</w:t>
            </w:r>
            <w:r>
              <w:rPr>
                <w:rStyle w:val="26"/>
                <w:rFonts w:hint="default"/>
                <w:highlight w:val="none"/>
              </w:rPr>
              <w:t>±</w:t>
            </w:r>
            <w:r>
              <w:rPr>
                <w:rStyle w:val="26"/>
                <w:rFonts w:hint="eastAsia"/>
                <w:highlight w:val="none"/>
                <w:lang w:val="en-US" w:eastAsia="zh-CN"/>
              </w:rPr>
              <w:t>5M</w:t>
            </w:r>
            <w:r>
              <w:rPr>
                <w:rStyle w:val="26"/>
                <w:rFonts w:hint="default"/>
                <w:highlight w:val="none"/>
              </w:rPr>
              <w:t>M</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台</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一小1</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63</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水嘴、水池</w:t>
            </w:r>
          </w:p>
        </w:tc>
        <w:tc>
          <w:tcPr>
            <w:tcW w:w="37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highlight w:val="none"/>
              </w:rPr>
            </w:pP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一小5</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64</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外伤急救箱</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尺寸：405*220*230MM</w:t>
            </w:r>
            <w:r>
              <w:rPr>
                <w:rStyle w:val="26"/>
                <w:rFonts w:hint="default"/>
                <w:highlight w:val="none"/>
              </w:rPr>
              <w:t>±</w:t>
            </w:r>
            <w:r>
              <w:rPr>
                <w:rStyle w:val="26"/>
                <w:rFonts w:hint="eastAsia"/>
                <w:highlight w:val="none"/>
                <w:lang w:val="en-US" w:eastAsia="zh-CN"/>
              </w:rPr>
              <w:t>5M</w:t>
            </w:r>
            <w:r>
              <w:rPr>
                <w:rStyle w:val="26"/>
                <w:rFonts w:hint="default"/>
                <w:highlight w:val="none"/>
              </w:rPr>
              <w:t>M</w:t>
            </w:r>
            <w:r>
              <w:rPr>
                <w:rFonts w:hint="eastAsia" w:ascii="宋体" w:hAnsi="宋体" w:cs="宋体"/>
                <w:color w:val="000000"/>
                <w:kern w:val="0"/>
                <w:sz w:val="22"/>
                <w:szCs w:val="22"/>
                <w:highlight w:val="none"/>
              </w:rPr>
              <w:t>/优质铝合金边框/ABS亮银面板</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只</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一小1</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65</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灭火器</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3KG手提式干粉</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台</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一小5</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66</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总控电源</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2P</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一小1</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67</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打蛋盆</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尺寸：28CM；材质：304不锈钢；多刻度设计；硅胶防滑底部</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一小10</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68</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打蛋器</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五档调整；双棒配置；尺寸：265*72*165MM</w:t>
            </w:r>
            <w:r>
              <w:rPr>
                <w:rStyle w:val="26"/>
                <w:rFonts w:hint="default"/>
                <w:highlight w:val="none"/>
              </w:rPr>
              <w:t>±</w:t>
            </w:r>
            <w:r>
              <w:rPr>
                <w:rStyle w:val="26"/>
                <w:rFonts w:hint="eastAsia"/>
                <w:highlight w:val="none"/>
                <w:lang w:val="en-US" w:eastAsia="zh-CN"/>
              </w:rPr>
              <w:t>5M</w:t>
            </w:r>
            <w:r>
              <w:rPr>
                <w:rStyle w:val="26"/>
                <w:rFonts w:hint="default"/>
                <w:highlight w:val="none"/>
              </w:rPr>
              <w:t>M</w:t>
            </w:r>
            <w:r>
              <w:rPr>
                <w:rFonts w:hint="eastAsia" w:ascii="宋体" w:hAnsi="宋体" w:cs="宋体"/>
                <w:color w:val="000000"/>
                <w:kern w:val="0"/>
                <w:sz w:val="22"/>
                <w:szCs w:val="22"/>
                <w:highlight w:val="none"/>
              </w:rPr>
              <w:t>；额定功率：125W</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一小6</w:t>
            </w:r>
          </w:p>
        </w:tc>
      </w:tr>
      <w:tr>
        <w:tblPrEx>
          <w:tblCellMar>
            <w:top w:w="0" w:type="dxa"/>
            <w:left w:w="108" w:type="dxa"/>
            <w:bottom w:w="0" w:type="dxa"/>
            <w:right w:w="108" w:type="dxa"/>
          </w:tblCellMar>
        </w:tblPrEx>
        <w:trPr>
          <w:trHeight w:val="1282"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69</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过筛网</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尺寸：长34.5、直径14.5CM</w:t>
            </w:r>
            <w:r>
              <w:rPr>
                <w:rStyle w:val="26"/>
                <w:rFonts w:hint="default"/>
                <w:highlight w:val="none"/>
              </w:rPr>
              <w:t>±</w:t>
            </w:r>
            <w:r>
              <w:rPr>
                <w:rStyle w:val="26"/>
                <w:rFonts w:hint="eastAsia"/>
                <w:highlight w:val="none"/>
                <w:lang w:val="en-US" w:eastAsia="zh-CN"/>
              </w:rPr>
              <w:t>1C</w:t>
            </w:r>
            <w:r>
              <w:rPr>
                <w:rStyle w:val="26"/>
                <w:rFonts w:hint="default"/>
                <w:highlight w:val="none"/>
              </w:rPr>
              <w:t>M</w:t>
            </w:r>
            <w:r>
              <w:rPr>
                <w:rFonts w:hint="eastAsia" w:ascii="宋体" w:hAnsi="宋体" w:cs="宋体"/>
                <w:color w:val="000000"/>
                <w:kern w:val="0"/>
                <w:sz w:val="22"/>
                <w:szCs w:val="22"/>
                <w:highlight w:val="none"/>
              </w:rPr>
              <w:t>；多功能网格；材质：304不锈钢；双头挂耳设计</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一小8</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70</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烘焙电子称</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尺寸：15*21CM</w:t>
            </w:r>
            <w:r>
              <w:rPr>
                <w:rStyle w:val="26"/>
                <w:rFonts w:hint="default"/>
                <w:highlight w:val="none"/>
              </w:rPr>
              <w:t>±</w:t>
            </w:r>
            <w:r>
              <w:rPr>
                <w:rStyle w:val="26"/>
                <w:rFonts w:hint="eastAsia"/>
                <w:highlight w:val="none"/>
                <w:lang w:val="en-US" w:eastAsia="zh-CN"/>
              </w:rPr>
              <w:t>0.5C</w:t>
            </w:r>
            <w:r>
              <w:rPr>
                <w:rStyle w:val="26"/>
                <w:rFonts w:hint="default"/>
                <w:highlight w:val="none"/>
              </w:rPr>
              <w:t>M</w:t>
            </w:r>
            <w:r>
              <w:rPr>
                <w:rFonts w:hint="eastAsia" w:ascii="宋体" w:hAnsi="宋体" w:cs="宋体"/>
                <w:color w:val="000000"/>
                <w:kern w:val="0"/>
                <w:sz w:val="22"/>
                <w:szCs w:val="22"/>
                <w:highlight w:val="none"/>
              </w:rPr>
              <w:t>；显示：LCD屏；材质：ABS</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台</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一小6</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71</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硅胶刮刀</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尺寸：21*4CM</w:t>
            </w:r>
            <w:r>
              <w:rPr>
                <w:rStyle w:val="26"/>
                <w:rFonts w:hint="default"/>
                <w:highlight w:val="none"/>
              </w:rPr>
              <w:t>±</w:t>
            </w:r>
            <w:r>
              <w:rPr>
                <w:rStyle w:val="26"/>
                <w:rFonts w:hint="eastAsia"/>
                <w:highlight w:val="none"/>
                <w:lang w:val="en-US" w:eastAsia="zh-CN"/>
              </w:rPr>
              <w:t>0.5C</w:t>
            </w:r>
            <w:r>
              <w:rPr>
                <w:rStyle w:val="26"/>
                <w:rFonts w:hint="default"/>
                <w:highlight w:val="none"/>
              </w:rPr>
              <w:t>M</w:t>
            </w:r>
            <w:r>
              <w:rPr>
                <w:rFonts w:hint="eastAsia" w:ascii="宋体" w:hAnsi="宋体" w:cs="宋体"/>
                <w:color w:val="000000"/>
                <w:kern w:val="0"/>
                <w:sz w:val="22"/>
                <w:szCs w:val="22"/>
                <w:highlight w:val="none"/>
              </w:rPr>
              <w:t>；颜色：半透明彩色</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把</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一小5</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72</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蛋糕模具</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10寸</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一小3</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73</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蛋糕模具</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8寸</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一小6</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74</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蛋糕转盘</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尺寸25*13CM</w:t>
            </w:r>
            <w:r>
              <w:rPr>
                <w:rStyle w:val="26"/>
                <w:rFonts w:hint="default"/>
                <w:highlight w:val="none"/>
              </w:rPr>
              <w:t>±</w:t>
            </w:r>
            <w:r>
              <w:rPr>
                <w:rStyle w:val="26"/>
                <w:rFonts w:hint="eastAsia"/>
                <w:highlight w:val="none"/>
                <w:lang w:val="en-US" w:eastAsia="zh-CN"/>
              </w:rPr>
              <w:t>0.5C</w:t>
            </w:r>
            <w:r>
              <w:rPr>
                <w:rStyle w:val="26"/>
                <w:rFonts w:hint="default"/>
                <w:highlight w:val="none"/>
              </w:rPr>
              <w:t>M</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一小2</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75</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和面机</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3.5L；功率：120W</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台</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一小2</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76</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裱花嘴</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50±5只装中号；尺寸：18.5*4.5*14.5CM</w:t>
            </w:r>
            <w:r>
              <w:rPr>
                <w:rStyle w:val="26"/>
                <w:rFonts w:hint="default"/>
                <w:highlight w:val="none"/>
              </w:rPr>
              <w:t>±</w:t>
            </w:r>
            <w:r>
              <w:rPr>
                <w:rStyle w:val="26"/>
                <w:rFonts w:hint="eastAsia"/>
                <w:highlight w:val="none"/>
                <w:lang w:val="en-US" w:eastAsia="zh-CN"/>
              </w:rPr>
              <w:t>0.5C</w:t>
            </w:r>
            <w:r>
              <w:rPr>
                <w:rStyle w:val="26"/>
                <w:rFonts w:hint="default"/>
                <w:highlight w:val="none"/>
              </w:rPr>
              <w:t>M</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一小2</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77</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操作台</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不绣钢双层</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台</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一小6</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78</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插线板</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线长：1.8米；尺寸：21.9*54*29MM</w:t>
            </w:r>
            <w:r>
              <w:rPr>
                <w:rStyle w:val="26"/>
                <w:rFonts w:hint="default"/>
                <w:highlight w:val="none"/>
              </w:rPr>
              <w:t>±</w:t>
            </w:r>
            <w:r>
              <w:rPr>
                <w:rStyle w:val="26"/>
                <w:rFonts w:hint="eastAsia"/>
                <w:highlight w:val="none"/>
                <w:lang w:val="en-US" w:eastAsia="zh-CN"/>
              </w:rPr>
              <w:t>5M</w:t>
            </w:r>
            <w:r>
              <w:rPr>
                <w:rStyle w:val="26"/>
                <w:rFonts w:hint="default"/>
                <w:highlight w:val="none"/>
              </w:rPr>
              <w:t>M</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一小6</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79</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蛋糕抹刀</w:t>
            </w:r>
          </w:p>
        </w:tc>
        <w:tc>
          <w:tcPr>
            <w:tcW w:w="374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8英寸；总长：328MM</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把</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一小4</w:t>
            </w:r>
          </w:p>
        </w:tc>
      </w:tr>
      <w:tr>
        <w:tblPrEx>
          <w:tblCellMar>
            <w:top w:w="0" w:type="dxa"/>
            <w:left w:w="108" w:type="dxa"/>
            <w:bottom w:w="0" w:type="dxa"/>
            <w:right w:w="108" w:type="dxa"/>
          </w:tblCellMar>
        </w:tblPrEx>
        <w:trPr>
          <w:trHeight w:val="1184"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80</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酸奶机</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内胆材质: 不锈钢+陶瓷；支持智能分杯；额定功率：12W；微电脑定时；尺寸：192*190*152MM</w:t>
            </w:r>
            <w:r>
              <w:rPr>
                <w:rStyle w:val="26"/>
                <w:rFonts w:hint="default"/>
                <w:highlight w:val="none"/>
              </w:rPr>
              <w:t>±</w:t>
            </w:r>
            <w:r>
              <w:rPr>
                <w:rStyle w:val="26"/>
                <w:rFonts w:hint="eastAsia"/>
                <w:highlight w:val="none"/>
                <w:lang w:val="en-US" w:eastAsia="zh-CN"/>
              </w:rPr>
              <w:t>5M</w:t>
            </w:r>
            <w:r>
              <w:rPr>
                <w:rStyle w:val="26"/>
                <w:rFonts w:hint="default"/>
                <w:highlight w:val="none"/>
              </w:rPr>
              <w:t>M</w:t>
            </w:r>
            <w:r>
              <w:rPr>
                <w:rFonts w:hint="eastAsia" w:ascii="宋体" w:hAnsi="宋体" w:cs="宋体"/>
                <w:color w:val="000000"/>
                <w:kern w:val="0"/>
                <w:sz w:val="22"/>
                <w:szCs w:val="22"/>
                <w:highlight w:val="none"/>
              </w:rPr>
              <w:t>；额定电压：220V</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台</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思源1</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81</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绞肉机</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300W全铜电机；不锈钢4叶刀；档位设置：双档；额定功率：300W</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台</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思源1</w:t>
            </w:r>
          </w:p>
        </w:tc>
      </w:tr>
      <w:tr>
        <w:tblPrEx>
          <w:tblCellMar>
            <w:top w:w="0" w:type="dxa"/>
            <w:left w:w="108" w:type="dxa"/>
            <w:bottom w:w="0" w:type="dxa"/>
            <w:right w:w="108" w:type="dxa"/>
          </w:tblCellMar>
        </w:tblPrEx>
        <w:trPr>
          <w:trHeight w:val="1750"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82</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榨汁机</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机身材质: 塑料；电压: 111V~240V；功率: 150W；果肉渣滓盒容量: 0.5L(含)-1L(含)；榨汁机最高转速: 80转/分；转速: 43转/分钟；接汁杯容量：1000ML；尺寸：460*130*230MM</w:t>
            </w:r>
            <w:r>
              <w:rPr>
                <w:rStyle w:val="26"/>
                <w:rFonts w:hint="default"/>
                <w:highlight w:val="none"/>
              </w:rPr>
              <w:t>±</w:t>
            </w:r>
            <w:r>
              <w:rPr>
                <w:rStyle w:val="26"/>
                <w:rFonts w:hint="eastAsia"/>
                <w:highlight w:val="none"/>
                <w:lang w:val="en-US" w:eastAsia="zh-CN"/>
              </w:rPr>
              <w:t>5M</w:t>
            </w:r>
            <w:r>
              <w:rPr>
                <w:rStyle w:val="26"/>
                <w:rFonts w:hint="default"/>
                <w:highlight w:val="none"/>
              </w:rPr>
              <w:t>M</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台</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思源1</w:t>
            </w:r>
          </w:p>
        </w:tc>
      </w:tr>
      <w:tr>
        <w:tblPrEx>
          <w:tblCellMar>
            <w:top w:w="0" w:type="dxa"/>
            <w:left w:w="108" w:type="dxa"/>
            <w:bottom w:w="0" w:type="dxa"/>
            <w:right w:w="108" w:type="dxa"/>
          </w:tblCellMar>
        </w:tblPrEx>
        <w:trPr>
          <w:trHeight w:val="10492"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83</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2"/>
                <w:szCs w:val="22"/>
                <w:highlight w:val="none"/>
              </w:rPr>
              <w:t>商用台式一体机电脑</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1.产品类型:商用台式一体机电脑</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2.CPU：Intel Core I5-10500处理器（3.1GHz 主频、12M 缓存）</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3.主板：Intel H470芯片组及以上</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4.内存：配置 ≥8G DDR4 2666MHz内存，提供双内存槽位；</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5.硬盘：256G PCIe M.2 SSD+ 1T SATA3 7200rpm 硬盘</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6.光驱：无光驱</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7.显卡：R625-2G独显</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8.音频设备：内置立体声音箱；支持杜比音效</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9.网卡：集成10/100/1000M以太网卡，802.11 AC无线网卡 </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10.键鼠：USB键盘、鼠标， 支持键盘开机功能，方便使用； </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12.摄像头：1080P高清摄像头，配置数字阵列麦克风；带物理遮挡开关；</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13.显示屏：≥23.8寸广视角全高清液晶显示屏(1920x1080)</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14.接口：6个USB Type-A接口[其中5个3.2 G1、1个3.2G2]；1个USB Type-C接口[3.2 G1-支持给其他设备(手机)快速充电]、DP-Ount二合一接口、多合一读卡器、可选1个串口  </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15.电源：外置≤150W 节能电源</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16.操作系统：原厂预装正版Window10家庭版</w:t>
            </w:r>
          </w:p>
          <w:p>
            <w:pPr>
              <w:widowControl/>
              <w:jc w:val="left"/>
              <w:textAlignment w:val="center"/>
              <w:rPr>
                <w:rFonts w:hint="eastAsia" w:ascii="宋体" w:hAnsi="宋体" w:cs="宋体"/>
                <w:color w:val="000000"/>
                <w:sz w:val="22"/>
                <w:szCs w:val="22"/>
                <w:highlight w:val="none"/>
              </w:rPr>
            </w:pP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台</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思源小学部1</w:t>
            </w:r>
          </w:p>
        </w:tc>
      </w:tr>
      <w:tr>
        <w:tblPrEx>
          <w:tblCellMar>
            <w:top w:w="0" w:type="dxa"/>
            <w:left w:w="108" w:type="dxa"/>
            <w:bottom w:w="0" w:type="dxa"/>
            <w:right w:w="108" w:type="dxa"/>
          </w:tblCellMar>
        </w:tblPrEx>
        <w:trPr>
          <w:trHeight w:val="881" w:hRule="atLeast"/>
        </w:trPr>
        <w:tc>
          <w:tcPr>
            <w:tcW w:w="8013" w:type="dxa"/>
            <w:gridSpan w:val="11"/>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合计</w:t>
            </w: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7" w:type="dxa"/>
            <w:gridSpan w:val="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gridAfter w:val="1"/>
          <w:wAfter w:w="41" w:type="dxa"/>
          <w:trHeight w:val="1238" w:hRule="atLeast"/>
        </w:trPr>
        <w:tc>
          <w:tcPr>
            <w:tcW w:w="9778" w:type="dxa"/>
            <w:gridSpan w:val="15"/>
            <w:tcBorders>
              <w:top w:val="single" w:color="auto" w:sz="4" w:space="0"/>
              <w:left w:val="single" w:color="auto" w:sz="4" w:space="0"/>
              <w:bottom w:val="single" w:color="auto" w:sz="4" w:space="0"/>
              <w:right w:val="single" w:color="auto" w:sz="4" w:space="0"/>
            </w:tcBorders>
            <w:shd w:val="clear" w:color="auto" w:fill="FDE9D9"/>
            <w:noWrap/>
            <w:vAlign w:val="center"/>
          </w:tcPr>
          <w:p>
            <w:pPr>
              <w:jc w:val="center"/>
              <w:rPr>
                <w:rFonts w:hint="eastAsia" w:ascii="宋体" w:hAnsi="宋体" w:cs="宋体"/>
                <w:color w:val="000000"/>
                <w:sz w:val="22"/>
                <w:szCs w:val="22"/>
                <w:highlight w:val="none"/>
              </w:rPr>
            </w:pPr>
            <w:r>
              <w:rPr>
                <w:rFonts w:hint="eastAsia" w:ascii="宋体" w:hAnsi="宋体" w:cs="宋体"/>
                <w:color w:val="000000"/>
                <w:kern w:val="0"/>
                <w:sz w:val="52"/>
                <w:szCs w:val="52"/>
                <w:highlight w:val="none"/>
              </w:rPr>
              <w:t>13、综合实践活动室设施</w:t>
            </w:r>
          </w:p>
        </w:tc>
      </w:tr>
      <w:tr>
        <w:tblPrEx>
          <w:tblCellMar>
            <w:top w:w="0" w:type="dxa"/>
            <w:left w:w="108" w:type="dxa"/>
            <w:bottom w:w="0" w:type="dxa"/>
            <w:right w:w="108" w:type="dxa"/>
          </w:tblCellMar>
        </w:tblPrEx>
        <w:trPr>
          <w:gridAfter w:val="1"/>
          <w:wAfter w:w="41" w:type="dxa"/>
          <w:trHeight w:val="836" w:hRule="atLeast"/>
        </w:trPr>
        <w:tc>
          <w:tcPr>
            <w:tcW w:w="572" w:type="dxa"/>
            <w:gridSpan w:val="2"/>
            <w:tcBorders>
              <w:top w:val="single" w:color="auto" w:sz="4" w:space="0"/>
              <w:left w:val="single" w:color="auto" w:sz="4" w:space="0"/>
              <w:bottom w:val="single" w:color="000000" w:sz="8" w:space="0"/>
              <w:right w:val="single" w:color="000000" w:sz="8"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序号</w:t>
            </w:r>
          </w:p>
        </w:tc>
        <w:tc>
          <w:tcPr>
            <w:tcW w:w="912" w:type="dxa"/>
            <w:tcBorders>
              <w:top w:val="single" w:color="auto" w:sz="4" w:space="0"/>
              <w:left w:val="nil"/>
              <w:bottom w:val="single" w:color="auto" w:sz="4" w:space="0"/>
              <w:right w:val="single" w:color="000000" w:sz="8"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品名</w:t>
            </w:r>
          </w:p>
        </w:tc>
        <w:tc>
          <w:tcPr>
            <w:tcW w:w="4544" w:type="dxa"/>
            <w:gridSpan w:val="3"/>
            <w:tcBorders>
              <w:top w:val="single" w:color="auto" w:sz="4" w:space="0"/>
              <w:left w:val="nil"/>
              <w:bottom w:val="single" w:color="auto" w:sz="4" w:space="0"/>
              <w:right w:val="single" w:color="000000" w:sz="8"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 xml:space="preserve">规格、参数 </w:t>
            </w:r>
          </w:p>
        </w:tc>
        <w:tc>
          <w:tcPr>
            <w:tcW w:w="720" w:type="dxa"/>
            <w:gridSpan w:val="2"/>
            <w:tcBorders>
              <w:top w:val="single" w:color="auto" w:sz="4" w:space="0"/>
              <w:left w:val="nil"/>
              <w:bottom w:val="single" w:color="auto" w:sz="4" w:space="0"/>
              <w:right w:val="single" w:color="000000" w:sz="8"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单位</w:t>
            </w:r>
          </w:p>
        </w:tc>
        <w:tc>
          <w:tcPr>
            <w:tcW w:w="603" w:type="dxa"/>
            <w:gridSpan w:val="2"/>
            <w:tcBorders>
              <w:top w:val="single" w:color="auto" w:sz="4" w:space="0"/>
              <w:left w:val="nil"/>
              <w:bottom w:val="single" w:color="auto" w:sz="4" w:space="0"/>
              <w:right w:val="single" w:color="000000" w:sz="8"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数量</w:t>
            </w:r>
          </w:p>
        </w:tc>
        <w:tc>
          <w:tcPr>
            <w:tcW w:w="853" w:type="dxa"/>
            <w:gridSpan w:val="2"/>
            <w:tcBorders>
              <w:top w:val="single" w:color="auto" w:sz="4" w:space="0"/>
              <w:left w:val="nil"/>
              <w:bottom w:val="single" w:color="auto" w:sz="4" w:space="0"/>
              <w:right w:val="single" w:color="000000" w:sz="8"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单价</w:t>
            </w:r>
          </w:p>
        </w:tc>
        <w:tc>
          <w:tcPr>
            <w:tcW w:w="956" w:type="dxa"/>
            <w:gridSpan w:val="2"/>
            <w:tcBorders>
              <w:top w:val="single" w:color="auto" w:sz="4" w:space="0"/>
              <w:left w:val="nil"/>
              <w:bottom w:val="single" w:color="auto" w:sz="4" w:space="0"/>
              <w:right w:val="single" w:color="000000" w:sz="8"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合价</w:t>
            </w:r>
          </w:p>
        </w:tc>
        <w:tc>
          <w:tcPr>
            <w:tcW w:w="6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cs="宋体"/>
                <w:b/>
                <w:bCs/>
                <w:color w:val="000000"/>
                <w:sz w:val="22"/>
                <w:szCs w:val="22"/>
                <w:highlight w:val="none"/>
              </w:rPr>
            </w:pPr>
            <w:r>
              <w:rPr>
                <w:rFonts w:hint="eastAsia" w:ascii="宋体" w:hAnsi="宋体" w:cs="宋体"/>
                <w:b/>
                <w:bCs/>
                <w:color w:val="000000"/>
                <w:kern w:val="0"/>
                <w:sz w:val="22"/>
                <w:szCs w:val="22"/>
                <w:highlight w:val="none"/>
              </w:rPr>
              <w:t>备注</w:t>
            </w:r>
          </w:p>
        </w:tc>
      </w:tr>
      <w:tr>
        <w:tblPrEx>
          <w:tblCellMar>
            <w:top w:w="0" w:type="dxa"/>
            <w:left w:w="108" w:type="dxa"/>
            <w:bottom w:w="0" w:type="dxa"/>
            <w:right w:w="108" w:type="dxa"/>
          </w:tblCellMar>
        </w:tblPrEx>
        <w:trPr>
          <w:gridAfter w:val="1"/>
          <w:wAfter w:w="41" w:type="dxa"/>
          <w:trHeight w:val="8992" w:hRule="atLeast"/>
        </w:trPr>
        <w:tc>
          <w:tcPr>
            <w:tcW w:w="572" w:type="dxa"/>
            <w:gridSpan w:val="2"/>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912" w:type="dxa"/>
            <w:tcBorders>
              <w:top w:val="single" w:color="auto" w:sz="4" w:space="0"/>
              <w:left w:val="single" w:color="auto" w:sz="4" w:space="0"/>
              <w:bottom w:val="single" w:color="auto" w:sz="4" w:space="0"/>
              <w:right w:val="single" w:color="000000" w:sz="8"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教师演示台</w:t>
            </w:r>
          </w:p>
        </w:tc>
        <w:tc>
          <w:tcPr>
            <w:tcW w:w="4544" w:type="dxa"/>
            <w:gridSpan w:val="3"/>
            <w:tcBorders>
              <w:top w:val="single" w:color="auto" w:sz="4" w:space="0"/>
              <w:left w:val="single" w:color="000000" w:sz="8" w:space="0"/>
              <w:bottom w:val="single" w:color="auto" w:sz="4" w:space="0"/>
              <w:right w:val="single" w:color="000000" w:sz="8"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尺寸：2800（长）×700（宽）×850mm（高）。2、结构：演示台设有储物柜，中间为演示台，设置电源主控系统、多媒体设备（主机、显示器、中控、功放、交换机）的位置预留。3、台面：一体化台面，采用12.7mm厚实芯理化板，结构加工坚固致密、机械精打磨圆滑细致，造型美观，具有优异的稳定、持久、耐水和易清洗维护等特性。4、桌体：采用1.0mm优质镀锌钢板，CO2保护焊焊接，打磨处理，表面经耐酸碱EPOXY粉末烤漆处理（烤漆膜厚度平均值≥ 70μm），表面硬度附着力、耐腐蚀性符合国家GB/T3668-200X标准。5、滑轨：三节重型滚珠滑轨，承重性强，滑动性能良好，无噪音，开合十万次不变形。6、铰链：采用自动型110°大伸展角度，锌合金铰链，开合五万次不变形。7、拉手：采用C型不锈钢拉手，造型独特美观。8、脚垫：采用柜体内置可调ABS脚垫，保证桌面平整，防水防潮，延长设备使用寿命。9、台面甲醛释放量检测达到国家标准(GB 18580-2017)E1级的技术指标要求，甲醛释放量检测结果值小于0.01mg/M3（未检出）。</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10、生产厂家需满足如下条件：具有质量管理体系、环境管理体系及职业健康安全管理体系认证证书。</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★投标人应提供有资质的检测机构出具的检测报告复印件，供货厂家投标授权书复印件和质保服务承诺函复印件加盖厂家公章。</w:t>
            </w:r>
          </w:p>
        </w:tc>
        <w:tc>
          <w:tcPr>
            <w:tcW w:w="720" w:type="dxa"/>
            <w:gridSpan w:val="2"/>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张</w:t>
            </w:r>
          </w:p>
        </w:tc>
        <w:tc>
          <w:tcPr>
            <w:tcW w:w="603" w:type="dxa"/>
            <w:gridSpan w:val="2"/>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853" w:type="dxa"/>
            <w:gridSpan w:val="2"/>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956" w:type="dxa"/>
            <w:gridSpan w:val="2"/>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618" w:type="dxa"/>
            <w:tcBorders>
              <w:top w:val="single" w:color="auto" w:sz="4" w:space="0"/>
              <w:left w:val="nil"/>
              <w:bottom w:val="single" w:color="auto" w:sz="4" w:space="0"/>
              <w:right w:val="single" w:color="auto"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gridAfter w:val="1"/>
          <w:wAfter w:w="41" w:type="dxa"/>
          <w:trHeight w:val="90" w:hRule="atLeast"/>
        </w:trPr>
        <w:tc>
          <w:tcPr>
            <w:tcW w:w="572" w:type="dxa"/>
            <w:gridSpan w:val="2"/>
            <w:tcBorders>
              <w:top w:val="single" w:color="auto" w:sz="4" w:space="0"/>
              <w:left w:val="single" w:color="auto" w:sz="4"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912" w:type="dxa"/>
            <w:tcBorders>
              <w:top w:val="single" w:color="auto" w:sz="4" w:space="0"/>
              <w:left w:val="nil"/>
              <w:bottom w:val="single" w:color="auto"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铝塑型创新实验桌</w:t>
            </w:r>
          </w:p>
        </w:tc>
        <w:tc>
          <w:tcPr>
            <w:tcW w:w="4544" w:type="dxa"/>
            <w:gridSpan w:val="3"/>
            <w:tcBorders>
              <w:top w:val="single" w:color="auto" w:sz="4" w:space="0"/>
              <w:left w:val="single" w:color="000000" w:sz="8" w:space="0"/>
              <w:bottom w:val="single" w:color="auto" w:sz="4" w:space="0"/>
              <w:right w:val="single" w:color="000000" w:sz="8"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尺寸：1200（长）×1039（宽）×780mm（高）。2、结构：新型铝塑结构，桌体上部可选配键盘托。桌体结合人体工程学设计，便于清理，不屯垃圾。外观流线形设计，简洁美观，易碰撞处全部采用倒圆角，产品款式整体设计美观、合理、安全、牢固、耐用。无毒无味，耐腐蚀，耐酸碱，防水防潮。3、台面：一体化台面，采用12.7mm厚、防火、耐磨、耐烟酌、抗污染的抗倍特板，结构加工坚固致密、机械精打磨圆滑细致，造型美观，具有优异的稳定、持久、耐水和易清洗维护等特性。4、桌腿：采用铝合金压铸工艺成型，整体成“大”字形，由上下两段组成。上支座尺寸380*44*129mm，壁厚3.0mm。下支座尺寸395*40*638mm，壁厚4.5mm，与壁厚1.0mm的镀锌板牢固拼合，表面需经静电喷涂、高温固化成光滑面。下支座外包装套，采用进口ABS工程塑料，模具注塑成“人”字形，尺寸182*47*424mm，壁厚3.5mm，使桌脚更加牢固、美观、大方。下支座脚套采用进口ABS工程塑料，模具注塑成“三角”形，尺寸104*45*102mm，壁厚为3.0mm，保护下支座不被磨损、腐蚀，延长桌子使用寿命。两只桌子夹角成∠30°，静电喷涂环保固体粉剂，高温固化成光滑表面。5、中立柱：由对边不小于80mm，壁厚不小于2.0mm的六棱柱支撑。上下均由对边不小于150mm的六边形护套，预留专用孔位，可与平面固定，静电喷涂环保固体粉剂，高温固化成光滑表面。6、台面承重梁：采用25*25mm，壁厚1.2mm的冷轧无缝方钢焊接成“申”字形，增强台面承重性能。采用二氧化碳保护焊，磷化、酸洗、除油、除锈处理后，静电喷涂环保固体粉剂，高温固化成光滑表面。7、桌腿连接横杆：尺寸15*63mm，壁厚1.2mm。两根横杆通过金属三卡锁连接桌腿和中立柱便于组装及拆卸，保证连接牢固，外观流线形设计。8、脚垫：采用进口ABS工程塑料，可调节高低，并装有螺丝，上可连接桌脚，下可连接地面，有效延长设备寿命。</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★投标人应提供有资质的检测机构出具的检测报告复印件，供货厂家投标授权书复印件和质保服务承诺函复印件加盖厂家公章。</w:t>
            </w:r>
          </w:p>
        </w:tc>
        <w:tc>
          <w:tcPr>
            <w:tcW w:w="720" w:type="dxa"/>
            <w:gridSpan w:val="2"/>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张</w:t>
            </w:r>
          </w:p>
        </w:tc>
        <w:tc>
          <w:tcPr>
            <w:tcW w:w="603" w:type="dxa"/>
            <w:gridSpan w:val="2"/>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32</w:t>
            </w:r>
          </w:p>
        </w:tc>
        <w:tc>
          <w:tcPr>
            <w:tcW w:w="853" w:type="dxa"/>
            <w:gridSpan w:val="2"/>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956" w:type="dxa"/>
            <w:gridSpan w:val="2"/>
            <w:tcBorders>
              <w:top w:val="single" w:color="auto" w:sz="4" w:space="0"/>
              <w:left w:val="single" w:color="000000" w:sz="8"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18"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gridAfter w:val="1"/>
          <w:wAfter w:w="41" w:type="dxa"/>
          <w:trHeight w:val="2476" w:hRule="atLeast"/>
        </w:trPr>
        <w:tc>
          <w:tcPr>
            <w:tcW w:w="572" w:type="dxa"/>
            <w:gridSpan w:val="2"/>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912" w:type="dxa"/>
            <w:tcBorders>
              <w:top w:val="single" w:color="auto" w:sz="4"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教师总控电源</w:t>
            </w:r>
          </w:p>
        </w:tc>
        <w:tc>
          <w:tcPr>
            <w:tcW w:w="4544" w:type="dxa"/>
            <w:gridSpan w:val="3"/>
            <w:tcBorders>
              <w:top w:val="single" w:color="auto" w:sz="4" w:space="0"/>
              <w:left w:val="single" w:color="000000" w:sz="8" w:space="0"/>
              <w:bottom w:val="single" w:color="000000" w:sz="8" w:space="0"/>
              <w:right w:val="single" w:color="auto"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1、采用国内先进按钮旋转式，功能齐全、操作简便、安全（通过省教育部教育装备检测中心检测）。配有漏电自动保护装置。控制全室学生电源。且符合 JY/T0374-2004《教学实验室设备电源系统》标准，电源主控台采用抽屉结构机箱；豪华型电箱，空气开关，能分控4组学生电源，电源面板为触摸式。</w:t>
            </w:r>
          </w:p>
        </w:tc>
        <w:tc>
          <w:tcPr>
            <w:tcW w:w="720" w:type="dxa"/>
            <w:gridSpan w:val="2"/>
            <w:tcBorders>
              <w:top w:val="single" w:color="auto" w:sz="4" w:space="0"/>
              <w:left w:val="single" w:color="auto" w:sz="4"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603" w:type="dxa"/>
            <w:gridSpan w:val="2"/>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853" w:type="dxa"/>
            <w:gridSpan w:val="2"/>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956" w:type="dxa"/>
            <w:gridSpan w:val="2"/>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618" w:type="dxa"/>
            <w:tcBorders>
              <w:top w:val="single" w:color="auto" w:sz="4" w:space="0"/>
              <w:left w:val="nil"/>
              <w:bottom w:val="nil"/>
              <w:right w:val="single" w:color="auto"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gridAfter w:val="1"/>
          <w:wAfter w:w="41" w:type="dxa"/>
          <w:trHeight w:val="1662" w:hRule="atLeast"/>
        </w:trPr>
        <w:tc>
          <w:tcPr>
            <w:tcW w:w="572"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91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auto"/>
                <w:kern w:val="0"/>
                <w:sz w:val="22"/>
                <w:szCs w:val="22"/>
                <w:highlight w:val="none"/>
              </w:rPr>
              <w:t>学生实验电源</w:t>
            </w:r>
          </w:p>
        </w:tc>
        <w:tc>
          <w:tcPr>
            <w:tcW w:w="4544" w:type="dxa"/>
            <w:gridSpan w:val="3"/>
            <w:tcBorders>
              <w:top w:val="single" w:color="000000" w:sz="8" w:space="0"/>
              <w:left w:val="single" w:color="000000" w:sz="8" w:space="0"/>
              <w:bottom w:val="single" w:color="000000" w:sz="8" w:space="0"/>
              <w:right w:val="single" w:color="auto"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采用国内知名品牌，输出交流220V电源，并具备过载和短路保护功能。</w:t>
            </w:r>
          </w:p>
        </w:tc>
        <w:tc>
          <w:tcPr>
            <w:tcW w:w="720" w:type="dxa"/>
            <w:gridSpan w:val="2"/>
            <w:tcBorders>
              <w:top w:val="single" w:color="000000" w:sz="8" w:space="0"/>
              <w:left w:val="single" w:color="auto" w:sz="4"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603" w:type="dxa"/>
            <w:gridSpan w:val="2"/>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32</w:t>
            </w:r>
          </w:p>
        </w:tc>
        <w:tc>
          <w:tcPr>
            <w:tcW w:w="853" w:type="dxa"/>
            <w:gridSpan w:val="2"/>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956"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618" w:type="dxa"/>
            <w:tcBorders>
              <w:top w:val="nil"/>
              <w:left w:val="nil"/>
              <w:bottom w:val="nil"/>
              <w:right w:val="single" w:color="auto"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gridAfter w:val="1"/>
          <w:wAfter w:w="41" w:type="dxa"/>
          <w:trHeight w:val="1505" w:hRule="atLeast"/>
        </w:trPr>
        <w:tc>
          <w:tcPr>
            <w:tcW w:w="572"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91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电气布线</w:t>
            </w:r>
          </w:p>
        </w:tc>
        <w:tc>
          <w:tcPr>
            <w:tcW w:w="4544" w:type="dxa"/>
            <w:gridSpan w:val="3"/>
            <w:tcBorders>
              <w:top w:val="single" w:color="000000" w:sz="8" w:space="0"/>
              <w:left w:val="single" w:color="000000" w:sz="8" w:space="0"/>
              <w:bottom w:val="single" w:color="000000" w:sz="8" w:space="0"/>
              <w:right w:val="single" w:color="auto"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铺设优质耐压PVC套管或实验专用压线板，主干电源线采用4</w:t>
            </w:r>
            <w:r>
              <w:rPr>
                <w:rStyle w:val="37"/>
                <w:highlight w:val="none"/>
              </w:rPr>
              <w:t>㎡</w:t>
            </w:r>
            <w:r>
              <w:rPr>
                <w:rFonts w:hint="eastAsia" w:ascii="宋体" w:hAnsi="宋体" w:cs="宋体"/>
                <w:color w:val="000000"/>
                <w:kern w:val="0"/>
                <w:sz w:val="22"/>
                <w:szCs w:val="22"/>
                <w:highlight w:val="none"/>
              </w:rPr>
              <w:t>优质多芯铜质护套线，支干电源线采用2.5</w:t>
            </w:r>
            <w:r>
              <w:rPr>
                <w:rStyle w:val="37"/>
                <w:highlight w:val="none"/>
              </w:rPr>
              <w:t>㎡</w:t>
            </w:r>
            <w:r>
              <w:rPr>
                <w:rFonts w:hint="eastAsia" w:ascii="宋体" w:hAnsi="宋体" w:cs="宋体"/>
                <w:color w:val="000000"/>
                <w:kern w:val="0"/>
                <w:sz w:val="22"/>
                <w:szCs w:val="22"/>
                <w:highlight w:val="none"/>
              </w:rPr>
              <w:t>、1.5</w:t>
            </w:r>
            <w:r>
              <w:rPr>
                <w:rStyle w:val="37"/>
                <w:highlight w:val="none"/>
              </w:rPr>
              <w:t>㎡</w:t>
            </w:r>
            <w:r>
              <w:rPr>
                <w:rFonts w:hint="eastAsia" w:ascii="宋体" w:hAnsi="宋体" w:cs="宋体"/>
                <w:color w:val="000000"/>
                <w:kern w:val="0"/>
                <w:sz w:val="22"/>
                <w:szCs w:val="22"/>
                <w:highlight w:val="none"/>
              </w:rPr>
              <w:t>优质多芯铜质护套线。</w:t>
            </w:r>
          </w:p>
        </w:tc>
        <w:tc>
          <w:tcPr>
            <w:tcW w:w="720" w:type="dxa"/>
            <w:gridSpan w:val="2"/>
            <w:tcBorders>
              <w:top w:val="single" w:color="000000" w:sz="8" w:space="0"/>
              <w:left w:val="single" w:color="auto" w:sz="4"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项</w:t>
            </w:r>
          </w:p>
        </w:tc>
        <w:tc>
          <w:tcPr>
            <w:tcW w:w="603" w:type="dxa"/>
            <w:gridSpan w:val="2"/>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853" w:type="dxa"/>
            <w:gridSpan w:val="2"/>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956"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618" w:type="dxa"/>
            <w:tcBorders>
              <w:top w:val="nil"/>
              <w:left w:val="nil"/>
              <w:bottom w:val="nil"/>
              <w:right w:val="single" w:color="auto"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gridAfter w:val="1"/>
          <w:wAfter w:w="41" w:type="dxa"/>
          <w:trHeight w:val="872" w:hRule="atLeast"/>
        </w:trPr>
        <w:tc>
          <w:tcPr>
            <w:tcW w:w="572"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w:t>
            </w:r>
          </w:p>
        </w:tc>
        <w:tc>
          <w:tcPr>
            <w:tcW w:w="91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教师转椅</w:t>
            </w:r>
          </w:p>
        </w:tc>
        <w:tc>
          <w:tcPr>
            <w:tcW w:w="4544" w:type="dxa"/>
            <w:gridSpan w:val="3"/>
            <w:tcBorders>
              <w:top w:val="single" w:color="000000" w:sz="8" w:space="0"/>
              <w:left w:val="single" w:color="000000" w:sz="8" w:space="0"/>
              <w:bottom w:val="single" w:color="000000" w:sz="8" w:space="0"/>
              <w:right w:val="single" w:color="auto"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五轮升降转椅，高弹性网布面料 高密度海绵座垫，气压式升降装。</w:t>
            </w:r>
          </w:p>
        </w:tc>
        <w:tc>
          <w:tcPr>
            <w:tcW w:w="720" w:type="dxa"/>
            <w:gridSpan w:val="2"/>
            <w:tcBorders>
              <w:top w:val="single" w:color="000000" w:sz="8" w:space="0"/>
              <w:left w:val="single" w:color="auto" w:sz="4"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张</w:t>
            </w:r>
          </w:p>
        </w:tc>
        <w:tc>
          <w:tcPr>
            <w:tcW w:w="603" w:type="dxa"/>
            <w:gridSpan w:val="2"/>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853" w:type="dxa"/>
            <w:gridSpan w:val="2"/>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956"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618" w:type="dxa"/>
            <w:tcBorders>
              <w:top w:val="nil"/>
              <w:left w:val="nil"/>
              <w:bottom w:val="nil"/>
              <w:right w:val="single" w:color="auto"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gridAfter w:val="1"/>
          <w:wAfter w:w="41" w:type="dxa"/>
          <w:trHeight w:val="2538" w:hRule="atLeast"/>
        </w:trPr>
        <w:tc>
          <w:tcPr>
            <w:tcW w:w="572"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w:t>
            </w:r>
          </w:p>
        </w:tc>
        <w:tc>
          <w:tcPr>
            <w:tcW w:w="91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成果展示柜</w:t>
            </w:r>
          </w:p>
        </w:tc>
        <w:tc>
          <w:tcPr>
            <w:tcW w:w="4544" w:type="dxa"/>
            <w:gridSpan w:val="3"/>
            <w:tcBorders>
              <w:top w:val="single" w:color="000000" w:sz="8" w:space="0"/>
              <w:left w:val="single" w:color="000000" w:sz="8" w:space="0"/>
              <w:bottom w:val="single" w:color="000000" w:sz="8" w:space="0"/>
              <w:right w:val="single" w:color="auto" w:sz="4" w:space="0"/>
            </w:tcBorders>
            <w:vAlign w:val="center"/>
          </w:tcPr>
          <w:p>
            <w:pPr>
              <w:widowControl/>
              <w:jc w:val="left"/>
              <w:textAlignment w:val="center"/>
              <w:rPr>
                <w:rFonts w:hint="eastAsia" w:ascii="宋体" w:hAnsi="宋体" w:cs="宋体"/>
                <w:color w:val="000000"/>
                <w:sz w:val="22"/>
                <w:szCs w:val="22"/>
                <w:highlight w:val="none"/>
              </w:rPr>
            </w:pPr>
            <w:r>
              <w:rPr>
                <w:rFonts w:hint="eastAsia" w:cs="宋体"/>
                <w:color w:val="auto"/>
                <w:kern w:val="0"/>
                <w:sz w:val="22"/>
                <w:szCs w:val="22"/>
                <w:highlight w:val="none"/>
                <w:lang w:val="en-US" w:eastAsia="zh-CN"/>
              </w:rPr>
              <w:t>1.</w:t>
            </w:r>
            <w:r>
              <w:rPr>
                <w:rFonts w:hint="eastAsia" w:ascii="宋体" w:hAnsi="宋体" w:cs="宋体"/>
                <w:color w:val="auto"/>
                <w:kern w:val="0"/>
                <w:sz w:val="22"/>
                <w:szCs w:val="22"/>
                <w:highlight w:val="none"/>
              </w:rPr>
              <w:t>规格：1000*500*2000MM±</w:t>
            </w:r>
            <w:r>
              <w:rPr>
                <w:rFonts w:hint="eastAsia" w:cs="宋体"/>
                <w:color w:val="auto"/>
                <w:kern w:val="0"/>
                <w:sz w:val="22"/>
                <w:szCs w:val="22"/>
                <w:highlight w:val="none"/>
                <w:lang w:val="en-US" w:eastAsia="zh-CN"/>
              </w:rPr>
              <w:t>50M</w:t>
            </w:r>
            <w:r>
              <w:rPr>
                <w:rFonts w:hint="eastAsia" w:ascii="宋体" w:hAnsi="宋体" w:cs="宋体"/>
                <w:color w:val="auto"/>
                <w:kern w:val="0"/>
                <w:sz w:val="22"/>
                <w:szCs w:val="22"/>
                <w:highlight w:val="none"/>
              </w:rPr>
              <w:t>M；2.柜体衬板：采用16mm厚防潮三聚氰胺双面贴面板，所有板材外露端面采用高质量PVC封边条，利用机械封边机配以热溶胶高温封边。3.搁板：上部格子结构，下部为整体木门，木框和木门材料与衬板相同。4.柜脚：采用特制模具ABS注塑脚垫。</w:t>
            </w:r>
          </w:p>
        </w:tc>
        <w:tc>
          <w:tcPr>
            <w:tcW w:w="720" w:type="dxa"/>
            <w:gridSpan w:val="2"/>
            <w:tcBorders>
              <w:top w:val="single" w:color="000000" w:sz="8" w:space="0"/>
              <w:left w:val="single" w:color="auto" w:sz="4"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603" w:type="dxa"/>
            <w:gridSpan w:val="2"/>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w:t>
            </w:r>
          </w:p>
        </w:tc>
        <w:tc>
          <w:tcPr>
            <w:tcW w:w="853" w:type="dxa"/>
            <w:gridSpan w:val="2"/>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956"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618" w:type="dxa"/>
            <w:tcBorders>
              <w:top w:val="nil"/>
              <w:left w:val="nil"/>
              <w:bottom w:val="nil"/>
              <w:right w:val="single" w:color="auto"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gridAfter w:val="1"/>
          <w:wAfter w:w="41" w:type="dxa"/>
          <w:trHeight w:val="3282" w:hRule="atLeast"/>
        </w:trPr>
        <w:tc>
          <w:tcPr>
            <w:tcW w:w="572"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w:t>
            </w:r>
          </w:p>
        </w:tc>
        <w:tc>
          <w:tcPr>
            <w:tcW w:w="91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学生凳</w:t>
            </w:r>
          </w:p>
        </w:tc>
        <w:tc>
          <w:tcPr>
            <w:tcW w:w="4544" w:type="dxa"/>
            <w:gridSpan w:val="3"/>
            <w:tcBorders>
              <w:top w:val="single" w:color="000000" w:sz="8" w:space="0"/>
              <w:left w:val="single" w:color="000000" w:sz="8" w:space="0"/>
              <w:bottom w:val="single" w:color="auto" w:sz="4" w:space="0"/>
              <w:right w:val="single" w:color="auto"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1、凳面：采用高密度ABS材质的凳面，直径320mm，凳面表层有颗粒凸起（乳白色），起到按摩抗疲劳作用。凳面下有底盖，底盖和凳面之间装有壁厚为1.5mm厚直径为160mm钢板托盘，使得凳子更加稳固。</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2、凳脚：4个凳脚采用20×40×1.2mm的无缝钢管一次弯曲成型，全自动焊接机械手焊接，焊点准确且均匀，四脚配耐磨脚垫，防滑消音，保护地板。质量稳定，坚固耐用，美观大方。</w:t>
            </w:r>
          </w:p>
        </w:tc>
        <w:tc>
          <w:tcPr>
            <w:tcW w:w="720" w:type="dxa"/>
            <w:gridSpan w:val="2"/>
            <w:tcBorders>
              <w:top w:val="single" w:color="000000" w:sz="8" w:space="0"/>
              <w:left w:val="single" w:color="auto" w:sz="4"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张</w:t>
            </w:r>
          </w:p>
        </w:tc>
        <w:tc>
          <w:tcPr>
            <w:tcW w:w="603" w:type="dxa"/>
            <w:gridSpan w:val="2"/>
            <w:tcBorders>
              <w:top w:val="single" w:color="000000" w:sz="8"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192</w:t>
            </w:r>
          </w:p>
        </w:tc>
        <w:tc>
          <w:tcPr>
            <w:tcW w:w="853" w:type="dxa"/>
            <w:gridSpan w:val="2"/>
            <w:tcBorders>
              <w:top w:val="single" w:color="000000" w:sz="8"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956" w:type="dxa"/>
            <w:gridSpan w:val="2"/>
            <w:tcBorders>
              <w:top w:val="nil"/>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618" w:type="dxa"/>
            <w:tcBorders>
              <w:top w:val="nil"/>
              <w:left w:val="nil"/>
              <w:bottom w:val="single" w:color="auto" w:sz="4" w:space="0"/>
              <w:right w:val="single" w:color="auto"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gridAfter w:val="1"/>
          <w:wAfter w:w="41" w:type="dxa"/>
          <w:trHeight w:val="470" w:hRule="atLeast"/>
        </w:trPr>
        <w:tc>
          <w:tcPr>
            <w:tcW w:w="1484" w:type="dxa"/>
            <w:gridSpan w:val="3"/>
            <w:tcBorders>
              <w:top w:val="single" w:color="000000" w:sz="8" w:space="0"/>
              <w:left w:val="single" w:color="000000" w:sz="8" w:space="0"/>
              <w:bottom w:val="single" w:color="000000" w:sz="8" w:space="0"/>
              <w:right w:val="single" w:color="auto"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总合计（元）</w:t>
            </w:r>
          </w:p>
        </w:tc>
        <w:tc>
          <w:tcPr>
            <w:tcW w:w="4544"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sz w:val="22"/>
                <w:szCs w:val="22"/>
                <w:highlight w:val="none"/>
              </w:rPr>
            </w:pPr>
          </w:p>
        </w:tc>
        <w:tc>
          <w:tcPr>
            <w:tcW w:w="720" w:type="dxa"/>
            <w:gridSpan w:val="2"/>
            <w:tcBorders>
              <w:top w:val="single" w:color="auto" w:sz="4" w:space="0"/>
              <w:left w:val="single" w:color="auto" w:sz="4" w:space="0"/>
              <w:bottom w:val="single" w:color="auto" w:sz="4" w:space="0"/>
              <w:right w:val="single" w:color="000000" w:sz="8" w:space="0"/>
            </w:tcBorders>
            <w:noWrap/>
            <w:vAlign w:val="center"/>
          </w:tcPr>
          <w:p>
            <w:pPr>
              <w:jc w:val="center"/>
              <w:rPr>
                <w:rFonts w:hint="eastAsia" w:ascii="宋体" w:hAnsi="宋体" w:cs="宋体"/>
                <w:color w:val="000000"/>
                <w:sz w:val="22"/>
                <w:szCs w:val="22"/>
                <w:highlight w:val="none"/>
              </w:rPr>
            </w:pPr>
          </w:p>
        </w:tc>
        <w:tc>
          <w:tcPr>
            <w:tcW w:w="603" w:type="dxa"/>
            <w:gridSpan w:val="2"/>
            <w:tcBorders>
              <w:top w:val="single" w:color="auto" w:sz="4" w:space="0"/>
              <w:left w:val="single" w:color="000000" w:sz="8" w:space="0"/>
              <w:bottom w:val="single" w:color="auto" w:sz="4" w:space="0"/>
              <w:right w:val="single" w:color="000000" w:sz="8" w:space="0"/>
            </w:tcBorders>
            <w:noWrap/>
            <w:vAlign w:val="center"/>
          </w:tcPr>
          <w:p>
            <w:pPr>
              <w:jc w:val="center"/>
              <w:rPr>
                <w:rFonts w:hint="eastAsia" w:ascii="宋体" w:hAnsi="宋体" w:cs="宋体"/>
                <w:color w:val="000000"/>
                <w:sz w:val="22"/>
                <w:szCs w:val="22"/>
                <w:highlight w:val="none"/>
              </w:rPr>
            </w:pPr>
          </w:p>
        </w:tc>
        <w:tc>
          <w:tcPr>
            <w:tcW w:w="853" w:type="dxa"/>
            <w:gridSpan w:val="2"/>
            <w:tcBorders>
              <w:top w:val="single" w:color="auto" w:sz="4" w:space="0"/>
              <w:left w:val="single" w:color="000000" w:sz="8" w:space="0"/>
              <w:bottom w:val="single" w:color="auto" w:sz="4" w:space="0"/>
              <w:right w:val="single" w:color="000000" w:sz="8" w:space="0"/>
            </w:tcBorders>
            <w:noWrap/>
            <w:vAlign w:val="center"/>
          </w:tcPr>
          <w:p>
            <w:pPr>
              <w:jc w:val="center"/>
              <w:rPr>
                <w:rFonts w:hint="eastAsia" w:ascii="宋体" w:hAnsi="宋体" w:cs="宋体"/>
                <w:color w:val="000000"/>
                <w:sz w:val="22"/>
                <w:szCs w:val="22"/>
                <w:highlight w:val="none"/>
              </w:rPr>
            </w:pPr>
          </w:p>
        </w:tc>
        <w:tc>
          <w:tcPr>
            <w:tcW w:w="956" w:type="dxa"/>
            <w:gridSpan w:val="2"/>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highlight w:val="none"/>
              </w:rPr>
            </w:pPr>
          </w:p>
        </w:tc>
        <w:tc>
          <w:tcPr>
            <w:tcW w:w="618" w:type="dxa"/>
            <w:tcBorders>
              <w:top w:val="single" w:color="auto" w:sz="4" w:space="0"/>
              <w:left w:val="nil"/>
              <w:bottom w:val="single" w:color="auto" w:sz="4" w:space="0"/>
              <w:right w:val="single" w:color="auto"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gridAfter w:val="1"/>
          <w:wAfter w:w="41" w:type="dxa"/>
          <w:trHeight w:val="434" w:hRule="atLeast"/>
        </w:trPr>
        <w:tc>
          <w:tcPr>
            <w:tcW w:w="148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学校</w:t>
            </w:r>
          </w:p>
        </w:tc>
        <w:tc>
          <w:tcPr>
            <w:tcW w:w="454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名称</w:t>
            </w:r>
          </w:p>
        </w:tc>
        <w:tc>
          <w:tcPr>
            <w:tcW w:w="7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数量</w:t>
            </w:r>
          </w:p>
        </w:tc>
        <w:tc>
          <w:tcPr>
            <w:tcW w:w="6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单位</w:t>
            </w:r>
          </w:p>
        </w:tc>
        <w:tc>
          <w:tcPr>
            <w:tcW w:w="85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单价/元</w:t>
            </w:r>
          </w:p>
        </w:tc>
        <w:tc>
          <w:tcPr>
            <w:tcW w:w="95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金额/元</w:t>
            </w:r>
          </w:p>
        </w:tc>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备注</w:t>
            </w:r>
          </w:p>
        </w:tc>
      </w:tr>
      <w:tr>
        <w:tblPrEx>
          <w:tblCellMar>
            <w:top w:w="0" w:type="dxa"/>
            <w:left w:w="108" w:type="dxa"/>
            <w:bottom w:w="0" w:type="dxa"/>
            <w:right w:w="108" w:type="dxa"/>
          </w:tblCellMar>
        </w:tblPrEx>
        <w:trPr>
          <w:gridAfter w:val="1"/>
          <w:wAfter w:w="41" w:type="dxa"/>
          <w:trHeight w:val="1482" w:hRule="atLeast"/>
        </w:trPr>
        <w:tc>
          <w:tcPr>
            <w:tcW w:w="148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五指山思源实验学校</w:t>
            </w:r>
          </w:p>
        </w:tc>
        <w:tc>
          <w:tcPr>
            <w:tcW w:w="45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教师演示台1、铝塑型创新实验桌8、教师总控电源1、学生实验电源8、电气布线1、教师转椅1、成果展示柜2、学生凳48</w:t>
            </w:r>
          </w:p>
        </w:tc>
        <w:tc>
          <w:tcPr>
            <w:tcW w:w="7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6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85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5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gridAfter w:val="1"/>
          <w:wAfter w:w="41" w:type="dxa"/>
          <w:trHeight w:val="1482" w:hRule="atLeast"/>
        </w:trPr>
        <w:tc>
          <w:tcPr>
            <w:tcW w:w="14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五指山市第三小学</w:t>
            </w:r>
          </w:p>
        </w:tc>
        <w:tc>
          <w:tcPr>
            <w:tcW w:w="45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教师演示台1、铝塑型创新实验桌8、教师总控电源1、学生实验电源8、电气布线1、教师转椅1、成果展示柜2、学生凳48</w:t>
            </w:r>
          </w:p>
        </w:tc>
        <w:tc>
          <w:tcPr>
            <w:tcW w:w="7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6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85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5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gridAfter w:val="1"/>
          <w:wAfter w:w="41" w:type="dxa"/>
          <w:trHeight w:val="1323" w:hRule="atLeast"/>
        </w:trPr>
        <w:tc>
          <w:tcPr>
            <w:tcW w:w="14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五指山市毛阳中心学校</w:t>
            </w:r>
          </w:p>
        </w:tc>
        <w:tc>
          <w:tcPr>
            <w:tcW w:w="45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教师演示台1、铝塑型创新实验桌8、教师总控电源1、学生实验电源8、电气布线1、教师转椅1、成果展示柜2、学生凳48</w:t>
            </w:r>
          </w:p>
        </w:tc>
        <w:tc>
          <w:tcPr>
            <w:tcW w:w="7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6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85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5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gridAfter w:val="1"/>
          <w:wAfter w:w="41" w:type="dxa"/>
          <w:trHeight w:val="1482" w:hRule="atLeast"/>
        </w:trPr>
        <w:tc>
          <w:tcPr>
            <w:tcW w:w="14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五指山市毛道中心学校</w:t>
            </w:r>
          </w:p>
        </w:tc>
        <w:tc>
          <w:tcPr>
            <w:tcW w:w="45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教师演示台1、铝塑型创新实验桌8、教师总控电源1、学生实验电源8、电气布线1、教师转椅1、成果展示柜2、学生凳48</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6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85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5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gridAfter w:val="1"/>
          <w:wAfter w:w="41" w:type="dxa"/>
          <w:trHeight w:val="470" w:hRule="atLeast"/>
        </w:trPr>
        <w:tc>
          <w:tcPr>
            <w:tcW w:w="6028"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合计</w:t>
            </w:r>
          </w:p>
        </w:tc>
        <w:tc>
          <w:tcPr>
            <w:tcW w:w="3750" w:type="dxa"/>
            <w:gridSpan w:val="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highlight w:val="none"/>
              </w:rPr>
            </w:pPr>
          </w:p>
        </w:tc>
      </w:tr>
    </w:tbl>
    <w:p>
      <w:pPr>
        <w:pStyle w:val="7"/>
        <w:jc w:val="both"/>
        <w:rPr>
          <w:rFonts w:hint="eastAsia"/>
          <w:highlight w:val="none"/>
        </w:rPr>
      </w:pPr>
    </w:p>
    <w:p>
      <w:pPr>
        <w:pStyle w:val="7"/>
        <w:rPr>
          <w:rFonts w:hint="eastAsia"/>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pStyle w:val="7"/>
        <w:rPr>
          <w:rFonts w:hint="eastAsia"/>
          <w:sz w:val="24"/>
          <w:highlight w:val="none"/>
        </w:rPr>
      </w:pPr>
    </w:p>
    <w:p>
      <w:pPr>
        <w:rPr>
          <w:rFonts w:hint="eastAsia"/>
          <w:b/>
          <w:sz w:val="24"/>
          <w:highlight w:val="none"/>
        </w:rPr>
      </w:pPr>
    </w:p>
    <w:p>
      <w:pPr>
        <w:pStyle w:val="7"/>
        <w:rPr>
          <w:rFonts w:hint="eastAsia"/>
          <w:sz w:val="24"/>
          <w:highlight w:val="none"/>
        </w:rPr>
      </w:pPr>
    </w:p>
    <w:p>
      <w:pPr>
        <w:rPr>
          <w:rFonts w:hint="eastAsia"/>
          <w:b/>
          <w:sz w:val="24"/>
          <w:highlight w:val="none"/>
        </w:rPr>
      </w:pPr>
    </w:p>
    <w:p>
      <w:pPr>
        <w:pStyle w:val="7"/>
        <w:rPr>
          <w:rFonts w:hint="eastAsia"/>
          <w:sz w:val="24"/>
          <w:highlight w:val="none"/>
        </w:rPr>
      </w:pPr>
    </w:p>
    <w:p>
      <w:pPr>
        <w:rPr>
          <w:rFonts w:hint="eastAsia"/>
          <w:b/>
          <w:sz w:val="24"/>
          <w:highlight w:val="none"/>
        </w:rPr>
      </w:pPr>
    </w:p>
    <w:p>
      <w:pPr>
        <w:pStyle w:val="7"/>
        <w:rPr>
          <w:rFonts w:hint="eastAsia"/>
          <w:sz w:val="24"/>
          <w:highlight w:val="none"/>
        </w:rPr>
      </w:pPr>
    </w:p>
    <w:p>
      <w:pPr>
        <w:rPr>
          <w:rFonts w:hint="eastAsia"/>
          <w:b/>
          <w:sz w:val="24"/>
          <w:highlight w:val="none"/>
        </w:rPr>
      </w:pPr>
    </w:p>
    <w:p>
      <w:pPr>
        <w:pStyle w:val="7"/>
        <w:rPr>
          <w:rFonts w:hint="eastAsia"/>
          <w:sz w:val="24"/>
          <w:highlight w:val="none"/>
        </w:rPr>
      </w:pPr>
    </w:p>
    <w:p>
      <w:pPr>
        <w:rPr>
          <w:rFonts w:hint="eastAsia"/>
          <w:b/>
          <w:sz w:val="24"/>
          <w:highlight w:val="none"/>
        </w:rPr>
      </w:pPr>
    </w:p>
    <w:p>
      <w:pPr>
        <w:pStyle w:val="7"/>
        <w:rPr>
          <w:rFonts w:hint="eastAsia"/>
          <w:sz w:val="24"/>
          <w:highlight w:val="none"/>
        </w:rPr>
      </w:pPr>
    </w:p>
    <w:p>
      <w:pPr>
        <w:rPr>
          <w:rFonts w:hint="eastAsia"/>
          <w:b/>
          <w:sz w:val="24"/>
          <w:highlight w:val="none"/>
        </w:rPr>
      </w:pPr>
    </w:p>
    <w:p>
      <w:pPr>
        <w:pStyle w:val="2"/>
        <w:rPr>
          <w:rFonts w:hint="eastAsia"/>
          <w:b/>
          <w:sz w:val="24"/>
          <w:highlight w:val="none"/>
        </w:rPr>
      </w:pPr>
    </w:p>
    <w:p>
      <w:pPr>
        <w:pStyle w:val="4"/>
        <w:rPr>
          <w:rFonts w:hint="eastAsia"/>
          <w:b/>
          <w:sz w:val="24"/>
          <w:highlight w:val="none"/>
        </w:rPr>
      </w:pPr>
    </w:p>
    <w:p>
      <w:pPr>
        <w:pStyle w:val="4"/>
        <w:rPr>
          <w:rFonts w:hint="eastAsia"/>
          <w:b/>
          <w:sz w:val="24"/>
          <w:highlight w:val="none"/>
        </w:rPr>
      </w:pPr>
    </w:p>
    <w:p>
      <w:pPr>
        <w:pStyle w:val="4"/>
        <w:rPr>
          <w:rFonts w:hint="eastAsia"/>
          <w:b/>
          <w:sz w:val="24"/>
          <w:highlight w:val="none"/>
        </w:rPr>
      </w:pPr>
    </w:p>
    <w:p>
      <w:pPr>
        <w:pStyle w:val="4"/>
        <w:rPr>
          <w:rFonts w:hint="eastAsia"/>
          <w:b/>
          <w:sz w:val="24"/>
          <w:highlight w:val="none"/>
        </w:rPr>
      </w:pPr>
    </w:p>
    <w:p>
      <w:pPr>
        <w:pStyle w:val="4"/>
        <w:rPr>
          <w:rFonts w:hint="eastAsia"/>
          <w:b/>
          <w:sz w:val="24"/>
          <w:highlight w:val="none"/>
        </w:rPr>
      </w:pPr>
    </w:p>
    <w:p>
      <w:pPr>
        <w:pStyle w:val="4"/>
        <w:rPr>
          <w:rFonts w:hint="eastAsia"/>
          <w:b/>
          <w:sz w:val="24"/>
          <w:highlight w:val="none"/>
        </w:rPr>
      </w:pPr>
    </w:p>
    <w:p>
      <w:pPr>
        <w:pStyle w:val="4"/>
        <w:rPr>
          <w:rFonts w:hint="eastAsia"/>
          <w:b/>
          <w:sz w:val="24"/>
          <w:highlight w:val="none"/>
        </w:rPr>
      </w:pPr>
    </w:p>
    <w:p>
      <w:pPr>
        <w:rPr>
          <w:rFonts w:hint="eastAsia"/>
          <w:b/>
          <w:sz w:val="24"/>
          <w:highlight w:val="none"/>
        </w:rPr>
      </w:pPr>
    </w:p>
    <w:tbl>
      <w:tblPr>
        <w:tblStyle w:val="17"/>
        <w:tblW w:w="9311" w:type="dxa"/>
        <w:tblInd w:w="93" w:type="dxa"/>
        <w:tblLayout w:type="fixed"/>
        <w:tblCellMar>
          <w:top w:w="0" w:type="dxa"/>
          <w:left w:w="108" w:type="dxa"/>
          <w:bottom w:w="0" w:type="dxa"/>
          <w:right w:w="108" w:type="dxa"/>
        </w:tblCellMar>
      </w:tblPr>
      <w:tblGrid>
        <w:gridCol w:w="557"/>
        <w:gridCol w:w="721"/>
        <w:gridCol w:w="2382"/>
        <w:gridCol w:w="1224"/>
        <w:gridCol w:w="1089"/>
        <w:gridCol w:w="1132"/>
        <w:gridCol w:w="1353"/>
        <w:gridCol w:w="853"/>
      </w:tblGrid>
      <w:tr>
        <w:tblPrEx>
          <w:tblCellMar>
            <w:top w:w="0" w:type="dxa"/>
            <w:left w:w="108" w:type="dxa"/>
            <w:bottom w:w="0" w:type="dxa"/>
            <w:right w:w="108" w:type="dxa"/>
          </w:tblCellMar>
        </w:tblPrEx>
        <w:trPr>
          <w:trHeight w:val="510" w:hRule="atLeast"/>
        </w:trPr>
        <w:tc>
          <w:tcPr>
            <w:tcW w:w="9311"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cs="宋体"/>
                <w:color w:val="000000"/>
                <w:sz w:val="40"/>
                <w:szCs w:val="40"/>
                <w:highlight w:val="none"/>
              </w:rPr>
            </w:pPr>
            <w:r>
              <w:rPr>
                <w:rFonts w:hint="eastAsia" w:ascii="宋体" w:hAnsi="宋体" w:cs="宋体"/>
                <w:color w:val="000000"/>
                <w:kern w:val="0"/>
                <w:sz w:val="40"/>
                <w:szCs w:val="40"/>
                <w:highlight w:val="none"/>
              </w:rPr>
              <w:t>14、仪器柜</w:t>
            </w:r>
          </w:p>
        </w:tc>
      </w:tr>
      <w:tr>
        <w:tblPrEx>
          <w:tblCellMar>
            <w:top w:w="0" w:type="dxa"/>
            <w:left w:w="108" w:type="dxa"/>
            <w:bottom w:w="0" w:type="dxa"/>
            <w:right w:w="108" w:type="dxa"/>
          </w:tblCellMar>
        </w:tblPrEx>
        <w:trPr>
          <w:trHeight w:val="285" w:hRule="atLeast"/>
        </w:trPr>
        <w:tc>
          <w:tcPr>
            <w:tcW w:w="557"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序号</w:t>
            </w:r>
          </w:p>
        </w:tc>
        <w:tc>
          <w:tcPr>
            <w:tcW w:w="721"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产品名称</w:t>
            </w:r>
          </w:p>
        </w:tc>
        <w:tc>
          <w:tcPr>
            <w:tcW w:w="238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标底参数</w:t>
            </w:r>
          </w:p>
        </w:tc>
        <w:tc>
          <w:tcPr>
            <w:tcW w:w="1224"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数量</w:t>
            </w:r>
          </w:p>
        </w:tc>
        <w:tc>
          <w:tcPr>
            <w:tcW w:w="1089"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单位</w:t>
            </w:r>
          </w:p>
        </w:tc>
        <w:tc>
          <w:tcPr>
            <w:tcW w:w="113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单价/元</w:t>
            </w:r>
          </w:p>
        </w:tc>
        <w:tc>
          <w:tcPr>
            <w:tcW w:w="1353"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金额/元</w:t>
            </w:r>
          </w:p>
        </w:tc>
        <w:tc>
          <w:tcPr>
            <w:tcW w:w="853"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备注</w:t>
            </w:r>
          </w:p>
        </w:tc>
      </w:tr>
      <w:tr>
        <w:tblPrEx>
          <w:tblCellMar>
            <w:top w:w="0" w:type="dxa"/>
            <w:left w:w="108" w:type="dxa"/>
            <w:bottom w:w="0" w:type="dxa"/>
            <w:right w:w="108" w:type="dxa"/>
          </w:tblCellMar>
        </w:tblPrEx>
        <w:trPr>
          <w:trHeight w:val="2240" w:hRule="atLeast"/>
        </w:trPr>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1</w:t>
            </w:r>
          </w:p>
        </w:tc>
        <w:tc>
          <w:tcPr>
            <w:tcW w:w="7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仪器柜</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cs="宋体"/>
                <w:color w:val="000000"/>
                <w:sz w:val="24"/>
                <w:highlight w:val="none"/>
              </w:rPr>
            </w:pPr>
            <w:r>
              <w:rPr>
                <w:rFonts w:hint="eastAsia" w:ascii="宋体" w:hAnsi="宋体" w:cs="宋体"/>
                <w:color w:val="auto"/>
                <w:kern w:val="0"/>
                <w:sz w:val="24"/>
                <w:highlight w:val="none"/>
              </w:rPr>
              <w:t>尺寸：1800*390*850</w:t>
            </w:r>
            <w:r>
              <w:rPr>
                <w:rStyle w:val="26"/>
                <w:rFonts w:hint="default"/>
                <w:highlight w:val="none"/>
              </w:rPr>
              <w:t>±</w:t>
            </w:r>
            <w:r>
              <w:rPr>
                <w:rStyle w:val="26"/>
                <w:rFonts w:hint="eastAsia"/>
                <w:highlight w:val="none"/>
                <w:lang w:val="en-US" w:eastAsia="zh-CN"/>
              </w:rPr>
              <w:t>10</w:t>
            </w:r>
            <w:r>
              <w:rPr>
                <w:rFonts w:hint="eastAsia" w:ascii="宋体" w:hAnsi="宋体" w:cs="宋体"/>
                <w:color w:val="auto"/>
                <w:kern w:val="0"/>
                <w:sz w:val="24"/>
                <w:highlight w:val="none"/>
              </w:rPr>
              <w:t>/颜色：黑色/材质：加厚冷轧钢板 3C认证钢化玻通透玻璃门/厚度:14MM/隔板可拆卸/静音轨道不卡顿/焊接部分牢固，焊点均匀；无变形，烧焦穿现象</w:t>
            </w:r>
            <w:r>
              <w:rPr>
                <w:rFonts w:hint="eastAsia" w:ascii="宋体" w:hAnsi="宋体" w:cs="宋体"/>
                <w:color w:val="auto"/>
                <w:kern w:val="0"/>
                <w:sz w:val="24"/>
                <w:highlight w:val="none"/>
                <w:lang w:val="en-US" w:eastAsia="zh-CN"/>
              </w:rPr>
              <w:t>,</w:t>
            </w:r>
            <w:r>
              <w:rPr>
                <w:rFonts w:hint="eastAsia" w:ascii="宋体" w:hAnsi="宋体" w:cs="宋体"/>
                <w:color w:val="auto"/>
                <w:kern w:val="0"/>
                <w:sz w:val="24"/>
                <w:highlight w:val="none"/>
              </w:rPr>
              <w:t>可调层板，每档调节20mm，上下均有卡扣固定</w:t>
            </w:r>
            <w:r>
              <w:rPr>
                <w:rFonts w:hint="eastAsia" w:ascii="宋体" w:hAnsi="宋体" w:cs="宋体"/>
                <w:color w:val="auto"/>
                <w:kern w:val="0"/>
                <w:sz w:val="24"/>
                <w:highlight w:val="none"/>
                <w:lang w:val="en-US" w:eastAsia="zh-CN"/>
              </w:rPr>
              <w:t>/PF拉手/安全锁具</w:t>
            </w:r>
            <w:r>
              <w:rPr>
                <w:rFonts w:hint="eastAsia" w:ascii="宋体" w:hAnsi="宋体" w:cs="宋体"/>
                <w:color w:val="auto"/>
                <w:kern w:val="0"/>
                <w:sz w:val="24"/>
                <w:highlight w:val="none"/>
                <w:lang w:eastAsia="zh-CN"/>
              </w:rPr>
              <w:t>。</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93</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个</w:t>
            </w: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p>
        </w:tc>
        <w:tc>
          <w:tcPr>
            <w:tcW w:w="13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p>
        </w:tc>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学校</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名称</w:t>
            </w:r>
          </w:p>
        </w:tc>
        <w:tc>
          <w:tcPr>
            <w:tcW w:w="12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数量</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单位</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单价/元</w:t>
            </w: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金额/元</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备注</w:t>
            </w:r>
          </w:p>
        </w:tc>
      </w:tr>
      <w:tr>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五指山市第三小学</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仪器柜</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五指山市通什中心学校</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仪器柜</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五指山市毛阳中心学校</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仪器柜</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五指山市毛阳镇毛兴军民希望小学</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仪器柜</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五指山市毛阳镇东油希望小学</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仪器柜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3</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五指山市毛阳镇空联小学</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仪器柜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highlight w:val="none"/>
              </w:rPr>
            </w:pPr>
            <w:r>
              <w:rPr>
                <w:rFonts w:hint="eastAsia" w:ascii="黑体" w:hAnsi="宋体" w:eastAsia="黑体" w:cs="黑体"/>
                <w:color w:val="000000"/>
                <w:kern w:val="0"/>
                <w:sz w:val="18"/>
                <w:szCs w:val="18"/>
                <w:highlight w:val="none"/>
              </w:rPr>
              <w:t>1</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五指山市毛阳镇毛旦小学</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仪器柜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2</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五指山市毛阳镇毛辉小学</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仪器柜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2</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五指山市毛阳镇毛路小学</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仪器柜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6</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五指山市毛阳镇毛栈小学</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仪器柜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5</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trHeight w:val="1308" w:hRule="atLeast"/>
        </w:trPr>
        <w:tc>
          <w:tcPr>
            <w:tcW w:w="12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五指山市毛阳镇学周希望小学</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仪器柜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2</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五指山市毛阳镇牙合小学</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仪器柜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5</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五指山市毛阳镇牙胡小学</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仪器柜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18"/>
                <w:szCs w:val="18"/>
                <w:highlight w:val="none"/>
              </w:rPr>
            </w:pPr>
            <w:r>
              <w:rPr>
                <w:rFonts w:hint="eastAsia" w:ascii="黑体" w:hAnsi="宋体" w:eastAsia="黑体" w:cs="黑体"/>
                <w:color w:val="000000"/>
                <w:kern w:val="0"/>
                <w:sz w:val="18"/>
                <w:szCs w:val="18"/>
                <w:highlight w:val="none"/>
              </w:rPr>
              <w:t>2</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五指山市毛阳镇牙力小学</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仪器柜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3</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五指山市毛阳镇毛贵小学</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仪器柜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3</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五指山市毛道中心学校</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仪器柜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FF0000"/>
                <w:sz w:val="18"/>
                <w:szCs w:val="18"/>
                <w:highlight w:val="none"/>
              </w:rPr>
            </w:pPr>
            <w:r>
              <w:rPr>
                <w:rFonts w:hint="eastAsia" w:ascii="宋体" w:hAnsi="宋体" w:cs="宋体"/>
                <w:color w:val="auto"/>
                <w:kern w:val="0"/>
                <w:sz w:val="18"/>
                <w:szCs w:val="18"/>
                <w:highlight w:val="none"/>
              </w:rPr>
              <w:t>4</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五指山市毛道乡番道小学</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仪器柜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2</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五指山市毛道乡报万小学</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仪器柜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2</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五指山市毛道乡红运小学</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仪器柜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2</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五指山市毛道乡毛卓小学</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仪器柜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2</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五指山市毛道乡牙猿小学</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仪器柜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2</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rPr>
              <w:t>五指山市红山中心学校</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仪器柜</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含安装</w:t>
            </w:r>
          </w:p>
        </w:tc>
      </w:tr>
    </w:tbl>
    <w:p>
      <w:pPr>
        <w:rPr>
          <w:highlight w:val="none"/>
        </w:rPr>
      </w:pPr>
    </w:p>
    <w:p>
      <w:pPr>
        <w:pStyle w:val="7"/>
        <w:jc w:val="both"/>
        <w:rPr>
          <w:rFonts w:hint="eastAsia"/>
          <w:sz w:val="24"/>
          <w:highlight w:val="none"/>
        </w:rPr>
      </w:pPr>
    </w:p>
    <w:p>
      <w:pPr>
        <w:rPr>
          <w:rFonts w:hint="eastAsia"/>
          <w:b/>
          <w:sz w:val="24"/>
          <w:highlight w:val="none"/>
        </w:rPr>
      </w:pPr>
    </w:p>
    <w:p>
      <w:pPr>
        <w:pStyle w:val="7"/>
        <w:rPr>
          <w:rFonts w:hint="eastAsia"/>
          <w:sz w:val="24"/>
          <w:highlight w:val="none"/>
        </w:rPr>
      </w:pPr>
    </w:p>
    <w:p>
      <w:pPr>
        <w:rPr>
          <w:rFonts w:hint="eastAsia"/>
          <w:b/>
          <w:sz w:val="24"/>
          <w:highlight w:val="none"/>
        </w:rPr>
      </w:pPr>
    </w:p>
    <w:p>
      <w:pPr>
        <w:pStyle w:val="7"/>
        <w:rPr>
          <w:rFonts w:hint="eastAsia"/>
          <w:sz w:val="24"/>
          <w:highlight w:val="none"/>
        </w:rPr>
      </w:pPr>
    </w:p>
    <w:p>
      <w:pPr>
        <w:rPr>
          <w:rFonts w:hint="eastAsia"/>
          <w:b/>
          <w:sz w:val="24"/>
          <w:highlight w:val="none"/>
        </w:rPr>
      </w:pPr>
    </w:p>
    <w:p>
      <w:pPr>
        <w:pStyle w:val="7"/>
        <w:rPr>
          <w:rFonts w:hint="eastAsia"/>
          <w:b/>
          <w:sz w:val="24"/>
          <w:highlight w:val="none"/>
        </w:rPr>
      </w:pPr>
    </w:p>
    <w:p>
      <w:pPr>
        <w:rPr>
          <w:rFonts w:hint="eastAsia"/>
          <w:b/>
          <w:sz w:val="24"/>
          <w:highlight w:val="none"/>
        </w:rPr>
      </w:pPr>
    </w:p>
    <w:p>
      <w:pPr>
        <w:pStyle w:val="7"/>
        <w:rPr>
          <w:rFonts w:hint="eastAsia"/>
          <w:b/>
          <w:sz w:val="24"/>
          <w:highlight w:val="none"/>
        </w:rPr>
      </w:pPr>
    </w:p>
    <w:p>
      <w:pPr>
        <w:rPr>
          <w:rFonts w:hint="eastAsia"/>
          <w:b/>
          <w:sz w:val="24"/>
          <w:highlight w:val="none"/>
        </w:rPr>
      </w:pPr>
    </w:p>
    <w:p>
      <w:pPr>
        <w:pStyle w:val="7"/>
        <w:rPr>
          <w:rFonts w:hint="eastAsia"/>
          <w:b/>
          <w:sz w:val="24"/>
          <w:highlight w:val="none"/>
        </w:rPr>
      </w:pPr>
    </w:p>
    <w:p>
      <w:pPr>
        <w:rPr>
          <w:rFonts w:hint="eastAsia"/>
          <w:b/>
          <w:sz w:val="24"/>
          <w:highlight w:val="none"/>
        </w:rPr>
      </w:pPr>
    </w:p>
    <w:p>
      <w:pPr>
        <w:pStyle w:val="7"/>
        <w:rPr>
          <w:rFonts w:hint="eastAsia"/>
          <w:b/>
          <w:sz w:val="24"/>
          <w:highlight w:val="none"/>
        </w:rPr>
      </w:pPr>
    </w:p>
    <w:p>
      <w:pPr>
        <w:rPr>
          <w:rFonts w:hint="eastAsia"/>
          <w:b/>
          <w:sz w:val="24"/>
          <w:highlight w:val="none"/>
        </w:rPr>
      </w:pPr>
    </w:p>
    <w:p>
      <w:pPr>
        <w:pStyle w:val="7"/>
        <w:rPr>
          <w:rFonts w:hint="eastAsia"/>
          <w:highlight w:val="none"/>
        </w:rPr>
      </w:pPr>
    </w:p>
    <w:p>
      <w:pPr>
        <w:rPr>
          <w:rFonts w:hint="eastAsia"/>
          <w:highlight w:val="none"/>
        </w:rPr>
      </w:pPr>
    </w:p>
    <w:p>
      <w:pPr>
        <w:pStyle w:val="7"/>
        <w:rPr>
          <w:rFonts w:hint="eastAsia"/>
          <w:sz w:val="24"/>
          <w:highlight w:val="none"/>
        </w:rPr>
      </w:pPr>
    </w:p>
    <w:p>
      <w:pPr>
        <w:rPr>
          <w:rFonts w:hint="eastAsia"/>
          <w:b/>
          <w:sz w:val="24"/>
          <w:highlight w:val="none"/>
        </w:rPr>
      </w:pPr>
    </w:p>
    <w:tbl>
      <w:tblPr>
        <w:tblStyle w:val="17"/>
        <w:tblW w:w="9876" w:type="dxa"/>
        <w:tblInd w:w="93" w:type="dxa"/>
        <w:tblLayout w:type="fixed"/>
        <w:tblCellMar>
          <w:top w:w="0" w:type="dxa"/>
          <w:left w:w="108" w:type="dxa"/>
          <w:bottom w:w="0" w:type="dxa"/>
          <w:right w:w="108" w:type="dxa"/>
        </w:tblCellMar>
      </w:tblPr>
      <w:tblGrid>
        <w:gridCol w:w="538"/>
        <w:gridCol w:w="985"/>
        <w:gridCol w:w="3912"/>
        <w:gridCol w:w="735"/>
        <w:gridCol w:w="485"/>
        <w:gridCol w:w="677"/>
        <w:gridCol w:w="1029"/>
        <w:gridCol w:w="1515"/>
      </w:tblGrid>
      <w:tr>
        <w:tblPrEx>
          <w:tblCellMar>
            <w:top w:w="0" w:type="dxa"/>
            <w:left w:w="108" w:type="dxa"/>
            <w:bottom w:w="0" w:type="dxa"/>
            <w:right w:w="108" w:type="dxa"/>
          </w:tblCellMar>
        </w:tblPrEx>
        <w:trPr>
          <w:trHeight w:val="647" w:hRule="atLeast"/>
        </w:trPr>
        <w:tc>
          <w:tcPr>
            <w:tcW w:w="9876"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cs="宋体"/>
                <w:color w:val="000000"/>
                <w:sz w:val="40"/>
                <w:szCs w:val="40"/>
                <w:highlight w:val="none"/>
              </w:rPr>
            </w:pPr>
            <w:r>
              <w:rPr>
                <w:rFonts w:hint="eastAsia" w:ascii="宋体" w:hAnsi="宋体" w:cs="宋体"/>
                <w:color w:val="000000"/>
                <w:kern w:val="0"/>
                <w:sz w:val="40"/>
                <w:szCs w:val="40"/>
                <w:highlight w:val="none"/>
              </w:rPr>
              <w:t>15、音乐器材</w:t>
            </w:r>
          </w:p>
        </w:tc>
      </w:tr>
      <w:tr>
        <w:tblPrEx>
          <w:tblCellMar>
            <w:top w:w="0" w:type="dxa"/>
            <w:left w:w="108" w:type="dxa"/>
            <w:bottom w:w="0" w:type="dxa"/>
            <w:right w:w="108" w:type="dxa"/>
          </w:tblCellMar>
        </w:tblPrEx>
        <w:trPr>
          <w:trHeight w:val="647" w:hRule="atLeast"/>
        </w:trPr>
        <w:tc>
          <w:tcPr>
            <w:tcW w:w="538"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序号</w:t>
            </w:r>
          </w:p>
        </w:tc>
        <w:tc>
          <w:tcPr>
            <w:tcW w:w="98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产品名称</w:t>
            </w:r>
          </w:p>
        </w:tc>
        <w:tc>
          <w:tcPr>
            <w:tcW w:w="391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标底参数</w:t>
            </w:r>
          </w:p>
        </w:tc>
        <w:tc>
          <w:tcPr>
            <w:tcW w:w="73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数量</w:t>
            </w:r>
          </w:p>
        </w:tc>
        <w:tc>
          <w:tcPr>
            <w:tcW w:w="48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单位</w:t>
            </w:r>
          </w:p>
        </w:tc>
        <w:tc>
          <w:tcPr>
            <w:tcW w:w="677"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单价/元</w:t>
            </w:r>
          </w:p>
        </w:tc>
        <w:tc>
          <w:tcPr>
            <w:tcW w:w="1029"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金额/元</w:t>
            </w:r>
          </w:p>
        </w:tc>
        <w:tc>
          <w:tcPr>
            <w:tcW w:w="151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备注</w:t>
            </w:r>
          </w:p>
        </w:tc>
      </w:tr>
      <w:tr>
        <w:tblPrEx>
          <w:tblCellMar>
            <w:top w:w="0" w:type="dxa"/>
            <w:left w:w="108" w:type="dxa"/>
            <w:bottom w:w="0" w:type="dxa"/>
            <w:right w:w="108" w:type="dxa"/>
          </w:tblCellMar>
        </w:tblPrEx>
        <w:trPr>
          <w:trHeight w:val="1726"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1</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钢琴</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外壳尺寸：1500±</w:t>
            </w:r>
            <w:r>
              <w:rPr>
                <w:rFonts w:hint="eastAsia" w:cs="宋体"/>
                <w:color w:val="000000"/>
                <w:kern w:val="0"/>
                <w:sz w:val="22"/>
                <w:szCs w:val="22"/>
                <w:highlight w:val="none"/>
                <w:lang w:val="en-US" w:eastAsia="zh-CN"/>
              </w:rPr>
              <w:t>30</w:t>
            </w:r>
            <w:r>
              <w:rPr>
                <w:rFonts w:hint="eastAsia" w:ascii="宋体" w:hAnsi="宋体" w:cs="宋体"/>
                <w:color w:val="000000"/>
                <w:kern w:val="0"/>
                <w:sz w:val="22"/>
                <w:szCs w:val="22"/>
                <w:highlight w:val="none"/>
              </w:rPr>
              <w:t>*591±</w:t>
            </w:r>
            <w:r>
              <w:rPr>
                <w:rFonts w:hint="eastAsia" w:cs="宋体"/>
                <w:color w:val="000000"/>
                <w:kern w:val="0"/>
                <w:sz w:val="22"/>
                <w:szCs w:val="22"/>
                <w:highlight w:val="none"/>
                <w:lang w:val="en-US" w:eastAsia="zh-CN"/>
              </w:rPr>
              <w:t>20</w:t>
            </w:r>
            <w:r>
              <w:rPr>
                <w:rFonts w:hint="eastAsia" w:ascii="宋体" w:hAnsi="宋体" w:cs="宋体"/>
                <w:color w:val="000000"/>
                <w:kern w:val="0"/>
                <w:sz w:val="22"/>
                <w:szCs w:val="22"/>
                <w:highlight w:val="none"/>
              </w:rPr>
              <w:t>*1196±</w:t>
            </w:r>
            <w:r>
              <w:rPr>
                <w:rFonts w:hint="eastAsia" w:cs="宋体"/>
                <w:color w:val="000000"/>
                <w:kern w:val="0"/>
                <w:sz w:val="22"/>
                <w:szCs w:val="22"/>
                <w:highlight w:val="none"/>
                <w:lang w:val="en-US" w:eastAsia="zh-CN"/>
              </w:rPr>
              <w:t>15</w:t>
            </w:r>
            <w:r>
              <w:rPr>
                <w:rFonts w:hint="eastAsia" w:ascii="宋体" w:hAnsi="宋体" w:cs="宋体"/>
                <w:color w:val="000000"/>
                <w:kern w:val="0"/>
                <w:sz w:val="22"/>
                <w:szCs w:val="22"/>
                <w:highlight w:val="none"/>
              </w:rPr>
              <w:t>MM/键数: 88键/音板：俄罗斯白松/背板材质: 实木音板/琴弦：防锈钢线/顶杆：ABS材质/脚轮：塑料单轮/外壳涂饰：不饱合树脂环保膝，静电喷涂，漆面光亮平整/含节拍器、温湿度计、琴凳、琴罩、清洁布、钢琴手套。</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架</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思源1、三小1、通什1</w:t>
            </w:r>
          </w:p>
        </w:tc>
      </w:tr>
      <w:tr>
        <w:tblPrEx>
          <w:tblCellMar>
            <w:top w:w="0" w:type="dxa"/>
            <w:left w:w="108" w:type="dxa"/>
            <w:bottom w:w="0" w:type="dxa"/>
            <w:right w:w="108" w:type="dxa"/>
          </w:tblCellMar>
        </w:tblPrEx>
        <w:trPr>
          <w:trHeight w:val="1923"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2</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架子鼓</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rPr>
              <w:t>音源：TD-17鼓组：100种（50个预置）/音色310种/军鼓PDX-12,12寸网面双触发/PDX-8嗵鼓1/2：10寸双网面双触发/PDX-8嗵鼓3:10寸双网面双触发/底鼓KD-10/叮叮嚓CY13R三触发/镲片：VH-10踩镲*1、CY-12C吊镲*2、CY-13R叮叮嚓*1/尺寸1.3*1.1*1.2M</w:t>
            </w:r>
            <w:r>
              <w:rPr>
                <w:rStyle w:val="26"/>
                <w:rFonts w:hint="default"/>
                <w:highlight w:val="none"/>
              </w:rPr>
              <w:t>±</w:t>
            </w:r>
            <w:r>
              <w:rPr>
                <w:rStyle w:val="26"/>
                <w:rFonts w:hint="eastAsia"/>
                <w:highlight w:val="none"/>
                <w:lang w:val="en-US" w:eastAsia="zh-CN"/>
              </w:rPr>
              <w:t>0.05M</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思源1、南圣1</w:t>
            </w:r>
          </w:p>
        </w:tc>
      </w:tr>
      <w:tr>
        <w:tblPrEx>
          <w:tblCellMar>
            <w:top w:w="0" w:type="dxa"/>
            <w:left w:w="108" w:type="dxa"/>
            <w:bottom w:w="0" w:type="dxa"/>
            <w:right w:w="108" w:type="dxa"/>
          </w:tblCellMar>
        </w:tblPrEx>
        <w:trPr>
          <w:trHeight w:val="1481"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3</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音箱</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rPr>
              <w:t>额定输出功率80W/扬声器25CM低音喇叭*1、5CM高音喇叭*1/V-drums INPUT接口：1/4英寸耳机接口、AC接口/Line INPUT接口:1/4英寸耳机接口、立体声迷你耳机型/耗电35W/宽388*深407*354MM</w:t>
            </w:r>
            <w:r>
              <w:rPr>
                <w:rStyle w:val="26"/>
                <w:rFonts w:hint="default"/>
                <w:highlight w:val="none"/>
              </w:rPr>
              <w:t>±</w:t>
            </w:r>
            <w:r>
              <w:rPr>
                <w:rStyle w:val="26"/>
                <w:rFonts w:hint="eastAsia"/>
                <w:highlight w:val="none"/>
                <w:lang w:val="en-US" w:eastAsia="zh-CN"/>
              </w:rPr>
              <w:t>5MM</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只</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思源1</w:t>
            </w:r>
          </w:p>
        </w:tc>
      </w:tr>
      <w:tr>
        <w:tblPrEx>
          <w:tblCellMar>
            <w:top w:w="0" w:type="dxa"/>
            <w:left w:w="108" w:type="dxa"/>
            <w:bottom w:w="0" w:type="dxa"/>
            <w:right w:w="108" w:type="dxa"/>
          </w:tblCellMar>
        </w:tblPrEx>
        <w:trPr>
          <w:trHeight w:val="1665"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4</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综合效果器</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模块数量：9个单独按键/预置音色200个/55个NR前级，4个线性简化后级/26个IR采样箱体模拟/采样数据：44.1KHZ、24BIT、512采样点、信澡比98DB/接口：伴奏、设备输出、耳机USB、踏板输出/材质：金属拉丝/尺寸：297*14.5*45.5MM</w:t>
            </w:r>
            <w:r>
              <w:rPr>
                <w:rStyle w:val="26"/>
                <w:rFonts w:hint="default"/>
                <w:highlight w:val="none"/>
              </w:rPr>
              <w:t>±</w:t>
            </w:r>
            <w:r>
              <w:rPr>
                <w:rStyle w:val="26"/>
                <w:rFonts w:hint="eastAsia"/>
                <w:highlight w:val="none"/>
                <w:lang w:val="en-US" w:eastAsia="zh-CN"/>
              </w:rPr>
              <w:t>5MM</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思源2</w:t>
            </w:r>
          </w:p>
        </w:tc>
      </w:tr>
      <w:tr>
        <w:tblPrEx>
          <w:tblCellMar>
            <w:top w:w="0" w:type="dxa"/>
            <w:left w:w="108" w:type="dxa"/>
            <w:bottom w:w="0" w:type="dxa"/>
            <w:right w:w="108" w:type="dxa"/>
          </w:tblCellMar>
        </w:tblPrEx>
        <w:trPr>
          <w:trHeight w:val="705"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5</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电钢琴</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尺寸：1326*295*765MM/88键/主机+单踏板+U架/琴凳</w:t>
            </w:r>
            <w:r>
              <w:rPr>
                <w:rFonts w:hint="eastAsia" w:ascii="宋体" w:hAnsi="宋体" w:cs="宋体"/>
                <w:color w:val="auto"/>
                <w:kern w:val="0"/>
                <w:sz w:val="22"/>
                <w:szCs w:val="22"/>
                <w:highlight w:val="none"/>
              </w:rPr>
              <w:t>595±</w:t>
            </w:r>
            <w:r>
              <w:rPr>
                <w:rFonts w:hint="eastAsia" w:cs="宋体"/>
                <w:color w:val="auto"/>
                <w:kern w:val="0"/>
                <w:sz w:val="22"/>
                <w:szCs w:val="22"/>
                <w:highlight w:val="none"/>
                <w:lang w:val="en-US" w:eastAsia="zh-CN"/>
              </w:rPr>
              <w:t>155</w:t>
            </w:r>
            <w:r>
              <w:rPr>
                <w:rFonts w:hint="eastAsia" w:ascii="宋体" w:hAnsi="宋体" w:cs="宋体"/>
                <w:color w:val="auto"/>
                <w:kern w:val="0"/>
                <w:sz w:val="22"/>
                <w:szCs w:val="22"/>
                <w:highlight w:val="none"/>
              </w:rPr>
              <w:t>*295±</w:t>
            </w:r>
            <w:r>
              <w:rPr>
                <w:rFonts w:hint="eastAsia" w:cs="宋体"/>
                <w:color w:val="auto"/>
                <w:kern w:val="0"/>
                <w:sz w:val="22"/>
                <w:szCs w:val="22"/>
                <w:highlight w:val="none"/>
                <w:lang w:val="en-US" w:eastAsia="zh-CN"/>
              </w:rPr>
              <w:t>35</w:t>
            </w:r>
            <w:r>
              <w:rPr>
                <w:rFonts w:hint="eastAsia" w:ascii="宋体" w:hAnsi="宋体" w:cs="宋体"/>
                <w:color w:val="auto"/>
                <w:kern w:val="0"/>
                <w:sz w:val="22"/>
                <w:szCs w:val="22"/>
                <w:highlight w:val="none"/>
              </w:rPr>
              <w:t>*495±</w:t>
            </w:r>
            <w:r>
              <w:rPr>
                <w:rFonts w:hint="eastAsia" w:cs="宋体"/>
                <w:color w:val="auto"/>
                <w:kern w:val="0"/>
                <w:sz w:val="22"/>
                <w:szCs w:val="22"/>
                <w:highlight w:val="none"/>
                <w:lang w:val="en-US" w:eastAsia="zh-CN"/>
              </w:rPr>
              <w:t>45</w:t>
            </w:r>
            <w:r>
              <w:rPr>
                <w:rFonts w:hint="eastAsia" w:ascii="宋体" w:hAnsi="宋体" w:cs="宋体"/>
                <w:color w:val="auto"/>
                <w:kern w:val="0"/>
                <w:sz w:val="22"/>
                <w:szCs w:val="22"/>
                <w:highlight w:val="none"/>
              </w:rPr>
              <w:t>MM</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架</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一小2、</w:t>
            </w:r>
          </w:p>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通什1</w:t>
            </w:r>
          </w:p>
        </w:tc>
      </w:tr>
      <w:tr>
        <w:tblPrEx>
          <w:tblCellMar>
            <w:top w:w="0" w:type="dxa"/>
            <w:left w:w="108" w:type="dxa"/>
            <w:bottom w:w="0" w:type="dxa"/>
            <w:right w:w="108" w:type="dxa"/>
          </w:tblCellMar>
        </w:tblPrEx>
        <w:trPr>
          <w:trHeight w:val="647"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6</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手风琴</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25键/16贝司；尺寸：33*16.5*35.7CM±</w:t>
            </w:r>
            <w:r>
              <w:rPr>
                <w:rFonts w:hint="eastAsia" w:cs="宋体"/>
                <w:color w:val="000000"/>
                <w:kern w:val="0"/>
                <w:sz w:val="22"/>
                <w:szCs w:val="22"/>
                <w:highlight w:val="none"/>
                <w:lang w:val="en-US" w:eastAsia="zh-CN"/>
              </w:rPr>
              <w:t>1CM</w:t>
            </w:r>
            <w:r>
              <w:rPr>
                <w:rFonts w:hint="eastAsia" w:ascii="宋体" w:hAnsi="宋体" w:cs="宋体"/>
                <w:color w:val="000000"/>
                <w:kern w:val="0"/>
                <w:sz w:val="22"/>
                <w:szCs w:val="22"/>
                <w:highlight w:val="none"/>
              </w:rPr>
              <w:t>；材质：木质</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台</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highlight w:val="none"/>
              </w:rPr>
            </w:pPr>
            <w:r>
              <w:rPr>
                <w:rFonts w:hint="eastAsia" w:ascii="宋体" w:hAnsi="宋体" w:cs="宋体"/>
                <w:color w:val="000000"/>
                <w:kern w:val="0"/>
                <w:sz w:val="24"/>
                <w:highlight w:val="none"/>
                <w:lang w:val="en-US" w:eastAsia="zh-CN"/>
              </w:rPr>
              <w:t>一</w:t>
            </w:r>
            <w:r>
              <w:rPr>
                <w:rFonts w:hint="eastAsia" w:ascii="宋体" w:hAnsi="宋体" w:cs="宋体"/>
                <w:color w:val="000000"/>
                <w:kern w:val="0"/>
                <w:sz w:val="24"/>
                <w:highlight w:val="none"/>
              </w:rPr>
              <w:t>小10、</w:t>
            </w:r>
          </w:p>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畅好2</w:t>
            </w:r>
          </w:p>
        </w:tc>
      </w:tr>
      <w:tr>
        <w:tblPrEx>
          <w:tblCellMar>
            <w:top w:w="0" w:type="dxa"/>
            <w:left w:w="108" w:type="dxa"/>
            <w:bottom w:w="0" w:type="dxa"/>
            <w:right w:w="108" w:type="dxa"/>
          </w:tblCellMar>
        </w:tblPrEx>
        <w:trPr>
          <w:trHeight w:val="647"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7</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电子节拍器</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rPr>
              <w:t>速度：40-208BPM；节拍：0/2/3/4/6；速度误差&lt;1%；尺寸：284*104*119MM</w:t>
            </w:r>
            <w:r>
              <w:rPr>
                <w:rFonts w:hint="eastAsia" w:ascii="宋体" w:hAnsi="宋体" w:cs="宋体"/>
                <w:color w:val="auto"/>
                <w:kern w:val="0"/>
                <w:sz w:val="22"/>
                <w:szCs w:val="22"/>
                <w:highlight w:val="none"/>
              </w:rPr>
              <w:t>±</w:t>
            </w:r>
            <w:r>
              <w:rPr>
                <w:rFonts w:hint="eastAsia" w:cs="宋体"/>
                <w:color w:val="auto"/>
                <w:kern w:val="0"/>
                <w:sz w:val="22"/>
                <w:szCs w:val="22"/>
                <w:highlight w:val="none"/>
                <w:lang w:val="en-US" w:eastAsia="zh-CN"/>
              </w:rPr>
              <w:t>20MM</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23</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三小3、</w:t>
            </w:r>
          </w:p>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番阳20</w:t>
            </w:r>
          </w:p>
        </w:tc>
      </w:tr>
      <w:tr>
        <w:tblPrEx>
          <w:tblCellMar>
            <w:top w:w="0" w:type="dxa"/>
            <w:left w:w="108" w:type="dxa"/>
            <w:bottom w:w="0" w:type="dxa"/>
            <w:right w:w="108" w:type="dxa"/>
          </w:tblCellMar>
        </w:tblPrEx>
        <w:trPr>
          <w:trHeight w:val="1923"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8</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电子琴</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尺寸1036*259*105</w:t>
            </w:r>
            <w:r>
              <w:rPr>
                <w:rStyle w:val="26"/>
                <w:rFonts w:hint="default"/>
                <w:highlight w:val="none"/>
              </w:rPr>
              <w:t>±</w:t>
            </w:r>
            <w:r>
              <w:rPr>
                <w:rStyle w:val="26"/>
                <w:rFonts w:hint="eastAsia"/>
                <w:highlight w:val="none"/>
                <w:lang w:val="en-US" w:eastAsia="zh-CN"/>
              </w:rPr>
              <w:t>5</w:t>
            </w:r>
            <w:r>
              <w:rPr>
                <w:rFonts w:hint="eastAsia" w:ascii="宋体" w:hAnsi="宋体" w:cs="宋体"/>
                <w:color w:val="000000"/>
                <w:kern w:val="0"/>
                <w:sz w:val="22"/>
                <w:szCs w:val="22"/>
                <w:highlight w:val="none"/>
              </w:rPr>
              <w:t>/调音414HZ.440HZ.466.8HZ/复音数64位/DC IN 12V/数据容量约7000音符/扬声器（12cm*6cm）*2立体声环绕/接口 耳机/线路输出接口，延音踏板接口（配合FC3A踏板可支持半踏）USB-MID接口/内置录音、播放、节拍器功能双音乐功能、节奏控制功能</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9</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毛栈1、</w:t>
            </w:r>
          </w:p>
          <w:p>
            <w:pPr>
              <w:widowControl/>
              <w:jc w:val="center"/>
              <w:textAlignment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学周1、</w:t>
            </w:r>
          </w:p>
          <w:p>
            <w:pPr>
              <w:widowControl/>
              <w:jc w:val="center"/>
              <w:textAlignment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牙合1、</w:t>
            </w:r>
          </w:p>
          <w:p>
            <w:pPr>
              <w:widowControl/>
              <w:jc w:val="center"/>
              <w:textAlignment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毛贵1、</w:t>
            </w:r>
          </w:p>
          <w:p>
            <w:pPr>
              <w:widowControl/>
              <w:jc w:val="center"/>
              <w:textAlignment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番阳1、</w:t>
            </w:r>
          </w:p>
          <w:p>
            <w:pPr>
              <w:widowControl/>
              <w:jc w:val="center"/>
              <w:textAlignment w:val="center"/>
              <w:rPr>
                <w:rFonts w:hint="eastAsia" w:ascii="宋体" w:hAnsi="宋体" w:cs="宋体"/>
                <w:color w:val="000000"/>
                <w:kern w:val="0"/>
                <w:sz w:val="24"/>
                <w:highlight w:val="none"/>
              </w:rPr>
            </w:pPr>
            <w:r>
              <w:rPr>
                <w:rFonts w:hint="eastAsia" w:ascii="宋体" w:hAnsi="宋体" w:cs="宋体"/>
                <w:color w:val="000000"/>
                <w:kern w:val="0"/>
                <w:sz w:val="24"/>
                <w:highlight w:val="none"/>
                <w:lang w:val="en-US" w:eastAsia="zh-CN"/>
              </w:rPr>
              <w:t xml:space="preserve"> </w:t>
            </w:r>
            <w:r>
              <w:rPr>
                <w:rFonts w:hint="eastAsia" w:ascii="宋体" w:hAnsi="宋体" w:cs="宋体"/>
                <w:color w:val="000000"/>
                <w:kern w:val="0"/>
                <w:sz w:val="24"/>
                <w:highlight w:val="none"/>
              </w:rPr>
              <w:t>南打1、</w:t>
            </w:r>
          </w:p>
          <w:p>
            <w:pPr>
              <w:widowControl/>
              <w:ind w:firstLine="240" w:firstLineChars="100"/>
              <w:jc w:val="both"/>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通什3</w:t>
            </w:r>
          </w:p>
        </w:tc>
      </w:tr>
      <w:tr>
        <w:tblPrEx>
          <w:tblCellMar>
            <w:top w:w="0" w:type="dxa"/>
            <w:left w:w="108" w:type="dxa"/>
            <w:bottom w:w="0" w:type="dxa"/>
            <w:right w:w="108" w:type="dxa"/>
          </w:tblCellMar>
        </w:tblPrEx>
        <w:trPr>
          <w:trHeight w:val="1122"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9</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竖笛</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8孔三段式ABS环保材质/325MM*32MM</w:t>
            </w:r>
            <w:r>
              <w:rPr>
                <w:rStyle w:val="26"/>
                <w:rFonts w:hint="default"/>
                <w:highlight w:val="none"/>
              </w:rPr>
              <w:t>±</w:t>
            </w:r>
            <w:r>
              <w:rPr>
                <w:rStyle w:val="26"/>
                <w:rFonts w:hint="eastAsia"/>
                <w:highlight w:val="none"/>
                <w:lang w:val="en-US" w:eastAsia="zh-CN"/>
              </w:rPr>
              <w:t>5MM</w:t>
            </w:r>
            <w:r>
              <w:rPr>
                <w:rFonts w:hint="eastAsia" w:ascii="宋体" w:hAnsi="宋体" w:cs="宋体"/>
                <w:color w:val="000000"/>
                <w:kern w:val="0"/>
                <w:sz w:val="22"/>
                <w:szCs w:val="22"/>
                <w:highlight w:val="none"/>
              </w:rPr>
              <w:t>/</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120</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南圣15、毛阳45、毛路30、布伦30</w:t>
            </w:r>
          </w:p>
        </w:tc>
      </w:tr>
      <w:tr>
        <w:tblPrEx>
          <w:tblCellMar>
            <w:top w:w="0" w:type="dxa"/>
            <w:left w:w="108" w:type="dxa"/>
            <w:bottom w:w="0" w:type="dxa"/>
            <w:right w:w="108" w:type="dxa"/>
          </w:tblCellMar>
        </w:tblPrEx>
        <w:trPr>
          <w:trHeight w:val="966"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10</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口琴</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24孔/调性：C调复音/音簧：优质磷青铜音簧/尺寸180*30*23MM</w:t>
            </w:r>
            <w:r>
              <w:rPr>
                <w:rStyle w:val="26"/>
                <w:rFonts w:hint="default"/>
                <w:highlight w:val="none"/>
              </w:rPr>
              <w:t>±</w:t>
            </w:r>
            <w:r>
              <w:rPr>
                <w:rStyle w:val="26"/>
                <w:rFonts w:hint="eastAsia"/>
                <w:highlight w:val="none"/>
                <w:lang w:val="en-US" w:eastAsia="zh-CN"/>
              </w:rPr>
              <w:t>5MM</w:t>
            </w:r>
            <w:r>
              <w:rPr>
                <w:rFonts w:hint="eastAsia" w:ascii="宋体" w:hAnsi="宋体" w:cs="宋体"/>
                <w:color w:val="000000"/>
                <w:kern w:val="0"/>
                <w:sz w:val="22"/>
                <w:szCs w:val="22"/>
                <w:highlight w:val="none"/>
              </w:rPr>
              <w:t>/材质：不锈钢盖板ABS树脂吹孔</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78</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南圣5、布伦30、孔首23、毛组20</w:t>
            </w:r>
          </w:p>
        </w:tc>
      </w:tr>
      <w:tr>
        <w:tblPrEx>
          <w:tblCellMar>
            <w:top w:w="0" w:type="dxa"/>
            <w:left w:w="108" w:type="dxa"/>
            <w:bottom w:w="0" w:type="dxa"/>
            <w:right w:w="108" w:type="dxa"/>
          </w:tblCellMar>
        </w:tblPrEx>
        <w:trPr>
          <w:trHeight w:val="966"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11</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沙锤</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材质：榉木/尺寸：15.5*5.5</w:t>
            </w:r>
            <w:r>
              <w:rPr>
                <w:rFonts w:hint="eastAsia" w:cs="宋体"/>
                <w:color w:val="000000"/>
                <w:kern w:val="0"/>
                <w:sz w:val="22"/>
                <w:szCs w:val="22"/>
                <w:highlight w:val="none"/>
                <w:lang w:val="en-US" w:eastAsia="zh-CN"/>
              </w:rPr>
              <w:t>C</w:t>
            </w:r>
            <w:r>
              <w:rPr>
                <w:rFonts w:hint="eastAsia" w:ascii="宋体" w:hAnsi="宋体" w:cs="宋体"/>
                <w:color w:val="000000"/>
                <w:kern w:val="0"/>
                <w:sz w:val="22"/>
                <w:szCs w:val="22"/>
                <w:highlight w:val="none"/>
              </w:rPr>
              <w:t>M</w:t>
            </w:r>
            <w:r>
              <w:rPr>
                <w:rStyle w:val="26"/>
                <w:rFonts w:hint="default"/>
                <w:highlight w:val="none"/>
              </w:rPr>
              <w:t>±</w:t>
            </w:r>
            <w:r>
              <w:rPr>
                <w:rStyle w:val="26"/>
                <w:rFonts w:hint="eastAsia"/>
                <w:highlight w:val="none"/>
                <w:lang w:val="en-US" w:eastAsia="zh-CN"/>
              </w:rPr>
              <w:t>0.5CM</w:t>
            </w:r>
            <w:r>
              <w:rPr>
                <w:rFonts w:hint="eastAsia" w:ascii="宋体" w:hAnsi="宋体" w:cs="宋体"/>
                <w:color w:val="000000"/>
                <w:kern w:val="0"/>
                <w:sz w:val="22"/>
                <w:szCs w:val="22"/>
                <w:highlight w:val="none"/>
              </w:rPr>
              <w:t>/</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214</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付</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三小20、南圣4、毛阳60、毛路30、番阳100</w:t>
            </w:r>
          </w:p>
        </w:tc>
      </w:tr>
      <w:tr>
        <w:tblPrEx>
          <w:tblCellMar>
            <w:top w:w="0" w:type="dxa"/>
            <w:left w:w="108" w:type="dxa"/>
            <w:bottom w:w="0" w:type="dxa"/>
            <w:right w:w="108" w:type="dxa"/>
          </w:tblCellMar>
        </w:tblPrEx>
        <w:trPr>
          <w:trHeight w:val="647"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12</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铃鼓</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尺寸：7寸17.5CM</w:t>
            </w:r>
            <w:r>
              <w:rPr>
                <w:rStyle w:val="26"/>
                <w:rFonts w:hint="default"/>
                <w:highlight w:val="none"/>
              </w:rPr>
              <w:t>±</w:t>
            </w:r>
            <w:r>
              <w:rPr>
                <w:rStyle w:val="26"/>
                <w:rFonts w:hint="eastAsia"/>
                <w:highlight w:val="none"/>
                <w:lang w:val="en-US" w:eastAsia="zh-CN"/>
              </w:rPr>
              <w:t>2CM</w:t>
            </w:r>
            <w:r>
              <w:rPr>
                <w:rFonts w:hint="eastAsia" w:ascii="宋体" w:hAnsi="宋体" w:cs="宋体"/>
                <w:color w:val="000000"/>
                <w:kern w:val="0"/>
                <w:sz w:val="22"/>
                <w:szCs w:val="22"/>
                <w:highlight w:val="none"/>
              </w:rPr>
              <w:t>/材质 ：榉木</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68</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毛阳45、孔首23</w:t>
            </w:r>
          </w:p>
        </w:tc>
      </w:tr>
      <w:tr>
        <w:tblPrEx>
          <w:tblCellMar>
            <w:top w:w="0" w:type="dxa"/>
            <w:left w:w="108" w:type="dxa"/>
            <w:bottom w:w="0" w:type="dxa"/>
            <w:right w:w="108" w:type="dxa"/>
          </w:tblCellMar>
        </w:tblPrEx>
        <w:trPr>
          <w:trHeight w:val="647"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13</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三角铃</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尺寸：8英寸，边长200MM/主体直径：12MM/敲棒直径：5MM/材质：弹簧钢条</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165</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三小20、毛阳45、番阳100</w:t>
            </w:r>
          </w:p>
        </w:tc>
      </w:tr>
      <w:tr>
        <w:tblPrEx>
          <w:tblCellMar>
            <w:top w:w="0" w:type="dxa"/>
            <w:left w:w="108" w:type="dxa"/>
            <w:bottom w:w="0" w:type="dxa"/>
            <w:right w:w="108" w:type="dxa"/>
          </w:tblCellMar>
        </w:tblPrEx>
        <w:trPr>
          <w:trHeight w:val="1285"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14</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碰铃</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大号响铜带丝带/直径4.8cm</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213</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三小20、毛路20、番阳100、孔首23、畅好50</w:t>
            </w:r>
          </w:p>
        </w:tc>
      </w:tr>
      <w:tr>
        <w:tblPrEx>
          <w:tblCellMar>
            <w:top w:w="0" w:type="dxa"/>
            <w:left w:w="108" w:type="dxa"/>
            <w:bottom w:w="0" w:type="dxa"/>
            <w:right w:w="108" w:type="dxa"/>
          </w:tblCellMar>
        </w:tblPrEx>
        <w:trPr>
          <w:trHeight w:val="329"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15</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小堂鼓</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≥26公分8寸</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三小5、畅好5</w:t>
            </w:r>
          </w:p>
        </w:tc>
      </w:tr>
      <w:tr>
        <w:tblPrEx>
          <w:tblCellMar>
            <w:top w:w="0" w:type="dxa"/>
            <w:left w:w="108" w:type="dxa"/>
            <w:bottom w:w="0" w:type="dxa"/>
            <w:right w:w="108" w:type="dxa"/>
          </w:tblCellMar>
        </w:tblPrEx>
        <w:trPr>
          <w:trHeight w:val="329"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16</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堂鼓</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cs="宋体"/>
                <w:color w:val="000000"/>
                <w:sz w:val="22"/>
                <w:szCs w:val="22"/>
                <w:highlight w:val="none"/>
                <w:lang w:val="en-US"/>
              </w:rPr>
            </w:pPr>
            <w:r>
              <w:rPr>
                <w:rFonts w:hint="eastAsia" w:ascii="宋体" w:hAnsi="宋体" w:cs="宋体"/>
                <w:color w:val="000000"/>
                <w:kern w:val="0"/>
                <w:sz w:val="22"/>
                <w:szCs w:val="22"/>
                <w:highlight w:val="none"/>
              </w:rPr>
              <w:t>10寸✘200mm</w:t>
            </w:r>
            <w:r>
              <w:rPr>
                <w:rStyle w:val="26"/>
                <w:rFonts w:hint="default"/>
                <w:highlight w:val="none"/>
              </w:rPr>
              <w:t>±</w:t>
            </w:r>
            <w:r>
              <w:rPr>
                <w:rStyle w:val="26"/>
                <w:rFonts w:hint="eastAsia"/>
                <w:highlight w:val="none"/>
                <w:lang w:val="en-US" w:eastAsia="zh-CN"/>
              </w:rPr>
              <w:t>5mm</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畅好5</w:t>
            </w:r>
          </w:p>
        </w:tc>
      </w:tr>
      <w:tr>
        <w:tblPrEx>
          <w:tblCellMar>
            <w:top w:w="0" w:type="dxa"/>
            <w:left w:w="108" w:type="dxa"/>
            <w:bottom w:w="0" w:type="dxa"/>
            <w:right w:w="108" w:type="dxa"/>
          </w:tblCellMar>
        </w:tblPrEx>
        <w:trPr>
          <w:trHeight w:val="329"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17</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堂鼓</w:t>
            </w:r>
          </w:p>
        </w:tc>
        <w:tc>
          <w:tcPr>
            <w:tcW w:w="391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hint="default" w:cs="Calibri"/>
                <w:color w:val="000000"/>
                <w:sz w:val="22"/>
                <w:szCs w:val="22"/>
                <w:highlight w:val="none"/>
                <w:lang w:val="en-US"/>
              </w:rPr>
            </w:pPr>
            <w:r>
              <w:rPr>
                <w:rFonts w:cs="Calibri"/>
                <w:color w:val="000000"/>
                <w:kern w:val="0"/>
                <w:sz w:val="22"/>
                <w:szCs w:val="22"/>
                <w:highlight w:val="none"/>
              </w:rPr>
              <w:t>12</w:t>
            </w:r>
            <w:r>
              <w:rPr>
                <w:rFonts w:hint="eastAsia" w:ascii="宋体" w:hAnsi="宋体" w:cs="宋体"/>
                <w:color w:val="000000"/>
                <w:kern w:val="0"/>
                <w:sz w:val="22"/>
                <w:szCs w:val="22"/>
                <w:highlight w:val="none"/>
              </w:rPr>
              <w:t>寸</w:t>
            </w:r>
            <w:r>
              <w:rPr>
                <w:rFonts w:cs="Calibri"/>
                <w:color w:val="000000"/>
                <w:kern w:val="0"/>
                <w:sz w:val="22"/>
                <w:szCs w:val="22"/>
                <w:highlight w:val="none"/>
              </w:rPr>
              <w:t>✘300mm</w:t>
            </w:r>
            <w:r>
              <w:rPr>
                <w:rStyle w:val="26"/>
                <w:rFonts w:hint="default"/>
                <w:highlight w:val="none"/>
              </w:rPr>
              <w:t>±</w:t>
            </w:r>
            <w:r>
              <w:rPr>
                <w:rStyle w:val="26"/>
                <w:rFonts w:hint="eastAsia"/>
                <w:highlight w:val="none"/>
                <w:lang w:val="en-US" w:eastAsia="zh-CN"/>
              </w:rPr>
              <w:t>5mm</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畅好5</w:t>
            </w:r>
          </w:p>
        </w:tc>
      </w:tr>
      <w:tr>
        <w:tblPrEx>
          <w:tblCellMar>
            <w:top w:w="0" w:type="dxa"/>
            <w:left w:w="108" w:type="dxa"/>
            <w:bottom w:w="0" w:type="dxa"/>
            <w:right w:w="108" w:type="dxa"/>
          </w:tblCellMar>
        </w:tblPrEx>
        <w:trPr>
          <w:trHeight w:val="329"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rPr>
              <w:t>18</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rPr>
              <w:t>手鼓</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大号</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45</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个</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rPr>
              <w:t>三小40、南圣</w:t>
            </w:r>
            <w:r>
              <w:rPr>
                <w:rFonts w:hint="eastAsia" w:ascii="宋体" w:hAnsi="宋体" w:cs="宋体"/>
                <w:color w:val="auto"/>
                <w:kern w:val="0"/>
                <w:sz w:val="24"/>
                <w:highlight w:val="none"/>
                <w:lang w:val="en-US" w:eastAsia="zh-CN"/>
              </w:rPr>
              <w:t>5</w:t>
            </w:r>
          </w:p>
        </w:tc>
      </w:tr>
      <w:tr>
        <w:tblPrEx>
          <w:tblCellMar>
            <w:top w:w="0" w:type="dxa"/>
            <w:left w:w="108" w:type="dxa"/>
            <w:bottom w:w="0" w:type="dxa"/>
            <w:right w:w="108" w:type="dxa"/>
          </w:tblCellMar>
        </w:tblPrEx>
        <w:trPr>
          <w:trHeight w:val="329"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19</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金钹</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≥17.5公分</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付</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三小10</w:t>
            </w:r>
          </w:p>
        </w:tc>
      </w:tr>
      <w:tr>
        <w:tblPrEx>
          <w:tblCellMar>
            <w:top w:w="0" w:type="dxa"/>
            <w:left w:w="108" w:type="dxa"/>
            <w:bottom w:w="0" w:type="dxa"/>
            <w:right w:w="108" w:type="dxa"/>
          </w:tblCellMar>
        </w:tblPrEx>
        <w:trPr>
          <w:trHeight w:val="647"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20</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音乐教学挂图</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55幅/乐理知识尺寸：50*72C</w:t>
            </w:r>
            <w:r>
              <w:rPr>
                <w:rFonts w:hint="eastAsia" w:ascii="宋体" w:hAnsi="宋体" w:cs="宋体"/>
                <w:color w:val="auto"/>
                <w:kern w:val="0"/>
                <w:sz w:val="22"/>
                <w:szCs w:val="22"/>
                <w:highlight w:val="none"/>
              </w:rPr>
              <w:t>M±</w:t>
            </w:r>
            <w:r>
              <w:rPr>
                <w:rFonts w:hint="eastAsia" w:cs="宋体"/>
                <w:color w:val="auto"/>
                <w:kern w:val="0"/>
                <w:sz w:val="22"/>
                <w:szCs w:val="22"/>
                <w:highlight w:val="none"/>
                <w:lang w:val="en-US" w:eastAsia="zh-CN"/>
              </w:rPr>
              <w:t>2CM</w:t>
            </w:r>
            <w:r>
              <w:rPr>
                <w:rFonts w:hint="eastAsia" w:ascii="宋体" w:hAnsi="宋体" w:cs="宋体"/>
                <w:color w:val="C00000"/>
                <w:kern w:val="0"/>
                <w:sz w:val="22"/>
                <w:szCs w:val="22"/>
                <w:highlight w:val="none"/>
              </w:rPr>
              <w:t xml:space="preserve"> </w:t>
            </w:r>
            <w:r>
              <w:rPr>
                <w:rFonts w:hint="eastAsia" w:ascii="宋体" w:hAnsi="宋体" w:cs="宋体"/>
                <w:color w:val="000000"/>
                <w:kern w:val="0"/>
                <w:sz w:val="22"/>
                <w:szCs w:val="22"/>
                <w:highlight w:val="none"/>
              </w:rPr>
              <w:t>20幅；音乐家肖像尺寸54*39CM 35幅/全彩铜版纸印刷</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三小1、通什1</w:t>
            </w:r>
          </w:p>
        </w:tc>
      </w:tr>
      <w:tr>
        <w:tblPrEx>
          <w:tblCellMar>
            <w:top w:w="0" w:type="dxa"/>
            <w:left w:w="108" w:type="dxa"/>
            <w:bottom w:w="0" w:type="dxa"/>
            <w:right w:w="108" w:type="dxa"/>
          </w:tblCellMar>
        </w:tblPrEx>
        <w:trPr>
          <w:trHeight w:val="893"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21</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auto"/>
                <w:kern w:val="0"/>
                <w:sz w:val="24"/>
                <w:highlight w:val="none"/>
              </w:rPr>
              <w:t>音响套装</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1．由一台DVD、一台卡座、一个专业级立体声功放，二只专业音箱（含支架）和两只高品质动圈话筒组成。</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2．功率放大器1台 输出功率120w×2（8Ω） 频响范围：20Hz~20KHz 信噪比：75 dB 消耗功率400w。</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3．音箱 频率响应（－3dB）45Hz~18KHz 频率响应（－10dB）40Hz~20KHz 阻抗8Ω 最大输入功率120WATT 轴向灵敏度98dB 扬声器支架1对 。</w:t>
            </w:r>
          </w:p>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4．动圈话筒2支 指向性：心型 频率响应： 50~13000Hz 输出阻抗： 600Ω灵敏度： 1.5mV/Pa</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三小1</w:t>
            </w:r>
          </w:p>
        </w:tc>
      </w:tr>
      <w:tr>
        <w:tblPrEx>
          <w:tblCellMar>
            <w:top w:w="0" w:type="dxa"/>
            <w:left w:w="108" w:type="dxa"/>
            <w:bottom w:w="0" w:type="dxa"/>
            <w:right w:w="108" w:type="dxa"/>
          </w:tblCellMar>
        </w:tblPrEx>
        <w:trPr>
          <w:trHeight w:val="1420"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22</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吉它</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40寸圆角原木单色/长102CM/弦钮：镀铬全封闭旋钮/第一琴颈厚度15MM；第九琴颈厚度17.5MM；指板零品宽度：43MM；十二品宽度：54.6MM；十九品宽度：57.6MM；全封闭漆面</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把</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南圣2、加艾1、毛组2</w:t>
            </w:r>
          </w:p>
        </w:tc>
      </w:tr>
      <w:tr>
        <w:tblPrEx>
          <w:tblCellMar>
            <w:top w:w="0" w:type="dxa"/>
            <w:left w:w="108" w:type="dxa"/>
            <w:bottom w:w="0" w:type="dxa"/>
            <w:right w:w="108" w:type="dxa"/>
          </w:tblCellMar>
        </w:tblPrEx>
        <w:trPr>
          <w:trHeight w:val="684"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23</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箱鼓</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原木色全单板枫木；尺寸：330*300*500MM</w:t>
            </w:r>
            <w:r>
              <w:rPr>
                <w:rStyle w:val="26"/>
                <w:rFonts w:hint="default"/>
                <w:highlight w:val="none"/>
              </w:rPr>
              <w:t>±</w:t>
            </w:r>
            <w:r>
              <w:rPr>
                <w:rStyle w:val="26"/>
                <w:rFonts w:hint="eastAsia"/>
                <w:highlight w:val="none"/>
                <w:lang w:val="en-US" w:eastAsia="zh-CN"/>
              </w:rPr>
              <w:t>10mm</w:t>
            </w:r>
            <w:r>
              <w:rPr>
                <w:rFonts w:hint="eastAsia" w:ascii="宋体" w:hAnsi="宋体" w:cs="宋体"/>
                <w:color w:val="000000"/>
                <w:kern w:val="0"/>
                <w:sz w:val="22"/>
                <w:szCs w:val="22"/>
                <w:highlight w:val="none"/>
              </w:rPr>
              <w:t>/防滑脚垫</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面</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南圣1</w:t>
            </w:r>
          </w:p>
        </w:tc>
      </w:tr>
      <w:tr>
        <w:tblPrEx>
          <w:tblCellMar>
            <w:top w:w="0" w:type="dxa"/>
            <w:left w:w="108" w:type="dxa"/>
            <w:bottom w:w="0" w:type="dxa"/>
            <w:right w:w="108" w:type="dxa"/>
          </w:tblCellMar>
        </w:tblPrEx>
        <w:trPr>
          <w:trHeight w:val="684"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24</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小提琴</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古典咖啡色；尺寸：4/4；琴长：59CM；面板：云杉木；背板：枫木；配件：乌木</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把</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南圣1</w:t>
            </w:r>
          </w:p>
        </w:tc>
      </w:tr>
      <w:tr>
        <w:tblPrEx>
          <w:tblCellMar>
            <w:top w:w="0" w:type="dxa"/>
            <w:left w:w="108" w:type="dxa"/>
            <w:bottom w:w="0" w:type="dxa"/>
            <w:right w:w="108" w:type="dxa"/>
          </w:tblCellMar>
        </w:tblPrEx>
        <w:trPr>
          <w:trHeight w:val="664"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25</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小号</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喇叭口：123MM；管径：11.7MM；材质：黄铜；按键：不锈钢；配小提箱</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支</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南圣1</w:t>
            </w:r>
          </w:p>
        </w:tc>
      </w:tr>
      <w:tr>
        <w:tblPrEx>
          <w:tblCellMar>
            <w:top w:w="0" w:type="dxa"/>
            <w:left w:w="108" w:type="dxa"/>
            <w:bottom w:w="0" w:type="dxa"/>
            <w:right w:w="108" w:type="dxa"/>
          </w:tblCellMar>
        </w:tblPrEx>
        <w:trPr>
          <w:trHeight w:val="1285"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26</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DVD、光盘多功能播放一体机</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auto"/>
                <w:kern w:val="0"/>
                <w:sz w:val="22"/>
                <w:szCs w:val="22"/>
                <w:highlight w:val="none"/>
              </w:rPr>
              <w:t>370±</w:t>
            </w:r>
            <w:r>
              <w:rPr>
                <w:rFonts w:hint="eastAsia" w:cs="宋体"/>
                <w:color w:val="auto"/>
                <w:kern w:val="0"/>
                <w:sz w:val="22"/>
                <w:szCs w:val="22"/>
                <w:highlight w:val="none"/>
                <w:lang w:val="en-US" w:eastAsia="zh-CN"/>
              </w:rPr>
              <w:t>10</w:t>
            </w:r>
            <w:r>
              <w:rPr>
                <w:rFonts w:hint="eastAsia" w:ascii="宋体" w:hAnsi="宋体" w:cs="宋体"/>
                <w:color w:val="auto"/>
                <w:kern w:val="0"/>
                <w:sz w:val="22"/>
                <w:szCs w:val="22"/>
                <w:highlight w:val="none"/>
              </w:rPr>
              <w:t>*255±</w:t>
            </w:r>
            <w:r>
              <w:rPr>
                <w:rFonts w:hint="eastAsia" w:cs="宋体"/>
                <w:color w:val="auto"/>
                <w:kern w:val="0"/>
                <w:sz w:val="22"/>
                <w:szCs w:val="22"/>
                <w:highlight w:val="none"/>
                <w:lang w:val="en-US" w:eastAsia="zh-CN"/>
              </w:rPr>
              <w:t>20</w:t>
            </w:r>
            <w:r>
              <w:rPr>
                <w:rFonts w:hint="eastAsia" w:ascii="宋体" w:hAnsi="宋体" w:cs="宋体"/>
                <w:color w:val="auto"/>
                <w:kern w:val="0"/>
                <w:sz w:val="22"/>
                <w:szCs w:val="22"/>
                <w:highlight w:val="none"/>
              </w:rPr>
              <w:t>*35±</w:t>
            </w:r>
            <w:r>
              <w:rPr>
                <w:rFonts w:hint="eastAsia" w:cs="宋体"/>
                <w:color w:val="auto"/>
                <w:kern w:val="0"/>
                <w:sz w:val="22"/>
                <w:szCs w:val="22"/>
                <w:highlight w:val="none"/>
                <w:lang w:val="en-US" w:eastAsia="zh-CN"/>
              </w:rPr>
              <w:t>2</w:t>
            </w:r>
            <w:r>
              <w:rPr>
                <w:rFonts w:hint="eastAsia" w:ascii="宋体" w:hAnsi="宋体" w:cs="宋体"/>
                <w:color w:val="auto"/>
                <w:kern w:val="0"/>
                <w:sz w:val="22"/>
                <w:szCs w:val="22"/>
                <w:highlight w:val="none"/>
              </w:rPr>
              <w:t>mm/蓝牙</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14</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台</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毛阳2、毛路2、毛栈2、学周2、牙合2、毛贵2、布伦1、南打1</w:t>
            </w:r>
          </w:p>
        </w:tc>
      </w:tr>
      <w:tr>
        <w:tblPrEx>
          <w:tblCellMar>
            <w:top w:w="0" w:type="dxa"/>
            <w:left w:w="108" w:type="dxa"/>
            <w:bottom w:w="0" w:type="dxa"/>
            <w:right w:w="108" w:type="dxa"/>
          </w:tblCellMar>
        </w:tblPrEx>
        <w:trPr>
          <w:trHeight w:val="1739"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27</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葫芦丝</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尺寸：全长40-43CM；调式：C调、降B调、A调</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180</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支</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毛阳30、毛路30、毛栈30、学周30、牙合30、毛贵30</w:t>
            </w:r>
          </w:p>
        </w:tc>
      </w:tr>
      <w:tr>
        <w:tblPrEx>
          <w:tblCellMar>
            <w:top w:w="0" w:type="dxa"/>
            <w:left w:w="108" w:type="dxa"/>
            <w:bottom w:w="0" w:type="dxa"/>
            <w:right w:w="108" w:type="dxa"/>
          </w:tblCellMar>
        </w:tblPrEx>
        <w:trPr>
          <w:trHeight w:val="4473"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28</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五线谱电教版黑板</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尺寸：</w:t>
            </w:r>
            <w:r>
              <w:rPr>
                <w:rStyle w:val="38"/>
                <w:highlight w:val="none"/>
              </w:rPr>
              <w:t>1800*1000*60MM</w:t>
            </w:r>
            <w:r>
              <w:rPr>
                <w:rStyle w:val="38"/>
                <w:rFonts w:hint="default"/>
                <w:highlight w:val="none"/>
              </w:rPr>
              <w:t>±</w:t>
            </w:r>
            <w:r>
              <w:rPr>
                <w:rStyle w:val="38"/>
                <w:rFonts w:hint="eastAsia" w:eastAsia="宋体"/>
                <w:highlight w:val="none"/>
                <w:lang w:val="en-US" w:eastAsia="zh-CN"/>
              </w:rPr>
              <w:t>10</w:t>
            </w:r>
            <w:r>
              <w:rPr>
                <w:rStyle w:val="38"/>
                <w:highlight w:val="none"/>
              </w:rPr>
              <w:t>MM</w:t>
            </w:r>
            <w:r>
              <w:rPr>
                <w:rFonts w:hint="eastAsia" w:ascii="宋体" w:hAnsi="宋体" w:cs="宋体"/>
                <w:color w:val="000000"/>
                <w:kern w:val="0"/>
                <w:sz w:val="22"/>
                <w:szCs w:val="22"/>
                <w:highlight w:val="none"/>
              </w:rPr>
              <w:t>；</w:t>
            </w:r>
            <w:r>
              <w:rPr>
                <w:rStyle w:val="38"/>
                <w:highlight w:val="none"/>
              </w:rPr>
              <w:t>61</w:t>
            </w:r>
            <w:r>
              <w:rPr>
                <w:rFonts w:hint="eastAsia" w:ascii="宋体" w:hAnsi="宋体" w:cs="宋体"/>
                <w:color w:val="000000"/>
                <w:kern w:val="0"/>
                <w:sz w:val="22"/>
                <w:szCs w:val="22"/>
                <w:highlight w:val="none"/>
              </w:rPr>
              <w:t>键电钢琴键盘；五线谱表、五线谱教鞭；音色：标准</w:t>
            </w:r>
            <w:r>
              <w:rPr>
                <w:rStyle w:val="38"/>
                <w:highlight w:val="none"/>
              </w:rPr>
              <w:t>GM</w:t>
            </w:r>
            <w:r>
              <w:rPr>
                <w:rFonts w:hint="eastAsia" w:ascii="宋体" w:hAnsi="宋体" w:cs="宋体"/>
                <w:color w:val="000000"/>
                <w:kern w:val="0"/>
                <w:sz w:val="22"/>
                <w:szCs w:val="22"/>
                <w:highlight w:val="none"/>
              </w:rPr>
              <w:t>音色（</w:t>
            </w:r>
            <w:r>
              <w:rPr>
                <w:rStyle w:val="38"/>
                <w:highlight w:val="none"/>
              </w:rPr>
              <w:t>128</w:t>
            </w:r>
            <w:r>
              <w:rPr>
                <w:rFonts w:hint="eastAsia" w:ascii="宋体" w:hAnsi="宋体" w:cs="宋体"/>
                <w:color w:val="000000"/>
                <w:kern w:val="0"/>
                <w:sz w:val="22"/>
                <w:szCs w:val="22"/>
                <w:highlight w:val="none"/>
              </w:rPr>
              <w:t>种）</w:t>
            </w:r>
            <w:r>
              <w:rPr>
                <w:rStyle w:val="38"/>
                <w:highlight w:val="none"/>
              </w:rPr>
              <w:t xml:space="preserve">+ </w:t>
            </w:r>
            <w:r>
              <w:rPr>
                <w:rFonts w:hint="eastAsia" w:ascii="宋体" w:hAnsi="宋体" w:cs="宋体"/>
                <w:color w:val="000000"/>
                <w:kern w:val="0"/>
                <w:sz w:val="22"/>
                <w:szCs w:val="22"/>
                <w:highlight w:val="none"/>
              </w:rPr>
              <w:t>一组标准键盘打击乐；节奏：内置</w:t>
            </w:r>
            <w:r>
              <w:rPr>
                <w:rStyle w:val="38"/>
                <w:highlight w:val="none"/>
              </w:rPr>
              <w:t>100</w:t>
            </w:r>
            <w:r>
              <w:rPr>
                <w:rFonts w:hint="eastAsia" w:ascii="宋体" w:hAnsi="宋体" w:cs="宋体"/>
                <w:color w:val="000000"/>
                <w:kern w:val="0"/>
                <w:sz w:val="22"/>
                <w:szCs w:val="22"/>
                <w:highlight w:val="none"/>
              </w:rPr>
              <w:t>种常用节奏；示范曲：</w:t>
            </w:r>
            <w:r>
              <w:rPr>
                <w:rStyle w:val="38"/>
                <w:highlight w:val="none"/>
              </w:rPr>
              <w:t>700</w:t>
            </w:r>
            <w:r>
              <w:rPr>
                <w:rFonts w:hint="eastAsia" w:ascii="宋体" w:hAnsi="宋体" w:cs="宋体"/>
                <w:color w:val="000000"/>
                <w:kern w:val="0"/>
                <w:sz w:val="22"/>
                <w:szCs w:val="22"/>
                <w:highlight w:val="none"/>
              </w:rPr>
              <w:t>首；显示：</w:t>
            </w:r>
            <w:r>
              <w:rPr>
                <w:rStyle w:val="38"/>
                <w:highlight w:val="none"/>
              </w:rPr>
              <w:t>3</w:t>
            </w:r>
            <w:r>
              <w:rPr>
                <w:rFonts w:hint="eastAsia" w:ascii="宋体" w:hAnsi="宋体" w:cs="宋体"/>
                <w:color w:val="000000"/>
                <w:kern w:val="0"/>
                <w:sz w:val="22"/>
                <w:szCs w:val="22"/>
                <w:highlight w:val="none"/>
              </w:rPr>
              <w:t>段数</w:t>
            </w:r>
            <w:r>
              <w:rPr>
                <w:rStyle w:val="38"/>
                <w:highlight w:val="none"/>
              </w:rPr>
              <w:t>LED</w:t>
            </w:r>
            <w:r>
              <w:rPr>
                <w:rFonts w:hint="eastAsia" w:ascii="宋体" w:hAnsi="宋体" w:cs="宋体"/>
                <w:color w:val="000000"/>
                <w:kern w:val="0"/>
                <w:sz w:val="22"/>
                <w:szCs w:val="22"/>
                <w:highlight w:val="none"/>
              </w:rPr>
              <w:t>功能显示；标准简谱显示；操作：采用数字按键、</w:t>
            </w:r>
            <w:r>
              <w:rPr>
                <w:rStyle w:val="38"/>
                <w:highlight w:val="none"/>
              </w:rPr>
              <w:t>+/-</w:t>
            </w:r>
            <w:r>
              <w:rPr>
                <w:rFonts w:hint="eastAsia" w:ascii="宋体" w:hAnsi="宋体" w:cs="宋体"/>
                <w:color w:val="000000"/>
                <w:kern w:val="0"/>
                <w:sz w:val="22"/>
                <w:szCs w:val="22"/>
                <w:highlight w:val="none"/>
              </w:rPr>
              <w:t>键配合；调号转换：电教鞭上具有升调“</w:t>
            </w:r>
            <w:r>
              <w:rPr>
                <w:rStyle w:val="38"/>
                <w:highlight w:val="none"/>
              </w:rPr>
              <w:t>#</w:t>
            </w:r>
            <w:r>
              <w:rPr>
                <w:rFonts w:hint="eastAsia" w:ascii="宋体" w:hAnsi="宋体" w:cs="宋体"/>
                <w:color w:val="000000"/>
                <w:kern w:val="0"/>
                <w:sz w:val="22"/>
                <w:szCs w:val="22"/>
                <w:highlight w:val="none"/>
              </w:rPr>
              <w:t>”、降调“</w:t>
            </w:r>
            <w:r>
              <w:rPr>
                <w:rStyle w:val="38"/>
                <w:highlight w:val="none"/>
              </w:rPr>
              <w:t>b</w:t>
            </w:r>
            <w:r>
              <w:rPr>
                <w:rFonts w:hint="eastAsia" w:ascii="宋体" w:hAnsi="宋体" w:cs="宋体"/>
                <w:color w:val="000000"/>
                <w:kern w:val="0"/>
                <w:sz w:val="22"/>
                <w:szCs w:val="22"/>
                <w:highlight w:val="none"/>
              </w:rPr>
              <w:t>”转换键；录音：录音时间超过两小时；具有</w:t>
            </w:r>
            <w:r>
              <w:rPr>
                <w:rStyle w:val="38"/>
                <w:highlight w:val="none"/>
              </w:rPr>
              <w:t>U</w:t>
            </w:r>
            <w:r>
              <w:rPr>
                <w:rFonts w:hint="eastAsia" w:ascii="宋体" w:hAnsi="宋体" w:cs="宋体"/>
                <w:color w:val="000000"/>
                <w:kern w:val="0"/>
                <w:sz w:val="22"/>
                <w:szCs w:val="22"/>
                <w:highlight w:val="none"/>
              </w:rPr>
              <w:t>盘、</w:t>
            </w:r>
            <w:r>
              <w:rPr>
                <w:rStyle w:val="38"/>
                <w:highlight w:val="none"/>
              </w:rPr>
              <w:t>SD</w:t>
            </w:r>
            <w:r>
              <w:rPr>
                <w:rFonts w:hint="eastAsia" w:ascii="宋体" w:hAnsi="宋体" w:cs="宋体"/>
                <w:color w:val="000000"/>
                <w:kern w:val="0"/>
                <w:sz w:val="22"/>
                <w:szCs w:val="22"/>
                <w:highlight w:val="none"/>
              </w:rPr>
              <w:t>卡接口；接口：双教鞭接口；</w:t>
            </w:r>
            <w:r>
              <w:rPr>
                <w:rStyle w:val="38"/>
                <w:highlight w:val="none"/>
              </w:rPr>
              <w:t>MIDI</w:t>
            </w:r>
            <w:r>
              <w:rPr>
                <w:rFonts w:hint="eastAsia" w:ascii="宋体" w:hAnsi="宋体" w:cs="宋体"/>
                <w:color w:val="000000"/>
                <w:kern w:val="0"/>
                <w:sz w:val="22"/>
                <w:szCs w:val="22"/>
                <w:highlight w:val="none"/>
              </w:rPr>
              <w:t>输入</w:t>
            </w:r>
            <w:r>
              <w:rPr>
                <w:rStyle w:val="38"/>
                <w:highlight w:val="none"/>
              </w:rPr>
              <w:t>/</w:t>
            </w:r>
            <w:r>
              <w:rPr>
                <w:rFonts w:hint="eastAsia" w:ascii="宋体" w:hAnsi="宋体" w:cs="宋体"/>
                <w:color w:val="000000"/>
                <w:kern w:val="0"/>
                <w:sz w:val="22"/>
                <w:szCs w:val="22"/>
                <w:highlight w:val="none"/>
              </w:rPr>
              <w:t>输出；线路输入</w:t>
            </w:r>
            <w:r>
              <w:rPr>
                <w:rStyle w:val="38"/>
                <w:highlight w:val="none"/>
              </w:rPr>
              <w:t>/</w:t>
            </w:r>
            <w:r>
              <w:rPr>
                <w:rFonts w:hint="eastAsia" w:ascii="宋体" w:hAnsi="宋体" w:cs="宋体"/>
                <w:color w:val="000000"/>
                <w:kern w:val="0"/>
                <w:sz w:val="22"/>
                <w:szCs w:val="22"/>
                <w:highlight w:val="none"/>
              </w:rPr>
              <w:t>输出；具有键位与五线谱对应的</w:t>
            </w:r>
            <w:r>
              <w:rPr>
                <w:rStyle w:val="38"/>
                <w:highlight w:val="none"/>
              </w:rPr>
              <w:t>LED</w:t>
            </w:r>
            <w:r>
              <w:rPr>
                <w:rFonts w:hint="eastAsia" w:ascii="宋体" w:hAnsi="宋体" w:cs="宋体"/>
                <w:color w:val="000000"/>
                <w:kern w:val="0"/>
                <w:sz w:val="22"/>
                <w:szCs w:val="22"/>
                <w:highlight w:val="none"/>
              </w:rPr>
              <w:t>指示灯，可对照键盘与五线谱相应的位置。在播放示范区时，对应的</w:t>
            </w:r>
            <w:r>
              <w:rPr>
                <w:rStyle w:val="38"/>
                <w:highlight w:val="none"/>
              </w:rPr>
              <w:t>LED</w:t>
            </w:r>
            <w:r>
              <w:rPr>
                <w:rFonts w:hint="eastAsia" w:ascii="宋体" w:hAnsi="宋体" w:cs="宋体"/>
                <w:color w:val="000000"/>
                <w:kern w:val="0"/>
                <w:sz w:val="22"/>
                <w:szCs w:val="22"/>
                <w:highlight w:val="none"/>
              </w:rPr>
              <w:t>会显示音高，寓教于乐；具有键位与五线谱对应的</w:t>
            </w:r>
            <w:r>
              <w:rPr>
                <w:rStyle w:val="38"/>
                <w:highlight w:val="none"/>
              </w:rPr>
              <w:t>LED</w:t>
            </w:r>
            <w:r>
              <w:rPr>
                <w:rFonts w:hint="eastAsia" w:ascii="宋体" w:hAnsi="宋体" w:cs="宋体"/>
                <w:color w:val="000000"/>
                <w:kern w:val="0"/>
                <w:sz w:val="22"/>
                <w:szCs w:val="22"/>
                <w:highlight w:val="none"/>
              </w:rPr>
              <w:t>指示灯，可对照键盘与五线谱相应的位置。在播放示范区时，对应的</w:t>
            </w:r>
            <w:r>
              <w:rPr>
                <w:rStyle w:val="38"/>
                <w:highlight w:val="none"/>
              </w:rPr>
              <w:t>LED</w:t>
            </w:r>
            <w:r>
              <w:rPr>
                <w:rFonts w:hint="eastAsia" w:ascii="宋体" w:hAnsi="宋体" w:cs="宋体"/>
                <w:color w:val="000000"/>
                <w:kern w:val="0"/>
                <w:sz w:val="22"/>
                <w:szCs w:val="22"/>
                <w:highlight w:val="none"/>
              </w:rPr>
              <w:t>会显示音高，寓教于乐</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毛阳1、通什1</w:t>
            </w:r>
          </w:p>
        </w:tc>
      </w:tr>
      <w:tr>
        <w:tblPrEx>
          <w:tblCellMar>
            <w:top w:w="0" w:type="dxa"/>
            <w:left w:w="108" w:type="dxa"/>
            <w:bottom w:w="0" w:type="dxa"/>
            <w:right w:w="108" w:type="dxa"/>
          </w:tblCellMar>
        </w:tblPrEx>
        <w:trPr>
          <w:trHeight w:val="1285"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29</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成套打击乐器</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三角铁、铃鼓、木鱼等26件套</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100</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毛路10、学周10、牙合10、毛贵10、番阳50、通什10</w:t>
            </w:r>
          </w:p>
        </w:tc>
      </w:tr>
      <w:tr>
        <w:tblPrEx>
          <w:tblCellMar>
            <w:top w:w="0" w:type="dxa"/>
            <w:left w:w="108" w:type="dxa"/>
            <w:bottom w:w="0" w:type="dxa"/>
            <w:right w:w="108" w:type="dxa"/>
          </w:tblCellMar>
        </w:tblPrEx>
        <w:trPr>
          <w:trHeight w:val="710"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rPr>
              <w:t>30</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rPr>
              <w:t>响板</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尺寸：长11*4CM</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173</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对</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rPr>
              <w:t>番阳100、孔首23、畅好50</w:t>
            </w:r>
          </w:p>
        </w:tc>
      </w:tr>
      <w:tr>
        <w:tblPrEx>
          <w:tblCellMar>
            <w:top w:w="0" w:type="dxa"/>
            <w:left w:w="108" w:type="dxa"/>
            <w:bottom w:w="0" w:type="dxa"/>
            <w:right w:w="108" w:type="dxa"/>
          </w:tblCellMar>
        </w:tblPrEx>
        <w:trPr>
          <w:trHeight w:val="647"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31</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瑜伽垫</w:t>
            </w:r>
          </w:p>
        </w:tc>
        <w:tc>
          <w:tcPr>
            <w:tcW w:w="3912" w:type="dxa"/>
            <w:tcBorders>
              <w:top w:val="nil"/>
              <w:left w:val="nil"/>
              <w:bottom w:val="nil"/>
              <w:right w:val="nil"/>
            </w:tcBorders>
            <w:noWrap/>
            <w:vAlign w:val="center"/>
          </w:tcPr>
          <w:p>
            <w:pPr>
              <w:widowControl/>
              <w:jc w:val="left"/>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rPr>
              <w:t>尺寸:183</w:t>
            </w:r>
            <w:r>
              <w:rPr>
                <w:rFonts w:hint="eastAsia" w:ascii="宋体" w:hAnsi="宋体" w:cs="宋体"/>
                <w:color w:val="auto"/>
                <w:kern w:val="0"/>
                <w:sz w:val="20"/>
                <w:szCs w:val="20"/>
                <w:highlight w:val="none"/>
              </w:rPr>
              <w:t>±</w:t>
            </w:r>
            <w:r>
              <w:rPr>
                <w:rFonts w:hint="eastAsia" w:cs="宋体"/>
                <w:color w:val="auto"/>
                <w:kern w:val="0"/>
                <w:sz w:val="20"/>
                <w:szCs w:val="20"/>
                <w:highlight w:val="none"/>
                <w:lang w:val="en-US" w:eastAsia="zh-CN"/>
              </w:rPr>
              <w:t>2</w:t>
            </w:r>
            <w:r>
              <w:rPr>
                <w:rFonts w:hint="eastAsia" w:ascii="宋体" w:hAnsi="宋体" w:cs="宋体"/>
                <w:color w:val="auto"/>
                <w:kern w:val="0"/>
                <w:sz w:val="20"/>
                <w:szCs w:val="20"/>
                <w:highlight w:val="none"/>
              </w:rPr>
              <w:t>cm×80±</w:t>
            </w:r>
            <w:r>
              <w:rPr>
                <w:rFonts w:hint="eastAsia" w:cs="宋体"/>
                <w:color w:val="auto"/>
                <w:kern w:val="0"/>
                <w:sz w:val="20"/>
                <w:szCs w:val="20"/>
                <w:highlight w:val="none"/>
                <w:lang w:val="en-US" w:eastAsia="zh-CN"/>
              </w:rPr>
              <w:t>2</w:t>
            </w:r>
            <w:r>
              <w:rPr>
                <w:rFonts w:hint="eastAsia" w:ascii="宋体" w:hAnsi="宋体" w:cs="宋体"/>
                <w:color w:val="auto"/>
                <w:kern w:val="0"/>
                <w:sz w:val="20"/>
                <w:szCs w:val="20"/>
                <w:highlight w:val="none"/>
              </w:rPr>
              <w:t>cm×15mm±</w:t>
            </w:r>
            <w:r>
              <w:rPr>
                <w:rFonts w:hint="eastAsia" w:cs="宋体"/>
                <w:color w:val="auto"/>
                <w:kern w:val="0"/>
                <w:sz w:val="20"/>
                <w:szCs w:val="20"/>
                <w:highlight w:val="none"/>
                <w:lang w:val="en-US" w:eastAsia="zh-CN"/>
              </w:rPr>
              <w:t>1mm</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100</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张</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番阳50、畅好50</w:t>
            </w:r>
          </w:p>
        </w:tc>
      </w:tr>
      <w:tr>
        <w:tblPrEx>
          <w:tblCellMar>
            <w:top w:w="0" w:type="dxa"/>
            <w:left w:w="108" w:type="dxa"/>
            <w:bottom w:w="0" w:type="dxa"/>
            <w:right w:w="108" w:type="dxa"/>
          </w:tblCellMar>
        </w:tblPrEx>
        <w:trPr>
          <w:trHeight w:val="1923"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32</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移动音箱</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尺寸：44</w:t>
            </w:r>
            <w:r>
              <w:rPr>
                <w:rFonts w:hint="eastAsia" w:cs="宋体"/>
                <w:color w:val="000000"/>
                <w:kern w:val="0"/>
                <w:sz w:val="22"/>
                <w:szCs w:val="22"/>
                <w:highlight w:val="none"/>
                <w:lang w:val="en-US" w:eastAsia="zh-CN"/>
              </w:rPr>
              <w:t>.</w:t>
            </w:r>
            <w:r>
              <w:rPr>
                <w:rFonts w:hint="eastAsia" w:ascii="宋体" w:hAnsi="宋体" w:cs="宋体"/>
                <w:color w:val="000000"/>
                <w:kern w:val="0"/>
                <w:sz w:val="22"/>
                <w:szCs w:val="22"/>
                <w:highlight w:val="none"/>
              </w:rPr>
              <w:t>7*31</w:t>
            </w:r>
            <w:r>
              <w:rPr>
                <w:rFonts w:hint="eastAsia" w:cs="宋体"/>
                <w:color w:val="000000"/>
                <w:kern w:val="0"/>
                <w:sz w:val="22"/>
                <w:szCs w:val="22"/>
                <w:highlight w:val="none"/>
                <w:lang w:val="en-US" w:eastAsia="zh-CN"/>
              </w:rPr>
              <w:t>.</w:t>
            </w:r>
            <w:r>
              <w:rPr>
                <w:rFonts w:hint="eastAsia" w:ascii="宋体" w:hAnsi="宋体" w:cs="宋体"/>
                <w:color w:val="000000"/>
                <w:kern w:val="0"/>
                <w:sz w:val="22"/>
                <w:szCs w:val="22"/>
                <w:highlight w:val="none"/>
              </w:rPr>
              <w:t>9*66</w:t>
            </w:r>
            <w:r>
              <w:rPr>
                <w:rFonts w:hint="eastAsia" w:cs="宋体"/>
                <w:color w:val="000000"/>
                <w:kern w:val="0"/>
                <w:sz w:val="22"/>
                <w:szCs w:val="22"/>
                <w:highlight w:val="none"/>
                <w:lang w:val="en-US" w:eastAsia="zh-CN"/>
              </w:rPr>
              <w:t>.</w:t>
            </w:r>
            <w:r>
              <w:rPr>
                <w:rFonts w:hint="eastAsia" w:ascii="宋体" w:hAnsi="宋体" w:cs="宋体"/>
                <w:color w:val="000000"/>
                <w:kern w:val="0"/>
                <w:sz w:val="22"/>
                <w:szCs w:val="22"/>
                <w:highlight w:val="none"/>
              </w:rPr>
              <w:t>5</w:t>
            </w:r>
            <w:r>
              <w:rPr>
                <w:rFonts w:hint="eastAsia" w:cs="宋体"/>
                <w:color w:val="000000"/>
                <w:kern w:val="0"/>
                <w:sz w:val="22"/>
                <w:szCs w:val="22"/>
                <w:highlight w:val="none"/>
                <w:lang w:val="en-US" w:eastAsia="zh-CN"/>
              </w:rPr>
              <w:t>C</w:t>
            </w:r>
            <w:r>
              <w:rPr>
                <w:rFonts w:hint="eastAsia" w:ascii="宋体" w:hAnsi="宋体" w:cs="宋体"/>
                <w:color w:val="000000"/>
                <w:kern w:val="0"/>
                <w:sz w:val="22"/>
                <w:szCs w:val="22"/>
                <w:highlight w:val="none"/>
              </w:rPr>
              <w:t>M</w:t>
            </w:r>
            <w:r>
              <w:rPr>
                <w:rFonts w:hint="eastAsia" w:ascii="宋体" w:hAnsi="宋体" w:cs="宋体"/>
                <w:color w:val="auto"/>
                <w:kern w:val="0"/>
                <w:sz w:val="20"/>
                <w:szCs w:val="20"/>
                <w:highlight w:val="none"/>
              </w:rPr>
              <w:t>±</w:t>
            </w:r>
            <w:r>
              <w:rPr>
                <w:rFonts w:hint="eastAsia" w:cs="宋体"/>
                <w:color w:val="auto"/>
                <w:kern w:val="0"/>
                <w:sz w:val="20"/>
                <w:szCs w:val="20"/>
                <w:highlight w:val="none"/>
                <w:lang w:val="en-US" w:eastAsia="zh-CN"/>
              </w:rPr>
              <w:t>10</w:t>
            </w:r>
            <w:r>
              <w:rPr>
                <w:rFonts w:hint="eastAsia" w:ascii="宋体" w:hAnsi="宋体" w:cs="宋体"/>
                <w:color w:val="auto"/>
                <w:kern w:val="0"/>
                <w:sz w:val="20"/>
                <w:szCs w:val="20"/>
                <w:highlight w:val="none"/>
              </w:rPr>
              <w:t>cm</w:t>
            </w:r>
            <w:r>
              <w:rPr>
                <w:rFonts w:hint="eastAsia" w:ascii="宋体" w:hAnsi="宋体" w:cs="宋体"/>
                <w:color w:val="000000"/>
                <w:kern w:val="0"/>
                <w:sz w:val="22"/>
                <w:szCs w:val="22"/>
                <w:highlight w:val="none"/>
              </w:rPr>
              <w:t>；使用时间：6-8小时；电池规格：12V/7A酸电池；信噪比：71DB；显示屏：LED数码管；峰值功率：300W；连接方式：USB、蓝牙4.2连接、3.5MM口；麦克风：2支；喇叭配置：10寸低音、25芯高音号角；支持格式：MP3、WAV、WMA等无损解码格式</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番阳2、加艾2、孔首1、毛组1、畅好3、毛旦1</w:t>
            </w:r>
          </w:p>
        </w:tc>
      </w:tr>
      <w:tr>
        <w:tblPrEx>
          <w:tblCellMar>
            <w:top w:w="0" w:type="dxa"/>
            <w:left w:w="108" w:type="dxa"/>
            <w:bottom w:w="0" w:type="dxa"/>
            <w:right w:w="108" w:type="dxa"/>
          </w:tblCellMar>
        </w:tblPrEx>
        <w:trPr>
          <w:trHeight w:val="745"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33</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腰鼓</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直径14CM*高32CM；胶木鼓身、牛皮鼓面、抛光鼓棍</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15</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南打15</w:t>
            </w:r>
          </w:p>
        </w:tc>
      </w:tr>
      <w:tr>
        <w:tblPrEx>
          <w:tblCellMar>
            <w:top w:w="0" w:type="dxa"/>
            <w:left w:w="108" w:type="dxa"/>
            <w:bottom w:w="0" w:type="dxa"/>
            <w:right w:w="108" w:type="dxa"/>
          </w:tblCellMar>
        </w:tblPrEx>
        <w:trPr>
          <w:trHeight w:val="1134"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34</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麦克风</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auto"/>
                <w:kern w:val="0"/>
                <w:sz w:val="22"/>
                <w:szCs w:val="22"/>
                <w:highlight w:val="none"/>
              </w:rPr>
              <w:t>尺寸：48</w:t>
            </w:r>
            <w:r>
              <w:rPr>
                <w:rFonts w:hint="eastAsia" w:cs="宋体"/>
                <w:color w:val="auto"/>
                <w:kern w:val="0"/>
                <w:sz w:val="22"/>
                <w:szCs w:val="22"/>
                <w:highlight w:val="none"/>
                <w:lang w:val="en-US" w:eastAsia="zh-CN"/>
              </w:rPr>
              <w:t>.</w:t>
            </w:r>
            <w:r>
              <w:rPr>
                <w:rFonts w:hint="eastAsia" w:ascii="宋体" w:hAnsi="宋体" w:cs="宋体"/>
                <w:color w:val="auto"/>
                <w:kern w:val="0"/>
                <w:sz w:val="22"/>
                <w:szCs w:val="22"/>
                <w:highlight w:val="none"/>
              </w:rPr>
              <w:t>4</w:t>
            </w:r>
            <w:r>
              <w:rPr>
                <w:rFonts w:hint="eastAsia" w:ascii="宋体" w:hAnsi="宋体" w:cs="宋体"/>
                <w:color w:val="auto"/>
                <w:kern w:val="0"/>
                <w:sz w:val="20"/>
                <w:szCs w:val="20"/>
                <w:highlight w:val="none"/>
              </w:rPr>
              <w:t>±</w:t>
            </w:r>
            <w:r>
              <w:rPr>
                <w:rFonts w:hint="eastAsia" w:cs="宋体"/>
                <w:color w:val="auto"/>
                <w:kern w:val="0"/>
                <w:sz w:val="20"/>
                <w:szCs w:val="20"/>
                <w:highlight w:val="none"/>
                <w:lang w:val="en-US" w:eastAsia="zh-CN"/>
              </w:rPr>
              <w:t>5</w:t>
            </w:r>
            <w:r>
              <w:rPr>
                <w:rFonts w:hint="eastAsia" w:ascii="宋体" w:hAnsi="宋体" w:cs="宋体"/>
                <w:color w:val="auto"/>
                <w:kern w:val="0"/>
                <w:sz w:val="22"/>
                <w:szCs w:val="22"/>
                <w:highlight w:val="none"/>
              </w:rPr>
              <w:t>*18</w:t>
            </w:r>
            <w:r>
              <w:rPr>
                <w:rFonts w:hint="eastAsia" w:ascii="宋体" w:hAnsi="宋体" w:cs="宋体"/>
                <w:color w:val="auto"/>
                <w:kern w:val="0"/>
                <w:sz w:val="20"/>
                <w:szCs w:val="20"/>
                <w:highlight w:val="none"/>
              </w:rPr>
              <w:t>±</w:t>
            </w:r>
            <w:r>
              <w:rPr>
                <w:rFonts w:hint="eastAsia" w:cs="宋体"/>
                <w:color w:val="auto"/>
                <w:kern w:val="0"/>
                <w:sz w:val="20"/>
                <w:szCs w:val="20"/>
                <w:highlight w:val="none"/>
                <w:lang w:val="en-US" w:eastAsia="zh-CN"/>
              </w:rPr>
              <w:t>3</w:t>
            </w:r>
            <w:r>
              <w:rPr>
                <w:rFonts w:hint="eastAsia" w:ascii="宋体" w:hAnsi="宋体" w:cs="宋体"/>
                <w:color w:val="auto"/>
                <w:kern w:val="0"/>
                <w:sz w:val="22"/>
                <w:szCs w:val="22"/>
                <w:highlight w:val="none"/>
              </w:rPr>
              <w:t>*4</w:t>
            </w:r>
            <w:r>
              <w:rPr>
                <w:rFonts w:hint="eastAsia" w:cs="宋体"/>
                <w:color w:val="auto"/>
                <w:kern w:val="0"/>
                <w:sz w:val="22"/>
                <w:szCs w:val="22"/>
                <w:highlight w:val="none"/>
                <w:lang w:val="en-US" w:eastAsia="zh-CN"/>
              </w:rPr>
              <w:t>.</w:t>
            </w:r>
            <w:r>
              <w:rPr>
                <w:rFonts w:hint="eastAsia" w:ascii="宋体" w:hAnsi="宋体" w:cs="宋体"/>
                <w:color w:val="auto"/>
                <w:kern w:val="0"/>
                <w:sz w:val="22"/>
                <w:szCs w:val="22"/>
                <w:highlight w:val="none"/>
              </w:rPr>
              <w:t>6</w:t>
            </w:r>
            <w:r>
              <w:rPr>
                <w:rFonts w:hint="eastAsia" w:ascii="宋体" w:hAnsi="宋体" w:cs="宋体"/>
                <w:color w:val="auto"/>
                <w:kern w:val="0"/>
                <w:sz w:val="20"/>
                <w:szCs w:val="20"/>
                <w:highlight w:val="none"/>
              </w:rPr>
              <w:t>±</w:t>
            </w:r>
            <w:r>
              <w:rPr>
                <w:rFonts w:hint="eastAsia" w:cs="宋体"/>
                <w:color w:val="auto"/>
                <w:kern w:val="0"/>
                <w:sz w:val="20"/>
                <w:szCs w:val="20"/>
                <w:highlight w:val="none"/>
                <w:lang w:val="en-US" w:eastAsia="zh-CN"/>
              </w:rPr>
              <w:t>1</w:t>
            </w:r>
            <w:r>
              <w:rPr>
                <w:rFonts w:hint="eastAsia" w:cs="宋体"/>
                <w:color w:val="auto"/>
                <w:kern w:val="0"/>
                <w:sz w:val="22"/>
                <w:szCs w:val="22"/>
                <w:highlight w:val="none"/>
                <w:lang w:val="en-US" w:eastAsia="zh-CN"/>
              </w:rPr>
              <w:t>C</w:t>
            </w:r>
            <w:r>
              <w:rPr>
                <w:rFonts w:hint="eastAsia" w:ascii="宋体" w:hAnsi="宋体" w:cs="宋体"/>
                <w:color w:val="auto"/>
                <w:kern w:val="0"/>
                <w:sz w:val="22"/>
                <w:szCs w:val="22"/>
                <w:highlight w:val="none"/>
              </w:rPr>
              <w:t>M；</w:t>
            </w:r>
            <w:r>
              <w:rPr>
                <w:rFonts w:hint="eastAsia" w:ascii="宋体" w:hAnsi="宋体" w:cs="宋体"/>
                <w:color w:val="000000"/>
                <w:kern w:val="0"/>
                <w:sz w:val="22"/>
                <w:szCs w:val="22"/>
                <w:highlight w:val="none"/>
              </w:rPr>
              <w:t>距离：60米；频率范围：686-790MHZ；音频频率响应：40HZ-18KHZ；系统信噪比&gt;90DB；系统总谐波失真：&lt;0.5%/1KHZ</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畅好2</w:t>
            </w:r>
          </w:p>
        </w:tc>
      </w:tr>
      <w:tr>
        <w:tblPrEx>
          <w:tblCellMar>
            <w:top w:w="0" w:type="dxa"/>
            <w:left w:w="108" w:type="dxa"/>
            <w:bottom w:w="0" w:type="dxa"/>
            <w:right w:w="108" w:type="dxa"/>
          </w:tblCellMar>
        </w:tblPrEx>
        <w:trPr>
          <w:trHeight w:val="1399"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rPr>
              <w:t>35</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rPr>
              <w:t>折叠便捷式钢琴（88键）</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尺寸：126*20</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2</w:t>
            </w:r>
            <w:r>
              <w:rPr>
                <w:rFonts w:hint="eastAsia" w:ascii="宋体" w:hAnsi="宋体" w:cs="宋体"/>
                <w:color w:val="auto"/>
                <w:kern w:val="0"/>
                <w:sz w:val="22"/>
                <w:szCs w:val="22"/>
                <w:highlight w:val="none"/>
              </w:rPr>
              <w:t>、折叠尺寸：63*13*6CM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2CM</w:t>
            </w:r>
            <w:r>
              <w:rPr>
                <w:rFonts w:hint="eastAsia" w:ascii="宋体" w:hAnsi="宋体" w:cs="宋体"/>
                <w:color w:val="auto"/>
                <w:kern w:val="0"/>
                <w:sz w:val="22"/>
                <w:szCs w:val="22"/>
                <w:highlight w:val="none"/>
              </w:rPr>
              <w:t>、黑键尺寸：8.5*1*1.2CM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0.5CM</w:t>
            </w:r>
            <w:r>
              <w:rPr>
                <w:rFonts w:hint="eastAsia" w:ascii="宋体" w:hAnsi="宋体" w:cs="宋体"/>
                <w:color w:val="auto"/>
                <w:kern w:val="0"/>
                <w:sz w:val="22"/>
                <w:szCs w:val="22"/>
                <w:highlight w:val="none"/>
              </w:rPr>
              <w:t>、白键尺寸：13.8*2.2*1.8CM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0.5CM</w:t>
            </w:r>
            <w:r>
              <w:rPr>
                <w:rFonts w:hint="eastAsia" w:ascii="宋体" w:hAnsi="宋体" w:cs="宋体"/>
                <w:color w:val="auto"/>
                <w:kern w:val="0"/>
                <w:sz w:val="22"/>
                <w:szCs w:val="22"/>
                <w:highlight w:val="none"/>
              </w:rPr>
              <w:t>/内置音色：128种/支持节拍器、和弦、移调、双键盘、踏板</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11</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rPr>
              <w:t>畅好10</w:t>
            </w:r>
            <w:r>
              <w:rPr>
                <w:rFonts w:hint="eastAsia" w:ascii="宋体" w:hAnsi="宋体" w:cs="宋体"/>
                <w:color w:val="auto"/>
                <w:kern w:val="0"/>
                <w:sz w:val="24"/>
                <w:highlight w:val="none"/>
                <w:lang w:eastAsia="zh-CN"/>
              </w:rPr>
              <w:t>、通什</w:t>
            </w:r>
            <w:r>
              <w:rPr>
                <w:rFonts w:hint="eastAsia" w:ascii="宋体" w:hAnsi="宋体" w:cs="宋体"/>
                <w:color w:val="auto"/>
                <w:kern w:val="0"/>
                <w:sz w:val="24"/>
                <w:highlight w:val="none"/>
                <w:lang w:val="en-US" w:eastAsia="zh-CN"/>
              </w:rPr>
              <w:t>1</w:t>
            </w:r>
          </w:p>
        </w:tc>
      </w:tr>
      <w:tr>
        <w:tblPrEx>
          <w:tblCellMar>
            <w:top w:w="0" w:type="dxa"/>
            <w:left w:w="108" w:type="dxa"/>
            <w:bottom w:w="0" w:type="dxa"/>
            <w:right w:w="108" w:type="dxa"/>
          </w:tblCellMar>
        </w:tblPrEx>
        <w:trPr>
          <w:trHeight w:val="339" w:hRule="atLeast"/>
        </w:trPr>
        <w:tc>
          <w:tcPr>
            <w:tcW w:w="53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highlight w:val="none"/>
              </w:rPr>
            </w:pPr>
          </w:p>
        </w:tc>
        <w:tc>
          <w:tcPr>
            <w:tcW w:w="6794"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合计</w:t>
            </w:r>
          </w:p>
        </w:tc>
        <w:tc>
          <w:tcPr>
            <w:tcW w:w="2544"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highlight w:val="none"/>
              </w:rPr>
            </w:pPr>
          </w:p>
        </w:tc>
      </w:tr>
    </w:tbl>
    <w:p>
      <w:pPr>
        <w:pStyle w:val="7"/>
        <w:jc w:val="both"/>
        <w:rPr>
          <w:rFonts w:hint="eastAsia"/>
          <w:sz w:val="24"/>
          <w:highlight w:val="none"/>
        </w:rPr>
      </w:pPr>
    </w:p>
    <w:p>
      <w:pPr>
        <w:rPr>
          <w:rFonts w:hint="eastAsia"/>
          <w:b/>
          <w:sz w:val="24"/>
          <w:highlight w:val="none"/>
        </w:rPr>
      </w:pPr>
    </w:p>
    <w:p>
      <w:pPr>
        <w:pStyle w:val="7"/>
        <w:rPr>
          <w:rFonts w:hint="eastAsia"/>
          <w:sz w:val="24"/>
          <w:highlight w:val="none"/>
        </w:rPr>
      </w:pPr>
    </w:p>
    <w:p>
      <w:pPr>
        <w:rPr>
          <w:rFonts w:hint="eastAsia"/>
          <w:b/>
          <w:sz w:val="24"/>
          <w:highlight w:val="none"/>
        </w:rPr>
      </w:pPr>
    </w:p>
    <w:p>
      <w:pPr>
        <w:pStyle w:val="7"/>
        <w:rPr>
          <w:rFonts w:hint="eastAsia"/>
          <w:sz w:val="24"/>
          <w:highlight w:val="none"/>
        </w:rPr>
      </w:pPr>
    </w:p>
    <w:p>
      <w:pPr>
        <w:rPr>
          <w:rFonts w:hint="eastAsia"/>
          <w:b/>
          <w:sz w:val="24"/>
          <w:highlight w:val="none"/>
        </w:rPr>
      </w:pPr>
    </w:p>
    <w:p>
      <w:pPr>
        <w:pStyle w:val="7"/>
        <w:rPr>
          <w:rFonts w:hint="eastAsia"/>
          <w:sz w:val="24"/>
          <w:highlight w:val="none"/>
        </w:rPr>
      </w:pPr>
    </w:p>
    <w:p>
      <w:pPr>
        <w:rPr>
          <w:rFonts w:hint="eastAsia"/>
          <w:b/>
          <w:sz w:val="24"/>
          <w:highlight w:val="none"/>
        </w:rPr>
      </w:pPr>
    </w:p>
    <w:p>
      <w:pPr>
        <w:pStyle w:val="7"/>
        <w:rPr>
          <w:rFonts w:hint="eastAsia"/>
          <w:sz w:val="24"/>
          <w:highlight w:val="none"/>
        </w:rPr>
      </w:pPr>
    </w:p>
    <w:p>
      <w:pPr>
        <w:rPr>
          <w:rFonts w:hint="eastAsia"/>
          <w:b/>
          <w:sz w:val="24"/>
          <w:highlight w:val="none"/>
        </w:rPr>
      </w:pPr>
    </w:p>
    <w:p>
      <w:pPr>
        <w:pStyle w:val="7"/>
        <w:rPr>
          <w:rFonts w:hint="eastAsia"/>
          <w:sz w:val="24"/>
          <w:highlight w:val="none"/>
        </w:rPr>
      </w:pPr>
    </w:p>
    <w:p>
      <w:pPr>
        <w:rPr>
          <w:rFonts w:hint="eastAsia"/>
          <w:sz w:val="24"/>
          <w:highlight w:val="none"/>
        </w:rPr>
      </w:pPr>
    </w:p>
    <w:p>
      <w:pPr>
        <w:pStyle w:val="2"/>
        <w:rPr>
          <w:rFonts w:hint="eastAsia"/>
          <w:sz w:val="24"/>
          <w:highlight w:val="none"/>
        </w:rPr>
      </w:pPr>
    </w:p>
    <w:p>
      <w:pPr>
        <w:pStyle w:val="4"/>
        <w:rPr>
          <w:rFonts w:hint="eastAsia"/>
          <w:sz w:val="24"/>
          <w:highlight w:val="none"/>
        </w:rPr>
      </w:pPr>
    </w:p>
    <w:p>
      <w:pPr>
        <w:pStyle w:val="4"/>
        <w:rPr>
          <w:rFonts w:hint="eastAsia"/>
          <w:sz w:val="24"/>
          <w:highlight w:val="none"/>
        </w:rPr>
      </w:pPr>
    </w:p>
    <w:p>
      <w:pPr>
        <w:pStyle w:val="4"/>
        <w:rPr>
          <w:rFonts w:hint="eastAsia"/>
          <w:sz w:val="24"/>
          <w:highlight w:val="none"/>
        </w:rPr>
      </w:pPr>
    </w:p>
    <w:p>
      <w:pPr>
        <w:pStyle w:val="4"/>
        <w:rPr>
          <w:rFonts w:hint="eastAsia"/>
          <w:sz w:val="24"/>
          <w:highlight w:val="none"/>
        </w:rPr>
      </w:pPr>
    </w:p>
    <w:p>
      <w:pPr>
        <w:pStyle w:val="4"/>
        <w:rPr>
          <w:rFonts w:hint="eastAsia"/>
          <w:sz w:val="24"/>
          <w:highlight w:val="none"/>
        </w:rPr>
      </w:pPr>
    </w:p>
    <w:p>
      <w:pPr>
        <w:pStyle w:val="4"/>
        <w:rPr>
          <w:rFonts w:hint="eastAsia"/>
          <w:sz w:val="24"/>
          <w:highlight w:val="none"/>
        </w:rPr>
      </w:pPr>
    </w:p>
    <w:p>
      <w:pPr>
        <w:pStyle w:val="4"/>
        <w:rPr>
          <w:rFonts w:hint="eastAsia"/>
          <w:sz w:val="24"/>
          <w:highlight w:val="none"/>
        </w:rPr>
      </w:pPr>
    </w:p>
    <w:p>
      <w:pPr>
        <w:pStyle w:val="4"/>
        <w:rPr>
          <w:rFonts w:hint="eastAsia"/>
          <w:sz w:val="24"/>
          <w:highlight w:val="none"/>
        </w:rPr>
      </w:pPr>
    </w:p>
    <w:p>
      <w:pPr>
        <w:pStyle w:val="4"/>
        <w:rPr>
          <w:rFonts w:hint="eastAsia"/>
          <w:sz w:val="24"/>
          <w:highlight w:val="none"/>
        </w:rPr>
      </w:pPr>
    </w:p>
    <w:p>
      <w:pPr>
        <w:pStyle w:val="4"/>
        <w:rPr>
          <w:rFonts w:hint="eastAsia"/>
          <w:sz w:val="24"/>
          <w:highlight w:val="none"/>
        </w:rPr>
      </w:pPr>
    </w:p>
    <w:p>
      <w:pPr>
        <w:rPr>
          <w:rFonts w:hint="eastAsia"/>
          <w:b/>
          <w:sz w:val="24"/>
          <w:highlight w:val="none"/>
        </w:rPr>
      </w:pPr>
    </w:p>
    <w:p>
      <w:pPr>
        <w:pStyle w:val="2"/>
        <w:rPr>
          <w:rFonts w:hint="eastAsia"/>
          <w:b/>
          <w:sz w:val="24"/>
          <w:highlight w:val="none"/>
        </w:rPr>
      </w:pPr>
    </w:p>
    <w:tbl>
      <w:tblPr>
        <w:tblStyle w:val="17"/>
        <w:tblW w:w="9900" w:type="dxa"/>
        <w:tblInd w:w="93"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595"/>
        <w:gridCol w:w="1811"/>
        <w:gridCol w:w="3004"/>
        <w:gridCol w:w="688"/>
        <w:gridCol w:w="715"/>
        <w:gridCol w:w="744"/>
        <w:gridCol w:w="989"/>
        <w:gridCol w:w="135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9900" w:type="dxa"/>
            <w:gridSpan w:val="8"/>
            <w:tcBorders>
              <w:bottom w:val="single" w:color="000000" w:sz="4" w:space="0"/>
            </w:tcBorders>
            <w:shd w:val="clear" w:color="auto" w:fill="FFFFFF"/>
            <w:vAlign w:val="center"/>
          </w:tcPr>
          <w:p>
            <w:pPr>
              <w:widowControl/>
              <w:jc w:val="center"/>
              <w:textAlignment w:val="center"/>
              <w:rPr>
                <w:rFonts w:hint="eastAsia" w:ascii="宋体" w:hAnsi="宋体" w:cs="宋体"/>
                <w:color w:val="000000"/>
                <w:sz w:val="40"/>
                <w:szCs w:val="40"/>
                <w:highlight w:val="none"/>
              </w:rPr>
            </w:pPr>
            <w:r>
              <w:rPr>
                <w:rFonts w:hint="eastAsia" w:ascii="宋体" w:hAnsi="宋体" w:cs="宋体"/>
                <w:color w:val="000000"/>
                <w:kern w:val="0"/>
                <w:sz w:val="40"/>
                <w:szCs w:val="40"/>
                <w:highlight w:val="none"/>
              </w:rPr>
              <w:t>16、美术器材</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序号</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产品名称</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标底参数</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数量</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单位</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单价/元</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金额/元</w:t>
            </w: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水粉颜料</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24色12ml</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盒</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思源60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水彩颜料</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24色12ml</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盒</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思源30、加艾20、毛组20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水粉颜料</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灌装白色100ml；直径6CM，高5.5CM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罐</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思源50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水粉颜料</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灌装柠檬黄色100ml</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罐</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思源50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水彩画纸</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4K 300克 中粗纹/10张一包</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包</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思源20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水粉画纸</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4K 300克</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包</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思源30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素描画纸</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4K 230克 中粗纹</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包</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思源30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生宣纸</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 xml:space="preserve"> 半生熟 四尺整张69*138cm；100张/包</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刀</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思源2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9</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毛边纸</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带米字格 10cm*28格(72*42cm)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包</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思源50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毛边纸</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带米字格 8cm*20格（42*34cm）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包</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思源50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11</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毛边纸</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空白无格 四尺对开；69*138CM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刀</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思源5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纯羊毛书画毡</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1.5米*3米 白色</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张</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思源20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13</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墨汁</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（1070）1000g瓶装</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思源20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14</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毛笔</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兼毫 大号</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支</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思源20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15</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金属写生画架</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金属三角架；正常收缩54CM、升高约150-170CM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架</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思源30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16</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油画箱</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 xml:space="preserve"> 女士款 意大利画箱；45*60*21CM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2CM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架</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思源2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17</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仿真水果套装</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1：1仿真</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思源3</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18</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仿真蔬菜套装</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1：1仿真</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思源3</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19</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仿真面包套装</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28*22*8CM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1CM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思源3</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艺用松节油</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200ml</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瓶</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思源20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21</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手绘填色装饰画</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40*50cm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2CM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思源50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696"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22</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高漫电脑手绘屏</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被动式电磁感应；感应面积11.6英寸；读取高度10MM；读取分辨率：5080LPI；读取速度：266点/秒；压感级别：8192级；尺寸：36.2*20CM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1CM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部</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思源5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263"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23</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凤凰画材透明涂层油画板亚麻画板</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30*40cm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1CM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思源50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263"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24</w:t>
            </w:r>
          </w:p>
        </w:tc>
        <w:tc>
          <w:tcPr>
            <w:tcW w:w="1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石膏像</w:t>
            </w:r>
          </w:p>
        </w:tc>
        <w:tc>
          <w:tcPr>
            <w:tcW w:w="30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130CM（大卫等套件）</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一小2、毛阳1、番阳1、加艾1、通什1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25</w:t>
            </w:r>
          </w:p>
        </w:tc>
        <w:tc>
          <w:tcPr>
            <w:tcW w:w="1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几何体</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16件/套</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组</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一小2、三小1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68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26</w:t>
            </w:r>
          </w:p>
        </w:tc>
        <w:tc>
          <w:tcPr>
            <w:tcW w:w="1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画桌</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尺寸：810*615*740-930MM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10MM</w:t>
            </w:r>
            <w:r>
              <w:rPr>
                <w:rFonts w:hint="eastAsia" w:ascii="宋体" w:hAnsi="宋体" w:cs="宋体"/>
                <w:color w:val="000000"/>
                <w:kern w:val="0"/>
                <w:sz w:val="22"/>
                <w:szCs w:val="22"/>
                <w:highlight w:val="none"/>
              </w:rPr>
              <w:t>；玻璃桌面尺寸：860*600MM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10MM</w:t>
            </w:r>
            <w:r>
              <w:rPr>
                <w:rFonts w:hint="eastAsia" w:ascii="宋体" w:hAnsi="宋体" w:cs="宋体"/>
                <w:color w:val="000000"/>
                <w:kern w:val="0"/>
                <w:sz w:val="22"/>
                <w:szCs w:val="22"/>
                <w:highlight w:val="none"/>
              </w:rPr>
              <w:t>；副板：680*380CM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10MM</w:t>
            </w:r>
            <w:r>
              <w:rPr>
                <w:rFonts w:hint="eastAsia" w:ascii="宋体" w:hAnsi="宋体" w:cs="宋体"/>
                <w:color w:val="000000"/>
                <w:kern w:val="0"/>
                <w:sz w:val="22"/>
                <w:szCs w:val="22"/>
                <w:highlight w:val="none"/>
              </w:rPr>
              <w:t>桌面角度调节0-80度；椅子：直径30*高度50CM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1CM</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120</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张</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一小100、通什20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27</w:t>
            </w:r>
          </w:p>
        </w:tc>
        <w:tc>
          <w:tcPr>
            <w:tcW w:w="1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立式三角画架</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材质：松木；150CM；画托可调范围：10-105CM</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一小20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28</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衬布</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幅宽：145-150CM/成份：50%棉、50%涤纶</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32</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米</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三小32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94"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29</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遮光窗帘(平绒)</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100%涤纶/丁香色/门幅145CM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三小4、通什4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写生凳</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尺寸：33*33*55CM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1CM</w:t>
            </w:r>
            <w:r>
              <w:rPr>
                <w:rFonts w:hint="eastAsia" w:ascii="宋体" w:hAnsi="宋体" w:cs="宋体"/>
                <w:color w:val="000000"/>
                <w:kern w:val="0"/>
                <w:sz w:val="22"/>
                <w:szCs w:val="22"/>
                <w:highlight w:val="none"/>
              </w:rPr>
              <w:t>；三层牛津布/加粗加厚钢管支架</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59</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三小55、通什4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055"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31</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静物台</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尺寸：60*100CM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2CM</w:t>
            </w:r>
            <w:r>
              <w:rPr>
                <w:rFonts w:hint="eastAsia" w:ascii="宋体" w:hAnsi="宋体" w:cs="宋体"/>
                <w:color w:val="000000"/>
                <w:kern w:val="0"/>
                <w:sz w:val="22"/>
                <w:szCs w:val="22"/>
                <w:highlight w:val="none"/>
              </w:rPr>
              <w:t>；材质：PVC+优质铝合金；可折叠</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三小1、通什3</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32</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绘图仪器</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18件/套</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三小1、通什1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33</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大圆规</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51*46CM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1CM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三小1、通什1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75"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34</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丁字尺</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60CM；真尺比例：1:100、1:200、1:500材质：有机玻璃</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把</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三小1、畅好5、通什1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35</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三角板</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磁性60度/50*80CM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1CM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付</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三小1、通什1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75"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36</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直尺</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规格：50CM；尺寸：宽40*厚3MM；材质：不锈钢切割挡板方格透明</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2</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把</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cs="宋体"/>
                <w:color w:val="auto"/>
                <w:kern w:val="0"/>
                <w:sz w:val="22"/>
                <w:szCs w:val="22"/>
                <w:highlight w:val="none"/>
              </w:rPr>
              <w:t>三小1、通什</w:t>
            </w:r>
            <w:r>
              <w:rPr>
                <w:rFonts w:hint="eastAsia" w:ascii="宋体" w:hAnsi="宋体" w:cs="宋体"/>
                <w:color w:val="auto"/>
                <w:kern w:val="0"/>
                <w:sz w:val="22"/>
                <w:szCs w:val="22"/>
                <w:highlight w:val="none"/>
                <w:lang w:val="en-US" w:eastAsia="zh-CN"/>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37</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磁白黑板</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尺寸：180*90CM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2CM</w:t>
            </w:r>
            <w:r>
              <w:rPr>
                <w:rFonts w:hint="eastAsia" w:ascii="宋体" w:hAnsi="宋体" w:cs="宋体"/>
                <w:color w:val="000000"/>
                <w:kern w:val="0"/>
                <w:sz w:val="22"/>
                <w:szCs w:val="22"/>
                <w:highlight w:val="none"/>
              </w:rPr>
              <w:t>；支架材料：1.2MM加厚钢；面板主材：钢化玻璃</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三小1、通什1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38</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版画工具</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18件/套</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三小1、通什1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39</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素描绘画工具</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56件/套</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三小1、通什1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40</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制作材料工具箱</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33.5*18.5*16CM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1CM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三小1、畅好4、通什1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41</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手工工具</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材质：纯木质+金属；长度14.5-15.5CM；22件/套</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三小1、通什1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42</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书写板</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支架式；尺寸：90*120CM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2CM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三小1、通什1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723"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43</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写生画架套装</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画架尺寸：高150-192CM*宽44CM*撑距43.5CM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2CM</w:t>
            </w:r>
            <w:r>
              <w:rPr>
                <w:rFonts w:hint="eastAsia" w:ascii="宋体" w:hAnsi="宋体" w:cs="宋体"/>
                <w:color w:val="000000"/>
                <w:kern w:val="0"/>
                <w:sz w:val="22"/>
                <w:szCs w:val="22"/>
                <w:highlight w:val="none"/>
              </w:rPr>
              <w:t>；画板尺寸：60*45*1.4CM；画凳：高度可调节48-68*直径29.5CM*撑距32CM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1CM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三小1、通什1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44</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美术陶罐八件套静物写生道具</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高22CM宽20CM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1CM</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16</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件</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毛阳8、番阳8</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816"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45</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木制画架（折叠便携支架）</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高150-220CM*宽44CM*撑距43.5CM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2CM</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130</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件</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毛阳35、毛路20、毛栈10、学周10、牙合10、毛贵10、牙力15、畅好20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46</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素描色彩静物石膏像</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陶器6个蜡果6个塑花2束</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10</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毛阳4、番阳</w:t>
            </w:r>
            <w:r>
              <w:rPr>
                <w:rFonts w:hint="eastAsia" w:ascii="宋体" w:hAnsi="宋体" w:cs="宋体"/>
                <w:color w:val="auto"/>
                <w:kern w:val="0"/>
                <w:sz w:val="22"/>
                <w:szCs w:val="22"/>
                <w:highlight w:val="none"/>
                <w:lang w:val="en-US" w:eastAsia="zh-CN"/>
              </w:rPr>
              <w:t>4</w:t>
            </w:r>
            <w:r>
              <w:rPr>
                <w:rFonts w:hint="eastAsia" w:ascii="宋体" w:hAnsi="宋体" w:cs="宋体"/>
                <w:color w:val="auto"/>
                <w:kern w:val="0"/>
                <w:sz w:val="22"/>
                <w:szCs w:val="22"/>
                <w:highlight w:val="none"/>
              </w:rPr>
              <w:t>、畅好2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35" w:hRule="atLeast"/>
        </w:trPr>
        <w:tc>
          <w:tcPr>
            <w:tcW w:w="595" w:type="dxa"/>
            <w:tcBorders>
              <w:top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 w:val="22"/>
                <w:szCs w:val="22"/>
                <w:highlight w:val="none"/>
                <w:lang w:val="en-US" w:eastAsia="zh-CN"/>
              </w:rPr>
            </w:pPr>
            <w:r>
              <w:rPr>
                <w:rFonts w:hint="eastAsia" w:cs="宋体"/>
                <w:color w:val="000000"/>
                <w:sz w:val="22"/>
                <w:szCs w:val="22"/>
                <w:highlight w:val="none"/>
                <w:lang w:val="en-US" w:eastAsia="zh-CN"/>
              </w:rPr>
              <w:t>47</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写生台布</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尺寸：100*150CM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3CM</w:t>
            </w:r>
            <w:r>
              <w:rPr>
                <w:rFonts w:hint="eastAsia" w:ascii="宋体" w:hAnsi="宋体" w:cs="宋体"/>
                <w:color w:val="000000"/>
                <w:kern w:val="0"/>
                <w:sz w:val="22"/>
                <w:szCs w:val="22"/>
                <w:highlight w:val="none"/>
              </w:rPr>
              <w:t>；（红、蓝、黄、白）；材质：棉、涤纶</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张</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毛阳4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74"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highlight w:val="none"/>
                <w:lang w:eastAsia="zh-CN"/>
              </w:rPr>
            </w:pPr>
            <w:r>
              <w:rPr>
                <w:rFonts w:hint="eastAsia" w:ascii="宋体" w:hAnsi="宋体" w:cs="宋体"/>
                <w:color w:val="000000"/>
                <w:kern w:val="0"/>
                <w:sz w:val="22"/>
                <w:szCs w:val="22"/>
                <w:highlight w:val="none"/>
              </w:rPr>
              <w:t>4</w:t>
            </w:r>
            <w:r>
              <w:rPr>
                <w:rFonts w:hint="eastAsia" w:cs="宋体"/>
                <w:color w:val="000000"/>
                <w:kern w:val="0"/>
                <w:sz w:val="22"/>
                <w:szCs w:val="22"/>
                <w:highlight w:val="none"/>
                <w:lang w:val="en-US" w:eastAsia="zh-CN"/>
              </w:rPr>
              <w:t>8</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国画工具套装</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36色12ML；9件/套</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毛阳1、番阳1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 w:val="22"/>
                <w:szCs w:val="22"/>
                <w:highlight w:val="none"/>
                <w:lang w:val="en-US" w:eastAsia="zh-CN"/>
              </w:rPr>
            </w:pPr>
            <w:r>
              <w:rPr>
                <w:rFonts w:hint="eastAsia" w:cs="宋体"/>
                <w:color w:val="000000"/>
                <w:sz w:val="22"/>
                <w:szCs w:val="22"/>
                <w:highlight w:val="none"/>
                <w:lang w:val="en-US" w:eastAsia="zh-CN"/>
              </w:rPr>
              <w:t>49</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纸工制作工具</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6件/套</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毛阳1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263"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cs="宋体"/>
                <w:color w:val="000000"/>
                <w:kern w:val="0"/>
                <w:sz w:val="22"/>
                <w:szCs w:val="22"/>
                <w:highlight w:val="none"/>
                <w:lang w:val="en-US" w:eastAsia="zh-CN"/>
              </w:rPr>
              <w:t>50</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小学美术用品全套一年级美术配套材料包</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画笔/铅笔/调色板等</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75</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毛路60、南打15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cs="宋体"/>
                <w:color w:val="000000"/>
                <w:kern w:val="0"/>
                <w:sz w:val="22"/>
                <w:szCs w:val="22"/>
                <w:highlight w:val="none"/>
                <w:lang w:val="en-US" w:eastAsia="zh-CN"/>
              </w:rPr>
              <w:t>51</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童彩沙益智玩具女孩创意刮画</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十二色彩砂/刷子/砂盘/彩纸</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40</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毛路25、南打15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263"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highlight w:val="none"/>
                <w:lang w:eastAsia="zh-CN"/>
              </w:rPr>
            </w:pPr>
            <w:r>
              <w:rPr>
                <w:rFonts w:hint="eastAsia" w:ascii="宋体" w:hAnsi="宋体" w:cs="宋体"/>
                <w:color w:val="000000"/>
                <w:kern w:val="0"/>
                <w:sz w:val="22"/>
                <w:szCs w:val="22"/>
                <w:highlight w:val="none"/>
              </w:rPr>
              <w:t>5</w:t>
            </w:r>
            <w:r>
              <w:rPr>
                <w:rFonts w:hint="eastAsia" w:cs="宋体"/>
                <w:color w:val="000000"/>
                <w:kern w:val="0"/>
                <w:sz w:val="22"/>
                <w:szCs w:val="22"/>
                <w:highlight w:val="none"/>
                <w:lang w:val="en-US" w:eastAsia="zh-CN"/>
              </w:rPr>
              <w:t>2</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陶泥机</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50*38*35Cm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1CM</w:t>
            </w:r>
            <w:r>
              <w:rPr>
                <w:rFonts w:hint="eastAsia" w:ascii="宋体" w:hAnsi="宋体" w:cs="宋体"/>
                <w:color w:val="000000"/>
                <w:kern w:val="0"/>
                <w:sz w:val="22"/>
                <w:szCs w:val="22"/>
                <w:highlight w:val="none"/>
              </w:rPr>
              <w:t>/电机功率350W/转盘直径25CM</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75</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台</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毛栈15、学周15、牙合15、毛贵15、牙力15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263"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highlight w:val="none"/>
                <w:lang w:eastAsia="zh-CN"/>
              </w:rPr>
            </w:pPr>
            <w:r>
              <w:rPr>
                <w:rFonts w:hint="eastAsia" w:ascii="宋体" w:hAnsi="宋体" w:cs="宋体"/>
                <w:color w:val="000000"/>
                <w:kern w:val="0"/>
                <w:sz w:val="22"/>
                <w:szCs w:val="22"/>
                <w:highlight w:val="none"/>
              </w:rPr>
              <w:t>5</w:t>
            </w:r>
            <w:r>
              <w:rPr>
                <w:rFonts w:hint="eastAsia" w:cs="宋体"/>
                <w:color w:val="000000"/>
                <w:kern w:val="0"/>
                <w:sz w:val="22"/>
                <w:szCs w:val="22"/>
                <w:highlight w:val="none"/>
                <w:lang w:val="en-US" w:eastAsia="zh-CN"/>
              </w:rPr>
              <w:t>3</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陶泥</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红陶泥500g、普通泥500g、高白泥500g、中白泥500g、灰陶泥500g</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300</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包</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毛栈60、学周60、牙合60、毛贵60、牙力60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263"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highlight w:val="none"/>
                <w:lang w:eastAsia="zh-CN"/>
              </w:rPr>
            </w:pPr>
            <w:r>
              <w:rPr>
                <w:rFonts w:hint="eastAsia" w:ascii="宋体" w:hAnsi="宋体" w:cs="宋体"/>
                <w:color w:val="000000"/>
                <w:kern w:val="0"/>
                <w:sz w:val="22"/>
                <w:szCs w:val="22"/>
                <w:highlight w:val="none"/>
              </w:rPr>
              <w:t>5</w:t>
            </w:r>
            <w:r>
              <w:rPr>
                <w:rFonts w:hint="eastAsia" w:cs="宋体"/>
                <w:color w:val="000000"/>
                <w:kern w:val="0"/>
                <w:sz w:val="22"/>
                <w:szCs w:val="22"/>
                <w:highlight w:val="none"/>
                <w:lang w:val="en-US" w:eastAsia="zh-CN"/>
              </w:rPr>
              <w:t>4</w:t>
            </w:r>
          </w:p>
        </w:tc>
        <w:tc>
          <w:tcPr>
            <w:tcW w:w="1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水彩笔</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24色；长15.5CM</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160</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盒</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布伦15、番阳60、加艾50、毛组20、南打15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highlight w:val="none"/>
                <w:lang w:eastAsia="zh-CN"/>
              </w:rPr>
            </w:pPr>
            <w:r>
              <w:rPr>
                <w:rFonts w:hint="eastAsia" w:ascii="宋体" w:hAnsi="宋体" w:cs="宋体"/>
                <w:color w:val="000000"/>
                <w:kern w:val="0"/>
                <w:sz w:val="22"/>
                <w:szCs w:val="22"/>
                <w:highlight w:val="none"/>
              </w:rPr>
              <w:t>5</w:t>
            </w:r>
            <w:r>
              <w:rPr>
                <w:rFonts w:hint="eastAsia" w:cs="宋体"/>
                <w:color w:val="000000"/>
                <w:kern w:val="0"/>
                <w:sz w:val="22"/>
                <w:szCs w:val="22"/>
                <w:highlight w:val="none"/>
                <w:lang w:val="en-US" w:eastAsia="zh-CN"/>
              </w:rPr>
              <w:t>5</w:t>
            </w:r>
          </w:p>
        </w:tc>
        <w:tc>
          <w:tcPr>
            <w:tcW w:w="1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彩色粉笔</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水溶性120支装</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盒</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布伦20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highlight w:val="none"/>
                <w:lang w:eastAsia="zh-CN"/>
              </w:rPr>
            </w:pPr>
            <w:r>
              <w:rPr>
                <w:rFonts w:hint="eastAsia" w:ascii="宋体" w:hAnsi="宋体" w:cs="宋体"/>
                <w:color w:val="000000"/>
                <w:kern w:val="0"/>
                <w:sz w:val="22"/>
                <w:szCs w:val="22"/>
                <w:highlight w:val="none"/>
              </w:rPr>
              <w:t>5</w:t>
            </w:r>
            <w:r>
              <w:rPr>
                <w:rFonts w:hint="eastAsia" w:cs="宋体"/>
                <w:color w:val="000000"/>
                <w:kern w:val="0"/>
                <w:sz w:val="22"/>
                <w:szCs w:val="22"/>
                <w:highlight w:val="none"/>
                <w:lang w:val="en-US" w:eastAsia="zh-CN"/>
              </w:rPr>
              <w:t>6</w:t>
            </w:r>
          </w:p>
        </w:tc>
        <w:tc>
          <w:tcPr>
            <w:tcW w:w="1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彩色铅笔</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48色</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75</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盒</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布伦15、番阳60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highlight w:val="none"/>
                <w:lang w:eastAsia="zh-CN"/>
              </w:rPr>
            </w:pPr>
            <w:r>
              <w:rPr>
                <w:rFonts w:hint="eastAsia" w:ascii="宋体" w:hAnsi="宋体" w:cs="宋体"/>
                <w:color w:val="000000"/>
                <w:kern w:val="0"/>
                <w:sz w:val="22"/>
                <w:szCs w:val="22"/>
                <w:highlight w:val="none"/>
              </w:rPr>
              <w:t>5</w:t>
            </w:r>
            <w:r>
              <w:rPr>
                <w:rFonts w:hint="eastAsia" w:cs="宋体"/>
                <w:color w:val="000000"/>
                <w:kern w:val="0"/>
                <w:sz w:val="22"/>
                <w:szCs w:val="22"/>
                <w:highlight w:val="none"/>
                <w:lang w:val="en-US" w:eastAsia="zh-CN"/>
              </w:rPr>
              <w:t>7</w:t>
            </w:r>
          </w:p>
        </w:tc>
        <w:tc>
          <w:tcPr>
            <w:tcW w:w="1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画夹画板</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30*40CM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1CM</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布伦30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cs="宋体"/>
                <w:color w:val="auto"/>
                <w:kern w:val="0"/>
                <w:sz w:val="22"/>
                <w:szCs w:val="22"/>
                <w:highlight w:val="none"/>
              </w:rPr>
              <w:t>5</w:t>
            </w:r>
            <w:r>
              <w:rPr>
                <w:rFonts w:hint="eastAsia" w:cs="宋体"/>
                <w:color w:val="auto"/>
                <w:kern w:val="0"/>
                <w:sz w:val="22"/>
                <w:szCs w:val="22"/>
                <w:highlight w:val="none"/>
                <w:lang w:val="en-US" w:eastAsia="zh-CN"/>
              </w:rPr>
              <w:t>8</w:t>
            </w:r>
          </w:p>
        </w:tc>
        <w:tc>
          <w:tcPr>
            <w:tcW w:w="1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画纸（A3白色）</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420*297MM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5MM</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6</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包</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布伦2</w:t>
            </w:r>
            <w:r>
              <w:rPr>
                <w:rFonts w:hint="eastAsia" w:ascii="宋体" w:hAnsi="宋体" w:cs="宋体"/>
                <w:color w:val="auto"/>
                <w:kern w:val="0"/>
                <w:sz w:val="22"/>
                <w:szCs w:val="22"/>
                <w:highlight w:val="none"/>
                <w:lang w:eastAsia="zh-CN"/>
              </w:rPr>
              <w:t>、孔首</w:t>
            </w:r>
            <w:r>
              <w:rPr>
                <w:rFonts w:hint="eastAsia" w:ascii="宋体" w:hAnsi="宋体" w:cs="宋体"/>
                <w:color w:val="auto"/>
                <w:kern w:val="0"/>
                <w:sz w:val="22"/>
                <w:szCs w:val="22"/>
                <w:highlight w:val="none"/>
                <w:lang w:val="en-US" w:eastAsia="zh-CN"/>
              </w:rPr>
              <w:t>2、加艾2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cs="宋体"/>
                <w:color w:val="auto"/>
                <w:kern w:val="0"/>
                <w:sz w:val="22"/>
                <w:szCs w:val="22"/>
                <w:highlight w:val="none"/>
              </w:rPr>
              <w:t>5</w:t>
            </w:r>
            <w:r>
              <w:rPr>
                <w:rFonts w:hint="eastAsia" w:cs="宋体"/>
                <w:color w:val="auto"/>
                <w:kern w:val="0"/>
                <w:sz w:val="22"/>
                <w:szCs w:val="22"/>
                <w:highlight w:val="none"/>
                <w:lang w:val="en-US" w:eastAsia="zh-CN"/>
              </w:rPr>
              <w:t>9</w:t>
            </w:r>
          </w:p>
        </w:tc>
        <w:tc>
          <w:tcPr>
            <w:tcW w:w="1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A3彩纸</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混合色（30张 /包）420*297MM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5MM</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6</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包</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布伦1</w:t>
            </w:r>
            <w:r>
              <w:rPr>
                <w:rFonts w:hint="eastAsia" w:ascii="宋体" w:hAnsi="宋体" w:cs="宋体"/>
                <w:color w:val="auto"/>
                <w:kern w:val="0"/>
                <w:sz w:val="22"/>
                <w:szCs w:val="22"/>
                <w:highlight w:val="none"/>
                <w:lang w:eastAsia="zh-CN"/>
              </w:rPr>
              <w:t>、毛阳</w:t>
            </w:r>
            <w:r>
              <w:rPr>
                <w:rFonts w:hint="eastAsia" w:ascii="宋体" w:hAnsi="宋体" w:cs="宋体"/>
                <w:color w:val="auto"/>
                <w:kern w:val="0"/>
                <w:sz w:val="22"/>
                <w:szCs w:val="22"/>
                <w:highlight w:val="none"/>
                <w:lang w:val="en-US" w:eastAsia="zh-CN"/>
              </w:rPr>
              <w:t>3、加艾1、孔首1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sz w:val="22"/>
                <w:szCs w:val="22"/>
                <w:highlight w:val="none"/>
                <w:lang w:val="en-US" w:eastAsia="zh-CN"/>
              </w:rPr>
            </w:pPr>
            <w:r>
              <w:rPr>
                <w:rFonts w:hint="eastAsia" w:cs="宋体"/>
                <w:color w:val="auto"/>
                <w:kern w:val="0"/>
                <w:sz w:val="22"/>
                <w:szCs w:val="22"/>
                <w:highlight w:val="none"/>
                <w:lang w:val="en-US" w:eastAsia="zh-CN"/>
              </w:rPr>
              <w:t>60</w:t>
            </w:r>
          </w:p>
        </w:tc>
        <w:tc>
          <w:tcPr>
            <w:tcW w:w="1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剪刀</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65*163MM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5MM</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30</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把</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布伦30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sz w:val="22"/>
                <w:szCs w:val="22"/>
                <w:highlight w:val="none"/>
                <w:lang w:val="en-US" w:eastAsia="zh-CN"/>
              </w:rPr>
            </w:pPr>
            <w:r>
              <w:rPr>
                <w:rFonts w:hint="eastAsia" w:cs="宋体"/>
                <w:color w:val="auto"/>
                <w:kern w:val="0"/>
                <w:sz w:val="22"/>
                <w:szCs w:val="22"/>
                <w:highlight w:val="none"/>
                <w:lang w:val="en-US" w:eastAsia="zh-CN"/>
              </w:rPr>
              <w:t>61</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画架</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画架120CM；画板30*45CM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2CM</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58</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加艾15、孔首23、毛组20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cs="宋体"/>
                <w:color w:val="auto"/>
                <w:kern w:val="0"/>
                <w:sz w:val="22"/>
                <w:szCs w:val="22"/>
                <w:highlight w:val="none"/>
              </w:rPr>
              <w:t>6</w:t>
            </w:r>
            <w:r>
              <w:rPr>
                <w:rFonts w:hint="eastAsia" w:cs="宋体"/>
                <w:color w:val="auto"/>
                <w:kern w:val="0"/>
                <w:sz w:val="22"/>
                <w:szCs w:val="22"/>
                <w:highlight w:val="none"/>
                <w:lang w:val="en-US" w:eastAsia="zh-CN"/>
              </w:rPr>
              <w:t>2</w:t>
            </w:r>
          </w:p>
        </w:tc>
        <w:tc>
          <w:tcPr>
            <w:tcW w:w="1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画凳</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画凳：高度可调节48-68*直径29.5CM*撑距32CM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1CM</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58</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张</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加艾15、孔首23、毛组20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cs="宋体"/>
                <w:color w:val="auto"/>
                <w:kern w:val="0"/>
                <w:sz w:val="22"/>
                <w:szCs w:val="22"/>
                <w:highlight w:val="none"/>
              </w:rPr>
              <w:t>6</w:t>
            </w:r>
            <w:r>
              <w:rPr>
                <w:rFonts w:hint="eastAsia" w:cs="宋体"/>
                <w:color w:val="auto"/>
                <w:kern w:val="0"/>
                <w:sz w:val="22"/>
                <w:szCs w:val="22"/>
                <w:highlight w:val="none"/>
                <w:lang w:val="en-US" w:eastAsia="zh-CN"/>
              </w:rPr>
              <w:t>3</w:t>
            </w:r>
          </w:p>
        </w:tc>
        <w:tc>
          <w:tcPr>
            <w:tcW w:w="1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8K素描纸</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160G加厚（100张/包）</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包</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加艾3</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095"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highlight w:val="none"/>
                <w:lang w:eastAsia="zh-CN"/>
              </w:rPr>
            </w:pPr>
            <w:r>
              <w:rPr>
                <w:rFonts w:hint="eastAsia" w:ascii="宋体" w:hAnsi="宋体" w:cs="宋体"/>
                <w:color w:val="000000"/>
                <w:kern w:val="0"/>
                <w:sz w:val="22"/>
                <w:szCs w:val="22"/>
                <w:highlight w:val="none"/>
              </w:rPr>
              <w:t>6</w:t>
            </w:r>
            <w:r>
              <w:rPr>
                <w:rFonts w:hint="eastAsia" w:cs="宋体"/>
                <w:color w:val="000000"/>
                <w:kern w:val="0"/>
                <w:sz w:val="22"/>
                <w:szCs w:val="22"/>
                <w:highlight w:val="none"/>
                <w:lang w:val="en-US" w:eastAsia="zh-CN"/>
              </w:rPr>
              <w:t>4</w:t>
            </w:r>
          </w:p>
        </w:tc>
        <w:tc>
          <w:tcPr>
            <w:tcW w:w="1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彩泥</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24色箱装265*132MM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5MM</w:t>
            </w:r>
            <w:r>
              <w:rPr>
                <w:rFonts w:hint="eastAsia" w:ascii="宋体" w:hAnsi="宋体" w:cs="宋体"/>
                <w:color w:val="000000"/>
                <w:kern w:val="0"/>
                <w:sz w:val="22"/>
                <w:szCs w:val="22"/>
                <w:highlight w:val="none"/>
              </w:rPr>
              <w:t>；国家3C认证安全环保无异味</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67</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加艾10、孔首22、毛组20、南打15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highlight w:val="none"/>
                <w:lang w:eastAsia="zh-CN"/>
              </w:rPr>
            </w:pPr>
            <w:r>
              <w:rPr>
                <w:rFonts w:hint="eastAsia" w:ascii="宋体" w:hAnsi="宋体" w:cs="宋体"/>
                <w:color w:val="000000"/>
                <w:kern w:val="0"/>
                <w:sz w:val="22"/>
                <w:szCs w:val="22"/>
                <w:highlight w:val="none"/>
              </w:rPr>
              <w:t>6</w:t>
            </w:r>
            <w:r>
              <w:rPr>
                <w:rFonts w:hint="eastAsia" w:cs="宋体"/>
                <w:color w:val="000000"/>
                <w:kern w:val="0"/>
                <w:sz w:val="22"/>
                <w:szCs w:val="22"/>
                <w:highlight w:val="none"/>
                <w:lang w:val="en-US" w:eastAsia="zh-CN"/>
              </w:rPr>
              <w:t>5</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美术学具盒</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68套绘画套装</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畅好30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highlight w:val="none"/>
                <w:lang w:eastAsia="zh-CN"/>
              </w:rPr>
            </w:pPr>
            <w:r>
              <w:rPr>
                <w:rFonts w:hint="eastAsia" w:ascii="宋体" w:hAnsi="宋体" w:cs="宋体"/>
                <w:color w:val="000000"/>
                <w:kern w:val="0"/>
                <w:sz w:val="22"/>
                <w:szCs w:val="22"/>
                <w:highlight w:val="none"/>
              </w:rPr>
              <w:t>6</w:t>
            </w:r>
            <w:r>
              <w:rPr>
                <w:rFonts w:hint="eastAsia" w:cs="宋体"/>
                <w:color w:val="000000"/>
                <w:kern w:val="0"/>
                <w:sz w:val="22"/>
                <w:szCs w:val="22"/>
                <w:highlight w:val="none"/>
                <w:lang w:val="en-US" w:eastAsia="zh-CN"/>
              </w:rPr>
              <w:t>6</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绘画工具</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12色/11件套</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畅好30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highlight w:val="none"/>
                <w:lang w:eastAsia="zh-CN"/>
              </w:rPr>
            </w:pPr>
            <w:r>
              <w:rPr>
                <w:rFonts w:hint="eastAsia" w:ascii="宋体" w:hAnsi="宋体" w:cs="宋体"/>
                <w:color w:val="000000"/>
                <w:kern w:val="0"/>
                <w:sz w:val="22"/>
                <w:szCs w:val="22"/>
                <w:highlight w:val="none"/>
              </w:rPr>
              <w:t>6</w:t>
            </w:r>
            <w:r>
              <w:rPr>
                <w:rFonts w:hint="eastAsia" w:cs="宋体"/>
                <w:color w:val="000000"/>
                <w:kern w:val="0"/>
                <w:sz w:val="22"/>
                <w:szCs w:val="22"/>
                <w:highlight w:val="none"/>
                <w:lang w:val="en-US" w:eastAsia="zh-CN"/>
              </w:rPr>
              <w:t>7</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小学美术教学挂图</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48幅；787*1092MM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5MM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畅好1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highlight w:val="none"/>
                <w:lang w:eastAsia="zh-CN"/>
              </w:rPr>
            </w:pPr>
            <w:r>
              <w:rPr>
                <w:rFonts w:hint="eastAsia" w:ascii="宋体" w:hAnsi="宋体" w:cs="宋体"/>
                <w:color w:val="000000"/>
                <w:kern w:val="0"/>
                <w:sz w:val="22"/>
                <w:szCs w:val="22"/>
                <w:highlight w:val="none"/>
              </w:rPr>
              <w:t>6</w:t>
            </w:r>
            <w:r>
              <w:rPr>
                <w:rFonts w:hint="eastAsia" w:cs="宋体"/>
                <w:color w:val="000000"/>
                <w:kern w:val="0"/>
                <w:sz w:val="22"/>
                <w:szCs w:val="22"/>
                <w:highlight w:val="none"/>
                <w:lang w:val="en-US" w:eastAsia="zh-CN"/>
              </w:rPr>
              <w:t>8</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静物台</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60*60*57CM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2CM</w:t>
            </w:r>
            <w:r>
              <w:rPr>
                <w:rFonts w:hint="eastAsia" w:ascii="宋体" w:hAnsi="宋体" w:cs="宋体"/>
                <w:color w:val="000000"/>
                <w:kern w:val="0"/>
                <w:sz w:val="22"/>
                <w:szCs w:val="22"/>
                <w:highlight w:val="none"/>
              </w:rPr>
              <w:t>；可升降；置画：最低57CM，最高62CM；材质：榉木</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只</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畅好3、通什2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highlight w:val="none"/>
                <w:lang w:eastAsia="zh-CN"/>
              </w:rPr>
            </w:pPr>
            <w:r>
              <w:rPr>
                <w:rFonts w:hint="eastAsia" w:ascii="宋体" w:hAnsi="宋体" w:cs="宋体"/>
                <w:color w:val="000000"/>
                <w:kern w:val="0"/>
                <w:sz w:val="22"/>
                <w:szCs w:val="22"/>
                <w:highlight w:val="none"/>
              </w:rPr>
              <w:t>6</w:t>
            </w:r>
            <w:r>
              <w:rPr>
                <w:rFonts w:hint="eastAsia" w:cs="宋体"/>
                <w:color w:val="000000"/>
                <w:kern w:val="0"/>
                <w:sz w:val="22"/>
                <w:szCs w:val="22"/>
                <w:highlight w:val="none"/>
                <w:lang w:val="en-US" w:eastAsia="zh-CN"/>
              </w:rPr>
              <w:t>9</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曲线模板</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250mm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畅好100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764"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cs="宋体"/>
                <w:color w:val="000000"/>
                <w:kern w:val="0"/>
                <w:sz w:val="22"/>
                <w:szCs w:val="22"/>
                <w:highlight w:val="none"/>
                <w:lang w:val="en-US" w:eastAsia="zh-CN"/>
              </w:rPr>
              <w:t>70</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工作台</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1.桌面材质为三氯氰胺密度板，厚度16厘米，质地坚硬，桌面平整，耐磨易清洗。</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2.底部为30mm×30mm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5mm</w:t>
            </w:r>
            <w:r>
              <w:rPr>
                <w:rFonts w:hint="eastAsia" w:ascii="宋体" w:hAnsi="宋体" w:cs="宋体"/>
                <w:color w:val="000000"/>
                <w:kern w:val="0"/>
                <w:sz w:val="22"/>
                <w:szCs w:val="22"/>
                <w:highlight w:val="none"/>
              </w:rPr>
              <w:t>，壁厚0.6mm，方管焊接成型的对折式方管支撑架；表面酸洗磷化后静 电喷塑处理，光滑无毛刺，稳定性好，承重强。</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3. 四个防滑地脚垫，具有防滑，移动防噪音的作用。4.尺寸80*160*74CM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2CM</w:t>
            </w:r>
            <w:r>
              <w:rPr>
                <w:rFonts w:hint="eastAsia" w:ascii="宋体" w:hAnsi="宋体" w:cs="宋体"/>
                <w:color w:val="000000"/>
                <w:kern w:val="0"/>
                <w:sz w:val="22"/>
                <w:szCs w:val="22"/>
                <w:highlight w:val="none"/>
              </w:rPr>
              <w:t>。</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个</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畅好2、三小1、通什1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cs="宋体"/>
                <w:color w:val="auto"/>
                <w:kern w:val="0"/>
                <w:sz w:val="22"/>
                <w:szCs w:val="22"/>
                <w:highlight w:val="none"/>
              </w:rPr>
              <w:t>7</w:t>
            </w:r>
            <w:r>
              <w:rPr>
                <w:rFonts w:hint="eastAsia" w:cs="宋体"/>
                <w:color w:val="auto"/>
                <w:kern w:val="0"/>
                <w:sz w:val="22"/>
                <w:szCs w:val="22"/>
                <w:highlight w:val="none"/>
                <w:lang w:val="en-US" w:eastAsia="zh-CN"/>
              </w:rPr>
              <w:t>1</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写生灯</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可伸缩灯杆最低90CM、最高210CM；双旋钮调节高度</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只</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通什2</w:t>
            </w:r>
            <w:r>
              <w:rPr>
                <w:rFonts w:hint="eastAsia" w:ascii="宋体" w:hAnsi="宋体" w:cs="宋体"/>
                <w:color w:val="auto"/>
                <w:kern w:val="0"/>
                <w:sz w:val="20"/>
                <w:szCs w:val="20"/>
                <w:highlight w:val="none"/>
                <w:lang w:eastAsia="zh-CN"/>
              </w:rPr>
              <w:t>、三小</w:t>
            </w:r>
            <w:r>
              <w:rPr>
                <w:rFonts w:hint="eastAsia" w:ascii="宋体" w:hAnsi="宋体" w:cs="宋体"/>
                <w:color w:val="auto"/>
                <w:kern w:val="0"/>
                <w:sz w:val="20"/>
                <w:szCs w:val="20"/>
                <w:highlight w:val="none"/>
                <w:lang w:val="en-US" w:eastAsia="zh-CN"/>
              </w:rPr>
              <w:t>1、毛阳1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7557" w:type="dxa"/>
            <w:gridSpan w:val="6"/>
            <w:tcBorders>
              <w:top w:val="nil"/>
              <w:bottom w:val="nil"/>
              <w:right w:val="nil"/>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合计</w:t>
            </w:r>
          </w:p>
        </w:tc>
        <w:tc>
          <w:tcPr>
            <w:tcW w:w="989" w:type="dxa"/>
            <w:tcBorders>
              <w:top w:val="nil"/>
              <w:left w:val="nil"/>
              <w:bottom w:val="nil"/>
              <w:right w:val="nil"/>
            </w:tcBorders>
            <w:noWrap/>
            <w:vAlign w:val="center"/>
          </w:tcPr>
          <w:p>
            <w:pPr>
              <w:widowControl/>
              <w:jc w:val="center"/>
              <w:textAlignment w:val="center"/>
              <w:rPr>
                <w:rFonts w:hint="eastAsia" w:ascii="宋体" w:hAnsi="宋体" w:cs="宋体"/>
                <w:color w:val="000000"/>
                <w:sz w:val="22"/>
                <w:szCs w:val="22"/>
                <w:highlight w:val="none"/>
              </w:rPr>
            </w:pPr>
          </w:p>
        </w:tc>
        <w:tc>
          <w:tcPr>
            <w:tcW w:w="1354" w:type="dxa"/>
            <w:tcBorders>
              <w:top w:val="nil"/>
              <w:left w:val="nil"/>
              <w:bottom w:val="nil"/>
            </w:tcBorders>
            <w:noWrap/>
            <w:vAlign w:val="center"/>
          </w:tcPr>
          <w:p>
            <w:pPr>
              <w:jc w:val="center"/>
              <w:rPr>
                <w:rFonts w:hint="eastAsia" w:ascii="宋体" w:hAnsi="宋体" w:cs="宋体"/>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0" w:hRule="atLeast"/>
        </w:trPr>
        <w:tc>
          <w:tcPr>
            <w:tcW w:w="7557" w:type="dxa"/>
            <w:gridSpan w:val="6"/>
            <w:tcBorders>
              <w:top w:val="nil"/>
              <w:right w:val="nil"/>
            </w:tcBorders>
            <w:noWrap/>
            <w:vAlign w:val="center"/>
          </w:tcPr>
          <w:p>
            <w:pPr>
              <w:widowControl/>
              <w:jc w:val="center"/>
              <w:textAlignment w:val="center"/>
              <w:rPr>
                <w:rFonts w:hint="eastAsia" w:ascii="宋体" w:hAnsi="宋体" w:cs="宋体"/>
                <w:color w:val="000000"/>
                <w:kern w:val="0"/>
                <w:sz w:val="22"/>
                <w:szCs w:val="22"/>
                <w:highlight w:val="none"/>
              </w:rPr>
            </w:pPr>
          </w:p>
        </w:tc>
        <w:tc>
          <w:tcPr>
            <w:tcW w:w="989" w:type="dxa"/>
            <w:tcBorders>
              <w:top w:val="nil"/>
              <w:left w:val="nil"/>
              <w:right w:val="nil"/>
            </w:tcBorders>
            <w:noWrap/>
            <w:vAlign w:val="center"/>
          </w:tcPr>
          <w:p>
            <w:pPr>
              <w:widowControl/>
              <w:jc w:val="center"/>
              <w:textAlignment w:val="center"/>
              <w:rPr>
                <w:rFonts w:hint="eastAsia" w:ascii="宋体" w:hAnsi="宋体" w:cs="宋体"/>
                <w:color w:val="000000"/>
                <w:kern w:val="0"/>
                <w:sz w:val="22"/>
                <w:szCs w:val="22"/>
                <w:highlight w:val="none"/>
              </w:rPr>
            </w:pPr>
          </w:p>
        </w:tc>
        <w:tc>
          <w:tcPr>
            <w:tcW w:w="1354" w:type="dxa"/>
            <w:tcBorders>
              <w:top w:val="nil"/>
              <w:left w:val="nil"/>
            </w:tcBorders>
            <w:noWrap/>
            <w:vAlign w:val="center"/>
          </w:tcPr>
          <w:p>
            <w:pPr>
              <w:jc w:val="center"/>
              <w:rPr>
                <w:rFonts w:hint="eastAsia" w:ascii="宋体" w:hAnsi="宋体" w:cs="宋体"/>
                <w:color w:val="000000"/>
                <w:sz w:val="22"/>
                <w:szCs w:val="22"/>
                <w:highlight w:val="none"/>
              </w:rPr>
            </w:pPr>
          </w:p>
        </w:tc>
      </w:tr>
    </w:tbl>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pStyle w:val="2"/>
        <w:rPr>
          <w:rFonts w:hint="eastAsia"/>
          <w:b/>
          <w:sz w:val="24"/>
          <w:highlight w:val="none"/>
        </w:rPr>
      </w:pPr>
    </w:p>
    <w:p>
      <w:pPr>
        <w:pStyle w:val="4"/>
        <w:rPr>
          <w:rFonts w:hint="eastAsia"/>
          <w:b/>
          <w:sz w:val="24"/>
          <w:highlight w:val="none"/>
        </w:rPr>
      </w:pPr>
    </w:p>
    <w:p>
      <w:pPr>
        <w:pStyle w:val="4"/>
        <w:rPr>
          <w:rFonts w:hint="eastAsia"/>
          <w:b/>
          <w:sz w:val="24"/>
          <w:highlight w:val="none"/>
        </w:rPr>
      </w:pPr>
    </w:p>
    <w:p>
      <w:pPr>
        <w:pStyle w:val="4"/>
        <w:rPr>
          <w:rFonts w:hint="eastAsia"/>
          <w:b/>
          <w:sz w:val="24"/>
          <w:highlight w:val="none"/>
        </w:rPr>
      </w:pPr>
    </w:p>
    <w:p>
      <w:pPr>
        <w:pStyle w:val="4"/>
        <w:rPr>
          <w:rFonts w:hint="eastAsia"/>
          <w:b/>
          <w:sz w:val="24"/>
          <w:highlight w:val="none"/>
        </w:rPr>
      </w:pPr>
    </w:p>
    <w:p>
      <w:pPr>
        <w:pStyle w:val="4"/>
        <w:rPr>
          <w:rFonts w:hint="eastAsia"/>
          <w:b/>
          <w:sz w:val="24"/>
          <w:highlight w:val="none"/>
        </w:rPr>
      </w:pPr>
    </w:p>
    <w:p>
      <w:pPr>
        <w:pStyle w:val="4"/>
        <w:rPr>
          <w:rFonts w:hint="eastAsia"/>
          <w:b/>
          <w:sz w:val="24"/>
          <w:highlight w:val="none"/>
        </w:rPr>
      </w:pPr>
    </w:p>
    <w:p>
      <w:pPr>
        <w:pStyle w:val="4"/>
        <w:rPr>
          <w:rFonts w:hint="eastAsia"/>
          <w:b/>
          <w:sz w:val="24"/>
          <w:highlight w:val="none"/>
        </w:rPr>
      </w:pPr>
    </w:p>
    <w:p>
      <w:pPr>
        <w:pStyle w:val="4"/>
        <w:rPr>
          <w:rFonts w:hint="eastAsia"/>
          <w:b/>
          <w:sz w:val="24"/>
          <w:highlight w:val="none"/>
        </w:rPr>
      </w:pPr>
    </w:p>
    <w:p>
      <w:pPr>
        <w:spacing w:line="400" w:lineRule="exact"/>
        <w:rPr>
          <w:rFonts w:hint="eastAsia"/>
          <w:b/>
          <w:sz w:val="24"/>
          <w:highlight w:val="none"/>
        </w:rPr>
      </w:pPr>
    </w:p>
    <w:tbl>
      <w:tblPr>
        <w:tblStyle w:val="17"/>
        <w:tblW w:w="9823" w:type="dxa"/>
        <w:tblInd w:w="93" w:type="dxa"/>
        <w:tblLayout w:type="fixed"/>
        <w:tblCellMar>
          <w:top w:w="0" w:type="dxa"/>
          <w:left w:w="108" w:type="dxa"/>
          <w:bottom w:w="0" w:type="dxa"/>
          <w:right w:w="108" w:type="dxa"/>
        </w:tblCellMar>
      </w:tblPr>
      <w:tblGrid>
        <w:gridCol w:w="524"/>
        <w:gridCol w:w="164"/>
        <w:gridCol w:w="1004"/>
        <w:gridCol w:w="346"/>
        <w:gridCol w:w="2529"/>
        <w:gridCol w:w="794"/>
        <w:gridCol w:w="531"/>
        <w:gridCol w:w="316"/>
        <w:gridCol w:w="157"/>
        <w:gridCol w:w="507"/>
        <w:gridCol w:w="183"/>
        <w:gridCol w:w="533"/>
        <w:gridCol w:w="592"/>
        <w:gridCol w:w="224"/>
        <w:gridCol w:w="1419"/>
      </w:tblGrid>
      <w:tr>
        <w:tblPrEx>
          <w:tblCellMar>
            <w:top w:w="0" w:type="dxa"/>
            <w:left w:w="108" w:type="dxa"/>
            <w:bottom w:w="0" w:type="dxa"/>
            <w:right w:w="108" w:type="dxa"/>
          </w:tblCellMar>
        </w:tblPrEx>
        <w:trPr>
          <w:trHeight w:val="667" w:hRule="atLeast"/>
        </w:trPr>
        <w:tc>
          <w:tcPr>
            <w:tcW w:w="9823" w:type="dxa"/>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40"/>
                <w:szCs w:val="40"/>
                <w:highlight w:val="none"/>
              </w:rPr>
            </w:pPr>
            <w:r>
              <w:rPr>
                <w:rFonts w:hint="eastAsia" w:ascii="宋体" w:hAnsi="宋体" w:cs="宋体"/>
                <w:color w:val="000000"/>
                <w:kern w:val="0"/>
                <w:sz w:val="40"/>
                <w:szCs w:val="40"/>
                <w:highlight w:val="none"/>
              </w:rPr>
              <w:t>17、体育器材</w:t>
            </w:r>
          </w:p>
        </w:tc>
      </w:tr>
      <w:tr>
        <w:tblPrEx>
          <w:tblCellMar>
            <w:top w:w="0" w:type="dxa"/>
            <w:left w:w="108" w:type="dxa"/>
            <w:bottom w:w="0" w:type="dxa"/>
            <w:right w:w="108" w:type="dxa"/>
          </w:tblCellMar>
        </w:tblPrEx>
        <w:trPr>
          <w:trHeight w:val="338"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序号</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产品名称</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标底参数</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数量</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单位</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单价/元</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金额/元</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备注</w:t>
            </w:r>
          </w:p>
        </w:tc>
      </w:tr>
      <w:tr>
        <w:tblPrEx>
          <w:tblCellMar>
            <w:top w:w="0" w:type="dxa"/>
            <w:left w:w="108" w:type="dxa"/>
            <w:bottom w:w="0" w:type="dxa"/>
            <w:right w:w="108" w:type="dxa"/>
          </w:tblCellMar>
        </w:tblPrEx>
        <w:trPr>
          <w:trHeight w:val="338"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瑜伽垫</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ahoma" w:hAnsi="Tahoma" w:eastAsia="Tahoma" w:cs="Tahoma"/>
                <w:color w:val="000000"/>
                <w:sz w:val="20"/>
                <w:szCs w:val="20"/>
                <w:highlight w:val="none"/>
                <w:lang w:val="en-US"/>
              </w:rPr>
            </w:pPr>
            <w:r>
              <w:rPr>
                <w:rFonts w:ascii="Tahoma" w:hAnsi="Tahoma" w:eastAsia="Tahoma" w:cs="Tahoma"/>
                <w:color w:val="000000"/>
                <w:kern w:val="0"/>
                <w:sz w:val="20"/>
                <w:szCs w:val="20"/>
                <w:highlight w:val="none"/>
              </w:rPr>
              <w:t>183cm</w:t>
            </w:r>
            <w:r>
              <w:rPr>
                <w:rFonts w:hint="eastAsia" w:ascii="Tahoma" w:hAnsi="Tahoma" w:eastAsia="Tahoma" w:cs="Tahoma"/>
                <w:color w:val="000000"/>
                <w:kern w:val="0"/>
                <w:sz w:val="20"/>
                <w:szCs w:val="20"/>
                <w:highlight w:val="none"/>
              </w:rPr>
              <w:t>±</w:t>
            </w:r>
            <w:r>
              <w:rPr>
                <w:rFonts w:hint="eastAsia" w:ascii="Tahoma" w:hAnsi="Tahoma" w:eastAsia="Tahoma" w:cs="Tahoma"/>
                <w:color w:val="000000"/>
                <w:kern w:val="0"/>
                <w:sz w:val="20"/>
                <w:szCs w:val="20"/>
                <w:highlight w:val="none"/>
                <w:lang w:val="en-US" w:eastAsia="zh-CN"/>
              </w:rPr>
              <w:t>3cm</w:t>
            </w:r>
            <w:r>
              <w:rPr>
                <w:rFonts w:ascii="Tahoma" w:hAnsi="Tahoma" w:eastAsia="Tahoma" w:cs="Tahoma"/>
                <w:color w:val="000000"/>
                <w:kern w:val="0"/>
                <w:sz w:val="20"/>
                <w:szCs w:val="20"/>
                <w:highlight w:val="none"/>
              </w:rPr>
              <w:t>×80cm</w:t>
            </w:r>
            <w:r>
              <w:rPr>
                <w:rFonts w:hint="eastAsia" w:ascii="Tahoma" w:hAnsi="Tahoma" w:eastAsia="Tahoma" w:cs="Tahoma"/>
                <w:color w:val="000000"/>
                <w:kern w:val="0"/>
                <w:sz w:val="20"/>
                <w:szCs w:val="20"/>
                <w:highlight w:val="none"/>
              </w:rPr>
              <w:t>±</w:t>
            </w:r>
            <w:r>
              <w:rPr>
                <w:rFonts w:hint="eastAsia" w:ascii="Tahoma" w:hAnsi="Tahoma" w:eastAsia="Tahoma" w:cs="Tahoma"/>
                <w:color w:val="000000"/>
                <w:kern w:val="0"/>
                <w:sz w:val="20"/>
                <w:szCs w:val="20"/>
                <w:highlight w:val="none"/>
                <w:lang w:val="en-US" w:eastAsia="zh-CN"/>
              </w:rPr>
              <w:t>2cm</w:t>
            </w:r>
            <w:r>
              <w:rPr>
                <w:rFonts w:ascii="Tahoma" w:hAnsi="Tahoma" w:eastAsia="Tahoma" w:cs="Tahoma"/>
                <w:color w:val="000000"/>
                <w:kern w:val="0"/>
                <w:sz w:val="20"/>
                <w:szCs w:val="20"/>
                <w:highlight w:val="none"/>
              </w:rPr>
              <w:t>×15mm</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块</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思源30</w:t>
            </w:r>
          </w:p>
        </w:tc>
      </w:tr>
      <w:tr>
        <w:tblPrEx>
          <w:tblCellMar>
            <w:top w:w="0" w:type="dxa"/>
            <w:left w:w="108" w:type="dxa"/>
            <w:bottom w:w="0" w:type="dxa"/>
            <w:right w:w="108" w:type="dxa"/>
          </w:tblCellMar>
        </w:tblPrEx>
        <w:trPr>
          <w:trHeight w:val="2637"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羽毛球拍</w:t>
            </w:r>
          </w:p>
        </w:tc>
        <w:tc>
          <w:tcPr>
            <w:tcW w:w="2529" w:type="dxa"/>
            <w:tcBorders>
              <w:top w:val="nil"/>
              <w:left w:val="nil"/>
              <w:bottom w:val="nil"/>
              <w:right w:val="nil"/>
            </w:tcBorders>
            <w:vAlign w:val="center"/>
          </w:tcPr>
          <w:p>
            <w:pPr>
              <w:widowControl/>
              <w:jc w:val="left"/>
              <w:textAlignment w:val="center"/>
              <w:rPr>
                <w:rFonts w:hint="eastAsia" w:ascii="宋体" w:hAnsi="宋体" w:cs="宋体"/>
                <w:color w:val="000000"/>
                <w:sz w:val="20"/>
                <w:szCs w:val="20"/>
                <w:highlight w:val="none"/>
              </w:rPr>
            </w:pPr>
            <w:r>
              <w:rPr>
                <w:rStyle w:val="39"/>
                <w:rFonts w:hint="default"/>
                <w:highlight w:val="none"/>
              </w:rPr>
              <w:t>材质：高弹性碳素复合一体拍；拍柄：铜木；重量：85-89g；拍身长度：675±2MM；握柄粗细：G4；磅数18-24lbs；球拍硬度：适中</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276</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付</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思源80、思源小学15、三小30、毛路10、毛栈10、毛旦7、学周10、牙合10、牙胡10、牙力10、军民10、布伦15、南打15、畅好40、福关2、福利2</w:t>
            </w:r>
          </w:p>
        </w:tc>
      </w:tr>
      <w:tr>
        <w:tblPrEx>
          <w:tblCellMar>
            <w:top w:w="0" w:type="dxa"/>
            <w:left w:w="108" w:type="dxa"/>
            <w:bottom w:w="0" w:type="dxa"/>
            <w:right w:w="108" w:type="dxa"/>
          </w:tblCellMar>
        </w:tblPrEx>
        <w:trPr>
          <w:trHeight w:val="2637"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羽毛球</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颜色：白；材质：台纤软木拼接头+水鸭细杆毛；球口直径：约6.2CM、球座直径：约2.7CM；规格：12/筒</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339</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筒</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思源100、思源小学30、一小50、三小50、毛旦10、学周15、牙合15、牙胡15、牙力15、军民15、加艾10、南打10、福关2、福利2</w:t>
            </w:r>
          </w:p>
        </w:tc>
      </w:tr>
      <w:tr>
        <w:tblPrEx>
          <w:tblCellMar>
            <w:top w:w="0" w:type="dxa"/>
            <w:left w:w="108" w:type="dxa"/>
            <w:bottom w:w="0" w:type="dxa"/>
            <w:right w:w="108" w:type="dxa"/>
          </w:tblCellMar>
        </w:tblPrEx>
        <w:trPr>
          <w:trHeight w:val="667"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比赛发令枪</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两发， AJD-TJ-037</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11</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把</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思源5、一小5、三小1</w:t>
            </w:r>
          </w:p>
        </w:tc>
      </w:tr>
      <w:tr>
        <w:tblPrEx>
          <w:tblCellMar>
            <w:top w:w="0" w:type="dxa"/>
            <w:left w:w="108" w:type="dxa"/>
            <w:bottom w:w="0" w:type="dxa"/>
            <w:right w:w="108" w:type="dxa"/>
          </w:tblCellMar>
        </w:tblPrEx>
        <w:trPr>
          <w:trHeight w:val="338"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发令枪子弹</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5.6MM</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盒</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思源6</w:t>
            </w:r>
          </w:p>
        </w:tc>
      </w:tr>
      <w:tr>
        <w:tblPrEx>
          <w:tblCellMar>
            <w:top w:w="0" w:type="dxa"/>
            <w:left w:w="108" w:type="dxa"/>
            <w:bottom w:w="0" w:type="dxa"/>
            <w:right w:w="108" w:type="dxa"/>
          </w:tblCellMar>
        </w:tblPrEx>
        <w:trPr>
          <w:trHeight w:val="667"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cs="宋体"/>
                <w:color w:val="000000"/>
                <w:kern w:val="0"/>
                <w:sz w:val="20"/>
                <w:szCs w:val="20"/>
                <w:highlight w:val="none"/>
                <w:lang w:val="en-US" w:eastAsia="zh-CN"/>
              </w:rPr>
              <w:t>6</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羽毛球网</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6.1米小孔-单包边-加粗尼龙绳</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张</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思源4</w:t>
            </w:r>
          </w:p>
        </w:tc>
      </w:tr>
      <w:tr>
        <w:tblPrEx>
          <w:tblCellMar>
            <w:top w:w="0" w:type="dxa"/>
            <w:left w:w="108" w:type="dxa"/>
            <w:bottom w:w="0" w:type="dxa"/>
            <w:right w:w="108" w:type="dxa"/>
          </w:tblCellMar>
        </w:tblPrEx>
        <w:trPr>
          <w:trHeight w:val="995"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cs="宋体"/>
                <w:color w:val="000000"/>
                <w:kern w:val="0"/>
                <w:sz w:val="20"/>
                <w:szCs w:val="20"/>
                <w:highlight w:val="none"/>
                <w:lang w:val="en-US" w:eastAsia="zh-CN"/>
              </w:rPr>
              <w:t>7</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小足球门</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五人制；尺寸：长1.8*高1.2M；材质：镀锌钢管；工艺：抛丸出锈、静电喷塑</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思源2</w:t>
            </w:r>
          </w:p>
        </w:tc>
      </w:tr>
      <w:tr>
        <w:tblPrEx>
          <w:tblCellMar>
            <w:top w:w="0" w:type="dxa"/>
            <w:left w:w="108" w:type="dxa"/>
            <w:bottom w:w="0" w:type="dxa"/>
            <w:right w:w="108" w:type="dxa"/>
          </w:tblCellMar>
        </w:tblPrEx>
        <w:trPr>
          <w:trHeight w:val="1324"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cs="宋体"/>
                <w:color w:val="000000"/>
                <w:kern w:val="0"/>
                <w:sz w:val="20"/>
                <w:szCs w:val="20"/>
                <w:highlight w:val="none"/>
                <w:lang w:val="en-US" w:eastAsia="zh-CN"/>
              </w:rPr>
              <w:t>8</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排球网</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尺寸：长9.5*高1M±</w:t>
            </w:r>
            <w:r>
              <w:rPr>
                <w:rFonts w:hint="eastAsia" w:ascii="宋体" w:hAnsi="宋体" w:cs="宋体"/>
                <w:color w:val="000000"/>
                <w:kern w:val="0"/>
                <w:sz w:val="20"/>
                <w:szCs w:val="20"/>
                <w:highlight w:val="none"/>
                <w:lang w:val="en-US" w:eastAsia="zh-CN"/>
              </w:rPr>
              <w:t>0.0</w:t>
            </w:r>
            <w:r>
              <w:rPr>
                <w:rFonts w:hint="eastAsia" w:cs="宋体"/>
                <w:color w:val="000000"/>
                <w:kern w:val="0"/>
                <w:sz w:val="20"/>
                <w:szCs w:val="20"/>
                <w:highlight w:val="none"/>
                <w:lang w:val="en-US" w:eastAsia="zh-CN"/>
              </w:rPr>
              <w:t>3</w:t>
            </w:r>
            <w:r>
              <w:rPr>
                <w:rFonts w:hint="eastAsia" w:ascii="宋体" w:hAnsi="宋体" w:cs="宋体"/>
                <w:color w:val="000000"/>
                <w:kern w:val="0"/>
                <w:sz w:val="20"/>
                <w:szCs w:val="20"/>
                <w:highlight w:val="none"/>
                <w:lang w:val="en-US" w:eastAsia="zh-CN"/>
              </w:rPr>
              <w:t>M</w:t>
            </w:r>
            <w:r>
              <w:rPr>
                <w:rFonts w:hint="eastAsia" w:ascii="宋体" w:hAnsi="宋体" w:cs="宋体"/>
                <w:color w:val="000000"/>
                <w:kern w:val="0"/>
                <w:sz w:val="20"/>
                <w:szCs w:val="20"/>
                <w:highlight w:val="none"/>
              </w:rPr>
              <w:t>；材质：5MM高强编织聚乙烯绳；网孔：10*10CM；钢绳：加粗型钢丝绳；包边：4边加厚防水帆布</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张</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思源2</w:t>
            </w:r>
          </w:p>
        </w:tc>
      </w:tr>
      <w:tr>
        <w:tblPrEx>
          <w:tblCellMar>
            <w:top w:w="0" w:type="dxa"/>
            <w:left w:w="108" w:type="dxa"/>
            <w:bottom w:w="0" w:type="dxa"/>
            <w:right w:w="108" w:type="dxa"/>
          </w:tblCellMar>
        </w:tblPrEx>
        <w:trPr>
          <w:trHeight w:val="1324"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cs="宋体"/>
                <w:color w:val="000000"/>
                <w:kern w:val="0"/>
                <w:sz w:val="20"/>
                <w:szCs w:val="20"/>
                <w:highlight w:val="none"/>
                <w:lang w:val="en-US" w:eastAsia="zh-CN"/>
              </w:rPr>
              <w:t>9</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坐位体前屈电子测试仪</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华聚201中考专用（语音播报）；量程：-20˜32厘米；分值度：0.1分米；误差：±0.1cm；环境温度：-10~50度</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思源2</w:t>
            </w:r>
          </w:p>
        </w:tc>
      </w:tr>
      <w:tr>
        <w:tblPrEx>
          <w:tblCellMar>
            <w:top w:w="0" w:type="dxa"/>
            <w:left w:w="108" w:type="dxa"/>
            <w:bottom w:w="0" w:type="dxa"/>
            <w:right w:w="108" w:type="dxa"/>
          </w:tblCellMar>
        </w:tblPrEx>
        <w:trPr>
          <w:trHeight w:val="684"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rPr>
              <w:t>1</w:t>
            </w:r>
            <w:r>
              <w:rPr>
                <w:rFonts w:hint="eastAsia" w:cs="宋体"/>
                <w:color w:val="000000"/>
                <w:kern w:val="0"/>
                <w:sz w:val="20"/>
                <w:szCs w:val="20"/>
                <w:highlight w:val="none"/>
                <w:lang w:val="en-US" w:eastAsia="zh-CN"/>
              </w:rPr>
              <w:t>0</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跳高玻璃钢横杆</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ahoma" w:hAnsi="Tahoma" w:eastAsia="Tahoma" w:cs="Tahoma"/>
                <w:color w:val="000000"/>
                <w:sz w:val="20"/>
                <w:szCs w:val="20"/>
                <w:highlight w:val="none"/>
              </w:rPr>
            </w:pPr>
            <w:r>
              <w:rPr>
                <w:rFonts w:hint="eastAsia" w:ascii="宋体" w:hAnsi="宋体" w:cs="宋体"/>
                <w:color w:val="000000"/>
                <w:kern w:val="0"/>
                <w:sz w:val="20"/>
                <w:szCs w:val="20"/>
                <w:highlight w:val="none"/>
              </w:rPr>
              <w:t>直径：</w:t>
            </w:r>
            <w:r>
              <w:rPr>
                <w:rFonts w:ascii="Tahoma" w:hAnsi="Tahoma" w:eastAsia="Tahoma" w:cs="Tahoma"/>
                <w:color w:val="000000"/>
                <w:kern w:val="0"/>
                <w:sz w:val="20"/>
                <w:szCs w:val="20"/>
                <w:highlight w:val="none"/>
              </w:rPr>
              <w:t>3</w:t>
            </w:r>
            <w:r>
              <w:rPr>
                <w:rFonts w:hint="eastAsia" w:ascii="宋体" w:hAnsi="宋体" w:cs="宋体"/>
                <w:color w:val="000000"/>
                <w:kern w:val="0"/>
                <w:sz w:val="20"/>
                <w:szCs w:val="20"/>
                <w:highlight w:val="none"/>
              </w:rPr>
              <w:t xml:space="preserve">厘米 </w:t>
            </w:r>
            <w:r>
              <w:rPr>
                <w:rFonts w:ascii="Tahoma" w:hAnsi="Tahoma" w:eastAsia="Tahoma" w:cs="Tahoma"/>
                <w:color w:val="000000"/>
                <w:kern w:val="0"/>
                <w:sz w:val="20"/>
                <w:szCs w:val="20"/>
                <w:highlight w:val="none"/>
              </w:rPr>
              <w:t xml:space="preserve"> </w:t>
            </w:r>
            <w:r>
              <w:rPr>
                <w:rFonts w:hint="eastAsia" w:ascii="宋体" w:hAnsi="宋体" w:cs="宋体"/>
                <w:color w:val="000000"/>
                <w:kern w:val="0"/>
                <w:sz w:val="20"/>
                <w:szCs w:val="20"/>
                <w:highlight w:val="none"/>
              </w:rPr>
              <w:t>长度：</w:t>
            </w:r>
            <w:r>
              <w:rPr>
                <w:rFonts w:ascii="Tahoma" w:hAnsi="Tahoma" w:eastAsia="Tahoma" w:cs="Tahoma"/>
                <w:color w:val="000000"/>
                <w:kern w:val="0"/>
                <w:sz w:val="20"/>
                <w:szCs w:val="20"/>
                <w:highlight w:val="none"/>
              </w:rPr>
              <w:t>4</w:t>
            </w:r>
            <w:r>
              <w:rPr>
                <w:rFonts w:hint="eastAsia" w:ascii="宋体" w:hAnsi="宋体" w:cs="宋体"/>
                <w:color w:val="000000"/>
                <w:kern w:val="0"/>
                <w:sz w:val="20"/>
                <w:szCs w:val="20"/>
                <w:highlight w:val="none"/>
              </w:rPr>
              <w:t>米；材质：玻璃钢纤维</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根</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思源4、三小2</w:t>
            </w:r>
          </w:p>
        </w:tc>
      </w:tr>
      <w:tr>
        <w:tblPrEx>
          <w:tblCellMar>
            <w:top w:w="0" w:type="dxa"/>
            <w:left w:w="108" w:type="dxa"/>
            <w:bottom w:w="0" w:type="dxa"/>
            <w:right w:w="108" w:type="dxa"/>
          </w:tblCellMar>
        </w:tblPrEx>
        <w:trPr>
          <w:trHeight w:val="995"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rPr>
              <w:t>1</w:t>
            </w:r>
            <w:r>
              <w:rPr>
                <w:rFonts w:hint="eastAsia" w:cs="宋体"/>
                <w:color w:val="000000"/>
                <w:kern w:val="0"/>
                <w:sz w:val="20"/>
                <w:szCs w:val="20"/>
                <w:highlight w:val="none"/>
                <w:lang w:val="en-US" w:eastAsia="zh-CN"/>
              </w:rPr>
              <w:t>1</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跳高架</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材质：铝合金支柱、ABS底座； 2只/付；调节高度30-230CM；重量：15KG</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付</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思源1、番阳2、一小2</w:t>
            </w:r>
          </w:p>
        </w:tc>
      </w:tr>
      <w:tr>
        <w:tblPrEx>
          <w:tblCellMar>
            <w:top w:w="0" w:type="dxa"/>
            <w:left w:w="108" w:type="dxa"/>
            <w:bottom w:w="0" w:type="dxa"/>
            <w:right w:w="108" w:type="dxa"/>
          </w:tblCellMar>
        </w:tblPrEx>
        <w:trPr>
          <w:trHeight w:val="995"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rPr>
              <w:t>1</w:t>
            </w:r>
            <w:r>
              <w:rPr>
                <w:rFonts w:hint="eastAsia" w:cs="宋体"/>
                <w:color w:val="000000"/>
                <w:kern w:val="0"/>
                <w:sz w:val="20"/>
                <w:szCs w:val="20"/>
                <w:highlight w:val="none"/>
                <w:lang w:val="en-US" w:eastAsia="zh-CN"/>
              </w:rPr>
              <w:t>2</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速度训练阻力伞</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ahoma" w:hAnsi="Tahoma" w:eastAsia="Tahoma" w:cs="Tahoma"/>
                <w:color w:val="000000"/>
                <w:sz w:val="20"/>
                <w:szCs w:val="20"/>
                <w:highlight w:val="none"/>
              </w:rPr>
            </w:pPr>
            <w:r>
              <w:rPr>
                <w:rFonts w:ascii="Tahoma" w:hAnsi="Tahoma" w:eastAsia="Tahoma" w:cs="Tahoma"/>
                <w:color w:val="000000"/>
                <w:kern w:val="0"/>
                <w:sz w:val="20"/>
                <w:szCs w:val="20"/>
                <w:highlight w:val="none"/>
              </w:rPr>
              <w:t xml:space="preserve">     </w:t>
            </w:r>
            <w:r>
              <w:rPr>
                <w:rFonts w:hint="eastAsia" w:ascii="宋体" w:hAnsi="宋体" w:cs="宋体"/>
                <w:color w:val="000000"/>
                <w:kern w:val="0"/>
                <w:sz w:val="20"/>
                <w:szCs w:val="20"/>
                <w:highlight w:val="none"/>
              </w:rPr>
              <w:t>双伞带收纳包</w:t>
            </w:r>
            <w:r>
              <w:rPr>
                <w:rFonts w:ascii="Tahoma" w:hAnsi="Tahoma" w:eastAsia="Tahoma" w:cs="Tahoma"/>
                <w:color w:val="000000"/>
                <w:kern w:val="0"/>
                <w:sz w:val="20"/>
                <w:szCs w:val="20"/>
                <w:highlight w:val="none"/>
              </w:rPr>
              <w:t xml:space="preserve"> </w:t>
            </w:r>
            <w:r>
              <w:rPr>
                <w:rFonts w:hint="eastAsia" w:ascii="宋体" w:hAnsi="宋体" w:cs="宋体"/>
                <w:color w:val="000000"/>
                <w:kern w:val="0"/>
                <w:sz w:val="20"/>
                <w:szCs w:val="20"/>
                <w:highlight w:val="none"/>
              </w:rPr>
              <w:t>；阻力伞面</w:t>
            </w:r>
            <w:r>
              <w:rPr>
                <w:rFonts w:ascii="Tahoma" w:hAnsi="Tahoma" w:eastAsia="Tahoma" w:cs="Tahoma"/>
                <w:color w:val="000000"/>
                <w:kern w:val="0"/>
                <w:sz w:val="20"/>
                <w:szCs w:val="20"/>
                <w:highlight w:val="none"/>
              </w:rPr>
              <w:t>1.5*1.5M</w:t>
            </w:r>
            <w:r>
              <w:rPr>
                <w:rFonts w:hint="eastAsia" w:ascii="宋体" w:hAnsi="宋体" w:cs="宋体"/>
                <w:color w:val="000000"/>
                <w:kern w:val="0"/>
                <w:sz w:val="20"/>
                <w:szCs w:val="20"/>
                <w:highlight w:val="none"/>
              </w:rPr>
              <w:t>；材质：春亚纺</w:t>
            </w:r>
            <w:r>
              <w:rPr>
                <w:rFonts w:ascii="Tahoma" w:hAnsi="Tahoma" w:eastAsia="Tahoma" w:cs="Tahoma"/>
                <w:color w:val="000000"/>
                <w:kern w:val="0"/>
                <w:sz w:val="20"/>
                <w:szCs w:val="20"/>
                <w:highlight w:val="none"/>
              </w:rPr>
              <w:t>/</w:t>
            </w:r>
            <w:r>
              <w:rPr>
                <w:rFonts w:hint="eastAsia" w:ascii="宋体" w:hAnsi="宋体" w:cs="宋体"/>
                <w:color w:val="000000"/>
                <w:kern w:val="0"/>
                <w:sz w:val="20"/>
                <w:szCs w:val="20"/>
                <w:highlight w:val="none"/>
              </w:rPr>
              <w:t>涂层布</w:t>
            </w:r>
            <w:r>
              <w:rPr>
                <w:rFonts w:ascii="Tahoma" w:hAnsi="Tahoma" w:eastAsia="Tahoma" w:cs="Tahoma"/>
                <w:color w:val="000000"/>
                <w:kern w:val="0"/>
                <w:sz w:val="20"/>
                <w:szCs w:val="20"/>
                <w:highlight w:val="none"/>
              </w:rPr>
              <w:t>/</w:t>
            </w:r>
            <w:r>
              <w:rPr>
                <w:rFonts w:hint="eastAsia" w:ascii="宋体" w:hAnsi="宋体" w:cs="宋体"/>
                <w:color w:val="000000"/>
                <w:kern w:val="0"/>
                <w:sz w:val="20"/>
                <w:szCs w:val="20"/>
                <w:highlight w:val="none"/>
              </w:rPr>
              <w:t>优质织带</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12</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思源12</w:t>
            </w:r>
          </w:p>
        </w:tc>
      </w:tr>
      <w:tr>
        <w:tblPrEx>
          <w:tblCellMar>
            <w:top w:w="0" w:type="dxa"/>
            <w:left w:w="108" w:type="dxa"/>
            <w:bottom w:w="0" w:type="dxa"/>
            <w:right w:w="108" w:type="dxa"/>
          </w:tblCellMar>
        </w:tblPrEx>
        <w:trPr>
          <w:trHeight w:val="667"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rPr>
              <w:t>1</w:t>
            </w:r>
            <w:r>
              <w:rPr>
                <w:rFonts w:hint="eastAsia" w:cs="宋体"/>
                <w:color w:val="000000"/>
                <w:kern w:val="0"/>
                <w:sz w:val="20"/>
                <w:szCs w:val="20"/>
                <w:highlight w:val="none"/>
                <w:lang w:val="en-US" w:eastAsia="zh-CN"/>
              </w:rPr>
              <w:t>3</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ahoma" w:hAnsi="Tahoma" w:eastAsia="Tahoma" w:cs="Tahoma"/>
                <w:color w:val="000000"/>
                <w:sz w:val="20"/>
                <w:szCs w:val="20"/>
                <w:highlight w:val="none"/>
              </w:rPr>
            </w:pPr>
            <w:r>
              <w:rPr>
                <w:rFonts w:ascii="Tahoma" w:hAnsi="Tahoma" w:eastAsia="Tahoma" w:cs="Tahoma"/>
                <w:color w:val="000000"/>
                <w:kern w:val="0"/>
                <w:sz w:val="20"/>
                <w:szCs w:val="20"/>
                <w:highlight w:val="none"/>
              </w:rPr>
              <w:t>敏捷梯足球训练绳梯</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6米12节加厚片；尺材：PP料</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条</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思源4</w:t>
            </w:r>
          </w:p>
        </w:tc>
      </w:tr>
      <w:tr>
        <w:tblPrEx>
          <w:tblCellMar>
            <w:top w:w="0" w:type="dxa"/>
            <w:left w:w="108" w:type="dxa"/>
            <w:bottom w:w="0" w:type="dxa"/>
            <w:right w:w="108" w:type="dxa"/>
          </w:tblCellMar>
        </w:tblPrEx>
        <w:trPr>
          <w:trHeight w:val="338"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rPr>
              <w:t>1</w:t>
            </w:r>
            <w:r>
              <w:rPr>
                <w:rFonts w:hint="eastAsia" w:cs="宋体"/>
                <w:color w:val="000000"/>
                <w:kern w:val="0"/>
                <w:sz w:val="20"/>
                <w:szCs w:val="20"/>
                <w:highlight w:val="none"/>
                <w:lang w:val="en-US" w:eastAsia="zh-CN"/>
              </w:rPr>
              <w:t>4</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健身甩大绳</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2.5cm*15米；材质：涤沦</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条</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思源2</w:t>
            </w:r>
          </w:p>
        </w:tc>
      </w:tr>
      <w:tr>
        <w:tblPrEx>
          <w:tblCellMar>
            <w:top w:w="0" w:type="dxa"/>
            <w:left w:w="108" w:type="dxa"/>
            <w:bottom w:w="0" w:type="dxa"/>
            <w:right w:w="108" w:type="dxa"/>
          </w:tblCellMar>
        </w:tblPrEx>
        <w:trPr>
          <w:trHeight w:val="338"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rPr>
              <w:t>1</w:t>
            </w:r>
            <w:r>
              <w:rPr>
                <w:rFonts w:hint="eastAsia" w:cs="宋体"/>
                <w:color w:val="000000"/>
                <w:kern w:val="0"/>
                <w:sz w:val="20"/>
                <w:szCs w:val="20"/>
                <w:highlight w:val="none"/>
                <w:lang w:val="en-US" w:eastAsia="zh-CN"/>
              </w:rPr>
              <w:t>5</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健身甩大绳</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2.5cm*12米；材质：涤沦</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条</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思源2</w:t>
            </w:r>
          </w:p>
        </w:tc>
      </w:tr>
      <w:tr>
        <w:tblPrEx>
          <w:tblCellMar>
            <w:top w:w="0" w:type="dxa"/>
            <w:left w:w="108" w:type="dxa"/>
            <w:bottom w:w="0" w:type="dxa"/>
            <w:right w:w="108" w:type="dxa"/>
          </w:tblCellMar>
        </w:tblPrEx>
        <w:trPr>
          <w:trHeight w:val="410"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rPr>
              <w:t>1</w:t>
            </w:r>
            <w:r>
              <w:rPr>
                <w:rFonts w:hint="eastAsia" w:cs="宋体"/>
                <w:color w:val="000000"/>
                <w:kern w:val="0"/>
                <w:sz w:val="20"/>
                <w:szCs w:val="20"/>
                <w:highlight w:val="none"/>
                <w:lang w:val="en-US" w:eastAsia="zh-CN"/>
              </w:rPr>
              <w:t>6</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健身甩大绳</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3.8cm*12米；材质：涤沦</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条</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思源2</w:t>
            </w:r>
          </w:p>
        </w:tc>
      </w:tr>
      <w:tr>
        <w:tblPrEx>
          <w:tblCellMar>
            <w:top w:w="0" w:type="dxa"/>
            <w:left w:w="108" w:type="dxa"/>
            <w:bottom w:w="0" w:type="dxa"/>
            <w:right w:w="108" w:type="dxa"/>
          </w:tblCellMar>
        </w:tblPrEx>
        <w:trPr>
          <w:trHeight w:val="873"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rPr>
              <w:t>1</w:t>
            </w:r>
            <w:r>
              <w:rPr>
                <w:rFonts w:hint="eastAsia" w:cs="宋体"/>
                <w:color w:val="000000"/>
                <w:kern w:val="0"/>
                <w:sz w:val="20"/>
                <w:szCs w:val="20"/>
                <w:highlight w:val="none"/>
                <w:lang w:val="en-US" w:eastAsia="zh-CN"/>
              </w:rPr>
              <w:t>7</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田径阻力训练绳</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绳长3.4米；配件：强力绳*1、腰带*1、辅助绳*1、收纳带*1</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条</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思源2</w:t>
            </w:r>
          </w:p>
        </w:tc>
      </w:tr>
      <w:tr>
        <w:tblPrEx>
          <w:tblCellMar>
            <w:top w:w="0" w:type="dxa"/>
            <w:left w:w="108" w:type="dxa"/>
            <w:bottom w:w="0" w:type="dxa"/>
            <w:right w:w="108" w:type="dxa"/>
          </w:tblCellMar>
        </w:tblPrEx>
        <w:trPr>
          <w:trHeight w:val="338"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rPr>
              <w:t>1</w:t>
            </w:r>
            <w:r>
              <w:rPr>
                <w:rFonts w:hint="eastAsia" w:cs="宋体"/>
                <w:color w:val="000000"/>
                <w:kern w:val="0"/>
                <w:sz w:val="20"/>
                <w:szCs w:val="20"/>
                <w:highlight w:val="none"/>
                <w:lang w:val="en-US" w:eastAsia="zh-CN"/>
              </w:rPr>
              <w:t>8</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铁饼</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1公斤</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思源2</w:t>
            </w:r>
          </w:p>
        </w:tc>
      </w:tr>
      <w:tr>
        <w:tblPrEx>
          <w:tblCellMar>
            <w:top w:w="0" w:type="dxa"/>
            <w:left w:w="108" w:type="dxa"/>
            <w:bottom w:w="0" w:type="dxa"/>
            <w:right w:w="108" w:type="dxa"/>
          </w:tblCellMar>
        </w:tblPrEx>
        <w:trPr>
          <w:trHeight w:val="338"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cs="宋体"/>
                <w:color w:val="000000"/>
                <w:kern w:val="0"/>
                <w:sz w:val="20"/>
                <w:szCs w:val="20"/>
                <w:highlight w:val="none"/>
                <w:lang w:val="en-US" w:eastAsia="zh-CN"/>
              </w:rPr>
              <w:t>19</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铁饼</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1.5公斤</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思源1</w:t>
            </w:r>
          </w:p>
        </w:tc>
      </w:tr>
      <w:tr>
        <w:tblPrEx>
          <w:tblCellMar>
            <w:top w:w="0" w:type="dxa"/>
            <w:left w:w="108" w:type="dxa"/>
            <w:bottom w:w="0" w:type="dxa"/>
            <w:right w:w="108" w:type="dxa"/>
          </w:tblCellMar>
        </w:tblPrEx>
        <w:trPr>
          <w:trHeight w:val="667"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cs="宋体"/>
                <w:color w:val="000000"/>
                <w:kern w:val="0"/>
                <w:sz w:val="20"/>
                <w:szCs w:val="20"/>
                <w:highlight w:val="none"/>
                <w:lang w:val="en-US" w:eastAsia="zh-CN"/>
              </w:rPr>
              <w:t>20</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ahoma" w:hAnsi="Tahoma" w:eastAsia="Tahoma" w:cs="Tahoma"/>
                <w:color w:val="000000"/>
                <w:sz w:val="20"/>
                <w:szCs w:val="20"/>
                <w:highlight w:val="none"/>
              </w:rPr>
            </w:pPr>
            <w:r>
              <w:rPr>
                <w:rFonts w:ascii="Tahoma" w:hAnsi="Tahoma" w:eastAsia="Tahoma" w:cs="Tahoma"/>
                <w:color w:val="000000"/>
                <w:kern w:val="0"/>
                <w:sz w:val="20"/>
                <w:szCs w:val="20"/>
                <w:highlight w:val="none"/>
              </w:rPr>
              <w:t>中小学生坐位体前屈测试仪</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材质：木质、铝合金（带精密刻度）</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思源4</w:t>
            </w:r>
          </w:p>
        </w:tc>
      </w:tr>
      <w:tr>
        <w:tblPrEx>
          <w:tblCellMar>
            <w:top w:w="0" w:type="dxa"/>
            <w:left w:w="108" w:type="dxa"/>
            <w:bottom w:w="0" w:type="dxa"/>
            <w:right w:w="108" w:type="dxa"/>
          </w:tblCellMar>
        </w:tblPrEx>
        <w:trPr>
          <w:trHeight w:val="667"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rPr>
              <w:t>2</w:t>
            </w:r>
            <w:r>
              <w:rPr>
                <w:rFonts w:hint="eastAsia" w:cs="宋体"/>
                <w:color w:val="000000"/>
                <w:kern w:val="0"/>
                <w:sz w:val="20"/>
                <w:szCs w:val="20"/>
                <w:highlight w:val="none"/>
                <w:lang w:val="en-US" w:eastAsia="zh-CN"/>
              </w:rPr>
              <w:t>1</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标志杆（篮球训练）</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2.0kg底座+1.5米红白杆</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思源30</w:t>
            </w:r>
          </w:p>
        </w:tc>
      </w:tr>
      <w:tr>
        <w:tblPrEx>
          <w:tblCellMar>
            <w:top w:w="0" w:type="dxa"/>
            <w:left w:w="108" w:type="dxa"/>
            <w:bottom w:w="0" w:type="dxa"/>
            <w:right w:w="108" w:type="dxa"/>
          </w:tblCellMar>
        </w:tblPrEx>
        <w:trPr>
          <w:trHeight w:val="1652"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rPr>
              <w:t>2</w:t>
            </w:r>
            <w:r>
              <w:rPr>
                <w:rFonts w:hint="eastAsia" w:cs="宋体"/>
                <w:color w:val="000000"/>
                <w:kern w:val="0"/>
                <w:sz w:val="20"/>
                <w:szCs w:val="20"/>
                <w:highlight w:val="none"/>
                <w:lang w:val="en-US" w:eastAsia="zh-CN"/>
              </w:rPr>
              <w:t>2</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高音发令比赛喇叭</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容量：193ML254g；分贝上：115-130；材质：树脂、钢材；一按即响；瓶身直径：65*瓶身高170MM；喇叭口直径：63MM*喇叭头长110MM</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思源2</w:t>
            </w:r>
          </w:p>
        </w:tc>
      </w:tr>
      <w:tr>
        <w:tblPrEx>
          <w:tblCellMar>
            <w:top w:w="0" w:type="dxa"/>
            <w:left w:w="108" w:type="dxa"/>
            <w:bottom w:w="0" w:type="dxa"/>
            <w:right w:w="108" w:type="dxa"/>
          </w:tblCellMar>
        </w:tblPrEx>
        <w:trPr>
          <w:trHeight w:val="789"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rPr>
              <w:t>2</w:t>
            </w:r>
            <w:r>
              <w:rPr>
                <w:rFonts w:hint="eastAsia" w:cs="宋体"/>
                <w:color w:val="000000"/>
                <w:kern w:val="0"/>
                <w:sz w:val="20"/>
                <w:szCs w:val="20"/>
                <w:highlight w:val="none"/>
                <w:lang w:val="en-US" w:eastAsia="zh-CN"/>
              </w:rPr>
              <w:t>3</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信号旗</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颜色：黄色；尺寸：27*22CM±</w:t>
            </w:r>
            <w:r>
              <w:rPr>
                <w:rFonts w:hint="eastAsia" w:cs="宋体"/>
                <w:color w:val="000000"/>
                <w:kern w:val="0"/>
                <w:sz w:val="20"/>
                <w:szCs w:val="20"/>
                <w:highlight w:val="none"/>
                <w:lang w:val="en-US" w:eastAsia="zh-CN"/>
              </w:rPr>
              <w:t>1CM</w:t>
            </w:r>
            <w:r>
              <w:rPr>
                <w:rFonts w:hint="eastAsia" w:ascii="宋体" w:hAnsi="宋体" w:cs="宋体"/>
                <w:color w:val="000000"/>
                <w:kern w:val="0"/>
                <w:sz w:val="20"/>
                <w:szCs w:val="20"/>
                <w:highlight w:val="none"/>
              </w:rPr>
              <w:t>； 旗杆长：35CM</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思源30</w:t>
            </w:r>
          </w:p>
        </w:tc>
      </w:tr>
      <w:tr>
        <w:tblPrEx>
          <w:tblCellMar>
            <w:top w:w="0" w:type="dxa"/>
            <w:left w:w="108" w:type="dxa"/>
            <w:bottom w:w="0" w:type="dxa"/>
            <w:right w:w="108" w:type="dxa"/>
          </w:tblCellMar>
        </w:tblPrEx>
        <w:trPr>
          <w:trHeight w:val="1652"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rPr>
              <w:t>2</w:t>
            </w:r>
            <w:r>
              <w:rPr>
                <w:rFonts w:hint="eastAsia" w:cs="宋体"/>
                <w:color w:val="000000"/>
                <w:kern w:val="0"/>
                <w:sz w:val="20"/>
                <w:szCs w:val="20"/>
                <w:highlight w:val="none"/>
                <w:lang w:val="en-US" w:eastAsia="zh-CN"/>
              </w:rPr>
              <w:t>4</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20"/>
                <w:szCs w:val="20"/>
                <w:highlight w:val="none"/>
              </w:rPr>
            </w:pPr>
            <w:r>
              <w:rPr>
                <w:rFonts w:ascii="Arial" w:hAnsi="Arial" w:cs="Arial"/>
                <w:color w:val="000000"/>
                <w:kern w:val="0"/>
                <w:sz w:val="20"/>
                <w:szCs w:val="20"/>
                <w:highlight w:val="none"/>
              </w:rPr>
              <w:t>健身房PU</w:t>
            </w:r>
            <w:r>
              <w:rPr>
                <w:rFonts w:hint="eastAsia" w:ascii="宋体" w:hAnsi="宋体" w:cs="宋体"/>
                <w:color w:val="000000"/>
                <w:kern w:val="0"/>
                <w:sz w:val="20"/>
                <w:szCs w:val="20"/>
                <w:highlight w:val="none"/>
              </w:rPr>
              <w:t xml:space="preserve">杠铃组合套装   </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组立尺寸：2000*2200*高</w:t>
            </w:r>
            <w:r>
              <w:rPr>
                <w:rFonts w:hint="eastAsia" w:ascii="宋体" w:hAnsi="宋体" w:cs="宋体"/>
                <w:i/>
                <w:iCs/>
                <w:color w:val="000000"/>
                <w:kern w:val="0"/>
                <w:sz w:val="20"/>
                <w:szCs w:val="20"/>
                <w:highlight w:val="none"/>
              </w:rPr>
              <w:t>2</w:t>
            </w:r>
            <w:r>
              <w:rPr>
                <w:rFonts w:hint="eastAsia" w:ascii="宋体" w:hAnsi="宋体" w:cs="宋体"/>
                <w:color w:val="000000"/>
                <w:kern w:val="0"/>
                <w:sz w:val="20"/>
                <w:szCs w:val="20"/>
                <w:highlight w:val="none"/>
              </w:rPr>
              <w:t>230MM±</w:t>
            </w:r>
            <w:r>
              <w:rPr>
                <w:rFonts w:hint="eastAsia" w:cs="宋体"/>
                <w:color w:val="000000"/>
                <w:kern w:val="0"/>
                <w:sz w:val="20"/>
                <w:szCs w:val="20"/>
                <w:highlight w:val="none"/>
                <w:lang w:val="en-US" w:eastAsia="zh-CN"/>
              </w:rPr>
              <w:t>20</w:t>
            </w:r>
            <w:r>
              <w:rPr>
                <w:rFonts w:hint="eastAsia" w:ascii="宋体" w:hAnsi="宋体" w:cs="宋体"/>
                <w:color w:val="000000"/>
                <w:kern w:val="0"/>
                <w:sz w:val="20"/>
                <w:szCs w:val="20"/>
                <w:highlight w:val="none"/>
                <w:lang w:val="en-US" w:eastAsia="zh-CN"/>
              </w:rPr>
              <w:t>mm</w:t>
            </w:r>
            <w:r>
              <w:rPr>
                <w:rFonts w:hint="eastAsia" w:ascii="宋体" w:hAnsi="宋体" w:cs="宋体"/>
                <w:color w:val="000000"/>
                <w:kern w:val="0"/>
                <w:sz w:val="20"/>
                <w:szCs w:val="20"/>
                <w:highlight w:val="none"/>
              </w:rPr>
              <w:t>；9档可调节；龙门架+哑铃凳；防汗PVC皮革;配手抓大孔胶包全铁50公斤+220CM奥杠、10kg*2、5kg*4、2.5kg*4</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思源1</w:t>
            </w:r>
          </w:p>
        </w:tc>
      </w:tr>
      <w:tr>
        <w:tblPrEx>
          <w:tblCellMar>
            <w:top w:w="0" w:type="dxa"/>
            <w:left w:w="108" w:type="dxa"/>
            <w:bottom w:w="0" w:type="dxa"/>
            <w:right w:w="108" w:type="dxa"/>
          </w:tblCellMar>
        </w:tblPrEx>
        <w:trPr>
          <w:trHeight w:val="338"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0"/>
                <w:szCs w:val="20"/>
                <w:highlight w:val="none"/>
                <w:lang w:eastAsia="zh-CN"/>
              </w:rPr>
            </w:pPr>
            <w:r>
              <w:rPr>
                <w:rFonts w:hint="eastAsia" w:ascii="宋体" w:hAnsi="宋体" w:cs="宋体"/>
                <w:color w:val="auto"/>
                <w:kern w:val="0"/>
                <w:sz w:val="20"/>
                <w:szCs w:val="20"/>
                <w:highlight w:val="none"/>
              </w:rPr>
              <w:t>2</w:t>
            </w:r>
            <w:r>
              <w:rPr>
                <w:rFonts w:hint="eastAsia" w:cs="宋体"/>
                <w:color w:val="auto"/>
                <w:kern w:val="0"/>
                <w:sz w:val="20"/>
                <w:szCs w:val="20"/>
                <w:highlight w:val="none"/>
                <w:lang w:val="en-US" w:eastAsia="zh-CN"/>
              </w:rPr>
              <w:t>5</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绳梯</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20米；圆木40厘米间距</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条</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0"/>
                <w:szCs w:val="20"/>
                <w:highlight w:val="none"/>
                <w:lang w:eastAsia="zh-CN"/>
              </w:rPr>
            </w:pPr>
            <w:r>
              <w:rPr>
                <w:rFonts w:hint="eastAsia" w:ascii="宋体" w:hAnsi="宋体" w:cs="宋体"/>
                <w:color w:val="auto"/>
                <w:kern w:val="0"/>
                <w:sz w:val="20"/>
                <w:szCs w:val="20"/>
                <w:highlight w:val="none"/>
              </w:rPr>
              <w:t>思源小学</w:t>
            </w:r>
            <w:r>
              <w:rPr>
                <w:rFonts w:hint="eastAsia" w:ascii="宋体" w:hAnsi="宋体" w:cs="宋体"/>
                <w:color w:val="auto"/>
                <w:kern w:val="0"/>
                <w:sz w:val="20"/>
                <w:szCs w:val="20"/>
                <w:highlight w:val="none"/>
                <w:lang w:val="en-US" w:eastAsia="zh-CN"/>
              </w:rPr>
              <w:t>2</w:t>
            </w:r>
          </w:p>
        </w:tc>
      </w:tr>
      <w:tr>
        <w:tblPrEx>
          <w:tblCellMar>
            <w:top w:w="0" w:type="dxa"/>
            <w:left w:w="108" w:type="dxa"/>
            <w:bottom w:w="0" w:type="dxa"/>
            <w:right w:w="108" w:type="dxa"/>
          </w:tblCellMar>
        </w:tblPrEx>
        <w:trPr>
          <w:trHeight w:val="338"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0"/>
                <w:szCs w:val="20"/>
                <w:highlight w:val="none"/>
                <w:lang w:eastAsia="zh-CN"/>
              </w:rPr>
            </w:pPr>
            <w:r>
              <w:rPr>
                <w:rFonts w:hint="eastAsia" w:ascii="宋体" w:hAnsi="宋体" w:cs="宋体"/>
                <w:color w:val="auto"/>
                <w:kern w:val="0"/>
                <w:sz w:val="20"/>
                <w:szCs w:val="20"/>
                <w:highlight w:val="none"/>
              </w:rPr>
              <w:t>2</w:t>
            </w:r>
            <w:r>
              <w:rPr>
                <w:rFonts w:hint="eastAsia" w:cs="宋体"/>
                <w:color w:val="auto"/>
                <w:kern w:val="0"/>
                <w:sz w:val="20"/>
                <w:szCs w:val="20"/>
                <w:highlight w:val="none"/>
                <w:lang w:val="en-US" w:eastAsia="zh-CN"/>
              </w:rPr>
              <w:t>6</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绳梯</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10米；圆木40厘米间距</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条</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0"/>
                <w:szCs w:val="20"/>
                <w:highlight w:val="none"/>
                <w:lang w:eastAsia="zh-CN"/>
              </w:rPr>
            </w:pPr>
            <w:r>
              <w:rPr>
                <w:rFonts w:hint="eastAsia" w:ascii="宋体" w:hAnsi="宋体" w:cs="宋体"/>
                <w:color w:val="auto"/>
                <w:kern w:val="0"/>
                <w:sz w:val="20"/>
                <w:szCs w:val="20"/>
                <w:highlight w:val="none"/>
              </w:rPr>
              <w:t>思源小学</w:t>
            </w:r>
            <w:r>
              <w:rPr>
                <w:rFonts w:hint="eastAsia" w:ascii="宋体" w:hAnsi="宋体" w:cs="宋体"/>
                <w:color w:val="auto"/>
                <w:kern w:val="0"/>
                <w:sz w:val="20"/>
                <w:szCs w:val="20"/>
                <w:highlight w:val="none"/>
                <w:lang w:val="en-US" w:eastAsia="zh-CN"/>
              </w:rPr>
              <w:t>2</w:t>
            </w:r>
          </w:p>
        </w:tc>
      </w:tr>
      <w:tr>
        <w:tblPrEx>
          <w:tblCellMar>
            <w:top w:w="0" w:type="dxa"/>
            <w:left w:w="108" w:type="dxa"/>
            <w:bottom w:w="0" w:type="dxa"/>
            <w:right w:w="108" w:type="dxa"/>
          </w:tblCellMar>
        </w:tblPrEx>
        <w:trPr>
          <w:trHeight w:val="667"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rPr>
              <w:t>2</w:t>
            </w:r>
            <w:r>
              <w:rPr>
                <w:rFonts w:hint="eastAsia" w:cs="宋体"/>
                <w:color w:val="000000"/>
                <w:kern w:val="0"/>
                <w:sz w:val="20"/>
                <w:szCs w:val="20"/>
                <w:highlight w:val="none"/>
                <w:lang w:val="en-US" w:eastAsia="zh-CN"/>
              </w:rPr>
              <w:t>7</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飞碟</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尺寸：直径275MM*厚度32MM±</w:t>
            </w:r>
            <w:r>
              <w:rPr>
                <w:rFonts w:hint="eastAsia" w:cs="宋体"/>
                <w:color w:val="000000"/>
                <w:kern w:val="0"/>
                <w:sz w:val="20"/>
                <w:szCs w:val="20"/>
                <w:highlight w:val="none"/>
                <w:lang w:val="en-US" w:eastAsia="zh-CN"/>
              </w:rPr>
              <w:t>5MM</w:t>
            </w:r>
            <w:r>
              <w:rPr>
                <w:rFonts w:hint="eastAsia" w:ascii="宋体" w:hAnsi="宋体" w:cs="宋体"/>
                <w:color w:val="000000"/>
                <w:kern w:val="0"/>
                <w:sz w:val="20"/>
                <w:szCs w:val="20"/>
                <w:highlight w:val="none"/>
              </w:rPr>
              <w:t>；材质PE</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50</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思源小学50</w:t>
            </w:r>
          </w:p>
        </w:tc>
      </w:tr>
      <w:tr>
        <w:tblPrEx>
          <w:tblCellMar>
            <w:top w:w="0" w:type="dxa"/>
            <w:left w:w="108" w:type="dxa"/>
            <w:bottom w:w="0" w:type="dxa"/>
            <w:right w:w="108" w:type="dxa"/>
          </w:tblCellMar>
        </w:tblPrEx>
        <w:trPr>
          <w:trHeight w:val="338"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rPr>
              <w:t>2</w:t>
            </w:r>
            <w:r>
              <w:rPr>
                <w:rFonts w:hint="eastAsia" w:cs="宋体"/>
                <w:color w:val="000000"/>
                <w:kern w:val="0"/>
                <w:sz w:val="20"/>
                <w:szCs w:val="20"/>
                <w:highlight w:val="none"/>
                <w:lang w:val="en-US" w:eastAsia="zh-CN"/>
              </w:rPr>
              <w:t>8</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标志桶</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50CM加厚带孔</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10</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思源小学10</w:t>
            </w:r>
          </w:p>
        </w:tc>
      </w:tr>
      <w:tr>
        <w:tblPrEx>
          <w:tblCellMar>
            <w:top w:w="0" w:type="dxa"/>
            <w:left w:w="108" w:type="dxa"/>
            <w:bottom w:w="0" w:type="dxa"/>
            <w:right w:w="108" w:type="dxa"/>
          </w:tblCellMar>
        </w:tblPrEx>
        <w:trPr>
          <w:trHeight w:val="338"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cs="宋体"/>
                <w:color w:val="000000"/>
                <w:kern w:val="0"/>
                <w:sz w:val="20"/>
                <w:szCs w:val="20"/>
                <w:highlight w:val="none"/>
                <w:lang w:val="en-US" w:eastAsia="zh-CN"/>
              </w:rPr>
              <w:t>29</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标志盘</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18CM加厚</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50</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思源小学50</w:t>
            </w:r>
          </w:p>
        </w:tc>
      </w:tr>
      <w:tr>
        <w:tblPrEx>
          <w:tblCellMar>
            <w:top w:w="0" w:type="dxa"/>
            <w:left w:w="108" w:type="dxa"/>
            <w:bottom w:w="0" w:type="dxa"/>
            <w:right w:w="108" w:type="dxa"/>
          </w:tblCellMar>
        </w:tblPrEx>
        <w:trPr>
          <w:trHeight w:val="667"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rPr>
              <w:t>3</w:t>
            </w:r>
            <w:r>
              <w:rPr>
                <w:rFonts w:hint="eastAsia" w:cs="宋体"/>
                <w:color w:val="000000"/>
                <w:kern w:val="0"/>
                <w:sz w:val="20"/>
                <w:szCs w:val="20"/>
                <w:highlight w:val="none"/>
                <w:lang w:val="en-US" w:eastAsia="zh-CN"/>
              </w:rPr>
              <w:t>0</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呼啦圈</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直径75CM；4MM海绵</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100</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思源小学50、番阳50</w:t>
            </w:r>
          </w:p>
        </w:tc>
      </w:tr>
      <w:tr>
        <w:tblPrEx>
          <w:tblCellMar>
            <w:top w:w="0" w:type="dxa"/>
            <w:left w:w="108" w:type="dxa"/>
            <w:bottom w:w="0" w:type="dxa"/>
            <w:right w:w="108" w:type="dxa"/>
          </w:tblCellMar>
        </w:tblPrEx>
        <w:trPr>
          <w:trHeight w:val="338"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rPr>
              <w:t>3</w:t>
            </w:r>
            <w:r>
              <w:rPr>
                <w:rFonts w:hint="eastAsia" w:cs="宋体"/>
                <w:color w:val="000000"/>
                <w:kern w:val="0"/>
                <w:sz w:val="20"/>
                <w:szCs w:val="20"/>
                <w:highlight w:val="none"/>
                <w:lang w:val="en-US" w:eastAsia="zh-CN"/>
              </w:rPr>
              <w:t>1</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呼啦圈</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直径60CM；4MM海绵</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50</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思源小学50</w:t>
            </w:r>
          </w:p>
        </w:tc>
      </w:tr>
      <w:tr>
        <w:tblPrEx>
          <w:tblCellMar>
            <w:top w:w="0" w:type="dxa"/>
            <w:left w:w="108" w:type="dxa"/>
            <w:bottom w:w="0" w:type="dxa"/>
            <w:right w:w="108" w:type="dxa"/>
          </w:tblCellMar>
        </w:tblPrEx>
        <w:trPr>
          <w:trHeight w:val="667"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rPr>
              <w:t>3</w:t>
            </w:r>
            <w:r>
              <w:rPr>
                <w:rFonts w:hint="eastAsia" w:cs="宋体"/>
                <w:color w:val="000000"/>
                <w:kern w:val="0"/>
                <w:sz w:val="20"/>
                <w:szCs w:val="20"/>
                <w:highlight w:val="none"/>
                <w:lang w:val="en-US" w:eastAsia="zh-CN"/>
              </w:rPr>
              <w:t>2</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呼啦圈</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直径55CM</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158</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思源小学50、布伦30、红山78</w:t>
            </w:r>
          </w:p>
        </w:tc>
      </w:tr>
      <w:tr>
        <w:tblPrEx>
          <w:tblCellMar>
            <w:top w:w="0" w:type="dxa"/>
            <w:left w:w="108" w:type="dxa"/>
            <w:bottom w:w="0" w:type="dxa"/>
            <w:right w:w="108" w:type="dxa"/>
          </w:tblCellMar>
        </w:tblPrEx>
        <w:trPr>
          <w:trHeight w:val="1084"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rPr>
              <w:t>3</w:t>
            </w:r>
            <w:r>
              <w:rPr>
                <w:rFonts w:hint="eastAsia" w:cs="宋体"/>
                <w:color w:val="000000"/>
                <w:kern w:val="0"/>
                <w:sz w:val="20"/>
                <w:szCs w:val="20"/>
                <w:highlight w:val="none"/>
                <w:lang w:val="en-US" w:eastAsia="zh-CN"/>
              </w:rPr>
              <w:t>3</w:t>
            </w:r>
          </w:p>
        </w:tc>
        <w:tc>
          <w:tcPr>
            <w:tcW w:w="135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毽子</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尺寸：底座直径3.6*底座高度1.5CM，高度约21CM；材质：精选毛片粗杆、鹅毛</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955</w:t>
            </w:r>
          </w:p>
        </w:tc>
        <w:tc>
          <w:tcPr>
            <w:tcW w:w="84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一小800、布伦40、孔首15、红山100</w:t>
            </w:r>
          </w:p>
        </w:tc>
      </w:tr>
      <w:tr>
        <w:tblPrEx>
          <w:tblCellMar>
            <w:top w:w="0" w:type="dxa"/>
            <w:left w:w="108" w:type="dxa"/>
            <w:bottom w:w="0" w:type="dxa"/>
            <w:right w:w="108" w:type="dxa"/>
          </w:tblCellMar>
        </w:tblPrEx>
        <w:trPr>
          <w:trHeight w:val="667"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rPr>
              <w:t>3</w:t>
            </w:r>
            <w:r>
              <w:rPr>
                <w:rFonts w:hint="eastAsia" w:cs="宋体"/>
                <w:color w:val="000000"/>
                <w:kern w:val="0"/>
                <w:sz w:val="20"/>
                <w:szCs w:val="20"/>
                <w:highlight w:val="none"/>
                <w:lang w:val="en-US" w:eastAsia="zh-CN"/>
              </w:rPr>
              <w:t>4</w:t>
            </w:r>
          </w:p>
        </w:tc>
        <w:tc>
          <w:tcPr>
            <w:tcW w:w="135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长跳绳</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材质：棉麻；7米</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212</w:t>
            </w:r>
          </w:p>
        </w:tc>
        <w:tc>
          <w:tcPr>
            <w:tcW w:w="84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条</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一小200、福关6、福利6</w:t>
            </w:r>
          </w:p>
        </w:tc>
      </w:tr>
      <w:tr>
        <w:tblPrEx>
          <w:tblCellMar>
            <w:top w:w="0" w:type="dxa"/>
            <w:left w:w="108" w:type="dxa"/>
            <w:bottom w:w="0" w:type="dxa"/>
            <w:right w:w="108" w:type="dxa"/>
          </w:tblCellMar>
        </w:tblPrEx>
        <w:trPr>
          <w:trHeight w:val="2309"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0"/>
                <w:szCs w:val="20"/>
                <w:highlight w:val="none"/>
                <w:lang w:eastAsia="zh-CN"/>
              </w:rPr>
            </w:pPr>
            <w:r>
              <w:rPr>
                <w:rFonts w:hint="eastAsia" w:ascii="宋体" w:hAnsi="宋体" w:cs="宋体"/>
                <w:color w:val="auto"/>
                <w:kern w:val="0"/>
                <w:sz w:val="20"/>
                <w:szCs w:val="20"/>
                <w:highlight w:val="none"/>
              </w:rPr>
              <w:t>3</w:t>
            </w:r>
            <w:r>
              <w:rPr>
                <w:rFonts w:hint="eastAsia" w:cs="宋体"/>
                <w:color w:val="auto"/>
                <w:kern w:val="0"/>
                <w:sz w:val="20"/>
                <w:szCs w:val="20"/>
                <w:highlight w:val="none"/>
                <w:lang w:val="en-US" w:eastAsia="zh-CN"/>
              </w:rPr>
              <w:t>5</w:t>
            </w:r>
          </w:p>
        </w:tc>
        <w:tc>
          <w:tcPr>
            <w:tcW w:w="135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短跳绳</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2.6m；材质：PVC+海棉</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820</w:t>
            </w:r>
          </w:p>
        </w:tc>
        <w:tc>
          <w:tcPr>
            <w:tcW w:w="84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条</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一小510、毛路20、毛栈20、毛旦20、牙胡20、布伦10、加艾10、毛组20、南打20、畅好150、福关10、福利10</w:t>
            </w:r>
          </w:p>
        </w:tc>
      </w:tr>
      <w:tr>
        <w:tblPrEx>
          <w:tblCellMar>
            <w:top w:w="0" w:type="dxa"/>
            <w:left w:w="108" w:type="dxa"/>
            <w:bottom w:w="0" w:type="dxa"/>
            <w:right w:w="108" w:type="dxa"/>
          </w:tblCellMar>
        </w:tblPrEx>
        <w:trPr>
          <w:trHeight w:val="667"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rPr>
              <w:t>3</w:t>
            </w:r>
            <w:r>
              <w:rPr>
                <w:rFonts w:hint="eastAsia" w:cs="宋体"/>
                <w:color w:val="000000"/>
                <w:kern w:val="0"/>
                <w:sz w:val="20"/>
                <w:szCs w:val="20"/>
                <w:highlight w:val="none"/>
                <w:lang w:val="en-US" w:eastAsia="zh-CN"/>
              </w:rPr>
              <w:t>6</w:t>
            </w:r>
          </w:p>
        </w:tc>
        <w:tc>
          <w:tcPr>
            <w:tcW w:w="135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纤维高跷</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材质：榉木；尺寸：120*3.5CM</w:t>
            </w:r>
            <w:r>
              <w:rPr>
                <w:rFonts w:hint="eastAsia" w:ascii="Tahoma" w:hAnsi="Tahoma" w:eastAsia="Tahoma" w:cs="Tahoma"/>
                <w:color w:val="000000"/>
                <w:kern w:val="0"/>
                <w:sz w:val="20"/>
                <w:szCs w:val="20"/>
                <w:highlight w:val="none"/>
              </w:rPr>
              <w:t>±</w:t>
            </w:r>
            <w:r>
              <w:rPr>
                <w:rFonts w:hint="eastAsia" w:cs="宋体"/>
                <w:color w:val="000000"/>
                <w:kern w:val="0"/>
                <w:sz w:val="20"/>
                <w:szCs w:val="20"/>
                <w:highlight w:val="none"/>
                <w:lang w:val="en-US" w:eastAsia="zh-CN"/>
              </w:rPr>
              <w:t>0.5C</w:t>
            </w:r>
            <w:r>
              <w:rPr>
                <w:rFonts w:hint="eastAsia" w:ascii="宋体" w:hAnsi="宋体" w:cs="宋体"/>
                <w:color w:val="000000"/>
                <w:kern w:val="0"/>
                <w:sz w:val="20"/>
                <w:szCs w:val="20"/>
                <w:highlight w:val="none"/>
                <w:lang w:val="en-US" w:eastAsia="zh-CN"/>
              </w:rPr>
              <w:t>m</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50</w:t>
            </w:r>
          </w:p>
        </w:tc>
        <w:tc>
          <w:tcPr>
            <w:tcW w:w="84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付</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一小10、番阳30、红山10</w:t>
            </w:r>
          </w:p>
        </w:tc>
      </w:tr>
      <w:tr>
        <w:tblPrEx>
          <w:tblCellMar>
            <w:top w:w="0" w:type="dxa"/>
            <w:left w:w="108" w:type="dxa"/>
            <w:bottom w:w="0" w:type="dxa"/>
            <w:right w:w="108" w:type="dxa"/>
          </w:tblCellMar>
        </w:tblPrEx>
        <w:trPr>
          <w:trHeight w:val="667"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cs="宋体"/>
                <w:color w:val="000000"/>
                <w:kern w:val="0"/>
                <w:sz w:val="20"/>
                <w:szCs w:val="20"/>
                <w:highlight w:val="none"/>
                <w:lang w:val="en-US" w:eastAsia="zh-CN"/>
              </w:rPr>
              <w:t>37</w:t>
            </w:r>
          </w:p>
        </w:tc>
        <w:tc>
          <w:tcPr>
            <w:tcW w:w="135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板鞋</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尺寸：100*10*2CM±</w:t>
            </w:r>
            <w:r>
              <w:rPr>
                <w:rFonts w:hint="eastAsia" w:cs="宋体"/>
                <w:color w:val="000000"/>
                <w:kern w:val="0"/>
                <w:sz w:val="20"/>
                <w:szCs w:val="20"/>
                <w:highlight w:val="none"/>
                <w:lang w:val="en-US" w:eastAsia="zh-CN"/>
              </w:rPr>
              <w:t>0.5CM</w:t>
            </w:r>
            <w:r>
              <w:rPr>
                <w:rFonts w:hint="eastAsia" w:ascii="宋体" w:hAnsi="宋体" w:cs="宋体"/>
                <w:color w:val="000000"/>
                <w:kern w:val="0"/>
                <w:sz w:val="20"/>
                <w:szCs w:val="20"/>
                <w:highlight w:val="none"/>
              </w:rPr>
              <w:t>；材质：松木</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40</w:t>
            </w:r>
          </w:p>
        </w:tc>
        <w:tc>
          <w:tcPr>
            <w:tcW w:w="84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付</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一小20、红山20</w:t>
            </w:r>
          </w:p>
        </w:tc>
      </w:tr>
      <w:tr>
        <w:tblPrEx>
          <w:tblCellMar>
            <w:top w:w="0" w:type="dxa"/>
            <w:left w:w="108" w:type="dxa"/>
            <w:bottom w:w="0" w:type="dxa"/>
            <w:right w:w="108" w:type="dxa"/>
          </w:tblCellMar>
        </w:tblPrEx>
        <w:trPr>
          <w:trHeight w:val="1324"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cs="宋体"/>
                <w:color w:val="000000"/>
                <w:kern w:val="0"/>
                <w:sz w:val="20"/>
                <w:szCs w:val="20"/>
                <w:highlight w:val="none"/>
                <w:lang w:val="en-US" w:eastAsia="zh-CN"/>
              </w:rPr>
              <w:t>37</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秒表</w:t>
            </w:r>
            <w:r>
              <w:rPr>
                <w:rStyle w:val="39"/>
                <w:rFonts w:hint="default"/>
                <w:highlight w:val="none"/>
              </w:rPr>
              <w:t xml:space="preserve"> </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000000"/>
                <w:sz w:val="20"/>
                <w:szCs w:val="20"/>
                <w:highlight w:val="none"/>
                <w:lang w:val="en-US"/>
              </w:rPr>
            </w:pPr>
            <w:r>
              <w:rPr>
                <w:rFonts w:hint="eastAsia" w:ascii="宋体" w:hAnsi="宋体" w:cs="宋体"/>
                <w:color w:val="000000"/>
                <w:kern w:val="0"/>
                <w:sz w:val="20"/>
                <w:szCs w:val="20"/>
                <w:highlight w:val="none"/>
              </w:rPr>
              <w:t>30道；82*62*20MM</w:t>
            </w:r>
            <w:r>
              <w:rPr>
                <w:rFonts w:hint="eastAsia" w:ascii="宋体" w:hAnsi="宋体" w:cs="宋体"/>
                <w:color w:val="000000"/>
                <w:kern w:val="0"/>
                <w:sz w:val="20"/>
                <w:szCs w:val="20"/>
                <w:highlight w:val="none"/>
                <w:lang w:val="en-US" w:eastAsia="zh-CN"/>
              </w:rPr>
              <w:t>±5</w:t>
            </w:r>
            <w:r>
              <w:rPr>
                <w:rFonts w:hint="eastAsia" w:cs="宋体"/>
                <w:color w:val="000000"/>
                <w:kern w:val="0"/>
                <w:sz w:val="20"/>
                <w:szCs w:val="20"/>
                <w:highlight w:val="none"/>
                <w:lang w:val="en-US" w:eastAsia="zh-CN"/>
              </w:rPr>
              <w:t>MM</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61</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块</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三小2、布伦1、加艾1、南打1、畅好6、一小20、畅好20、番阳10</w:t>
            </w:r>
          </w:p>
        </w:tc>
      </w:tr>
      <w:tr>
        <w:tblPrEx>
          <w:tblCellMar>
            <w:top w:w="0" w:type="dxa"/>
            <w:left w:w="108" w:type="dxa"/>
            <w:bottom w:w="0" w:type="dxa"/>
            <w:right w:w="108" w:type="dxa"/>
          </w:tblCellMar>
        </w:tblPrEx>
        <w:trPr>
          <w:trHeight w:val="667"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cs="宋体"/>
                <w:color w:val="000000"/>
                <w:kern w:val="0"/>
                <w:sz w:val="20"/>
                <w:szCs w:val="20"/>
                <w:highlight w:val="none"/>
                <w:lang w:val="en-US" w:eastAsia="zh-CN"/>
              </w:rPr>
              <w:t>38</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皮尺</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50米</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卷</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三小2、福关1、福利1</w:t>
            </w:r>
          </w:p>
        </w:tc>
      </w:tr>
      <w:tr>
        <w:tblPrEx>
          <w:tblCellMar>
            <w:top w:w="0" w:type="dxa"/>
            <w:left w:w="108" w:type="dxa"/>
            <w:bottom w:w="0" w:type="dxa"/>
            <w:right w:w="108" w:type="dxa"/>
          </w:tblCellMar>
        </w:tblPrEx>
        <w:trPr>
          <w:trHeight w:val="90"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cs="宋体"/>
                <w:color w:val="000000"/>
                <w:kern w:val="0"/>
                <w:sz w:val="20"/>
                <w:szCs w:val="20"/>
                <w:highlight w:val="none"/>
                <w:lang w:val="en-US" w:eastAsia="zh-CN"/>
              </w:rPr>
              <w:t>39</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武术剑</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材质：弹簧钢；刃宽3.3厘米*刃长65厘米；带剑鞘</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50</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柄</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三小50</w:t>
            </w:r>
          </w:p>
        </w:tc>
      </w:tr>
      <w:tr>
        <w:tblPrEx>
          <w:tblCellMar>
            <w:top w:w="0" w:type="dxa"/>
            <w:left w:w="108" w:type="dxa"/>
            <w:bottom w:w="0" w:type="dxa"/>
            <w:right w:w="108" w:type="dxa"/>
          </w:tblCellMar>
        </w:tblPrEx>
        <w:trPr>
          <w:trHeight w:val="705"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cs="宋体"/>
                <w:color w:val="000000"/>
                <w:kern w:val="0"/>
                <w:sz w:val="20"/>
                <w:szCs w:val="20"/>
                <w:highlight w:val="none"/>
                <w:lang w:val="en-US" w:eastAsia="zh-CN"/>
              </w:rPr>
              <w:t>40</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武术刀</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刀身长65CM*手柄长17CM</w:t>
            </w:r>
            <w:r>
              <w:rPr>
                <w:rFonts w:hint="eastAsia" w:ascii="宋体" w:hAnsi="宋体" w:cs="宋体"/>
                <w:color w:val="000000"/>
                <w:kern w:val="0"/>
                <w:sz w:val="20"/>
                <w:szCs w:val="20"/>
                <w:highlight w:val="none"/>
                <w:lang w:val="en-US" w:eastAsia="zh-CN"/>
              </w:rPr>
              <w:t>±</w:t>
            </w:r>
            <w:r>
              <w:rPr>
                <w:rFonts w:hint="eastAsia" w:cs="宋体"/>
                <w:color w:val="000000"/>
                <w:kern w:val="0"/>
                <w:sz w:val="20"/>
                <w:szCs w:val="20"/>
                <w:highlight w:val="none"/>
                <w:lang w:val="en-US" w:eastAsia="zh-CN"/>
              </w:rPr>
              <w:t>1CM</w:t>
            </w:r>
            <w:r>
              <w:rPr>
                <w:rFonts w:hint="eastAsia" w:ascii="宋体" w:hAnsi="宋体" w:cs="宋体"/>
                <w:color w:val="000000"/>
                <w:kern w:val="0"/>
                <w:sz w:val="20"/>
                <w:szCs w:val="20"/>
                <w:highlight w:val="none"/>
              </w:rPr>
              <w:t>；教质：高碳钢；带刀鞘</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50</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柄</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三小50</w:t>
            </w:r>
          </w:p>
        </w:tc>
      </w:tr>
      <w:tr>
        <w:tblPrEx>
          <w:tblCellMar>
            <w:top w:w="0" w:type="dxa"/>
            <w:left w:w="108" w:type="dxa"/>
            <w:bottom w:w="0" w:type="dxa"/>
            <w:right w:w="108" w:type="dxa"/>
          </w:tblCellMar>
        </w:tblPrEx>
        <w:trPr>
          <w:trHeight w:val="494"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cs="宋体"/>
                <w:color w:val="000000"/>
                <w:kern w:val="0"/>
                <w:sz w:val="20"/>
                <w:szCs w:val="20"/>
                <w:highlight w:val="none"/>
                <w:lang w:val="en-US" w:eastAsia="zh-CN"/>
              </w:rPr>
              <w:t>41</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武术棍</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1.8M，直径2.2CM</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50</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根</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三小50</w:t>
            </w:r>
          </w:p>
        </w:tc>
      </w:tr>
      <w:tr>
        <w:tblPrEx>
          <w:tblCellMar>
            <w:top w:w="0" w:type="dxa"/>
            <w:left w:w="108" w:type="dxa"/>
            <w:bottom w:w="0" w:type="dxa"/>
            <w:right w:w="108" w:type="dxa"/>
          </w:tblCellMar>
        </w:tblPrEx>
        <w:trPr>
          <w:trHeight w:val="389"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cs="宋体"/>
                <w:color w:val="000000"/>
                <w:kern w:val="0"/>
                <w:sz w:val="20"/>
                <w:szCs w:val="20"/>
                <w:highlight w:val="none"/>
                <w:lang w:val="en-US" w:eastAsia="zh-CN"/>
              </w:rPr>
              <w:t>42</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拔河绳</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白麻，8.8丈</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根</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三小2、孔首1</w:t>
            </w:r>
          </w:p>
        </w:tc>
      </w:tr>
      <w:tr>
        <w:tblPrEx>
          <w:tblCellMar>
            <w:top w:w="0" w:type="dxa"/>
            <w:left w:w="108" w:type="dxa"/>
            <w:bottom w:w="0" w:type="dxa"/>
            <w:right w:w="108" w:type="dxa"/>
          </w:tblCellMar>
        </w:tblPrEx>
        <w:trPr>
          <w:trHeight w:val="3294"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cs="宋体"/>
                <w:color w:val="000000"/>
                <w:kern w:val="0"/>
                <w:sz w:val="20"/>
                <w:szCs w:val="20"/>
                <w:highlight w:val="none"/>
                <w:lang w:val="en-US" w:eastAsia="zh-CN"/>
              </w:rPr>
              <w:t>43</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篮球</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7号篮球/材质：PU</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437</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只</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三小50、毛阳20、毛路10、毛栈10、毛旦10、学周15、牙合15、牙胡7、牙力15、军民15、番阳50、布伦10、加艾10、孔首10、毛组10、南打10、畅好40、思源120、福关5、福利5</w:t>
            </w:r>
          </w:p>
        </w:tc>
      </w:tr>
      <w:tr>
        <w:tblPrEx>
          <w:tblCellMar>
            <w:top w:w="0" w:type="dxa"/>
            <w:left w:w="108" w:type="dxa"/>
            <w:bottom w:w="0" w:type="dxa"/>
            <w:right w:w="108" w:type="dxa"/>
          </w:tblCellMar>
        </w:tblPrEx>
        <w:trPr>
          <w:trHeight w:val="1652"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cs="宋体"/>
                <w:color w:val="000000"/>
                <w:kern w:val="0"/>
                <w:sz w:val="20"/>
                <w:szCs w:val="20"/>
                <w:highlight w:val="none"/>
                <w:lang w:val="en-US" w:eastAsia="zh-CN"/>
              </w:rPr>
              <w:t>44</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排球</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5号球/材质PU</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170</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只</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三小30、毛路10、毛旦10、番阳40、加艾10、孔首10、毛组10、南打10、畅好40</w:t>
            </w:r>
          </w:p>
        </w:tc>
      </w:tr>
      <w:tr>
        <w:tblPrEx>
          <w:tblCellMar>
            <w:top w:w="0" w:type="dxa"/>
            <w:left w:w="108" w:type="dxa"/>
            <w:bottom w:w="0" w:type="dxa"/>
            <w:right w:w="108" w:type="dxa"/>
          </w:tblCellMar>
        </w:tblPrEx>
        <w:trPr>
          <w:trHeight w:val="2637"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cs="宋体"/>
                <w:color w:val="000000"/>
                <w:kern w:val="0"/>
                <w:sz w:val="20"/>
                <w:szCs w:val="20"/>
                <w:highlight w:val="none"/>
                <w:lang w:val="en-US" w:eastAsia="zh-CN"/>
              </w:rPr>
              <w:t>45</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足球</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5号球/材质PU</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202</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只</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毛阳20、毛路10、毛栈5、学周10、牙合10、牙胡7、牙力10、军民10、布伦10、加艾10、孔首10、毛组10、南打10、畅好40、思源30</w:t>
            </w:r>
          </w:p>
        </w:tc>
      </w:tr>
      <w:tr>
        <w:tblPrEx>
          <w:tblCellMar>
            <w:top w:w="0" w:type="dxa"/>
            <w:left w:w="108" w:type="dxa"/>
            <w:bottom w:w="0" w:type="dxa"/>
            <w:right w:w="108" w:type="dxa"/>
          </w:tblCellMar>
        </w:tblPrEx>
        <w:trPr>
          <w:trHeight w:val="1324"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cs="宋体"/>
                <w:color w:val="000000"/>
                <w:kern w:val="0"/>
                <w:sz w:val="20"/>
                <w:szCs w:val="20"/>
                <w:highlight w:val="none"/>
                <w:lang w:val="en-US" w:eastAsia="zh-CN"/>
              </w:rPr>
              <w:t>46</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乒乓球台</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台面尺寸：2740*1525MM</w:t>
            </w:r>
            <w:r>
              <w:rPr>
                <w:rFonts w:hint="eastAsia" w:ascii="宋体" w:hAnsi="宋体" w:cs="宋体"/>
                <w:color w:val="000000"/>
                <w:kern w:val="0"/>
                <w:sz w:val="20"/>
                <w:szCs w:val="20"/>
                <w:highlight w:val="none"/>
                <w:lang w:val="en-US" w:eastAsia="zh-CN"/>
              </w:rPr>
              <w:t>±</w:t>
            </w:r>
            <w:r>
              <w:rPr>
                <w:rFonts w:hint="eastAsia" w:cs="宋体"/>
                <w:color w:val="000000"/>
                <w:kern w:val="0"/>
                <w:sz w:val="20"/>
                <w:szCs w:val="20"/>
                <w:highlight w:val="none"/>
                <w:lang w:val="en-US" w:eastAsia="zh-CN"/>
              </w:rPr>
              <w:t>10MM</w:t>
            </w:r>
            <w:r>
              <w:rPr>
                <w:rFonts w:hint="eastAsia" w:ascii="宋体" w:hAnsi="宋体" w:cs="宋体"/>
                <w:color w:val="000000"/>
                <w:kern w:val="0"/>
                <w:sz w:val="20"/>
                <w:szCs w:val="20"/>
                <w:highlight w:val="none"/>
              </w:rPr>
              <w:t>；面板材料15MM高密度纤维板；折叠式下架；配件：网架、球拍、球</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张</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三小2、福关1、福利1</w:t>
            </w:r>
          </w:p>
        </w:tc>
      </w:tr>
      <w:tr>
        <w:tblPrEx>
          <w:tblCellMar>
            <w:top w:w="0" w:type="dxa"/>
            <w:left w:w="108" w:type="dxa"/>
            <w:bottom w:w="0" w:type="dxa"/>
            <w:right w:w="108" w:type="dxa"/>
          </w:tblCellMar>
        </w:tblPrEx>
        <w:trPr>
          <w:trHeight w:val="995"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cs="宋体"/>
                <w:color w:val="000000"/>
                <w:kern w:val="0"/>
                <w:sz w:val="20"/>
                <w:szCs w:val="20"/>
                <w:highlight w:val="none"/>
                <w:lang w:val="en-US" w:eastAsia="zh-CN"/>
              </w:rPr>
              <w:t>47</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乒乓球</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20只/筒；材质：ABS</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129</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筒</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三小100、牙胡20南打5、福关2、福利2</w:t>
            </w:r>
          </w:p>
        </w:tc>
      </w:tr>
      <w:tr>
        <w:tblPrEx>
          <w:tblCellMar>
            <w:top w:w="0" w:type="dxa"/>
            <w:left w:w="108" w:type="dxa"/>
            <w:bottom w:w="0" w:type="dxa"/>
            <w:right w:w="108" w:type="dxa"/>
          </w:tblCellMar>
        </w:tblPrEx>
        <w:trPr>
          <w:trHeight w:val="995"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cs="宋体"/>
                <w:color w:val="000000"/>
                <w:kern w:val="0"/>
                <w:sz w:val="20"/>
                <w:szCs w:val="20"/>
                <w:highlight w:val="none"/>
                <w:lang w:val="en-US" w:eastAsia="zh-CN"/>
              </w:rPr>
              <w:t>48</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乒乓球拍</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底板7层；双面反胶；类型：横拍两只</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39</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付</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毛旦5、牙胡5、布伦15、南打10、福关2、福利2</w:t>
            </w:r>
          </w:p>
        </w:tc>
      </w:tr>
      <w:tr>
        <w:tblPrEx>
          <w:tblCellMar>
            <w:top w:w="0" w:type="dxa"/>
            <w:left w:w="108" w:type="dxa"/>
            <w:bottom w:w="0" w:type="dxa"/>
            <w:right w:w="108" w:type="dxa"/>
          </w:tblCellMar>
        </w:tblPrEx>
        <w:trPr>
          <w:trHeight w:val="1084"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cs="宋体"/>
                <w:color w:val="000000"/>
                <w:kern w:val="0"/>
                <w:sz w:val="20"/>
                <w:szCs w:val="20"/>
                <w:highlight w:val="none"/>
                <w:lang w:val="en-US" w:eastAsia="zh-CN"/>
              </w:rPr>
              <w:t>49</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羽毛球架</w:t>
            </w:r>
            <w:r>
              <w:rPr>
                <w:rStyle w:val="39"/>
                <w:rFonts w:hint="default"/>
                <w:highlight w:val="none"/>
              </w:rPr>
              <w:t xml:space="preserve"> </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材质：铁箱、钢管锛铁滑轮；箱体尺寸：60*40*30CM</w:t>
            </w:r>
            <w:r>
              <w:rPr>
                <w:rFonts w:hint="eastAsia" w:ascii="宋体" w:hAnsi="宋体" w:cs="宋体"/>
                <w:color w:val="000000"/>
                <w:kern w:val="0"/>
                <w:sz w:val="20"/>
                <w:szCs w:val="20"/>
                <w:highlight w:val="none"/>
                <w:lang w:val="en-US" w:eastAsia="zh-CN"/>
              </w:rPr>
              <w:t>±</w:t>
            </w:r>
            <w:r>
              <w:rPr>
                <w:rFonts w:hint="eastAsia" w:cs="宋体"/>
                <w:color w:val="000000"/>
                <w:kern w:val="0"/>
                <w:sz w:val="20"/>
                <w:szCs w:val="20"/>
                <w:highlight w:val="none"/>
                <w:lang w:val="en-US" w:eastAsia="zh-CN"/>
              </w:rPr>
              <w:t>1CM</w:t>
            </w:r>
            <w:r>
              <w:rPr>
                <w:rFonts w:hint="eastAsia" w:ascii="宋体" w:hAnsi="宋体" w:cs="宋体"/>
                <w:color w:val="000000"/>
                <w:kern w:val="0"/>
                <w:sz w:val="20"/>
                <w:szCs w:val="20"/>
                <w:highlight w:val="none"/>
              </w:rPr>
              <w:t>； 立柱90管；配件：球网</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付</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三小2、福关1、福利1</w:t>
            </w:r>
          </w:p>
        </w:tc>
      </w:tr>
      <w:tr>
        <w:tblPrEx>
          <w:tblCellMar>
            <w:top w:w="0" w:type="dxa"/>
            <w:left w:w="108" w:type="dxa"/>
            <w:bottom w:w="0" w:type="dxa"/>
            <w:right w:w="108" w:type="dxa"/>
          </w:tblCellMar>
        </w:tblPrEx>
        <w:trPr>
          <w:trHeight w:val="1324"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cs="宋体"/>
                <w:color w:val="000000"/>
                <w:kern w:val="0"/>
                <w:sz w:val="20"/>
                <w:szCs w:val="20"/>
                <w:highlight w:val="none"/>
                <w:lang w:val="en-US" w:eastAsia="zh-CN"/>
              </w:rPr>
              <w:t>50</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可移动篮球架</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篮板材质：PE边框+PC透明板/篮板尺寸110*72CM</w:t>
            </w:r>
            <w:r>
              <w:rPr>
                <w:rFonts w:hint="eastAsia" w:ascii="宋体" w:hAnsi="宋体" w:cs="宋体"/>
                <w:color w:val="000000"/>
                <w:kern w:val="0"/>
                <w:sz w:val="20"/>
                <w:szCs w:val="20"/>
                <w:highlight w:val="none"/>
                <w:lang w:val="en-US" w:eastAsia="zh-CN"/>
              </w:rPr>
              <w:t>±</w:t>
            </w:r>
            <w:r>
              <w:rPr>
                <w:rFonts w:hint="eastAsia" w:cs="宋体"/>
                <w:color w:val="000000"/>
                <w:kern w:val="0"/>
                <w:sz w:val="20"/>
                <w:szCs w:val="20"/>
                <w:highlight w:val="none"/>
                <w:lang w:val="en-US" w:eastAsia="zh-CN"/>
              </w:rPr>
              <w:t>1CM</w:t>
            </w:r>
            <w:r>
              <w:rPr>
                <w:rFonts w:hint="eastAsia" w:ascii="宋体" w:hAnsi="宋体" w:cs="宋体"/>
                <w:color w:val="000000"/>
                <w:kern w:val="0"/>
                <w:sz w:val="20"/>
                <w:szCs w:val="20"/>
                <w:highlight w:val="none"/>
              </w:rPr>
              <w:t>/篮框底架：115*75*17CM</w:t>
            </w:r>
            <w:r>
              <w:rPr>
                <w:rFonts w:hint="eastAsia" w:ascii="宋体" w:hAnsi="宋体" w:cs="宋体"/>
                <w:color w:val="000000"/>
                <w:kern w:val="0"/>
                <w:sz w:val="20"/>
                <w:szCs w:val="20"/>
                <w:highlight w:val="none"/>
                <w:lang w:val="en-US" w:eastAsia="zh-CN"/>
              </w:rPr>
              <w:t>±</w:t>
            </w:r>
            <w:r>
              <w:rPr>
                <w:rFonts w:hint="eastAsia" w:cs="宋体"/>
                <w:color w:val="000000"/>
                <w:kern w:val="0"/>
                <w:sz w:val="20"/>
                <w:szCs w:val="20"/>
                <w:highlight w:val="none"/>
                <w:lang w:val="en-US" w:eastAsia="zh-CN"/>
              </w:rPr>
              <w:t>1CM</w:t>
            </w:r>
            <w:r>
              <w:rPr>
                <w:rFonts w:hint="eastAsia" w:ascii="宋体" w:hAnsi="宋体" w:cs="宋体"/>
                <w:color w:val="000000"/>
                <w:kern w:val="0"/>
                <w:sz w:val="20"/>
                <w:szCs w:val="20"/>
                <w:highlight w:val="none"/>
              </w:rPr>
              <w:t>/篮圈直径：45CM</w:t>
            </w:r>
            <w:r>
              <w:rPr>
                <w:rFonts w:hint="eastAsia" w:ascii="宋体" w:hAnsi="宋体" w:cs="宋体"/>
                <w:color w:val="000000"/>
                <w:kern w:val="0"/>
                <w:sz w:val="20"/>
                <w:szCs w:val="20"/>
                <w:highlight w:val="none"/>
                <w:lang w:val="en-US" w:eastAsia="zh-CN"/>
              </w:rPr>
              <w:t>±</w:t>
            </w:r>
            <w:r>
              <w:rPr>
                <w:rFonts w:hint="eastAsia" w:cs="宋体"/>
                <w:color w:val="000000"/>
                <w:kern w:val="0"/>
                <w:sz w:val="20"/>
                <w:szCs w:val="20"/>
                <w:highlight w:val="none"/>
                <w:lang w:val="en-US" w:eastAsia="zh-CN"/>
              </w:rPr>
              <w:t>1CM</w:t>
            </w:r>
            <w:r>
              <w:rPr>
                <w:rFonts w:hint="eastAsia" w:ascii="宋体" w:hAnsi="宋体" w:cs="宋体"/>
                <w:color w:val="000000"/>
                <w:kern w:val="0"/>
                <w:sz w:val="20"/>
                <w:szCs w:val="20"/>
                <w:highlight w:val="none"/>
              </w:rPr>
              <w:t>/升降范围1.3-3.05M</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c>
          <w:tcPr>
            <w:tcW w:w="84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毛阳2、毛栈2、福关1、福利1</w:t>
            </w:r>
          </w:p>
        </w:tc>
      </w:tr>
      <w:tr>
        <w:tblPrEx>
          <w:tblCellMar>
            <w:top w:w="0" w:type="dxa"/>
            <w:left w:w="108" w:type="dxa"/>
            <w:bottom w:w="0" w:type="dxa"/>
            <w:right w:w="108" w:type="dxa"/>
          </w:tblCellMar>
        </w:tblPrEx>
        <w:trPr>
          <w:trHeight w:val="1823"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cs="宋体"/>
                <w:color w:val="000000"/>
                <w:kern w:val="0"/>
                <w:sz w:val="20"/>
                <w:szCs w:val="20"/>
                <w:highlight w:val="none"/>
                <w:lang w:val="en-US" w:eastAsia="zh-CN"/>
              </w:rPr>
              <w:t>51</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跳高垫</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可折叠2米*3米*30厘米35密度</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84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毛阳1、毛路1、毛栈1、毛旦1、学周1、牙合1、牙胡1、牙力1、军民1、番阳4、孔首1、畅好1</w:t>
            </w:r>
          </w:p>
        </w:tc>
      </w:tr>
      <w:tr>
        <w:tblPrEx>
          <w:tblCellMar>
            <w:top w:w="0" w:type="dxa"/>
            <w:left w:w="108" w:type="dxa"/>
            <w:bottom w:w="0" w:type="dxa"/>
            <w:right w:w="108" w:type="dxa"/>
          </w:tblCellMar>
        </w:tblPrEx>
        <w:trPr>
          <w:trHeight w:val="90"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cs="宋体"/>
                <w:color w:val="000000"/>
                <w:kern w:val="0"/>
                <w:sz w:val="20"/>
                <w:szCs w:val="20"/>
                <w:highlight w:val="none"/>
                <w:lang w:val="en-US" w:eastAsia="zh-CN"/>
              </w:rPr>
              <w:t>52</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垒球</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尺寸：10寸</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115</w:t>
            </w:r>
          </w:p>
        </w:tc>
        <w:tc>
          <w:tcPr>
            <w:tcW w:w="84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番阳50、孔首25、畅好40</w:t>
            </w:r>
          </w:p>
        </w:tc>
      </w:tr>
      <w:tr>
        <w:tblPrEx>
          <w:tblCellMar>
            <w:top w:w="0" w:type="dxa"/>
            <w:left w:w="108" w:type="dxa"/>
            <w:bottom w:w="0" w:type="dxa"/>
            <w:right w:w="108" w:type="dxa"/>
          </w:tblCellMar>
        </w:tblPrEx>
        <w:trPr>
          <w:trHeight w:val="667" w:hRule="atLeast"/>
        </w:trPr>
        <w:tc>
          <w:tcPr>
            <w:tcW w:w="688"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cs="宋体"/>
                <w:color w:val="000000"/>
                <w:kern w:val="0"/>
                <w:sz w:val="20"/>
                <w:szCs w:val="20"/>
                <w:highlight w:val="none"/>
                <w:lang w:val="en-US" w:eastAsia="zh-CN"/>
              </w:rPr>
              <w:t>53</w:t>
            </w:r>
          </w:p>
        </w:tc>
        <w:tc>
          <w:tcPr>
            <w:tcW w:w="1350"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电动打气筒</w:t>
            </w:r>
          </w:p>
        </w:tc>
        <w:tc>
          <w:tcPr>
            <w:tcW w:w="252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尺寸:25cm×17cm×10.5cm</w:t>
            </w:r>
            <w:r>
              <w:rPr>
                <w:rFonts w:hint="eastAsia" w:ascii="宋体" w:hAnsi="宋体" w:cs="宋体"/>
                <w:color w:val="000000"/>
                <w:kern w:val="0"/>
                <w:sz w:val="20"/>
                <w:szCs w:val="20"/>
                <w:highlight w:val="none"/>
                <w:lang w:val="en-US" w:eastAsia="zh-CN"/>
              </w:rPr>
              <w:t>±</w:t>
            </w:r>
            <w:r>
              <w:rPr>
                <w:rFonts w:hint="eastAsia" w:cs="宋体"/>
                <w:color w:val="000000"/>
                <w:kern w:val="0"/>
                <w:sz w:val="20"/>
                <w:szCs w:val="20"/>
                <w:highlight w:val="none"/>
                <w:lang w:val="en-US" w:eastAsia="zh-CN"/>
              </w:rPr>
              <w:t>1CM</w:t>
            </w:r>
            <w:r>
              <w:rPr>
                <w:rFonts w:hint="eastAsia" w:ascii="宋体" w:hAnsi="宋体" w:cs="宋体"/>
                <w:color w:val="000000"/>
                <w:kern w:val="0"/>
                <w:sz w:val="20"/>
                <w:szCs w:val="20"/>
                <w:highlight w:val="none"/>
              </w:rPr>
              <w:t xml:space="preserve"> 电源线：2M/220V</w:t>
            </w:r>
          </w:p>
        </w:tc>
        <w:tc>
          <w:tcPr>
            <w:tcW w:w="79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7</w:t>
            </w:r>
          </w:p>
        </w:tc>
        <w:tc>
          <w:tcPr>
            <w:tcW w:w="847" w:type="dxa"/>
            <w:gridSpan w:val="2"/>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847" w:type="dxa"/>
            <w:gridSpan w:val="3"/>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1125"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643"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畅好6、红山1</w:t>
            </w:r>
          </w:p>
        </w:tc>
      </w:tr>
      <w:tr>
        <w:tblPrEx>
          <w:tblCellMar>
            <w:top w:w="0" w:type="dxa"/>
            <w:left w:w="108" w:type="dxa"/>
            <w:bottom w:w="0" w:type="dxa"/>
            <w:right w:w="108" w:type="dxa"/>
          </w:tblCellMar>
        </w:tblPrEx>
        <w:trPr>
          <w:trHeight w:val="338" w:hRule="atLeast"/>
        </w:trPr>
        <w:tc>
          <w:tcPr>
            <w:tcW w:w="5361" w:type="dxa"/>
            <w:gridSpan w:val="6"/>
            <w:tcBorders>
              <w:top w:val="single" w:color="auto" w:sz="4" w:space="0"/>
              <w:left w:val="single" w:color="auto" w:sz="4"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合计</w:t>
            </w:r>
          </w:p>
        </w:tc>
        <w:tc>
          <w:tcPr>
            <w:tcW w:w="847" w:type="dxa"/>
            <w:gridSpan w:val="2"/>
            <w:tcBorders>
              <w:top w:val="single" w:color="auto" w:sz="4" w:space="0"/>
              <w:left w:val="nil"/>
              <w:bottom w:val="single" w:color="auto" w:sz="4" w:space="0"/>
              <w:right w:val="nil"/>
            </w:tcBorders>
            <w:noWrap/>
            <w:vAlign w:val="center"/>
          </w:tcPr>
          <w:p>
            <w:pPr>
              <w:rPr>
                <w:rFonts w:hint="eastAsia" w:ascii="宋体" w:hAnsi="宋体" w:cs="宋体"/>
                <w:color w:val="000000"/>
                <w:sz w:val="22"/>
                <w:szCs w:val="22"/>
                <w:highlight w:val="none"/>
              </w:rPr>
            </w:pPr>
          </w:p>
        </w:tc>
        <w:tc>
          <w:tcPr>
            <w:tcW w:w="847" w:type="dxa"/>
            <w:gridSpan w:val="3"/>
            <w:tcBorders>
              <w:top w:val="single" w:color="auto" w:sz="4" w:space="0"/>
              <w:left w:val="nil"/>
              <w:bottom w:val="single" w:color="auto" w:sz="4" w:space="0"/>
              <w:right w:val="nil"/>
            </w:tcBorders>
            <w:noWrap/>
            <w:vAlign w:val="center"/>
          </w:tcPr>
          <w:p>
            <w:pPr>
              <w:rPr>
                <w:rFonts w:hint="eastAsia" w:ascii="宋体" w:hAnsi="宋体" w:cs="宋体"/>
                <w:color w:val="000000"/>
                <w:sz w:val="22"/>
                <w:szCs w:val="22"/>
                <w:highlight w:val="none"/>
              </w:rPr>
            </w:pPr>
          </w:p>
        </w:tc>
        <w:tc>
          <w:tcPr>
            <w:tcW w:w="1125" w:type="dxa"/>
            <w:gridSpan w:val="2"/>
            <w:tcBorders>
              <w:top w:val="single" w:color="auto" w:sz="4" w:space="0"/>
              <w:left w:val="nil"/>
              <w:bottom w:val="single" w:color="auto" w:sz="4" w:space="0"/>
              <w:right w:val="nil"/>
            </w:tcBorders>
            <w:noWrap/>
            <w:vAlign w:val="center"/>
          </w:tcPr>
          <w:p>
            <w:pPr>
              <w:widowControl/>
              <w:jc w:val="right"/>
              <w:textAlignment w:val="center"/>
              <w:rPr>
                <w:rFonts w:hint="eastAsia" w:ascii="宋体" w:hAnsi="宋体" w:cs="宋体"/>
                <w:color w:val="000000"/>
                <w:sz w:val="22"/>
                <w:szCs w:val="22"/>
                <w:highlight w:val="none"/>
              </w:rPr>
            </w:pPr>
          </w:p>
        </w:tc>
        <w:tc>
          <w:tcPr>
            <w:tcW w:w="1643" w:type="dxa"/>
            <w:gridSpan w:val="2"/>
            <w:tcBorders>
              <w:top w:val="single" w:color="auto" w:sz="4" w:space="0"/>
              <w:left w:val="nil"/>
              <w:bottom w:val="single" w:color="auto" w:sz="4" w:space="0"/>
              <w:right w:val="single" w:color="auto"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656" w:hRule="atLeast"/>
        </w:trPr>
        <w:tc>
          <w:tcPr>
            <w:tcW w:w="9823" w:type="dxa"/>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40"/>
                <w:szCs w:val="40"/>
                <w:highlight w:val="none"/>
              </w:rPr>
            </w:pPr>
            <w:r>
              <w:rPr>
                <w:rFonts w:hint="eastAsia" w:ascii="宋体" w:hAnsi="宋体" w:cs="宋体"/>
                <w:color w:val="000000"/>
                <w:kern w:val="0"/>
                <w:sz w:val="40"/>
                <w:szCs w:val="40"/>
                <w:highlight w:val="none"/>
              </w:rPr>
              <w:t>18、心理咨询室</w:t>
            </w:r>
          </w:p>
        </w:tc>
      </w:tr>
      <w:tr>
        <w:tblPrEx>
          <w:tblCellMar>
            <w:top w:w="0" w:type="dxa"/>
            <w:left w:w="108" w:type="dxa"/>
            <w:bottom w:w="0" w:type="dxa"/>
            <w:right w:w="108" w:type="dxa"/>
          </w:tblCellMar>
        </w:tblPrEx>
        <w:trPr>
          <w:trHeight w:val="656" w:hRule="atLeast"/>
        </w:trPr>
        <w:tc>
          <w:tcPr>
            <w:tcW w:w="5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序号</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产品名称</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标底参数</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数量</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单位</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单价/元</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金额/元</w:t>
            </w: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备注</w:t>
            </w:r>
          </w:p>
        </w:tc>
      </w:tr>
      <w:tr>
        <w:tblPrEx>
          <w:tblCellMar>
            <w:top w:w="0" w:type="dxa"/>
            <w:left w:w="108" w:type="dxa"/>
            <w:bottom w:w="0" w:type="dxa"/>
            <w:right w:w="108" w:type="dxa"/>
          </w:tblCellMar>
        </w:tblPrEx>
        <w:trPr>
          <w:trHeight w:val="12253"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sz w:val="22"/>
                <w:szCs w:val="22"/>
                <w:highlight w:val="none"/>
              </w:rPr>
            </w:pPr>
            <w:r>
              <w:rPr>
                <w:rFonts w:hint="eastAsia" w:ascii="宋体" w:hAnsi="宋体" w:cs="宋体"/>
                <w:kern w:val="0"/>
                <w:sz w:val="22"/>
                <w:szCs w:val="22"/>
                <w:highlight w:val="none"/>
              </w:rPr>
              <w:t>1</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多功能音乐按摩放松椅</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一、产品技术参数：产品尺寸：长108CM×宽99CM×高100CM±</w:t>
            </w:r>
            <w:r>
              <w:rPr>
                <w:rFonts w:hint="eastAsia" w:cs="宋体"/>
                <w:color w:val="auto"/>
                <w:kern w:val="0"/>
                <w:sz w:val="20"/>
                <w:szCs w:val="20"/>
                <w:highlight w:val="none"/>
                <w:lang w:val="en-US" w:eastAsia="zh-CN"/>
              </w:rPr>
              <w:t>5CM</w:t>
            </w:r>
            <w:r>
              <w:rPr>
                <w:rFonts w:hint="eastAsia" w:ascii="宋体" w:hAnsi="宋体" w:cs="宋体"/>
                <w:color w:val="auto"/>
                <w:kern w:val="0"/>
                <w:sz w:val="20"/>
                <w:szCs w:val="20"/>
                <w:highlight w:val="none"/>
              </w:rPr>
              <w:t>(椅背收起)、长165CM×宽99CM×高60CM±</w:t>
            </w:r>
            <w:r>
              <w:rPr>
                <w:rFonts w:hint="eastAsia" w:cs="宋体"/>
                <w:color w:val="auto"/>
                <w:kern w:val="0"/>
                <w:sz w:val="20"/>
                <w:szCs w:val="20"/>
                <w:highlight w:val="none"/>
                <w:lang w:val="en-US" w:eastAsia="zh-CN"/>
              </w:rPr>
              <w:t>5CM</w:t>
            </w:r>
            <w:r>
              <w:rPr>
                <w:rFonts w:hint="eastAsia" w:ascii="宋体" w:hAnsi="宋体" w:cs="宋体"/>
                <w:color w:val="auto"/>
                <w:kern w:val="0"/>
                <w:sz w:val="20"/>
                <w:szCs w:val="20"/>
                <w:highlight w:val="none"/>
              </w:rPr>
              <w:t>（椅背展开）</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二、产品</w:t>
            </w:r>
            <w:r>
              <w:rPr>
                <w:rFonts w:hint="eastAsia" w:cs="宋体"/>
                <w:color w:val="auto"/>
                <w:kern w:val="0"/>
                <w:sz w:val="20"/>
                <w:szCs w:val="20"/>
                <w:highlight w:val="none"/>
                <w:lang w:val="en-US" w:eastAsia="zh-CN"/>
              </w:rPr>
              <w:t>功能</w:t>
            </w:r>
            <w:r>
              <w:rPr>
                <w:rFonts w:hint="eastAsia" w:ascii="宋体" w:hAnsi="宋体" w:cs="宋体"/>
                <w:color w:val="auto"/>
                <w:kern w:val="0"/>
                <w:sz w:val="20"/>
                <w:szCs w:val="20"/>
                <w:highlight w:val="none"/>
              </w:rPr>
              <w:t>：</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    1、包括舒适沙发椅。根据人体工学将体感震动音响技术与沙发椅完美结合，通过创新的体感振动音乐系统，视频播放系统多感官的音乐放松体验，将乐曲中低音域的16-150HZ部分变换成数十微米到数千微米振幅的物理振动，使人的耳朵和身体同时感知音乐系统。电动控制系统，身心放松椅背部、腿部升降角度范围90°到180°任意调节。数字播放系统，放松系统等。</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  2、数字播放系统功能：支持JPG,JPEG格式支持SD,SDHC,MMC卡，最大32GB支持播放音乐、电影、文字、图片。支持移动存储设备、电子书阅读、控制文件播放和音量的控制。</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  3、体感震动放松系统：</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    音箱采用无噪音，无润滑技术，干净整洁，随音乐频率同步震动，音乐同步震动6个点：臀部、背部。用户可以自由调节音频震动的大小；</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  4、寂静养心音乐系列：包含金木水火土大自然轻音乐。</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  5、音乐放松：（含引导想象指导语）采用顶级治疗音乐系列，舒缓型各种自然背景音乐，分为减压和催眠两个系列；</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  6、减压系列：A草原冥想B高山悟语C小溪吟诵D大海遐想E音乐放松减压</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  7、催眠系列：A淙泉鸟语之梦B月夜之梦C草原之梦D海浪之梦；α脑波放松；α脑波共振放松音乐-02.聚气如溪、α脑波共振放松音乐-03.生机之门、α脑波共振放松音乐-04.身如云、α脑波共振放松音乐-05.飘香、α脑波共振放松音乐-06.百脉归海。</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  8、改善睡眠：镇静安神的音乐、α脑波助眠音乐、静心舒眠、潜意识舒眠、轻柔的呼吸和睡眠、三大真人放松训练视频（鼻腔放松；肌肉放松；想象放松） </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三、产品配置：</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   1.音乐放松椅1台            </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   2.15寸高清液晶显示屏1台</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   3.音乐治疗导论1本          </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   4.安装工具包1套</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   5.万向显示器支架1套        </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   6.手持遥控电动控制器</w:t>
            </w:r>
          </w:p>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 xml:space="preserve">   7.音频体感系统（内置）</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0"/>
                <w:szCs w:val="20"/>
                <w:highlight w:val="none"/>
              </w:rPr>
            </w:pPr>
            <w:r>
              <w:rPr>
                <w:rFonts w:hint="eastAsia" w:ascii="宋体" w:hAnsi="宋体" w:cs="宋体"/>
                <w:kern w:val="0"/>
                <w:sz w:val="20"/>
                <w:szCs w:val="20"/>
                <w:highlight w:val="none"/>
              </w:rPr>
              <w:t>8</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0"/>
                <w:szCs w:val="20"/>
                <w:highlight w:val="none"/>
              </w:rPr>
            </w:pPr>
            <w:r>
              <w:rPr>
                <w:rFonts w:hint="eastAsia" w:ascii="宋体" w:hAnsi="宋体" w:cs="宋体"/>
                <w:kern w:val="0"/>
                <w:sz w:val="20"/>
                <w:szCs w:val="20"/>
                <w:highlight w:val="none"/>
              </w:rPr>
              <w:t>套</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0"/>
                <w:szCs w:val="20"/>
                <w:highlight w:val="none"/>
              </w:rPr>
            </w:pPr>
            <w:r>
              <w:rPr>
                <w:rFonts w:hint="eastAsia" w:ascii="宋体" w:hAnsi="宋体" w:cs="宋体"/>
                <w:kern w:val="0"/>
                <w:sz w:val="20"/>
                <w:szCs w:val="20"/>
                <w:highlight w:val="none"/>
              </w:rPr>
              <w:t>五中1、思源1、一小2、三小1、毛阳1、番阳1、红山1</w:t>
            </w:r>
          </w:p>
        </w:tc>
      </w:tr>
      <w:tr>
        <w:tblPrEx>
          <w:tblCellMar>
            <w:top w:w="0" w:type="dxa"/>
            <w:left w:w="108" w:type="dxa"/>
            <w:bottom w:w="0" w:type="dxa"/>
            <w:right w:w="108" w:type="dxa"/>
          </w:tblCellMar>
        </w:tblPrEx>
        <w:trPr>
          <w:trHeight w:val="1624"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心理智能互动仪</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一、【硬件参数】：</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1、外观规格：高155cm*宽106.7cm*最厚55cm±</w:t>
            </w:r>
            <w:r>
              <w:rPr>
                <w:rFonts w:hint="eastAsia" w:cs="宋体"/>
                <w:color w:val="auto"/>
                <w:kern w:val="0"/>
                <w:sz w:val="20"/>
                <w:szCs w:val="20"/>
                <w:highlight w:val="none"/>
                <w:lang w:val="en-US" w:eastAsia="zh-CN"/>
              </w:rPr>
              <w:t>5cm</w:t>
            </w:r>
            <w:r>
              <w:rPr>
                <w:rFonts w:hint="eastAsia" w:ascii="宋体" w:hAnsi="宋体" w:cs="宋体"/>
                <w:color w:val="auto"/>
                <w:kern w:val="0"/>
                <w:sz w:val="20"/>
                <w:szCs w:val="20"/>
                <w:highlight w:val="none"/>
              </w:rPr>
              <w:t xml:space="preserve"> 底座：700mm*500mm*50mm±</w:t>
            </w:r>
            <w:r>
              <w:rPr>
                <w:rFonts w:hint="eastAsia" w:cs="宋体"/>
                <w:color w:val="auto"/>
                <w:kern w:val="0"/>
                <w:sz w:val="20"/>
                <w:szCs w:val="20"/>
                <w:highlight w:val="none"/>
                <w:lang w:val="en-US" w:eastAsia="zh-CN"/>
              </w:rPr>
              <w:t>5mm</w:t>
            </w:r>
            <w:r>
              <w:rPr>
                <w:rFonts w:hint="eastAsia" w:ascii="宋体" w:hAnsi="宋体" w:cs="宋体"/>
                <w:color w:val="auto"/>
                <w:kern w:val="0"/>
                <w:sz w:val="20"/>
                <w:szCs w:val="20"/>
                <w:highlight w:val="none"/>
              </w:rPr>
              <w:t>；选用优质厚冷轧钢板；</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2、49寸液晶屏幕；</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3、内置红外热感应人体骨架扫描仪，通过肢体动作控制互动游戏（无需任何手持设备即可操作）；</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4、30款中英文体感心理游戏，包含肢体协调、反应力训练、虚拟宣泄、智力训练等。（可免费扩展至150个心理游戏，10款为中文心理游戏）；</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5、采用微软开发系统，内置主机硬件：采用3核心的IBM PowerPC微处理器，频率为3.2GH。音频系统音频系统采用多声道环绕输出,320独立压缩音轨,32位处理,256音轨，采用5个扬声器，2个低音，2个中音，1个高音；</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6、通过虚拟游戏系统，对心理压力，和负面情绪的释放，达到放松效果；</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二、【产品特点】：</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1、身心平衡训练：利用游戏的方式，依靠传感器捕捉三维空间中玩家的运动，不需要任何的辅助器材，控制游戏角色进行游戏训练，达到身心平衡训练的效果；</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儿童自闭症辅助训练：通过传感器捕捉三维空间中玩家的运动，让使用者与虚拟角色实现肢体互动，并且系统可自动扑捉使用者过程中的一些经典动作，让使用发现互动交流中的愉悦，有助于儿童自闭症辅助训练；</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3、系统可实现多人互动宣泄，两个使用者分别扮演不同的角色，在游戏中实现合作,对打等等训练，有助于提高小孩的沟通配合能力；</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4、感觉统合训练：摸动物游戏，通过抚摸动物，当手触摸到动物是，动物会给出相应的反应，具备多种动物可以选择；</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5、特殊儿童康复训练 ：系统提供的具有交互性、竞争性及娱乐性的活动能增加使用者的积极参与互动的愿望，从而使被动的心理辅导成为使用者的主动参与互动，实现了心理咨询工作的及时发现、主动解决、预防突发的作用；</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6、左右脑协调：奇幻漂流，可以通过身体的向左向右向前跳跃来控制漂流小船，达到左右大脑协调，还可以2个同时游戏；</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7、注意力矫正：忍者水果，可以通过手画动来切水果，当切到地雷游戏及结束，对注意力和肢体协调进行锻炼；</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8、可以观看专业心理电影；</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9、动画心理音乐辅助播放，更好达到催眠作用；  </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10、虚拟情绪宣泄：利用内置宣泄游戏（例如：拳击、击剑）等游戏进行不良情绪的宣泄；</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11、智力、反应力训练：利用内置“速算”等游戏进行智力与反应力的训练。</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三、【产品配件】：</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1.智能互动仪主体1台      </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2.红外人骨扫描仪1个</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3.操作手柄1个          </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4.电源线1根</w:t>
            </w:r>
          </w:p>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5.说明书、售后服务承诺书、合格证1份                                                                                                                                                                          ★6.提供心理智能互动仪带CMA标识或CNAS标识的检测报告。</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五中1</w:t>
            </w:r>
          </w:p>
        </w:tc>
      </w:tr>
      <w:tr>
        <w:tblPrEx>
          <w:tblCellMar>
            <w:top w:w="0" w:type="dxa"/>
            <w:left w:w="108" w:type="dxa"/>
            <w:bottom w:w="0" w:type="dxa"/>
            <w:right w:w="108" w:type="dxa"/>
          </w:tblCellMar>
        </w:tblPrEx>
        <w:trPr>
          <w:trHeight w:val="656"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团体活动桌椅（</w:t>
            </w:r>
            <w:r>
              <w:rPr>
                <w:rFonts w:cs="Calibri"/>
                <w:color w:val="auto"/>
                <w:kern w:val="0"/>
                <w:sz w:val="20"/>
                <w:szCs w:val="20"/>
                <w:highlight w:val="none"/>
              </w:rPr>
              <w:t>8</w:t>
            </w:r>
            <w:r>
              <w:rPr>
                <w:rFonts w:hint="eastAsia" w:ascii="宋体" w:hAnsi="宋体" w:cs="宋体"/>
                <w:color w:val="auto"/>
                <w:kern w:val="0"/>
                <w:sz w:val="20"/>
                <w:szCs w:val="20"/>
                <w:highlight w:val="none"/>
              </w:rPr>
              <w:t>人组）</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20"/>
                <w:szCs w:val="20"/>
                <w:highlight w:val="none"/>
                <w:lang w:val="en-US" w:eastAsia="zh-CN"/>
              </w:rPr>
            </w:pPr>
            <w:r>
              <w:rPr>
                <w:rFonts w:hint="eastAsia" w:cs="宋体"/>
                <w:color w:val="auto"/>
                <w:kern w:val="0"/>
                <w:sz w:val="20"/>
                <w:szCs w:val="20"/>
                <w:highlight w:val="none"/>
                <w:lang w:val="en-US" w:eastAsia="zh-CN"/>
              </w:rPr>
              <w:t>木制材质，面板高密板材材质，高温喷漆桌腿；包含8张扇形桌，180cm直径</w:t>
            </w:r>
            <w:r>
              <w:rPr>
                <w:rFonts w:hint="eastAsia" w:ascii="宋体" w:hAnsi="宋体" w:cs="宋体"/>
                <w:color w:val="auto"/>
                <w:kern w:val="0"/>
                <w:sz w:val="20"/>
                <w:szCs w:val="20"/>
                <w:highlight w:val="none"/>
              </w:rPr>
              <w:t>±</w:t>
            </w:r>
            <w:r>
              <w:rPr>
                <w:rFonts w:hint="eastAsia" w:cs="宋体"/>
                <w:color w:val="auto"/>
                <w:kern w:val="0"/>
                <w:sz w:val="20"/>
                <w:szCs w:val="20"/>
                <w:highlight w:val="none"/>
                <w:lang w:val="en-US" w:eastAsia="zh-CN"/>
              </w:rPr>
              <w:t>5cm。桌子高 70cm</w:t>
            </w:r>
            <w:r>
              <w:rPr>
                <w:rFonts w:hint="eastAsia" w:ascii="宋体" w:hAnsi="宋体" w:cs="宋体"/>
                <w:color w:val="auto"/>
                <w:kern w:val="0"/>
                <w:sz w:val="20"/>
                <w:szCs w:val="20"/>
                <w:highlight w:val="none"/>
              </w:rPr>
              <w:t>±</w:t>
            </w:r>
            <w:r>
              <w:rPr>
                <w:rFonts w:hint="eastAsia" w:cs="宋体"/>
                <w:color w:val="auto"/>
                <w:kern w:val="0"/>
                <w:sz w:val="20"/>
                <w:szCs w:val="20"/>
                <w:highlight w:val="none"/>
                <w:lang w:val="en-US" w:eastAsia="zh-CN"/>
              </w:rPr>
              <w:t>2cm ，可以拼成圆形，也可以拼成圆形桌，可拼接成S型，烤漆桌面，钢管喷塑支持架。粉色、浅蓝、浅绿等多种颜色搭配，</w:t>
            </w:r>
            <w:r>
              <w:rPr>
                <w:rFonts w:hint="eastAsia"/>
                <w:b w:val="0"/>
                <w:bCs w:val="0"/>
                <w:sz w:val="24"/>
                <w:szCs w:val="24"/>
                <w:u w:val="none"/>
                <w:lang w:val="en-US" w:eastAsia="zh-CN"/>
              </w:rPr>
              <w:t>提供团体活动桌椅带CMA标识或CNAS标识的检测报告。</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8</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五中7、毛阳1</w:t>
            </w:r>
          </w:p>
        </w:tc>
      </w:tr>
      <w:tr>
        <w:tblPrEx>
          <w:tblCellMar>
            <w:top w:w="0" w:type="dxa"/>
            <w:left w:w="108" w:type="dxa"/>
            <w:bottom w:w="0" w:type="dxa"/>
            <w:right w:w="108" w:type="dxa"/>
          </w:tblCellMar>
        </w:tblPrEx>
        <w:trPr>
          <w:trHeight w:val="978"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心理测量档案管理系统</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一、功能说明：</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1、采用PHP+MYSQL架构开发，无需任何数据库和服务器配置即可使用；</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2、可以实现单机模式、局域网模式和互联网络模式的相互切换；</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3、支持分段测评功能；</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4、全面整合用户档案软件，可轻松实现用户的同步建档，并支持管理员自定义档案项目；</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5、系统允许管理员可根据自己的需要自行添加定义所需的测评量表，并可自主设置量表的属性和分类，不同的部门科室可独立设定量表测评权限。管理员可以实现对测评量表实现量表的完全管理、添加、定义；实现量表类；</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6、为丰富和满足使用单位多样化心理教育宣传的需要，系统需集成心理网站功能，并可进行个性化定制网站内容；</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7、测评软件具有自动危机预警功能，对于预警人员进行系统预警；</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8、软件具有心理普查功能，可同时进行大规模的心理测试；</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9、系统支持Excel批量导入方式批量生成用户信息，单人手工添加方式、自主注册方式等；</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10、测评结果导出：查看个人测评报告、查看团体测评报告，可导出为word文档；</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11、软件分为三种操作终端：支持手机、平板微信二维码扫描测评操作模式，两种操作模式在网络连通的情况下数据可以实现共享；</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★12、提供国家认可检测机构出具的心理测评相关类别的软件登记测试报告，测试报告需符合GB/T 25000.51—2016《系统与软件工程系统与软件质量要求和评价（SQuaRE）第51部分要求规定。备注：软件测试内容需包含：1、测谎图形分析：可进行测谎图形分析；2、测谎答案查询；3、测谎报告分析；</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二、量表组成（≧85份）</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量表测评分类包括：认知功能筛查、心理行为综合评定、健康状况与生存质量评定、个性与气质评定、自我能力评定、智力评定、社会功能与适应能力评定、精神障碍评定、生活事件应激与应付方式评定、情绪评定、睡眠评定等十几种近80余种测评量表；</w:t>
            </w:r>
          </w:p>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心理健康临床自评量表（SCL-90）、爱德华个性偏好量表（EPPS）、霍兰德职业倾向问卷、学习焦虑倾向测量、领悟社会支持量表（PSSS）、学习风格调查表、抑郁自评量表、中小学心理健康诊断测验（MHT）、中学生心理素质量表、中学生网络成瘾量表（IADDS）、思维能力测试、创造能力测试、威廉斯创造力倾向测验、焦虑自评量表（SAS）、A型行为类型问卷+（TABP）、艾森克人格问卷(EPQ）（少年版）、人格特质测试、惧怕否定评价量表（FNE)、意志力测验、中国青年人格问卷（CPI）、中小学生适应能力测验、中学生人际交往能力测验、父母教养方式（EMBU)、家庭环境量表（FES）、学习习惯与应试技能自我检测、学习动机测验、学习方法与恐怖强迫量表（MSCPOR/MOS)、Piers-Harris儿童自我意识量表、Sarason考试焦虑（TAS）、TDL生命质量测量量表、贝克狂躁量表（BRMS）、儿童多动症诊断量表（提供量表软件界面截图）、儿童感觉统和能力发展评定量表（提供量表软件界面截图）、儿童孤独量表（CLS）（提供量表软件界面截图）、儿童孤独症评定量表（CARS) （提供量表软件界面截图）、儿童社会期望量表（提供量表软件界面截图）、儿童社交焦虑量表（SASFC) （提供量表软件界面截图）、儿童十四种人格因素问卷（CPQ）（提供量表软件界面截图）、儿童学习适应性（提供量表软件界面截图）、儿童学习适应性调查表（I）（提供量表软件界面截图）、个人评价量表（PEI）、个性成熟度测试、工作负荷自我测量、工作满意度、汉密顿焦虑量表（HAMA）、汉密尔顿抑郁量表（HAMD)、嫉妒心理诊断量表、简明精神病量表（BPRS)、交往焦虑量表（IAS)、教师心理健康状况简便自查量表、教师压力量表、教师职业倦怠问卷、九型人格测试、卡特尔十六种人格因素测验（16PF）、考试焦虑测验(TAT)、马氏工作倦怠通用量表、明尼苏达多项个性测查表、疲劳量表（FS-14）、匹兹堡睡眠质量指数（PSQI）、青少年生活事件量表（ASLEC)、青少年网络成瘾量表、情绪-社交孤独量表（ESLI)、人生观量表、容纳他人量表、瑞文标准推理测验、瑞文彩色推理测验、瑞文高级推理测验、社会功能缺陷量表（SDSS）、师生关系测验、同学关系测验问卷、小学生心理健康评定量表（教师用）、心理健康自我评价、信任量表（TS）、学生与教师相处的行为困扰的诊断量表、学业成就与人际关系归因测验（MMCS）、一般学习能力倾向测评、应付方式问卷、员工人际交往能力、职业能力倾向测试、中学生心理健康（MSSMHS）、自卑感量表（FIS)、自杀态度测评量表（QSA)、自我和谐量表、自我控制能力测试、自信心测验、自尊量表（SES）、总体幸福感量表（GWB)</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五中1</w:t>
            </w:r>
          </w:p>
        </w:tc>
      </w:tr>
      <w:tr>
        <w:tblPrEx>
          <w:tblCellMar>
            <w:top w:w="0" w:type="dxa"/>
            <w:left w:w="108" w:type="dxa"/>
            <w:bottom w:w="0" w:type="dxa"/>
            <w:right w:w="108" w:type="dxa"/>
          </w:tblCellMar>
        </w:tblPrEx>
        <w:trPr>
          <w:trHeight w:val="656"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5</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宣泄墙</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50*50CM±5CM/净重2.5kg±0.5kg/厚5CM/材质 ：底板为环保多层板材，中间为高回弹海绵填充，外包优质绒布</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62</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套</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FF0000"/>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FF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FF0000"/>
                <w:sz w:val="20"/>
                <w:szCs w:val="20"/>
                <w:highlight w:val="none"/>
              </w:rPr>
            </w:pPr>
            <w:r>
              <w:rPr>
                <w:rFonts w:hint="eastAsia" w:ascii="宋体" w:hAnsi="宋体" w:cs="宋体"/>
                <w:color w:val="000000"/>
                <w:kern w:val="0"/>
                <w:sz w:val="20"/>
                <w:szCs w:val="20"/>
                <w:highlight w:val="none"/>
              </w:rPr>
              <w:t>五中</w:t>
            </w:r>
            <w:r>
              <w:rPr>
                <w:rFonts w:hint="eastAsia" w:ascii="宋体" w:hAnsi="宋体" w:cs="宋体"/>
                <w:color w:val="000000"/>
                <w:kern w:val="0"/>
                <w:sz w:val="20"/>
                <w:szCs w:val="20"/>
                <w:highlight w:val="none"/>
                <w:lang w:val="en-US" w:eastAsia="zh-CN"/>
              </w:rPr>
              <w:t>28</w:t>
            </w:r>
            <w:r>
              <w:rPr>
                <w:rFonts w:hint="eastAsia" w:ascii="宋体" w:hAnsi="宋体" w:cs="宋体"/>
                <w:color w:val="000000"/>
                <w:kern w:val="0"/>
                <w:sz w:val="20"/>
                <w:szCs w:val="20"/>
                <w:highlight w:val="none"/>
              </w:rPr>
              <w:t>、毛阳24、红山10</w:t>
            </w:r>
          </w:p>
        </w:tc>
      </w:tr>
      <w:tr>
        <w:tblPrEx>
          <w:tblCellMar>
            <w:top w:w="0" w:type="dxa"/>
            <w:left w:w="108" w:type="dxa"/>
            <w:bottom w:w="0" w:type="dxa"/>
            <w:right w:w="108" w:type="dxa"/>
          </w:tblCellMar>
        </w:tblPrEx>
        <w:trPr>
          <w:trHeight w:val="656"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学校心理团体活动道具箱</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团体辅导器材：包括环境适应篇、沟通交往篇、竞争合作篇、创新实践篇、自我意识篇、学习管理篇、意志责任篇、心灵成长篇等共8大主题41种游戏，有效帮助开展各种形式的心理训练活动。</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    团体活动训练系统中包括各种与活动内容相匹配的活动辅助器材，主要包括：</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1）活动指导书籍：每个单独的团体活动箱都配备了其箱内器材可进行的游戏指导书籍，本书籍通俗易懂、简洁明了、便于携带，同时还附有更为详细和完整的教材，利于参考。</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2）教学录像：以U盘形式发放，以便老师能迅速掌握开展中队员团体训练；</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3）活动器材：便于携带的精致工具箱四个;各种活动必备器材内置于活动包中。</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团体活动包A包可做活动游戏有：环境适应篇-我要找到你，沟通交往篇-双人画，创新实践篇-遵从指导，自我意识篇-价值拍卖，责任与学习-祝福花篮，创新实践篇-比比谁高，责任与学习-集思广益，心灵成长篇-寻宝记，创新实践篇-畅想拼图，学习管理篇时装秀</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团体活动包B包可做活动游戏有:环境适应篇-有缘相识，沟通交往篇-最佳配图，竞争合作篇-广告设计，竞争合作篇-解开“手链”，创新实践篇-传球夺秒，自我意识篇-音乐与意向，自我意识篇-背后留言，责任与学习-举手仪式，责任与学习-1分钟价值，心灵成长篇-感恩父母，心灵成长篇-命运之牌，自我意识篇-百花园，创新实践篇-高空飞蛋</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团体活动包C包可做活动游戏有：环境适应篇-个性名片，沟通交往篇-我说你剪，创新实践篇-心中的塔，自我意识篇-画“自画像”自我意识篇-留舍最爱，自我意识篇-目标搜索，责任与学习-资源共享，心灵成长篇-收获“糖弹”，心灵成长篇-规则的意义，创新实践篇-平面魔方，学习管理篇-用途无限</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团体活动室外D包可做活动游戏有：环境适应篇-寻找归属，沟通交往篇-变形虫，沟通交往篇-“盲人”旅行，竞争合作篇-“啄木鸟”行动，竞争合作篇-造“房子”，竞争合作篇-穿越沼泽地，沟通交往篇-风雨同行</w:t>
            </w:r>
          </w:p>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另配有：《学校团体心理游戏教程与案例》书籍1本</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五中2</w:t>
            </w:r>
          </w:p>
        </w:tc>
      </w:tr>
      <w:tr>
        <w:tblPrEx>
          <w:tblCellMar>
            <w:top w:w="0" w:type="dxa"/>
            <w:left w:w="108" w:type="dxa"/>
            <w:bottom w:w="0" w:type="dxa"/>
            <w:right w:w="108" w:type="dxa"/>
          </w:tblCellMar>
        </w:tblPrEx>
        <w:trPr>
          <w:trHeight w:val="656"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E46C0A" w:themeColor="accent6" w:themeShade="BF"/>
                <w:sz w:val="22"/>
                <w:szCs w:val="22"/>
                <w:highlight w:val="none"/>
              </w:rPr>
            </w:pPr>
            <w:r>
              <w:rPr>
                <w:rFonts w:hint="eastAsia" w:ascii="宋体" w:hAnsi="宋体" w:cs="宋体"/>
                <w:color w:val="E46C0A" w:themeColor="accent6" w:themeShade="BF"/>
                <w:kern w:val="0"/>
                <w:sz w:val="22"/>
                <w:szCs w:val="22"/>
                <w:highlight w:val="none"/>
              </w:rPr>
              <w:t>7</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打印机</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rPr>
              <w:t>打印速度：25页/每分钟；自动双面打印；USB/有线网络连接；</w:t>
            </w:r>
            <w:r>
              <w:rPr>
                <w:rFonts w:hint="eastAsia" w:cs="宋体"/>
                <w:color w:val="auto"/>
                <w:kern w:val="0"/>
                <w:sz w:val="20"/>
                <w:szCs w:val="20"/>
                <w:highlight w:val="none"/>
                <w:lang w:val="en-US" w:eastAsia="zh-CN"/>
              </w:rPr>
              <w:t>激光打印</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件</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五中1、南圣1</w:t>
            </w:r>
          </w:p>
        </w:tc>
      </w:tr>
      <w:tr>
        <w:tblPrEx>
          <w:tblCellMar>
            <w:top w:w="0" w:type="dxa"/>
            <w:left w:w="108" w:type="dxa"/>
            <w:bottom w:w="0" w:type="dxa"/>
            <w:right w:w="108" w:type="dxa"/>
          </w:tblCellMar>
        </w:tblPrEx>
        <w:trPr>
          <w:trHeight w:val="333"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心理挂图</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可提供自然奇妙景观类或心理健康教育类或双歧错觉类或励志类风景类等。</w:t>
            </w:r>
          </w:p>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规格：40*60cm±</w:t>
            </w:r>
            <w:r>
              <w:rPr>
                <w:rFonts w:hint="eastAsia" w:cs="宋体"/>
                <w:color w:val="auto"/>
                <w:kern w:val="0"/>
                <w:sz w:val="20"/>
                <w:szCs w:val="20"/>
                <w:highlight w:val="none"/>
                <w:lang w:val="en-US" w:eastAsia="zh-CN"/>
              </w:rPr>
              <w:t>2cm</w:t>
            </w:r>
            <w:r>
              <w:rPr>
                <w:rFonts w:hint="eastAsia" w:ascii="宋体" w:hAnsi="宋体" w:cs="宋体"/>
                <w:color w:val="auto"/>
                <w:kern w:val="0"/>
                <w:sz w:val="20"/>
                <w:szCs w:val="20"/>
                <w:highlight w:val="none"/>
              </w:rPr>
              <w:t>、材质：木框。</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8</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件</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五中8</w:t>
            </w:r>
          </w:p>
        </w:tc>
      </w:tr>
      <w:tr>
        <w:tblPrEx>
          <w:tblCellMar>
            <w:top w:w="0" w:type="dxa"/>
            <w:left w:w="108" w:type="dxa"/>
            <w:bottom w:w="0" w:type="dxa"/>
            <w:right w:w="108" w:type="dxa"/>
          </w:tblCellMar>
        </w:tblPrEx>
        <w:trPr>
          <w:trHeight w:val="333"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9</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心理信箱</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rPr>
              <w:t>尺寸：29.5*19.5*11CM±</w:t>
            </w:r>
            <w:r>
              <w:rPr>
                <w:rFonts w:hint="eastAsia" w:cs="宋体"/>
                <w:color w:val="000000"/>
                <w:kern w:val="0"/>
                <w:sz w:val="20"/>
                <w:szCs w:val="20"/>
                <w:highlight w:val="none"/>
                <w:lang w:val="en-US" w:eastAsia="zh-CN"/>
              </w:rPr>
              <w:t xml:space="preserve">4CM </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件</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五中1</w:t>
            </w:r>
          </w:p>
        </w:tc>
      </w:tr>
      <w:tr>
        <w:tblPrEx>
          <w:tblCellMar>
            <w:top w:w="0" w:type="dxa"/>
            <w:left w:w="108" w:type="dxa"/>
            <w:bottom w:w="0" w:type="dxa"/>
            <w:right w:w="108" w:type="dxa"/>
          </w:tblCellMar>
        </w:tblPrEx>
        <w:trPr>
          <w:trHeight w:val="333"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3D心理墙贴</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尺寸：宽4500*高1677MM±</w:t>
            </w:r>
            <w:r>
              <w:rPr>
                <w:rFonts w:hint="eastAsia" w:cs="宋体"/>
                <w:color w:val="000000"/>
                <w:kern w:val="0"/>
                <w:sz w:val="20"/>
                <w:szCs w:val="20"/>
                <w:highlight w:val="none"/>
                <w:lang w:val="en-US" w:eastAsia="zh-CN"/>
              </w:rPr>
              <w:t>500MM</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五中1、红山1</w:t>
            </w:r>
          </w:p>
        </w:tc>
      </w:tr>
      <w:tr>
        <w:tblPrEx>
          <w:tblCellMar>
            <w:top w:w="0" w:type="dxa"/>
            <w:left w:w="108" w:type="dxa"/>
            <w:bottom w:w="0" w:type="dxa"/>
            <w:right w:w="108" w:type="dxa"/>
          </w:tblCellMar>
        </w:tblPrEx>
        <w:trPr>
          <w:trHeight w:val="333"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11</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物品陈列柜（</w:t>
            </w:r>
            <w:r>
              <w:rPr>
                <w:rFonts w:cs="Calibri"/>
                <w:color w:val="000000"/>
                <w:kern w:val="0"/>
                <w:sz w:val="20"/>
                <w:szCs w:val="20"/>
                <w:highlight w:val="none"/>
              </w:rPr>
              <w:t>6</w:t>
            </w:r>
            <w:r>
              <w:rPr>
                <w:rFonts w:hint="eastAsia" w:ascii="宋体" w:hAnsi="宋体" w:cs="宋体"/>
                <w:color w:val="000000"/>
                <w:kern w:val="0"/>
                <w:sz w:val="20"/>
                <w:szCs w:val="20"/>
                <w:highlight w:val="none"/>
              </w:rPr>
              <w:t>层）</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rPr>
              <w:t>尺寸：长120*深30*高214CM±</w:t>
            </w:r>
            <w:r>
              <w:rPr>
                <w:rFonts w:hint="eastAsia" w:cs="宋体"/>
                <w:color w:val="000000"/>
                <w:kern w:val="0"/>
                <w:sz w:val="20"/>
                <w:szCs w:val="20"/>
                <w:highlight w:val="none"/>
                <w:lang w:val="en-US" w:eastAsia="zh-CN"/>
              </w:rPr>
              <w:t>15CM</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件</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五中2</w:t>
            </w:r>
          </w:p>
        </w:tc>
      </w:tr>
      <w:tr>
        <w:tblPrEx>
          <w:tblCellMar>
            <w:top w:w="0" w:type="dxa"/>
            <w:left w:w="108" w:type="dxa"/>
            <w:bottom w:w="0" w:type="dxa"/>
            <w:right w:w="108" w:type="dxa"/>
          </w:tblCellMar>
        </w:tblPrEx>
        <w:trPr>
          <w:trHeight w:val="1396"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投影仪</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rPr>
              <w:t>屏幕比例: 4:3 16:9；分辨率(dpi): 1920x1080dpi；技术: 单片LCD技术；最佳投放距离: 2.2-3.8m；投放画面大小: 60寸~120寸；支持色彩数目: 1677万色；灯泡功率: 210W；灯泡寿命: 20000小时及以上</w:t>
            </w:r>
            <w:r>
              <w:rPr>
                <w:rFonts w:hint="eastAsia" w:cs="宋体"/>
                <w:color w:val="000000"/>
                <w:kern w:val="0"/>
                <w:sz w:val="20"/>
                <w:szCs w:val="20"/>
                <w:highlight w:val="none"/>
                <w:lang w:val="en-US" w:eastAsia="zh-CN"/>
              </w:rPr>
              <w:t xml:space="preserve">  </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台</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五中1</w:t>
            </w:r>
          </w:p>
        </w:tc>
      </w:tr>
      <w:tr>
        <w:tblPrEx>
          <w:tblCellMar>
            <w:top w:w="0" w:type="dxa"/>
            <w:left w:w="108" w:type="dxa"/>
            <w:bottom w:w="0" w:type="dxa"/>
            <w:right w:w="108" w:type="dxa"/>
          </w:tblCellMar>
        </w:tblPrEx>
        <w:trPr>
          <w:trHeight w:val="1448"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13</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auto"/>
                <w:kern w:val="0"/>
                <w:sz w:val="22"/>
                <w:szCs w:val="22"/>
                <w:highlight w:val="none"/>
              </w:rPr>
              <w:t>商用台式一体机电脑</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1.产品类型:商用台式一体机电脑</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2.CPU：Intel Core I5-10500处理器（3.1GHz 主频、12M 缓存）</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3.主板：Intel H470芯片组及以上</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4.内存：配置 ≥8G DDR4 2666MHz内存，提供双内存槽位；</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5.硬盘：256G PCIe M.2 SSD+ 1T SATA3 7200rpm 硬盘</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6.光驱：无光驱</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7.显卡：R625-2G独显</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8.音频设备：内置立体声音箱；支持杜比音效</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9.网卡：集成10/100/1000M以太网卡，802.11 AC无线网卡 </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10.键鼠：USB键盘、鼠标， 支持键盘开机功能，方便使用； </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12.摄像头：1080P高清摄像头，配置数字阵列麦克风；带物理遮挡开关；</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13.显示屏：≥23.8寸广视角全高清液晶显示屏(1920x1080)</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14.接口：6个USB Type-A接口[其中5个3.2 G1、1个3.2G2]；1个USB Type-C接口[3.2 G1-支持给其他设备(手机)快速充电]、DP-Ount二合一接口、多合一读卡器、可选1个串口  </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15.电源：外置≤150W 节能电源</w:t>
            </w:r>
          </w:p>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2"/>
                <w:szCs w:val="22"/>
                <w:highlight w:val="none"/>
              </w:rPr>
              <w:t>16.操作系统：原厂预装正版Window10家庭版</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台</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五中1</w:t>
            </w:r>
          </w:p>
        </w:tc>
      </w:tr>
      <w:tr>
        <w:tblPrEx>
          <w:tblCellMar>
            <w:top w:w="0" w:type="dxa"/>
            <w:left w:w="108" w:type="dxa"/>
            <w:bottom w:w="0" w:type="dxa"/>
            <w:right w:w="108" w:type="dxa"/>
          </w:tblCellMar>
        </w:tblPrEx>
        <w:trPr>
          <w:trHeight w:val="1272"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14</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多功能讲台</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rPr>
              <w:t>尺寸：1100*780*1000CM±</w:t>
            </w:r>
            <w:r>
              <w:rPr>
                <w:rFonts w:hint="eastAsia" w:cs="宋体"/>
                <w:color w:val="000000"/>
                <w:kern w:val="0"/>
                <w:sz w:val="20"/>
                <w:szCs w:val="20"/>
                <w:highlight w:val="none"/>
                <w:lang w:val="en-US" w:eastAsia="zh-CN"/>
              </w:rPr>
              <w:t>5CM</w:t>
            </w:r>
            <w:r>
              <w:rPr>
                <w:rFonts w:hint="eastAsia" w:ascii="宋体" w:hAnsi="宋体" w:cs="宋体"/>
                <w:color w:val="000000"/>
                <w:kern w:val="0"/>
                <w:sz w:val="20"/>
                <w:szCs w:val="20"/>
                <w:highlight w:val="none"/>
              </w:rPr>
              <w:t>；机箱小窗；可放置主机等设备；防盗锁具；材质：优质冷轧钢板；耐划台面；橡木扶手</w:t>
            </w:r>
            <w:r>
              <w:rPr>
                <w:rFonts w:hint="eastAsia" w:cs="宋体"/>
                <w:color w:val="000000"/>
                <w:kern w:val="0"/>
                <w:sz w:val="20"/>
                <w:szCs w:val="20"/>
                <w:highlight w:val="none"/>
                <w:lang w:val="en-US" w:eastAsia="zh-CN"/>
              </w:rPr>
              <w:t xml:space="preserve">  尺寸：1000*780*1000CM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5CM；机箱小窗；可放置主机等设备；防盗锁具；材质：优质冷轧钢板；耐划台面；橡木扶手</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件</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五中1</w:t>
            </w:r>
          </w:p>
        </w:tc>
      </w:tr>
      <w:tr>
        <w:tblPrEx>
          <w:tblCellMar>
            <w:top w:w="0" w:type="dxa"/>
            <w:left w:w="108" w:type="dxa"/>
            <w:bottom w:w="0" w:type="dxa"/>
            <w:right w:w="108" w:type="dxa"/>
          </w:tblCellMar>
        </w:tblPrEx>
        <w:trPr>
          <w:trHeight w:val="8475"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15</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触摸一体机</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一、硬件功能、物理特性等要求：</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1. LED液晶平板：A规屏，显示尺寸不少于65英寸，显示比例16:9，物理解析度：3840×2160。</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2. 平板色彩覆盖率不低于NTSC 85%,最大可视角度≥178度。</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3. 背光采用去蓝光技术。</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 xml:space="preserve">4.屏幕采用高品质4mm防眩光钢化玻璃保护，表面硬度不低于7H，雾度≤5%。 </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5.整机具备标识的天线模块，包含 2.4G、5G 双频 Wifi， Android 与 Windows 均可无线上网；</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6.采用红外感应技术，支持10点同时触控，10笔同时书写，触摸分辨率：≥32767*32767；触摸高度≤2.5mm；最小识别直径≤3mm；支持单点书写、多指息屏和唤醒屏幕、手势擦除功能。</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7. 只需一根网线， windows和Android双系统均可实现上网功能。</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8. 交互平板采用插拔式模块电脑架构，接口严格遵循Intel的OPS-C相关规范,针脚数80Pin,与插拔式电脑无单独接线。</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9. 交互平板具备悬浮菜单，在任何信号源下均可实现批注、打开应用等功能；悬浮菜单可通过双指调用到屏幕任意位置，悬浮菜单内容及信号源通道名称支持用户自定义设置。</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10. 安卓系统配置：四核CPU，ROM ≥8G, RAM ≥1G,系统版本不低于6.0,支持在线升级。</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11. 交互平板具备智能护眼组合功能，可提供护眼模式、实现智能光控、以及书写时屏显自动变暗。</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12. 硬件系统检测：对平板的存储、触控系统、电脑、屏温监控等提供直观的状态、故障提示。</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13. 安卓白板具备智能橡皮功能，智能判断手、笔功能，可用3mm超细笔书写，然后不借助任何菜单切换，即实现手指精细擦除以及面积擦除笔迹。</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14. 安卓白板具备背景自定义、文件浏览和二维码分享功能。</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15. 交互平板具有防雷击、防静电、抗撞击、防火、防腐蚀、防辐射、防划伤、触摸屏防遮挡等安全保护，整机具备抗强光干扰性能，在100K LUX照度的光照下保证正常触控、书写。</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 xml:space="preserve">16.电脑系统： 采用Intel I5处理器；内存：4G  DDR4；硬盘： 128G SSD； </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二、软件功能、物理特性等要求：</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 xml:space="preserve">交互教学软件:  </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专为互动课堂设计，提供常用互动课件制作、多屏互动、展台软件、课堂评价、PPT演示助手、快速批注等工具；</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1. 互动课件制作工具：</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1) 文本编辑功能，支持文本输入并可快速设置字体、大小、颜色、粗体、斜体、下划线、删除线、上标、下标、项目符号等文本输入；</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2) 软件具有水平和垂直的对齐虚线，当移动对象素材时，对齐虚线提示是否对齐，便于课件制作；</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3) 音、视频文件导入到软件中进行播放，可设置循环播放、跨页面播放。视频文件可一键全屏播放，支持动态截图，截取图片自动生成图片索引栏；</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4) 提供不少于30种常用图形，包括线段、圆、三角形、四边形、多边形、对话框、单双箭头、大中括号、加减乘除等，所有图形均可填充颜色、修改边框颜色粗细以及设置图形透明度；</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5) 具有页面切换特效，包括缩放、揭开、切出、淡出、推进、覆盖等多种特殊效果；</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6) 对象特效设置：可对页面对象设置多种进入、退出时的特殊效果，如百叶窗、淡入、缩放、浮现、飞入、旋转、劈裂、弹跳等效果，支持设置触发源，支持调整特效顺序、特效时间设置、特效预览、特效删除；支持教学软件页面中的图片、文字等任何对象可在页面中可实现路径轨迹设置、播放和重播；</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7) 思维导图：提供多种思维导图模板如逻辑图、鱼骨图、组织结构图，可轻松增删或拖拽编辑内容、节点，并支持在节点上插入图片、</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件</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五中1</w:t>
            </w:r>
          </w:p>
        </w:tc>
      </w:tr>
      <w:tr>
        <w:tblPrEx>
          <w:tblCellMar>
            <w:top w:w="0" w:type="dxa"/>
            <w:left w:w="108" w:type="dxa"/>
            <w:bottom w:w="0" w:type="dxa"/>
            <w:right w:w="108" w:type="dxa"/>
          </w:tblCellMar>
        </w:tblPrEx>
        <w:trPr>
          <w:trHeight w:val="656"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16</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心理自助仪</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 一、【硬件参数】：</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1、屏幕尺寸32寸；</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★2、产品的核心触控膜组采用老化工艺处理，抗衰减，可以长期使用限用物质符合铅≤1000mg/kg、镉≤100mg/kg、汞≤1000mg/kg、六价铬≤1000mg/kg的限量要求。</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二、功能要求：</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包含中心介绍、心理专家、在线测试、心理阅读、心理游戏、团体活动教案、心理影院等主要功能</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三、心理自助系统软件。</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1、软件B/S架构，支持管理员通过网络更新、编辑内容。</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2、支持自助式放松训练功能，提供真人教学放松课程，包含意象想象放松训练、呼吸放松训练、渐进式肌肉放松训练等几种模式。</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3、支持自助式心理测量功能，支持在线心理测量，在线查看测试结果，提供测试辅导建议。</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4、支持自助式心理认知能力训练，包含记忆力、注意力、认知速度、认知灵活性、问题解决能力等五大核心心理认知能力训练方案，训练方案数量不低于5款。</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5、内置心理学资源</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5.1减压视频：呼吸放松训练、意象想象放松训练、渐进式肌肉放松训练、缓减工作压力训练、恢复精神注意力训练、调节人际关系紧张训练、消除身心疲劳训练、重大事件恢复训练。</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5.2减压音乐：与你内在的小孩接触、面对自己散步、身体扫描、与生命智慧老人相遇、做自己生命中的父母。</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5.3认知测验：注意力分配测试、注意力广度测试、注意力稳 定性测试、注意力转移测试、认知方式图形测试等核心测试。</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5.4、系统须提供注意力分配测试、注意力广度测试、注意力稳 定性测试、注意力转移测试、认知方式图形测试等核心测试工具，上述测试工具为心理健康测评系统必备测试工具，用于教学使用。（提供软件界面截图）</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（1-1）注意力分配测试须为二维表结构进行测试，行数不低于29行、列数不低于15列，测试后可导出测试报告；（提供软件界面截图）</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（1-2）注意力广度测试须为二维表结构进行测试，行数不低于25行、列数不低于24列，测试后可导出测试报告；（提供软件界面截图）</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（1-3）注意力稳 定性测试须为视力追踪测试，动画方式设 计，测试后可导出测试报告；（提供软件界面截图）</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（1-4）注意力转移测试须为二维表结构进行测试，行数不低于12行、列数不低于22列，测试后可导出测试报告；（提供软件界面截图）</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（1-5）认知方式图形测试须采用图标方式进行测试，测试内容至少分3组、每组不低于10种测试内容，测试后可导出测试报告。（提供软件界面截图）</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6、压力自测：提供专业的心理压力自测模块，通过PSTR专业版压力测试，为来访者提供认知、情绪、行为、生理的多维度压力报告。 </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7、调节训练：</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7.1、通过系统内置的心理指标检测模块全数字化定量检测：压力指数、放松指数、疲劳指数、稳定指数、注意指数、焦虑指数、抑郁指数、躯体指数等8项核心指标，可全面、准确、直观反映受试者的心身健康状态。内嵌5级别量表评估模式，智能评估受试者的情绪、生理、睡眠等状态，提供改善建议。（提供软件界面截图）</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7.2、身心反馈训练：采用最先进的复合型生物反馈技术，根据8项检测指标智能分配不同情况模式及反馈训练游戏，包括疗程式康复训练、计时式周期训练等，用于情绪调控、自我认识、压力调适、专注能力、应急能力等心理素质训练。（提供软件界面截图）</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7.3、多通过脑波音乐放松训练：采用多通道脑波数据传导技术，利用：α波放松；β波提高学习专注；θ波、δ波高效休息、改善睡眠。（提供软件界面截图）</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7.4、渐进式放松训练：用渐进式专业放松视及及背景音乐，放松或催眠类导入语引导自主训练放松。系统内置丰富的中外古典、民乐以及多种背景自然音乐、海浪沙滩、荷塘蛙声、森林鸟语、沙漠夜晚、雨声、溪流声、小桥流水等。（提供软件界面截图）</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7.5、测评模块：《身心综合检测表》（含躯体化、情绪、视觉、听觉、推理-智力、注意广度、睡眠等）、《人格类型检测表》（提供软件界面截图）</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7.6、游戏训练：《注意广度训练》、《注意集中训练》、《注意分配训练》、《注意稳定训练》、《注意转移训练》、《猜金币》、《飞行的火箭》、《飞行历险》、《保卫星球》、《跳跳球》、《龙卷风》、《动态水母》、《星星连线》、《夹缝生存》、《找色块》、《空中决战》、《像素鸟》、《捕鱼》、《打地鼠》、《拼图》（提供软件界面截图）</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7.7、指脉调节：《神密花园》、《菩提树》、《豆宝宝》、《采珍珠》、《神射手》、《高空挑战》（提供软件界面截图）</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★8、产品的核心触控膜组使用无害物质材料及生产工艺，满足环保健康的要求，符合《电器电子产品有害物质限制使用管理办法》要求。(投标人需提供无害物质材料证明文件加盖厂家公章)</w:t>
            </w:r>
          </w:p>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 ★9、产品的核心触控膜组采用老化工艺处理，抗衰减，可以长期使用，通过CNAS认证的UV老化检测合格报告(投标人需提供相关</w:t>
            </w:r>
            <w:r>
              <w:rPr>
                <w:rFonts w:hint="eastAsia" w:cs="宋体"/>
                <w:color w:val="auto"/>
                <w:kern w:val="0"/>
                <w:sz w:val="20"/>
                <w:szCs w:val="20"/>
                <w:highlight w:val="none"/>
                <w:lang w:val="en-US" w:eastAsia="zh-CN"/>
              </w:rPr>
              <w:t>检测报告</w:t>
            </w:r>
            <w:r>
              <w:rPr>
                <w:rFonts w:hint="eastAsia" w:ascii="宋体" w:hAnsi="宋体" w:cs="宋体"/>
                <w:color w:val="auto"/>
                <w:kern w:val="0"/>
                <w:sz w:val="20"/>
                <w:szCs w:val="20"/>
                <w:highlight w:val="none"/>
              </w:rPr>
              <w:t>证明文件加盖厂家公章)，模拟UV老化试验不小于108小时。</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思源1</w:t>
            </w:r>
          </w:p>
        </w:tc>
      </w:tr>
      <w:tr>
        <w:tblPrEx>
          <w:tblCellMar>
            <w:top w:w="0" w:type="dxa"/>
            <w:left w:w="108" w:type="dxa"/>
            <w:bottom w:w="0" w:type="dxa"/>
            <w:right w:w="108" w:type="dxa"/>
          </w:tblCellMar>
        </w:tblPrEx>
        <w:trPr>
          <w:trHeight w:val="656"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17</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VR音乐放松系统单机版</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一、系统包含以下11大训练模块：</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1、自然治疗；</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2、催眠治疗</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3、情绪宣泄</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4、暴露疗法</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5、共振呼吸</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6、脱敏疗法</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7、音乐治疗</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8、认知引导</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9、松弛治疗</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10、中医五行</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11、心理沙盘</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二、功能描述：</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1、系统提供生物监测功能，用户在进行心理调适的同时可以实时监测脉搏（心率）、血氧、PI等生理指标，同时也支持咨询师进行主动记录，并提供基本拼写和语音识别记录双重模式。（提供此功能截图）</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2、音乐音乐治疗、催眠治疗：提供9种音乐治疗方案快速调节来访者的情绪状态；按照来访者的情况不同提供包括多梦易醒、入睡困难、睡前冥想、午休放松等4种催眠治疗方案。（提供此功能截图）</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3.音乐引导想象:提供了补充能量、肌肉放松、交替放松、深度冥想、心灵之春、心灵之夏、心灵之秋、心灵之冬等8种治疗方案。（提供此功能截图）</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4.音乐自然治疗软件： 系统提供了9种大自然的模拟环境模拟。（提供此功能截图）</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5.情绪疏导：基于认知心理学理论为基础结合潜意识引导的情绪调节方式，包含了缓解焦虑、降低抑郁、冷却愤怒、去除自卑、消除痛苦、认识自己、改善人际、提升自信、缓解压力等9个情绪引导主题。（提供此功能截图）</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6.音乐同步脱敏与再加工技术：眼动脱敏再加工技术和音乐引导想象技术的基础上所发展的一种针对心理创伤患者所进行的一种行之有效的方法。</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7.中医五行疗法：系统在传统五行音乐疗法基础上提供对应的5种虚拟现实的环境，让来访者可以更加深度的沉浸到传统的五行疗愈之中。（提供此功能截图）</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8.共振呼吸：系统提供4种级别的呼吸共振房间。</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9.运动治疗：系统提供过投篮、打飞蝶，瞬间抓握3种的运动方式，可以在绝对安全的保护下根据自身需求进行不同项目的深度体验。10.松弛治疗：交替放松、深度冥想、临考状态、考前抑郁、考试焦虑、肌肉放松、补充能量、高效休息，八大主题。（提供此功能截图）</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11.认知治疗：认知疗法包含：冷却愤怒、去除自卑、消除痛苦、环节焦虑、降低抑郁，五大主题。（提供此功能截图）</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12.分级暴露疗法，提供社交恐惧、考试焦虑、幽闭恐惧、密集恐惧等主题疗法，并且在咨询师端可进行客观影响用户心态得变量，比如在社交恐惧中可以设置心跳声、灯光、人员离场、环境声等变量得设置。（提供此功能截图）</w:t>
            </w:r>
          </w:p>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13.系统所有操控都由心理老师得平板管理端进行操作。（提供此功能截图）</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思源1</w:t>
            </w:r>
          </w:p>
        </w:tc>
      </w:tr>
      <w:tr>
        <w:tblPrEx>
          <w:tblCellMar>
            <w:top w:w="0" w:type="dxa"/>
            <w:left w:w="108" w:type="dxa"/>
            <w:bottom w:w="0" w:type="dxa"/>
            <w:right w:w="108" w:type="dxa"/>
          </w:tblCellMar>
        </w:tblPrEx>
        <w:trPr>
          <w:trHeight w:val="1217"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18</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人形沙袋</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专业款，黑色，170CM±</w:t>
            </w:r>
            <w:r>
              <w:rPr>
                <w:rFonts w:hint="eastAsia" w:cs="宋体"/>
                <w:color w:val="auto"/>
                <w:kern w:val="0"/>
                <w:sz w:val="20"/>
                <w:szCs w:val="20"/>
                <w:highlight w:val="none"/>
                <w:lang w:val="en-US" w:eastAsia="zh-CN"/>
              </w:rPr>
              <w:t>2CM</w:t>
            </w:r>
            <w:r>
              <w:rPr>
                <w:rFonts w:hint="eastAsia" w:ascii="宋体" w:hAnsi="宋体" w:cs="宋体"/>
                <w:color w:val="auto"/>
                <w:kern w:val="0"/>
                <w:sz w:val="20"/>
                <w:szCs w:val="20"/>
                <w:highlight w:val="none"/>
              </w:rPr>
              <w:t>，加厚，直径65CM±</w:t>
            </w:r>
            <w:r>
              <w:rPr>
                <w:rFonts w:hint="eastAsia" w:cs="宋体"/>
                <w:color w:val="auto"/>
                <w:kern w:val="0"/>
                <w:sz w:val="20"/>
                <w:szCs w:val="20"/>
                <w:highlight w:val="none"/>
                <w:lang w:val="en-US" w:eastAsia="zh-CN"/>
              </w:rPr>
              <w:t>2CM</w:t>
            </w:r>
            <w:r>
              <w:rPr>
                <w:rFonts w:hint="eastAsia" w:ascii="宋体" w:hAnsi="宋体" w:cs="宋体"/>
                <w:color w:val="auto"/>
                <w:kern w:val="0"/>
                <w:sz w:val="20"/>
                <w:szCs w:val="20"/>
                <w:highlight w:val="none"/>
              </w:rPr>
              <w:t>，消音减震</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思源1</w:t>
            </w:r>
          </w:p>
        </w:tc>
      </w:tr>
      <w:tr>
        <w:tblPrEx>
          <w:tblCellMar>
            <w:top w:w="0" w:type="dxa"/>
            <w:left w:w="108" w:type="dxa"/>
            <w:bottom w:w="0" w:type="dxa"/>
            <w:right w:w="108" w:type="dxa"/>
          </w:tblCellMar>
        </w:tblPrEx>
        <w:trPr>
          <w:trHeight w:val="656"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19</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团辅心理辅导工具箱</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团体辅导器材：包括环境适应篇、沟通交往篇、竞争合作篇、创新实践篇、自我意识篇、学习管理篇、意志责任篇、心灵成长篇等共8大主题41种游戏，有效帮助开展各种形式的心理训练活动。</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    团体活动训练系统中包括各种与活动内容相匹配的活动辅助器材，主要包括：</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1）活动指导书籍：每个单独的团体活动箱都配备了其箱内器材可进行的游戏指导书籍，本书籍通俗易懂、简洁明了、便于携带，同时还附有更为详细和完整的教材，利于参考。</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2）教学录像：以U盘形式发放，以便老师能迅速掌握开展中队员团体训练；</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3）活动器材：便于携带的精致工具箱四个;各种活动必备器材内置于活动包中。</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团体活动包A包可做活动游戏有：环境适应篇-我要找到你，沟通交往篇-双人画，创新实践篇-遵从指导，自我意识篇-价值拍卖，责任与学习-祝福花篮，创新实践篇-比比谁高，责任与学习-集思广益，心灵成长篇-寻宝记，创新实践篇-畅想拼图，学习管理篇时装秀</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团体活动包B包可做活动游戏有:环境适应篇-有缘相识，沟通交往篇-最佳配图，竞争合作篇-广告设计，竞争合作篇-解开“手链”，创新实践篇-传球夺秒，自我意识篇-音乐与意向，自我意识篇-背后留言，责任与学习-举手仪式，责任与学习-1分钟价值，心灵成长篇-感恩父母，心灵成长篇-命运之牌，自我意识篇-百花园，创新实践篇-高空飞蛋</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团体活动包C包可做活动游戏有：环境适应篇-个性名片，沟通交往篇-我说你剪，创新实践篇-心中的塔，自我意识篇-画“自画像”自我意识篇-留舍最爱，自我意识篇-目标搜索，责任与学习-资源共享，心灵成长篇-收获“糖弹”，心灵成长篇-规则的意义，创新实践篇-平面魔方，学习管理篇-用途无限</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团体活动室外D包可做活动游戏有：环境适应篇-寻找归属，沟通交往篇-变形虫，沟通交往篇-“盲人”旅行，竞争合作篇-“啄木鸟”行动，竞争合作篇-造“房子”，竞争合作篇-穿越沼泽地，沟通交往篇-风雨同行</w:t>
            </w:r>
          </w:p>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另配有：《学校团体心理游戏教程与案例》书籍1本</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思源1</w:t>
            </w:r>
          </w:p>
        </w:tc>
      </w:tr>
      <w:tr>
        <w:tblPrEx>
          <w:tblCellMar>
            <w:top w:w="0" w:type="dxa"/>
            <w:left w:w="108" w:type="dxa"/>
            <w:bottom w:w="0" w:type="dxa"/>
            <w:right w:w="108" w:type="dxa"/>
          </w:tblCellMar>
        </w:tblPrEx>
        <w:trPr>
          <w:trHeight w:val="656"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团体行为反馈训练系统（脑电）</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1.发带式脑电采集指标</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采用单通道发带式脑波仪测量前额叶脑电，并通过无线方式将脑电数据传输到电脑。</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1)嵌入式ThinkGear™ ASIC芯片系统；</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2)使用EEG脑电生物传感器：信号采样频率：512Hz；信号精度：0.25uV；ADC精度：12bit；</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3)基于TGAM的智能脑电模块，实现脑电信号的采集、滤波、放大、A/D转换、数据处理及分析等功能，并通过UART标准接口对外输出脑电参数；</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4)采集直接反映人的认知心理指标的脑电，包含原始脑电波、8个EEG参数（α波、β波、θ波、δ波、γ波等）、专注度、放松度等生理指标；</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5)内置无线传输模块，执行训练过程中的生物反馈指令。无线工作频率：2.4G；</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6)要求佩戴简单、舒适，信号采集电极应采用非侵入式单导干电极，无需涂导电膏或导电液，脑波发带电极：采用3个电极，一个置于前额FP1点处，2个采用耳夹电极夹在左耳。脑波仪供电方式应采用充电锂电池。</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2.脑波数据监测及记录</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能够实时、动态监测和记录专注度、放松度及δ、θ、α、β、γ频段8个EEG参数。δ、θ、α、β、γ频段8个EEG参数，数据输出频率为1Hz。“专注度 (attention) ”和“放松度 (meditation) ”参数，数据输出频率为1Hz，可提供至少八种自定义事件标记</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3.注意力、放松度测评及训练</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(1)提供至少9种注意力训练方法</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(2)提供音乐放松训练功能。支持多级音乐媒体目录管理，音乐文件的导入，播放列表。</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(3)所有的注意力训练及放松训练均需要进行自动数据记录和分析</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(4)支持反馈控制训练，可通过专注度、放松度反馈控制音乐音量及图像变化效果</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4.具备统计分析功能</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可对训练记录数据进行统计分析，用曲线图、柱状图、饼图等图表形式显示分析结果，给予训练效果评价，并自动生成报告，训练评价报告采用Word格式。支持多用户管理，管理员可对训练记录进行统一管理，可生成所有用户的训练报告。通过软件的设置可指定音乐、图像的控制模式，如随着放松度的增加音乐音量变小或者随着放松度的增加音乐音量变大等。</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5.脑波灯指标要求</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1)通过全彩色LED灯的色彩变化实时显示情绪变化</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2)通过遥控器实时切换脑波灯的专注或放松模式工作状态，切换时应有语音提示</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3)脑波灯上没有任何连线，脑波灯应能被移动以便于学员在活动中进行训练 </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4)脑波灯应有语音提示功能，应能语音提示脑波灯工作模式、电量不足需要充电，以及脑波灯开机有欢迎语等。</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5)灯泡直径不小于250mm</w:t>
            </w:r>
          </w:p>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6)使用脑波灯训练时，需能通过USB模块输出脑波数据到电脑，使电脑的脑电数据与脑波灯同步，实时显示脑波训练数据</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思源1</w:t>
            </w:r>
          </w:p>
        </w:tc>
      </w:tr>
      <w:tr>
        <w:tblPrEx>
          <w:tblCellMar>
            <w:top w:w="0" w:type="dxa"/>
            <w:left w:w="108" w:type="dxa"/>
            <w:bottom w:w="0" w:type="dxa"/>
            <w:right w:w="108" w:type="dxa"/>
          </w:tblCellMar>
        </w:tblPrEx>
        <w:trPr>
          <w:trHeight w:val="978"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21</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沙盘套装</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1.实木沙箱1个（水性清漆涂层，尺寸：57*72*7cm±</w:t>
            </w:r>
            <w:r>
              <w:rPr>
                <w:rFonts w:hint="eastAsia" w:cs="宋体"/>
                <w:color w:val="auto"/>
                <w:kern w:val="0"/>
                <w:sz w:val="20"/>
                <w:szCs w:val="20"/>
                <w:highlight w:val="none"/>
                <w:lang w:val="en-US" w:eastAsia="zh-CN"/>
              </w:rPr>
              <w:t>1cm</w:t>
            </w:r>
            <w:r>
              <w:rPr>
                <w:rFonts w:hint="eastAsia" w:ascii="宋体" w:hAnsi="宋体" w:cs="宋体"/>
                <w:color w:val="auto"/>
                <w:kern w:val="0"/>
                <w:sz w:val="20"/>
                <w:szCs w:val="20"/>
                <w:highlight w:val="none"/>
              </w:rPr>
              <w:t>）</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其外侧为原木色，内侧底面和侧面均是蓝色的，这蓝色可以象征海洋和天空。在游戏过程中，可以通过拨开沙子露出蓝色的底面来表示湖泊或河流等。沙盘本身具有心理容器的象征意义，来访者的所有问题都可能在这样的空间中得到包容或化解。  </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2.5层9阶实木沙具柜1个（水性清漆涂层，尺寸：100*160*30cm±</w:t>
            </w:r>
            <w:r>
              <w:rPr>
                <w:rFonts w:hint="eastAsia" w:cs="宋体"/>
                <w:color w:val="auto"/>
                <w:kern w:val="0"/>
                <w:sz w:val="20"/>
                <w:szCs w:val="20"/>
                <w:highlight w:val="none"/>
                <w:lang w:val="en-US" w:eastAsia="zh-CN"/>
              </w:rPr>
              <w:t>1.5cm</w:t>
            </w:r>
            <w:r>
              <w:rPr>
                <w:rFonts w:hint="eastAsia" w:ascii="宋体" w:hAnsi="宋体" w:cs="宋体"/>
                <w:color w:val="auto"/>
                <w:kern w:val="0"/>
                <w:sz w:val="20"/>
                <w:szCs w:val="20"/>
                <w:highlight w:val="none"/>
              </w:rPr>
              <w:t xml:space="preserve">）5层9阶实木沙具放置架，环保底漆，多层设置以满足不同种类，不同使用要求分类摆放的目的，为适应不同人群的使用需要，沙具放置架尺寸。     </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3.600个沙具(人物类、动物类、建筑类、军事类、交通工具类、生活用品类、食物类、自然物类、植物类、其他类等10大类沙具）</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沙盘游戏治疗技术培训录像资料选辑1套（沙盘游戏治疗技术录像资料选辑（基础班：操作性分析（1-3阶段）、操作性意义（1-2阶段）、荣格词语联想技术与情节理论、三大主题及其意义、沙盘原理与应用（1-3阶段）、主题延伸（1-2阶段）；高级班：GID障碍患者沙盘治疗报告、沙盘综合性应用于实践（2节课程）、荣格积极想象及其在少游戏中的应用（2节课程）、荣格心理类型基础操作与应用（2节课程）、沙盘游戏中的“情结”及分析、原型意象及意义（2节课程）、沙盘游戏“移情-共情-共鸣-感应（2节课）、沙盘游戏与团体和家庭治疗（2节课）、边缘型人格的个案分析（2节课）、心灵花园志愿者个案报告、心理分析与沙盘游戏、自性与自性划过程（2节课）”）</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5.沙盘游戏档案系统1套（配合心理沙盘进行心理教育、心理咨询、心理辅导的管理软件。该软件可以存储记录来访者在沙盘游戏过程中的图片和视频资料，以完整、详细地呈现其沙盘心理历程。此外，心理工作者针对来访者的沙盘所进行的体验、分析及后续的辅导均可得到记录、输出和转换）</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6.沙盘游戏治疗指导书籍1本</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7.精选海沙12公斤             </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8.实木沙箱支架1套</w:t>
            </w:r>
          </w:p>
          <w:p>
            <w:pPr>
              <w:widowControl/>
              <w:jc w:val="left"/>
              <w:textAlignment w:val="center"/>
              <w:rPr>
                <w:rFonts w:hint="eastAsia" w:ascii="宋体" w:hAnsi="宋体" w:cs="宋体"/>
                <w:color w:val="auto"/>
                <w:sz w:val="24"/>
                <w:highlight w:val="none"/>
              </w:rPr>
            </w:pPr>
            <w:r>
              <w:rPr>
                <w:rFonts w:hint="eastAsia" w:ascii="宋体" w:hAnsi="宋体" w:cs="宋体"/>
                <w:color w:val="auto"/>
                <w:kern w:val="0"/>
                <w:sz w:val="20"/>
                <w:szCs w:val="20"/>
                <w:highlight w:val="none"/>
              </w:rPr>
              <w:t>9.沙具选取框1套 （沙具选取框1个，清理刷1个）</w:t>
            </w:r>
          </w:p>
        </w:tc>
        <w:tc>
          <w:tcPr>
            <w:tcW w:w="4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7</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7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一小2、三小1、番阳1、思源1、通什1、红山1</w:t>
            </w:r>
          </w:p>
        </w:tc>
      </w:tr>
      <w:tr>
        <w:tblPrEx>
          <w:tblCellMar>
            <w:top w:w="0" w:type="dxa"/>
            <w:left w:w="108" w:type="dxa"/>
            <w:bottom w:w="0" w:type="dxa"/>
            <w:right w:w="108" w:type="dxa"/>
          </w:tblCellMar>
        </w:tblPrEx>
        <w:trPr>
          <w:trHeight w:val="656"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22</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催眠椅</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尺寸：1350*720*1000MM±</w:t>
            </w:r>
            <w:r>
              <w:rPr>
                <w:rFonts w:hint="eastAsia" w:cs="宋体"/>
                <w:color w:val="000000"/>
                <w:kern w:val="0"/>
                <w:sz w:val="20"/>
                <w:szCs w:val="20"/>
                <w:highlight w:val="none"/>
                <w:lang w:val="en-US" w:eastAsia="zh-CN"/>
              </w:rPr>
              <w:t>10MM</w:t>
            </w:r>
            <w:r>
              <w:rPr>
                <w:rFonts w:hint="eastAsia" w:ascii="宋体" w:hAnsi="宋体" w:cs="宋体"/>
                <w:color w:val="000000"/>
                <w:kern w:val="0"/>
                <w:sz w:val="20"/>
                <w:szCs w:val="20"/>
                <w:highlight w:val="none"/>
              </w:rPr>
              <w:t>；额定电压：220V；额定功率：80W；按摩方式：4种；功能：24种；高清液晶触控</w:t>
            </w:r>
          </w:p>
        </w:tc>
        <w:tc>
          <w:tcPr>
            <w:tcW w:w="4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张</w:t>
            </w:r>
          </w:p>
        </w:tc>
        <w:tc>
          <w:tcPr>
            <w:tcW w:w="7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一小2</w:t>
            </w:r>
          </w:p>
        </w:tc>
      </w:tr>
      <w:tr>
        <w:tblPrEx>
          <w:tblCellMar>
            <w:top w:w="0" w:type="dxa"/>
            <w:left w:w="108" w:type="dxa"/>
            <w:bottom w:w="0" w:type="dxa"/>
            <w:right w:w="108" w:type="dxa"/>
          </w:tblCellMar>
        </w:tblPrEx>
        <w:trPr>
          <w:trHeight w:val="656"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23</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心理宣泄器材宣泄人</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1：情绪宣泄人主体1个：内置无线发声器通过无线与平台连接。</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2：护手套2对(可有效的缓冲打击时的撞击，采用了轻型耐用材料)</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3：摔打宣泄球4个（橡胶）</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4：立式宣泄球1个（立式不倒，外层高级仿皮材料，高度可调节。）</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5：宣泄挂图4张（高清晰画质、永不退色,）</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6：宣泄室制度1张（高清晰画质、永不退色,）</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7：宣泄棒2根（长75cm，直径7cm，一体成型，高分子缓冲材料）</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8：打气筒1个</w:t>
            </w:r>
          </w:p>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9：宣泄人底座1个</w:t>
            </w:r>
          </w:p>
        </w:tc>
        <w:tc>
          <w:tcPr>
            <w:tcW w:w="4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7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三小1、番阳1、通什1</w:t>
            </w:r>
          </w:p>
        </w:tc>
      </w:tr>
      <w:tr>
        <w:tblPrEx>
          <w:tblCellMar>
            <w:top w:w="0" w:type="dxa"/>
            <w:left w:w="108" w:type="dxa"/>
            <w:bottom w:w="0" w:type="dxa"/>
            <w:right w:w="108" w:type="dxa"/>
          </w:tblCellMar>
        </w:tblPrEx>
        <w:trPr>
          <w:trHeight w:val="656"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24</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软沙发</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rPr>
              <w:t>三人唇形沙发：180*85*75CM*1+双人唇形沙发：130*85*75CM*1+单人位：88*80*78CM*2；海棉厚度：10CM</w:t>
            </w:r>
            <w:r>
              <w:rPr>
                <w:rFonts w:hint="eastAsia" w:cs="宋体"/>
                <w:color w:val="auto"/>
                <w:kern w:val="0"/>
                <w:sz w:val="20"/>
                <w:szCs w:val="20"/>
                <w:highlight w:val="none"/>
                <w:lang w:val="en-US" w:eastAsia="zh-CN"/>
              </w:rPr>
              <w:t>,整体尺寸允差10CM</w:t>
            </w:r>
          </w:p>
        </w:tc>
        <w:tc>
          <w:tcPr>
            <w:tcW w:w="4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7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南圣1、红山1</w:t>
            </w:r>
          </w:p>
        </w:tc>
      </w:tr>
      <w:tr>
        <w:tblPrEx>
          <w:tblCellMar>
            <w:top w:w="0" w:type="dxa"/>
            <w:left w:w="108" w:type="dxa"/>
            <w:bottom w:w="0" w:type="dxa"/>
            <w:right w:w="108" w:type="dxa"/>
          </w:tblCellMar>
        </w:tblPrEx>
        <w:trPr>
          <w:trHeight w:val="978"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25</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心理测评管理系统小学版</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一、功能说明：</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1、采用PHP+MYSQL架构开发，无需任何数据库和服务器配置即可使用；</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2、可以实现单机模式、局域网模式和互联网络模式的相互切换；</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3、支持分段测评功能；</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4、全面整合用户档案软件，可轻松实现用户的同步建档，并支持管理员自定义档案项目；</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5、系统允许管理员可根据自己的需要自行添加定义所需的测评量表，并可自主设置量表的属性和分类，不同的部门科室可独立设定量表测评权限。管理员可以实现对测评量表实现量表的完全管理、添加、定义；实现量表类；</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6、为丰富和满足使用单位多样化心理教育宣传的需要，系统需集成心理网站功能，并可进行个性化定制网站内容；</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7、测评软件具有自动危机预警功能，对于预警人员进行系统预警；</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8、软件具有心理普查功能，可同时进行大规模的心理测试；</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9、系统支持Excel批量导入方式批量生成用户信息，单人手工添加方式、自主注册方式等；</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10、测评结果导出：查看个人测评报告、查看团体测评报告，可导出为word文档；</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11、软件分为三种操作终端：支持手机、平板微信二维码扫描测评操作模式，两种操作模式在网络连通的情况下数据可以实现共享；</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12、提供国家认可检测机构出具的心理测评相关类别的软件登记测试报告，测试报告需符合GB/T   25000.51—2016《系统与软件工程系统与软件质量要求和评价（SQuaRE）第51部分要求规定。</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二、量表组成（≧85份）</w:t>
            </w:r>
          </w:p>
          <w:p>
            <w:pPr>
              <w:widowControl/>
              <w:jc w:val="left"/>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量表测评分类包括：认知功能筛查、心理行为综合评定、健康状况与生存质量评定、个性与气质评定、自我能力评定、智力评定、社会功能与适应能力评定、精神障碍评定、生活事件应激与应付方式评定、情绪评定、睡眠评定等十几种近80余种测评量表；</w:t>
            </w:r>
          </w:p>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心理健康临床自评量表（SCL-90）、爱德华个性偏好量表（EPPS）、霍兰德职业倾向问卷、学习焦虑倾向测量、领悟社会支持量表（PSSS）、学习风格调查表、抑郁自评量表、中小学心理健康诊断测验（MHT）、中学生心理素质量表、中学生网络成瘾量表（IADDS）、思维能力测试、创造能力测试、威廉斯创造力倾向测验、焦虑自评量表（SAS）、A型行为类型问卷+（TABP）、艾森克人格问卷(EPQ）（少年版）、人格特质测试、惧怕否定评价量表（FNE)、意志力测验、中国青年人格问卷（CPI）、中小学生适应能力测验、中学生人际交往能力测验、父母教养方式（EMBU)、家庭环境量表（FES）、学习习惯与应试技能自我检测、学习动机测验、学习方法与恐怖强迫量表（MSCPOR/MOS)、Piers-Harris儿童自我意识量表、Sarason考试焦虑（TAS）、TDL生命质量测量量表、贝克狂躁量表（BRMS）、儿童多动症诊断量表（提供量表软件界面截图）、儿童感觉统和能力发展评定量表（提供量表软件界面截图）、儿童孤独量表（CLS）（提供量表软件界面截图）、儿童孤独症评定量表（CARS) （提供量表软件界面截图）、儿童社会期望量表（提供量表软件界面截图）、儿童社交焦虑量表（SASFC) （提供量表软件界面截图）、儿童十四种人格因素问卷（CPQ）（提供量表软件界面截图）、儿童学习适应性（提供量表软件界面截图）、儿童学习适应性调查表（I）（提供量表软件界面截图）、个人评价量表（PEI）、个性成熟度测试、工作负荷自我测量、工作满意度、汉密顿焦虑量表（HAMA）、汉密尔顿抑郁量表（HAMD)、嫉妒心理诊断量表、简明精神病量表（BPRS)、交往焦虑量表（IAS)、教师心理健康状况简便自查量表、教师压力量表、教师职业倦怠问卷、九型人格测试、卡特尔十六种人格因素测验（16PF）、考试焦虑测验(TAT)、马氏工作倦怠通用量表、明尼苏达多项个性测查表、疲劳量表（FS-14）、匹兹堡睡眠质量指数（PSQI）、青少年生活事件量表（ASLEC)、青少年网络成瘾量表、情绪-社交孤独量表（ESLI)、人生观量表、容纳他人量表、瑞文标准推理测验、瑞文彩色推理测验、瑞文高级推理测验、社会功能缺陷量表（SDSS）、师生关系测验、同学关系测验问卷、小学生心理健康评定量表（教师用）、心理健康自我评价、信任量表（TS）、学生与教师相处的行为困扰的诊断量表、学业成就与人际关系归因测验（MMCS）、一般学习能力倾向测评、应付方式问卷、员工人际交往能力、职业能力倾向测试、中学生心理健康（MSSMHS）、自卑感量表（FIS)、自杀态度测评量表（QSA)、自我和谐量表、自我控制能力测试、自信心测验、自尊量表（SES）、总体幸福感量表（GWB)</w:t>
            </w:r>
          </w:p>
        </w:tc>
        <w:tc>
          <w:tcPr>
            <w:tcW w:w="4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7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毛阳1</w:t>
            </w:r>
          </w:p>
        </w:tc>
      </w:tr>
      <w:tr>
        <w:tblPrEx>
          <w:tblCellMar>
            <w:top w:w="0" w:type="dxa"/>
            <w:left w:w="108" w:type="dxa"/>
            <w:bottom w:w="0" w:type="dxa"/>
            <w:right w:w="108" w:type="dxa"/>
          </w:tblCellMar>
        </w:tblPrEx>
        <w:trPr>
          <w:trHeight w:val="978"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26</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录音笔</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尺寸：118*62*12MM</w:t>
            </w:r>
            <w:r>
              <w:rPr>
                <w:rFonts w:hint="eastAsia" w:ascii="宋体" w:hAnsi="宋体" w:cs="宋体"/>
                <w:color w:val="auto"/>
                <w:kern w:val="0"/>
                <w:sz w:val="20"/>
                <w:szCs w:val="20"/>
                <w:highlight w:val="none"/>
              </w:rPr>
              <w:t>±</w:t>
            </w:r>
            <w:r>
              <w:rPr>
                <w:rFonts w:hint="eastAsia" w:cs="宋体"/>
                <w:color w:val="auto"/>
                <w:kern w:val="0"/>
                <w:sz w:val="20"/>
                <w:szCs w:val="20"/>
                <w:highlight w:val="none"/>
                <w:lang w:val="en-US" w:eastAsia="zh-CN"/>
              </w:rPr>
              <w:t>5MM</w:t>
            </w:r>
            <w:r>
              <w:rPr>
                <w:rFonts w:hint="eastAsia" w:ascii="宋体" w:hAnsi="宋体" w:cs="宋体"/>
                <w:color w:val="000000"/>
                <w:kern w:val="0"/>
                <w:sz w:val="20"/>
                <w:szCs w:val="20"/>
                <w:highlight w:val="none"/>
              </w:rPr>
              <w:t>；触摸屏：3.1英寸WVGA（480*800）；2颗定向麦克风+6颗矩阵麦克风；16GB；云存储10GB；电池容量：2000MAH；充电方式：9V2A18W快充；解锁方式：指纹密码</w:t>
            </w:r>
          </w:p>
        </w:tc>
        <w:tc>
          <w:tcPr>
            <w:tcW w:w="4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支</w:t>
            </w:r>
          </w:p>
        </w:tc>
        <w:tc>
          <w:tcPr>
            <w:tcW w:w="7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通什1</w:t>
            </w:r>
          </w:p>
        </w:tc>
      </w:tr>
      <w:tr>
        <w:tblPrEx>
          <w:tblCellMar>
            <w:top w:w="0" w:type="dxa"/>
            <w:left w:w="108" w:type="dxa"/>
            <w:bottom w:w="0" w:type="dxa"/>
            <w:right w:w="108" w:type="dxa"/>
          </w:tblCellMar>
        </w:tblPrEx>
        <w:trPr>
          <w:trHeight w:val="978"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27</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饮水机</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额定电压：220V-/50HZ；额定功率：495W；耗电量：≤1.2kW.h/24h；制冷能力：0.6L/h；冷水出水温度：≤15度；存储柜容积：36L；尺寸：310*305*920MM</w:t>
            </w:r>
            <w:r>
              <w:rPr>
                <w:rFonts w:hint="eastAsia" w:ascii="宋体" w:hAnsi="宋体" w:cs="宋体"/>
                <w:color w:val="auto"/>
                <w:kern w:val="0"/>
                <w:sz w:val="20"/>
                <w:szCs w:val="20"/>
                <w:highlight w:val="none"/>
              </w:rPr>
              <w:t>±</w:t>
            </w:r>
            <w:r>
              <w:rPr>
                <w:rFonts w:hint="eastAsia" w:cs="宋体"/>
                <w:color w:val="auto"/>
                <w:kern w:val="0"/>
                <w:sz w:val="20"/>
                <w:szCs w:val="20"/>
                <w:highlight w:val="none"/>
                <w:lang w:val="en-US" w:eastAsia="zh-CN"/>
              </w:rPr>
              <w:t>30MM</w:t>
            </w:r>
            <w:r>
              <w:rPr>
                <w:rFonts w:hint="eastAsia" w:ascii="宋体" w:hAnsi="宋体" w:cs="宋体"/>
                <w:color w:val="000000"/>
                <w:kern w:val="0"/>
                <w:sz w:val="20"/>
                <w:szCs w:val="20"/>
                <w:highlight w:val="none"/>
              </w:rPr>
              <w:t>；可拆卸接水盒</w:t>
            </w:r>
          </w:p>
        </w:tc>
        <w:tc>
          <w:tcPr>
            <w:tcW w:w="4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7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通什1、红山1</w:t>
            </w:r>
          </w:p>
        </w:tc>
      </w:tr>
      <w:tr>
        <w:tblPrEx>
          <w:tblCellMar>
            <w:top w:w="0" w:type="dxa"/>
            <w:left w:w="108" w:type="dxa"/>
            <w:bottom w:w="0" w:type="dxa"/>
            <w:right w:w="108" w:type="dxa"/>
          </w:tblCellMar>
        </w:tblPrEx>
        <w:trPr>
          <w:trHeight w:val="615"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28</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拳击手套</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30*14CM*拳峰厚度3CM；材质：优质PU皮革；80Z</w:t>
            </w:r>
          </w:p>
        </w:tc>
        <w:tc>
          <w:tcPr>
            <w:tcW w:w="4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双</w:t>
            </w:r>
          </w:p>
        </w:tc>
        <w:tc>
          <w:tcPr>
            <w:tcW w:w="7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通什2</w:t>
            </w:r>
          </w:p>
        </w:tc>
      </w:tr>
      <w:tr>
        <w:tblPrEx>
          <w:tblCellMar>
            <w:top w:w="0" w:type="dxa"/>
            <w:left w:w="108" w:type="dxa"/>
            <w:bottom w:w="0" w:type="dxa"/>
            <w:right w:w="108" w:type="dxa"/>
          </w:tblCellMar>
        </w:tblPrEx>
        <w:trPr>
          <w:trHeight w:val="631"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29</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护脚</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固定加强护裸；面料：尼龙材质；防护指数突出、弹力指数突出</w:t>
            </w:r>
          </w:p>
        </w:tc>
        <w:tc>
          <w:tcPr>
            <w:tcW w:w="4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双</w:t>
            </w:r>
          </w:p>
        </w:tc>
        <w:tc>
          <w:tcPr>
            <w:tcW w:w="7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通什2</w:t>
            </w:r>
          </w:p>
        </w:tc>
      </w:tr>
      <w:tr>
        <w:tblPrEx>
          <w:tblCellMar>
            <w:top w:w="0" w:type="dxa"/>
            <w:left w:w="108" w:type="dxa"/>
            <w:bottom w:w="0" w:type="dxa"/>
            <w:right w:w="108" w:type="dxa"/>
          </w:tblCellMar>
        </w:tblPrEx>
        <w:trPr>
          <w:trHeight w:val="656"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计时器</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rPr>
              <w:t>尺寸：92*60*24MM±</w:t>
            </w:r>
            <w:r>
              <w:rPr>
                <w:rFonts w:hint="eastAsia" w:cs="宋体"/>
                <w:color w:val="000000"/>
                <w:kern w:val="0"/>
                <w:sz w:val="20"/>
                <w:szCs w:val="20"/>
                <w:highlight w:val="none"/>
                <w:lang w:val="en-US" w:eastAsia="zh-CN"/>
              </w:rPr>
              <w:t>20mm</w:t>
            </w:r>
            <w:r>
              <w:rPr>
                <w:rFonts w:hint="eastAsia" w:ascii="宋体" w:hAnsi="宋体" w:cs="宋体"/>
                <w:color w:val="000000"/>
                <w:kern w:val="0"/>
                <w:sz w:val="20"/>
                <w:szCs w:val="20"/>
                <w:highlight w:val="none"/>
              </w:rPr>
              <w:t>；材质：ABS；适用电池：7号；三种摆放方式；音量调节：3档</w:t>
            </w:r>
            <w:r>
              <w:rPr>
                <w:rFonts w:hint="eastAsia" w:cs="宋体"/>
                <w:color w:val="000000"/>
                <w:kern w:val="0"/>
                <w:sz w:val="20"/>
                <w:szCs w:val="20"/>
                <w:highlight w:val="none"/>
                <w:lang w:val="en-US" w:eastAsia="zh-CN"/>
              </w:rPr>
              <w:t xml:space="preserve">  </w:t>
            </w:r>
          </w:p>
        </w:tc>
        <w:tc>
          <w:tcPr>
            <w:tcW w:w="4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7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通什2</w:t>
            </w:r>
          </w:p>
        </w:tc>
      </w:tr>
      <w:tr>
        <w:tblPrEx>
          <w:tblCellMar>
            <w:top w:w="0" w:type="dxa"/>
            <w:left w:w="108" w:type="dxa"/>
            <w:bottom w:w="0" w:type="dxa"/>
            <w:right w:w="108" w:type="dxa"/>
          </w:tblCellMar>
        </w:tblPrEx>
        <w:trPr>
          <w:trHeight w:val="656"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31</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挂钟</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13英寸；镜面：12英寸平面高清玻璃；13寸弧形曲面玻璃；</w:t>
            </w:r>
          </w:p>
        </w:tc>
        <w:tc>
          <w:tcPr>
            <w:tcW w:w="4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7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通什1、红山1</w:t>
            </w:r>
          </w:p>
        </w:tc>
      </w:tr>
      <w:tr>
        <w:tblPrEx>
          <w:tblCellMar>
            <w:top w:w="0" w:type="dxa"/>
            <w:left w:w="108" w:type="dxa"/>
            <w:bottom w:w="0" w:type="dxa"/>
            <w:right w:w="108" w:type="dxa"/>
          </w:tblCellMar>
        </w:tblPrEx>
        <w:trPr>
          <w:trHeight w:val="656"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32</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书架（图书角）</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1200*30*1820MM±</w:t>
            </w:r>
            <w:r>
              <w:rPr>
                <w:rFonts w:hint="eastAsia" w:cs="宋体"/>
                <w:color w:val="000000"/>
                <w:kern w:val="0"/>
                <w:sz w:val="20"/>
                <w:szCs w:val="20"/>
                <w:highlight w:val="none"/>
                <w:lang w:val="en-US" w:eastAsia="zh-CN"/>
              </w:rPr>
              <w:t>30MM</w:t>
            </w:r>
            <w:r>
              <w:rPr>
                <w:rFonts w:hint="eastAsia" w:ascii="宋体" w:hAnsi="宋体" w:cs="宋体"/>
                <w:color w:val="000000"/>
                <w:kern w:val="0"/>
                <w:sz w:val="20"/>
                <w:szCs w:val="20"/>
                <w:highlight w:val="none"/>
              </w:rPr>
              <w:t>；材质：钢木结合；16MM加厚板才；环保漆；颜色：黑架+白枫色</w:t>
            </w:r>
          </w:p>
        </w:tc>
        <w:tc>
          <w:tcPr>
            <w:tcW w:w="4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7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通什1、红山1</w:t>
            </w:r>
          </w:p>
        </w:tc>
      </w:tr>
      <w:tr>
        <w:tblPrEx>
          <w:tblCellMar>
            <w:top w:w="0" w:type="dxa"/>
            <w:left w:w="108" w:type="dxa"/>
            <w:bottom w:w="0" w:type="dxa"/>
            <w:right w:w="108" w:type="dxa"/>
          </w:tblCellMar>
        </w:tblPrEx>
        <w:trPr>
          <w:trHeight w:val="538"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33</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哈哈镜</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rPr>
              <w:t>半径450MM±</w:t>
            </w:r>
            <w:r>
              <w:rPr>
                <w:rFonts w:hint="eastAsia" w:cs="宋体"/>
                <w:color w:val="000000"/>
                <w:kern w:val="0"/>
                <w:sz w:val="20"/>
                <w:szCs w:val="20"/>
                <w:highlight w:val="none"/>
                <w:lang w:val="en-US" w:eastAsia="zh-CN"/>
              </w:rPr>
              <w:t xml:space="preserve">50MM </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5MM</w:t>
            </w:r>
          </w:p>
        </w:tc>
        <w:tc>
          <w:tcPr>
            <w:tcW w:w="4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7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通什4</w:t>
            </w:r>
          </w:p>
        </w:tc>
      </w:tr>
      <w:tr>
        <w:tblPrEx>
          <w:tblCellMar>
            <w:top w:w="0" w:type="dxa"/>
            <w:left w:w="108" w:type="dxa"/>
            <w:bottom w:w="0" w:type="dxa"/>
            <w:right w:w="108" w:type="dxa"/>
          </w:tblCellMar>
        </w:tblPrEx>
        <w:trPr>
          <w:trHeight w:val="1947"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34</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音响系统（音箱、功放、耳机）</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功放：阻抗10欧、300W*2；额定功率：200V-50HZ；桥接功率1160W；输入灵敏度200MV；220V交流供电/音箱一对:尺寸200W1个；频率响应：35HZ-18KHZ；音响单元：中低音*1/只，3寸高音*2/只；耳机：插头直径: 3.5mm；灵敏度: 80dB/mW频响范围: 80-20Hz功能: 主动降噪功能(Active Noise Canceling)耳机发声原理: 动圈</w:t>
            </w:r>
          </w:p>
        </w:tc>
        <w:tc>
          <w:tcPr>
            <w:tcW w:w="4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7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通什1</w:t>
            </w:r>
          </w:p>
        </w:tc>
      </w:tr>
      <w:tr>
        <w:tblPrEx>
          <w:tblCellMar>
            <w:top w:w="0" w:type="dxa"/>
            <w:left w:w="108" w:type="dxa"/>
            <w:bottom w:w="0" w:type="dxa"/>
            <w:right w:w="108" w:type="dxa"/>
          </w:tblCellMar>
        </w:tblPrEx>
        <w:trPr>
          <w:trHeight w:val="1127"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35</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办公桌椅</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桌子：180*80*75CM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2CM</w:t>
            </w:r>
            <w:r>
              <w:rPr>
                <w:rFonts w:hint="eastAsia" w:ascii="宋体" w:hAnsi="宋体" w:cs="宋体"/>
                <w:color w:val="000000"/>
                <w:kern w:val="0"/>
                <w:sz w:val="22"/>
                <w:szCs w:val="22"/>
                <w:highlight w:val="none"/>
              </w:rPr>
              <w:t>；材质：钢架E1材板；隐蔽穿线盒；可调脚垫；颜色：黑色+白色；桌面：25MM；侧柜尺寸：90*40*60CM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2CM</w:t>
            </w:r>
            <w:r>
              <w:rPr>
                <w:rFonts w:hint="eastAsia" w:ascii="宋体" w:hAnsi="宋体" w:cs="宋体"/>
                <w:color w:val="000000"/>
                <w:kern w:val="0"/>
                <w:sz w:val="22"/>
                <w:szCs w:val="22"/>
                <w:highlight w:val="none"/>
              </w:rPr>
              <w:t>；椅子总高：92CM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2CM</w:t>
            </w:r>
            <w:r>
              <w:rPr>
                <w:rFonts w:hint="eastAsia" w:ascii="宋体" w:hAnsi="宋体" w:cs="宋体"/>
                <w:color w:val="000000"/>
                <w:kern w:val="0"/>
                <w:sz w:val="22"/>
                <w:szCs w:val="22"/>
                <w:highlight w:val="none"/>
              </w:rPr>
              <w:t>、座高44CM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2CM</w:t>
            </w:r>
            <w:r>
              <w:rPr>
                <w:rFonts w:hint="eastAsia" w:ascii="宋体" w:hAnsi="宋体" w:cs="宋体"/>
                <w:color w:val="000000"/>
                <w:kern w:val="0"/>
                <w:sz w:val="22"/>
                <w:szCs w:val="22"/>
                <w:highlight w:val="none"/>
              </w:rPr>
              <w:t>、扶手离地62C</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2C</w:t>
            </w:r>
            <w:r>
              <w:rPr>
                <w:rFonts w:hint="eastAsia" w:ascii="宋体" w:hAnsi="宋体" w:cs="宋体"/>
                <w:color w:val="000000"/>
                <w:kern w:val="0"/>
                <w:sz w:val="22"/>
                <w:szCs w:val="22"/>
                <w:highlight w:val="none"/>
              </w:rPr>
              <w:t>M、背高48CM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2CM</w:t>
            </w:r>
            <w:r>
              <w:rPr>
                <w:rFonts w:hint="eastAsia" w:ascii="宋体" w:hAnsi="宋体" w:cs="宋体"/>
                <w:color w:val="000000"/>
                <w:kern w:val="0"/>
                <w:sz w:val="22"/>
                <w:szCs w:val="22"/>
                <w:highlight w:val="none"/>
              </w:rPr>
              <w:t>；加固横档设计</w:t>
            </w:r>
          </w:p>
        </w:tc>
        <w:tc>
          <w:tcPr>
            <w:tcW w:w="4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7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红山1</w:t>
            </w:r>
          </w:p>
        </w:tc>
      </w:tr>
      <w:tr>
        <w:tblPrEx>
          <w:tblCellMar>
            <w:top w:w="0" w:type="dxa"/>
            <w:left w:w="108" w:type="dxa"/>
            <w:bottom w:w="0" w:type="dxa"/>
            <w:right w:w="108" w:type="dxa"/>
          </w:tblCellMar>
        </w:tblPrEx>
        <w:trPr>
          <w:trHeight w:val="1127"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36</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笔记本电脑</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CPU：i5-1135G7；16G内存；512G固态硬盘；内置WIFI蓝牙；14寸；独立显卡；背光键盘；180度开合；指纹解锁、护眼模式；厚度15.9MM；USB2.0、3.0接口；USB-C接口，支持反向充电；隐藏式摄像头</w:t>
            </w:r>
          </w:p>
        </w:tc>
        <w:tc>
          <w:tcPr>
            <w:tcW w:w="4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台</w:t>
            </w:r>
          </w:p>
        </w:tc>
        <w:tc>
          <w:tcPr>
            <w:tcW w:w="7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红山1</w:t>
            </w:r>
          </w:p>
        </w:tc>
      </w:tr>
      <w:tr>
        <w:tblPrEx>
          <w:tblCellMar>
            <w:top w:w="0" w:type="dxa"/>
            <w:left w:w="108" w:type="dxa"/>
            <w:bottom w:w="0" w:type="dxa"/>
            <w:right w:w="108" w:type="dxa"/>
          </w:tblCellMar>
        </w:tblPrEx>
        <w:trPr>
          <w:trHeight w:val="677"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37</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资料柜</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尺寸：高1800*宽</w:t>
            </w:r>
            <w:r>
              <w:rPr>
                <w:rFonts w:hint="eastAsia" w:ascii="宋体" w:hAnsi="宋体" w:cs="宋体"/>
                <w:color w:val="auto"/>
                <w:kern w:val="0"/>
                <w:sz w:val="22"/>
                <w:szCs w:val="22"/>
                <w:highlight w:val="none"/>
              </w:rPr>
              <w:t>900*</w:t>
            </w:r>
            <w:r>
              <w:rPr>
                <w:rFonts w:hint="eastAsia" w:ascii="宋体" w:hAnsi="宋体" w:cs="宋体"/>
                <w:color w:val="000000"/>
                <w:kern w:val="0"/>
                <w:sz w:val="22"/>
                <w:szCs w:val="22"/>
                <w:highlight w:val="none"/>
              </w:rPr>
              <w:t>深400MM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10MM</w:t>
            </w:r>
            <w:r>
              <w:rPr>
                <w:rFonts w:hint="eastAsia" w:ascii="宋体" w:hAnsi="宋体" w:cs="宋体"/>
                <w:color w:val="000000"/>
                <w:kern w:val="0"/>
                <w:sz w:val="22"/>
                <w:szCs w:val="22"/>
                <w:highlight w:val="none"/>
              </w:rPr>
              <w:t>/厚度1.4MM，加厚冷轧钢板，通玻</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红山1</w:t>
            </w:r>
          </w:p>
        </w:tc>
      </w:tr>
      <w:tr>
        <w:tblPrEx>
          <w:tblCellMar>
            <w:top w:w="0" w:type="dxa"/>
            <w:left w:w="108" w:type="dxa"/>
            <w:bottom w:w="0" w:type="dxa"/>
            <w:right w:w="108" w:type="dxa"/>
          </w:tblCellMar>
        </w:tblPrEx>
        <w:trPr>
          <w:trHeight w:val="333" w:hRule="atLeast"/>
        </w:trPr>
        <w:tc>
          <w:tcPr>
            <w:tcW w:w="6872" w:type="dxa"/>
            <w:gridSpan w:val="10"/>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合计</w:t>
            </w:r>
          </w:p>
        </w:tc>
        <w:tc>
          <w:tcPr>
            <w:tcW w:w="716"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highlight w:val="none"/>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4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highlight w:val="none"/>
              </w:rPr>
            </w:pPr>
          </w:p>
        </w:tc>
      </w:tr>
    </w:tbl>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spacing w:line="400" w:lineRule="exact"/>
        <w:rPr>
          <w:rFonts w:hint="eastAsia"/>
          <w:b/>
          <w:sz w:val="24"/>
          <w:highlight w:val="none"/>
        </w:rPr>
      </w:pPr>
    </w:p>
    <w:p>
      <w:pPr>
        <w:pStyle w:val="7"/>
        <w:rPr>
          <w:rFonts w:hint="eastAsia"/>
          <w:b/>
          <w:sz w:val="24"/>
          <w:highlight w:val="none"/>
        </w:rPr>
      </w:pPr>
    </w:p>
    <w:p>
      <w:pPr>
        <w:rPr>
          <w:rFonts w:hint="eastAsia"/>
          <w:b/>
          <w:sz w:val="24"/>
          <w:highlight w:val="none"/>
        </w:rPr>
      </w:pPr>
    </w:p>
    <w:p>
      <w:pPr>
        <w:pStyle w:val="2"/>
        <w:rPr>
          <w:rFonts w:hint="eastAsia"/>
          <w:b/>
          <w:sz w:val="24"/>
          <w:highlight w:val="none"/>
        </w:rPr>
      </w:pPr>
    </w:p>
    <w:p>
      <w:pPr>
        <w:spacing w:line="400" w:lineRule="exact"/>
        <w:rPr>
          <w:rFonts w:hint="eastAsia"/>
          <w:b/>
          <w:sz w:val="24"/>
          <w:highlight w:val="none"/>
        </w:rPr>
      </w:pPr>
    </w:p>
    <w:p>
      <w:pPr>
        <w:pStyle w:val="2"/>
        <w:rPr>
          <w:rFonts w:hint="eastAsia"/>
          <w:b/>
          <w:sz w:val="24"/>
          <w:highlight w:val="none"/>
        </w:rPr>
      </w:pPr>
    </w:p>
    <w:p>
      <w:pPr>
        <w:pStyle w:val="4"/>
        <w:rPr>
          <w:rFonts w:hint="eastAsia"/>
          <w:highlight w:val="none"/>
        </w:rPr>
      </w:pPr>
    </w:p>
    <w:tbl>
      <w:tblPr>
        <w:tblStyle w:val="17"/>
        <w:tblW w:w="9760" w:type="dxa"/>
        <w:tblInd w:w="93" w:type="dxa"/>
        <w:tblLayout w:type="fixed"/>
        <w:tblCellMar>
          <w:top w:w="0" w:type="dxa"/>
          <w:left w:w="108" w:type="dxa"/>
          <w:bottom w:w="0" w:type="dxa"/>
          <w:right w:w="108" w:type="dxa"/>
        </w:tblCellMar>
      </w:tblPr>
      <w:tblGrid>
        <w:gridCol w:w="608"/>
        <w:gridCol w:w="1224"/>
        <w:gridCol w:w="3471"/>
        <w:gridCol w:w="535"/>
        <w:gridCol w:w="748"/>
        <w:gridCol w:w="748"/>
        <w:gridCol w:w="914"/>
        <w:gridCol w:w="1512"/>
      </w:tblGrid>
      <w:tr>
        <w:tblPrEx>
          <w:tblCellMar>
            <w:top w:w="0" w:type="dxa"/>
            <w:left w:w="108" w:type="dxa"/>
            <w:bottom w:w="0" w:type="dxa"/>
            <w:right w:w="108" w:type="dxa"/>
          </w:tblCellMar>
        </w:tblPrEx>
        <w:trPr>
          <w:trHeight w:val="649" w:hRule="atLeast"/>
        </w:trPr>
        <w:tc>
          <w:tcPr>
            <w:tcW w:w="9760"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40"/>
                <w:szCs w:val="40"/>
                <w:highlight w:val="none"/>
              </w:rPr>
            </w:pPr>
            <w:r>
              <w:rPr>
                <w:rFonts w:hint="eastAsia" w:ascii="宋体" w:hAnsi="宋体" w:cs="宋体"/>
                <w:color w:val="000000"/>
                <w:kern w:val="0"/>
                <w:sz w:val="40"/>
                <w:szCs w:val="40"/>
                <w:highlight w:val="none"/>
              </w:rPr>
              <w:t>19、卫生保健器械设备</w:t>
            </w:r>
          </w:p>
        </w:tc>
      </w:tr>
      <w:tr>
        <w:tblPrEx>
          <w:tblCellMar>
            <w:top w:w="0" w:type="dxa"/>
            <w:left w:w="108" w:type="dxa"/>
            <w:bottom w:w="0" w:type="dxa"/>
            <w:right w:w="108" w:type="dxa"/>
          </w:tblCellMar>
        </w:tblPrEx>
        <w:trPr>
          <w:trHeight w:val="64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序号</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产品名称</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标底参数</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数量</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单位</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单价/元</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金额/元</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备注</w:t>
            </w:r>
          </w:p>
        </w:tc>
      </w:tr>
      <w:tr>
        <w:tblPrEx>
          <w:tblCellMar>
            <w:top w:w="0" w:type="dxa"/>
            <w:left w:w="108" w:type="dxa"/>
            <w:bottom w:w="0" w:type="dxa"/>
            <w:right w:w="108" w:type="dxa"/>
          </w:tblCellMar>
        </w:tblPrEx>
        <w:trPr>
          <w:trHeight w:val="1608"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身高体重测量仪（超声波）</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超声波探头；称高范围：60-200CM（±0.1CM）；称重范围：2.0-200KG（±0.01KG）；屏显：上屏5.0寸，下屏3.0寸；电源电压：AOC100V-240V；额定功率：≤10W；便携可折叠，底部滑轮</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8</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台</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一小4、畅好2、番阳2</w:t>
            </w:r>
          </w:p>
        </w:tc>
      </w:tr>
      <w:tr>
        <w:tblPrEx>
          <w:tblCellMar>
            <w:top w:w="0" w:type="dxa"/>
            <w:left w:w="108" w:type="dxa"/>
            <w:bottom w:w="0" w:type="dxa"/>
            <w:right w:w="108" w:type="dxa"/>
          </w:tblCellMar>
        </w:tblPrEx>
        <w:trPr>
          <w:trHeight w:val="64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视力表灯箱</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尺寸：800*540*16MM±</w:t>
            </w:r>
            <w:r>
              <w:rPr>
                <w:rFonts w:hint="eastAsia" w:cs="宋体"/>
                <w:color w:val="000000"/>
                <w:kern w:val="0"/>
                <w:sz w:val="20"/>
                <w:szCs w:val="20"/>
                <w:highlight w:val="none"/>
                <w:lang w:val="en-US" w:eastAsia="zh-CN"/>
              </w:rPr>
              <w:t>5MM</w:t>
            </w:r>
            <w:r>
              <w:rPr>
                <w:rFonts w:hint="eastAsia" w:ascii="宋体" w:hAnsi="宋体" w:cs="宋体"/>
                <w:color w:val="000000"/>
                <w:kern w:val="0"/>
                <w:sz w:val="20"/>
                <w:szCs w:val="20"/>
                <w:highlight w:val="none"/>
              </w:rPr>
              <w:t>/铝合金边框/LED节能/成人摇控，6种亮度可调</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9</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三小2、通什1、畅好6</w:t>
            </w:r>
          </w:p>
        </w:tc>
      </w:tr>
      <w:tr>
        <w:tblPrEx>
          <w:tblCellMar>
            <w:top w:w="0" w:type="dxa"/>
            <w:left w:w="108" w:type="dxa"/>
            <w:bottom w:w="0" w:type="dxa"/>
            <w:right w:w="108" w:type="dxa"/>
          </w:tblCellMar>
        </w:tblPrEx>
        <w:trPr>
          <w:trHeight w:val="96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杠杆式体重秤</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台面尺寸：38.5*28CM±</w:t>
            </w:r>
            <w:r>
              <w:rPr>
                <w:rFonts w:hint="eastAsia" w:cs="宋体"/>
                <w:color w:val="000000"/>
                <w:kern w:val="0"/>
                <w:sz w:val="20"/>
                <w:szCs w:val="20"/>
                <w:highlight w:val="none"/>
                <w:lang w:val="en-US" w:eastAsia="zh-CN"/>
              </w:rPr>
              <w:t>1CM</w:t>
            </w:r>
            <w:r>
              <w:rPr>
                <w:rFonts w:hint="eastAsia" w:ascii="宋体" w:hAnsi="宋体" w:cs="宋体"/>
                <w:color w:val="000000"/>
                <w:kern w:val="0"/>
                <w:sz w:val="20"/>
                <w:szCs w:val="20"/>
                <w:highlight w:val="none"/>
              </w:rPr>
              <w:t>；称重量程：120KG/分度值500G；长度计量：70-190CM；称度范围：0.1KG-120KG；铸铁底座</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台</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三小2</w:t>
            </w:r>
          </w:p>
        </w:tc>
      </w:tr>
      <w:tr>
        <w:tblPrEx>
          <w:tblCellMar>
            <w:top w:w="0" w:type="dxa"/>
            <w:left w:w="108" w:type="dxa"/>
            <w:bottom w:w="0" w:type="dxa"/>
            <w:right w:w="108" w:type="dxa"/>
          </w:tblCellMar>
        </w:tblPrEx>
        <w:trPr>
          <w:trHeight w:val="1608"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血压计</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产品尺寸：208*72*42MM±</w:t>
            </w:r>
            <w:r>
              <w:rPr>
                <w:rFonts w:hint="eastAsia" w:ascii="宋体" w:hAnsi="宋体" w:cs="宋体"/>
                <w:color w:val="000000"/>
                <w:kern w:val="0"/>
                <w:sz w:val="24"/>
                <w:highlight w:val="none"/>
                <w:lang w:val="en-US" w:eastAsia="zh-CN"/>
              </w:rPr>
              <w:t>5MM</w:t>
            </w:r>
            <w:r>
              <w:rPr>
                <w:rFonts w:hint="eastAsia" w:ascii="宋体" w:hAnsi="宋体" w:cs="宋体"/>
                <w:color w:val="000000"/>
                <w:kern w:val="0"/>
                <w:sz w:val="24"/>
                <w:highlight w:val="none"/>
              </w:rPr>
              <w:t>/LCD数字显示/测量范围：（0-270）mmHG[(0-36)kpa]脉搏数40次/min-180次/min/测量方法：脉搏波法/</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13</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三小2、畅好7、通什2、一小2</w:t>
            </w:r>
          </w:p>
        </w:tc>
      </w:tr>
      <w:tr>
        <w:tblPrEx>
          <w:tblCellMar>
            <w:top w:w="0" w:type="dxa"/>
            <w:left w:w="108" w:type="dxa"/>
            <w:bottom w:w="0" w:type="dxa"/>
            <w:right w:w="108" w:type="dxa"/>
          </w:tblCellMar>
        </w:tblPrEx>
        <w:trPr>
          <w:trHeight w:val="96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听诊器</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部件：耳塞、耳环、弹簧片、短胶管、三通、铭牌、扁形听诊头、钟形听诊头、说明书、合格证、膜片</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三小2、通什2、畅好2</w:t>
            </w:r>
          </w:p>
        </w:tc>
      </w:tr>
      <w:tr>
        <w:tblPrEx>
          <w:tblCellMar>
            <w:top w:w="0" w:type="dxa"/>
            <w:left w:w="108" w:type="dxa"/>
            <w:bottom w:w="0" w:type="dxa"/>
            <w:right w:w="108" w:type="dxa"/>
          </w:tblCellMar>
        </w:tblPrEx>
        <w:trPr>
          <w:trHeight w:val="1608"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6</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红外体温计</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非接触式；测量距离：1-3CM；测量时间：≤2秒；自动关机≤30秒；记忆数据：50组；测量范围：额温模式32-42度，物体表面模式10-100度；尺寸：136*74*39CM±</w:t>
            </w:r>
            <w:r>
              <w:rPr>
                <w:rFonts w:hint="eastAsia" w:cs="宋体"/>
                <w:color w:val="000000"/>
                <w:kern w:val="0"/>
                <w:sz w:val="20"/>
                <w:szCs w:val="20"/>
                <w:highlight w:val="none"/>
                <w:lang w:val="en-US" w:eastAsia="zh-CN"/>
              </w:rPr>
              <w:t>1CM</w:t>
            </w:r>
            <w:r>
              <w:rPr>
                <w:rFonts w:hint="eastAsia" w:ascii="宋体" w:hAnsi="宋体" w:cs="宋体"/>
                <w:color w:val="000000"/>
                <w:kern w:val="0"/>
                <w:sz w:val="20"/>
                <w:szCs w:val="20"/>
                <w:highlight w:val="none"/>
              </w:rPr>
              <w:t>；LCD显示屏；流线型手柄</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13</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三小2、通什1、畅好10</w:t>
            </w:r>
          </w:p>
        </w:tc>
      </w:tr>
      <w:tr>
        <w:tblPrEx>
          <w:tblCellMar>
            <w:top w:w="0" w:type="dxa"/>
            <w:left w:w="108" w:type="dxa"/>
            <w:bottom w:w="0" w:type="dxa"/>
            <w:right w:w="108" w:type="dxa"/>
          </w:tblCellMar>
        </w:tblPrEx>
        <w:trPr>
          <w:trHeight w:val="64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auto"/>
                <w:sz w:val="22"/>
                <w:szCs w:val="22"/>
                <w:highlight w:val="none"/>
              </w:rPr>
            </w:pPr>
            <w:r>
              <w:rPr>
                <w:rFonts w:hint="eastAsia" w:ascii="宋体" w:hAnsi="宋体" w:cs="宋体"/>
                <w:color w:val="auto"/>
                <w:kern w:val="0"/>
                <w:sz w:val="22"/>
                <w:szCs w:val="22"/>
                <w:highlight w:val="none"/>
              </w:rPr>
              <w:t>7</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急救箱</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rPr>
              <w:t>尺寸：405*220*230MM±</w:t>
            </w:r>
            <w:r>
              <w:rPr>
                <w:rFonts w:hint="eastAsia" w:ascii="宋体" w:hAnsi="宋体" w:cs="宋体"/>
                <w:color w:val="auto"/>
                <w:kern w:val="0"/>
                <w:sz w:val="24"/>
                <w:highlight w:val="none"/>
                <w:lang w:val="en-US" w:eastAsia="zh-CN"/>
              </w:rPr>
              <w:t>5MM</w:t>
            </w:r>
            <w:r>
              <w:rPr>
                <w:rFonts w:hint="eastAsia" w:ascii="宋体" w:hAnsi="宋体" w:cs="宋体"/>
                <w:color w:val="auto"/>
                <w:kern w:val="0"/>
                <w:sz w:val="24"/>
                <w:highlight w:val="none"/>
              </w:rPr>
              <w:t>/优质铝合金边框/ABS亮银面板</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11</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auto"/>
                <w:sz w:val="20"/>
                <w:szCs w:val="20"/>
                <w:highlight w:val="none"/>
              </w:rPr>
            </w:pPr>
            <w:r>
              <w:rPr>
                <w:rFonts w:hint="eastAsia" w:ascii="宋体" w:hAnsi="宋体" w:cs="宋体"/>
                <w:color w:val="auto"/>
                <w:kern w:val="0"/>
                <w:sz w:val="20"/>
                <w:szCs w:val="20"/>
                <w:highlight w:val="none"/>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color w:val="auto"/>
                <w:sz w:val="20"/>
                <w:szCs w:val="20"/>
                <w:highlight w:val="none"/>
                <w:lang w:eastAsia="zh-CN"/>
              </w:rPr>
            </w:pPr>
            <w:r>
              <w:rPr>
                <w:rFonts w:hint="eastAsia" w:ascii="宋体" w:hAnsi="宋体" w:cs="宋体"/>
                <w:color w:val="auto"/>
                <w:kern w:val="0"/>
                <w:sz w:val="20"/>
                <w:szCs w:val="20"/>
                <w:highlight w:val="none"/>
              </w:rPr>
              <w:t>三小2、通什2、畅好</w:t>
            </w:r>
            <w:r>
              <w:rPr>
                <w:rFonts w:hint="eastAsia" w:ascii="宋体" w:hAnsi="宋体" w:cs="宋体"/>
                <w:color w:val="auto"/>
                <w:kern w:val="0"/>
                <w:sz w:val="20"/>
                <w:szCs w:val="20"/>
                <w:highlight w:val="none"/>
                <w:lang w:val="en-US" w:eastAsia="zh-CN"/>
              </w:rPr>
              <w:t>7</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8</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压舌板</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木质一次性；15*1.7CM；200支/包</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包</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三小2</w:t>
            </w:r>
          </w:p>
        </w:tc>
      </w:tr>
      <w:tr>
        <w:tblPrEx>
          <w:tblCellMar>
            <w:top w:w="0" w:type="dxa"/>
            <w:left w:w="108" w:type="dxa"/>
            <w:bottom w:w="0" w:type="dxa"/>
            <w:right w:w="108" w:type="dxa"/>
          </w:tblCellMar>
        </w:tblPrEx>
        <w:trPr>
          <w:trHeight w:val="96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9</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诊察床</w:t>
            </w:r>
          </w:p>
        </w:tc>
        <w:tc>
          <w:tcPr>
            <w:tcW w:w="3471" w:type="dxa"/>
            <w:tcBorders>
              <w:top w:val="nil"/>
              <w:left w:val="nil"/>
              <w:bottom w:val="nil"/>
              <w:right w:val="nil"/>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尺寸；185*65*70±</w:t>
            </w:r>
            <w:r>
              <w:rPr>
                <w:rFonts w:hint="eastAsia" w:ascii="宋体" w:hAnsi="宋体" w:cs="宋体"/>
                <w:color w:val="000000"/>
                <w:kern w:val="0"/>
                <w:sz w:val="24"/>
                <w:highlight w:val="none"/>
                <w:lang w:val="en-US" w:eastAsia="zh-CN"/>
              </w:rPr>
              <w:t>3</w:t>
            </w:r>
            <w:r>
              <w:rPr>
                <w:rFonts w:hint="eastAsia" w:ascii="宋体" w:hAnsi="宋体" w:cs="宋体"/>
                <w:color w:val="000000"/>
                <w:kern w:val="0"/>
                <w:sz w:val="24"/>
                <w:highlight w:val="none"/>
              </w:rPr>
              <w:t>厘米长宽高/皮革面料， 加厚海绵床垫， 加粗加厚床架</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三小2、通什1、畅好2、番阳1</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10</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敷料缸</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30CM；材质：304不锈钢</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三小2、通什1</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11</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方盘</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尺寸：36*27*4.8CM±</w:t>
            </w:r>
            <w:r>
              <w:rPr>
                <w:rFonts w:hint="eastAsia" w:cs="宋体"/>
                <w:color w:val="000000"/>
                <w:kern w:val="0"/>
                <w:sz w:val="20"/>
                <w:szCs w:val="20"/>
                <w:highlight w:val="none"/>
                <w:lang w:val="en-US" w:eastAsia="zh-CN"/>
              </w:rPr>
              <w:t>1CM</w:t>
            </w:r>
            <w:r>
              <w:rPr>
                <w:rFonts w:hint="eastAsia" w:ascii="宋体" w:hAnsi="宋体" w:cs="宋体"/>
                <w:color w:val="000000"/>
                <w:kern w:val="0"/>
                <w:sz w:val="20"/>
                <w:szCs w:val="20"/>
                <w:highlight w:val="none"/>
              </w:rPr>
              <w:t>；材质：304不锈钢</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三小2、通什1</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12</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镊子</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25CM直头</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三小2、通什1</w:t>
            </w:r>
          </w:p>
        </w:tc>
      </w:tr>
      <w:tr>
        <w:tblPrEx>
          <w:tblCellMar>
            <w:top w:w="0" w:type="dxa"/>
            <w:left w:w="108" w:type="dxa"/>
            <w:bottom w:w="0" w:type="dxa"/>
            <w:right w:w="108" w:type="dxa"/>
          </w:tblCellMar>
        </w:tblPrEx>
        <w:trPr>
          <w:trHeight w:val="64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13</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止血带</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宽度：4CM/产品规格：红蓝各一对/材质：氨纶加锦伦</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12</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条</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三小2、畅好10</w:t>
            </w:r>
          </w:p>
        </w:tc>
      </w:tr>
      <w:tr>
        <w:tblPrEx>
          <w:tblCellMar>
            <w:top w:w="0" w:type="dxa"/>
            <w:left w:w="108" w:type="dxa"/>
            <w:bottom w:w="0" w:type="dxa"/>
            <w:right w:w="108" w:type="dxa"/>
          </w:tblCellMar>
        </w:tblPrEx>
        <w:trPr>
          <w:trHeight w:val="64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14</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药品柜</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尺寸：1800*1200*500MM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5MM</w:t>
            </w:r>
            <w:r>
              <w:rPr>
                <w:rFonts w:hint="eastAsia" w:ascii="宋体" w:hAnsi="宋体" w:cs="宋体"/>
                <w:color w:val="000000"/>
                <w:kern w:val="0"/>
                <w:sz w:val="22"/>
                <w:szCs w:val="22"/>
                <w:highlight w:val="none"/>
              </w:rPr>
              <w:t>/304不锈钢，厚度0.9MM</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三小2、通什1、番阳3</w:t>
            </w:r>
          </w:p>
        </w:tc>
      </w:tr>
      <w:tr>
        <w:tblPrEx>
          <w:tblCellMar>
            <w:top w:w="0" w:type="dxa"/>
            <w:left w:w="108" w:type="dxa"/>
            <w:bottom w:w="0" w:type="dxa"/>
            <w:right w:w="108" w:type="dxa"/>
          </w:tblCellMar>
        </w:tblPrEx>
        <w:trPr>
          <w:trHeight w:val="128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15</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紫外线灯</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尺寸：25CM*66CM</w:t>
            </w:r>
            <w:r>
              <w:rPr>
                <w:rFonts w:hint="eastAsia" w:ascii="宋体" w:hAnsi="宋体" w:cs="宋体"/>
                <w:color w:val="000000"/>
                <w:kern w:val="0"/>
                <w:sz w:val="20"/>
                <w:szCs w:val="20"/>
                <w:highlight w:val="none"/>
              </w:rPr>
              <w:t>±</w:t>
            </w:r>
            <w:r>
              <w:rPr>
                <w:rFonts w:hint="eastAsia" w:cs="宋体"/>
                <w:color w:val="000000"/>
                <w:kern w:val="0"/>
                <w:sz w:val="20"/>
                <w:szCs w:val="20"/>
                <w:highlight w:val="none"/>
                <w:lang w:val="en-US" w:eastAsia="zh-CN"/>
              </w:rPr>
              <w:t>1CM</w:t>
            </w:r>
            <w:r>
              <w:rPr>
                <w:rFonts w:hint="eastAsia" w:ascii="宋体" w:hAnsi="宋体" w:cs="宋体"/>
                <w:color w:val="000000"/>
                <w:kern w:val="0"/>
                <w:sz w:val="24"/>
                <w:highlight w:val="none"/>
              </w:rPr>
              <w:t>，升降尺寸25CM*106CM/电源电压：220V/紫外线主波长253.7MM/雷达感应3-5米/内置摇控/材质：铝型外壳，万向轮底座/升降设定/三档定时延时启动/</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三小2、通什2、畅好1、番阳1</w:t>
            </w:r>
          </w:p>
        </w:tc>
      </w:tr>
      <w:tr>
        <w:tblPrEx>
          <w:tblCellMar>
            <w:top w:w="0" w:type="dxa"/>
            <w:left w:w="108" w:type="dxa"/>
            <w:bottom w:w="0" w:type="dxa"/>
            <w:right w:w="108" w:type="dxa"/>
          </w:tblCellMar>
        </w:tblPrEx>
        <w:trPr>
          <w:trHeight w:val="2248"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16</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高压灭菌锅</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手提式；尺寸：内筒直径280*高350MM±</w:t>
            </w:r>
            <w:r>
              <w:rPr>
                <w:rFonts w:hint="eastAsia" w:cs="宋体"/>
                <w:color w:val="000000"/>
                <w:kern w:val="0"/>
                <w:sz w:val="20"/>
                <w:szCs w:val="20"/>
                <w:highlight w:val="none"/>
                <w:lang w:val="en-US" w:eastAsia="zh-CN"/>
              </w:rPr>
              <w:t>5MM</w:t>
            </w:r>
            <w:r>
              <w:rPr>
                <w:rFonts w:hint="eastAsia" w:ascii="宋体" w:hAnsi="宋体" w:cs="宋体"/>
                <w:color w:val="000000"/>
                <w:kern w:val="0"/>
                <w:sz w:val="20"/>
                <w:szCs w:val="20"/>
                <w:highlight w:val="none"/>
              </w:rPr>
              <w:t>；外筒直径300*高435MM±</w:t>
            </w:r>
            <w:r>
              <w:rPr>
                <w:rFonts w:hint="eastAsia" w:cs="宋体"/>
                <w:color w:val="000000"/>
                <w:kern w:val="0"/>
                <w:sz w:val="20"/>
                <w:szCs w:val="20"/>
                <w:highlight w:val="none"/>
                <w:lang w:val="en-US" w:eastAsia="zh-CN"/>
              </w:rPr>
              <w:t>5MM</w:t>
            </w:r>
            <w:r>
              <w:rPr>
                <w:rFonts w:hint="eastAsia" w:ascii="宋体" w:hAnsi="宋体" w:cs="宋体"/>
                <w:color w:val="000000"/>
                <w:kern w:val="0"/>
                <w:sz w:val="20"/>
                <w:szCs w:val="20"/>
                <w:highlight w:val="none"/>
              </w:rPr>
              <w:t>；额定工作压力：0.142MPA，最高工作压力0.145MPA；适用环境温度：5-40度；最大压力范围：70-106KPA；防干烧加热管；材质：304不锈钢；自动泄气安全阀；煤电两用加热方式；双刻度压力表</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三小2、通什1</w:t>
            </w:r>
          </w:p>
        </w:tc>
      </w:tr>
      <w:tr>
        <w:tblPrEx>
          <w:tblCellMar>
            <w:top w:w="0" w:type="dxa"/>
            <w:left w:w="108" w:type="dxa"/>
            <w:bottom w:w="0" w:type="dxa"/>
            <w:right w:w="108" w:type="dxa"/>
          </w:tblCellMar>
        </w:tblPrEx>
        <w:trPr>
          <w:trHeight w:val="96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17</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体重电子称</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rPr>
              <w:t>面板材质：钢化玻璃；4节7号电池；称重范围：2.5-150KG；连接方式：WLAN+蓝牙</w:t>
            </w:r>
            <w:r>
              <w:rPr>
                <w:rFonts w:hint="eastAsia" w:cs="宋体"/>
                <w:color w:val="000000"/>
                <w:kern w:val="0"/>
                <w:sz w:val="20"/>
                <w:szCs w:val="20"/>
                <w:highlight w:val="none"/>
                <w:lang w:val="en-US" w:eastAsia="zh-CN"/>
              </w:rPr>
              <w:t xml:space="preserve">  </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通什2</w:t>
            </w:r>
          </w:p>
        </w:tc>
      </w:tr>
      <w:tr>
        <w:tblPrEx>
          <w:tblCellMar>
            <w:top w:w="0" w:type="dxa"/>
            <w:left w:w="108" w:type="dxa"/>
            <w:bottom w:w="0" w:type="dxa"/>
            <w:right w:w="108" w:type="dxa"/>
          </w:tblCellMar>
        </w:tblPrEx>
        <w:trPr>
          <w:trHeight w:val="64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18</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身高坐高测量仪</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杆总高：210CM、底座38*39CM；±</w:t>
            </w:r>
            <w:r>
              <w:rPr>
                <w:rFonts w:hint="eastAsia" w:cs="宋体"/>
                <w:color w:val="000000"/>
                <w:kern w:val="0"/>
                <w:sz w:val="20"/>
                <w:szCs w:val="20"/>
                <w:highlight w:val="none"/>
                <w:lang w:val="en-US" w:eastAsia="zh-CN"/>
              </w:rPr>
              <w:t>2CM；</w:t>
            </w:r>
            <w:r>
              <w:rPr>
                <w:rFonts w:hint="eastAsia" w:ascii="宋体" w:hAnsi="宋体" w:cs="宋体"/>
                <w:color w:val="000000"/>
                <w:kern w:val="0"/>
                <w:sz w:val="20"/>
                <w:szCs w:val="20"/>
                <w:highlight w:val="none"/>
              </w:rPr>
              <w:t>可掀盖板</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通什1、三小1、畅好3</w:t>
            </w:r>
          </w:p>
        </w:tc>
      </w:tr>
      <w:tr>
        <w:tblPrEx>
          <w:tblCellMar>
            <w:top w:w="0" w:type="dxa"/>
            <w:left w:w="108" w:type="dxa"/>
            <w:bottom w:w="0" w:type="dxa"/>
            <w:right w:w="108" w:type="dxa"/>
          </w:tblCellMar>
        </w:tblPrEx>
        <w:trPr>
          <w:trHeight w:val="64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19</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电冰箱（冷敷）</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尺寸：475*536*1136CM±</w:t>
            </w:r>
            <w:r>
              <w:rPr>
                <w:rFonts w:hint="eastAsia" w:cs="宋体"/>
                <w:color w:val="000000"/>
                <w:kern w:val="0"/>
                <w:sz w:val="20"/>
                <w:szCs w:val="20"/>
                <w:highlight w:val="none"/>
                <w:lang w:val="en-US" w:eastAsia="zh-CN"/>
              </w:rPr>
              <w:t>3CM</w:t>
            </w:r>
            <w:r>
              <w:rPr>
                <w:rFonts w:hint="eastAsia" w:ascii="宋体" w:hAnsi="宋体" w:cs="宋体"/>
                <w:color w:val="000000"/>
                <w:kern w:val="0"/>
                <w:sz w:val="20"/>
                <w:szCs w:val="20"/>
                <w:highlight w:val="none"/>
              </w:rPr>
              <w:t>; 两门；容量：118L；定频压缩机；噪音值38DB</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通什1、番阳1</w:t>
            </w:r>
          </w:p>
        </w:tc>
      </w:tr>
      <w:tr>
        <w:tblPrEx>
          <w:tblCellMar>
            <w:top w:w="0" w:type="dxa"/>
            <w:left w:w="108" w:type="dxa"/>
            <w:bottom w:w="0" w:type="dxa"/>
            <w:right w:w="108" w:type="dxa"/>
          </w:tblCellMar>
        </w:tblPrEx>
        <w:trPr>
          <w:trHeight w:val="96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20</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诊察桌凳</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rPr>
              <w:t>尺寸：1200*600*750MM±</w:t>
            </w:r>
            <w:r>
              <w:rPr>
                <w:rFonts w:hint="eastAsia" w:ascii="宋体" w:hAnsi="宋体" w:cs="宋体"/>
                <w:color w:val="000000"/>
                <w:kern w:val="0"/>
                <w:sz w:val="22"/>
                <w:szCs w:val="22"/>
                <w:highlight w:val="none"/>
                <w:lang w:val="en-US" w:eastAsia="zh-CN"/>
              </w:rPr>
              <w:t>10MM</w:t>
            </w:r>
            <w:r>
              <w:rPr>
                <w:rFonts w:hint="eastAsia" w:ascii="宋体" w:hAnsi="宋体" w:cs="宋体"/>
                <w:color w:val="000000"/>
                <w:kern w:val="0"/>
                <w:sz w:val="22"/>
                <w:szCs w:val="22"/>
                <w:highlight w:val="none"/>
              </w:rPr>
              <w:t>/冷轧钢板，防火板台面/五斗一门/凳：直径32CM、不锈钢拉丝面、五轮子、</w:t>
            </w:r>
            <w:r>
              <w:rPr>
                <w:rFonts w:hint="eastAsia" w:cs="宋体"/>
                <w:color w:val="000000"/>
                <w:kern w:val="0"/>
                <w:sz w:val="22"/>
                <w:szCs w:val="22"/>
                <w:highlight w:val="none"/>
                <w:lang w:val="en-US" w:eastAsia="zh-CN"/>
              </w:rPr>
              <w:t>可</w:t>
            </w:r>
            <w:r>
              <w:rPr>
                <w:rFonts w:hint="eastAsia" w:ascii="宋体" w:hAnsi="宋体" w:cs="宋体"/>
                <w:color w:val="000000"/>
                <w:kern w:val="0"/>
                <w:sz w:val="22"/>
                <w:szCs w:val="22"/>
                <w:highlight w:val="none"/>
              </w:rPr>
              <w:t>升降</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通什1、三小2</w:t>
            </w:r>
          </w:p>
        </w:tc>
      </w:tr>
      <w:tr>
        <w:tblPrEx>
          <w:tblCellMar>
            <w:top w:w="0" w:type="dxa"/>
            <w:left w:w="108" w:type="dxa"/>
            <w:bottom w:w="0" w:type="dxa"/>
            <w:right w:w="108" w:type="dxa"/>
          </w:tblCellMar>
        </w:tblPrEx>
        <w:trPr>
          <w:trHeight w:val="64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21</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屏风</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材质：不锈钢、加厚钢管、防水布、优质塑料万向轮；每扇50CM，6扇300CM*高180CM±</w:t>
            </w:r>
            <w:r>
              <w:rPr>
                <w:rFonts w:hint="eastAsia" w:cs="宋体"/>
                <w:color w:val="000000"/>
                <w:kern w:val="0"/>
                <w:sz w:val="20"/>
                <w:szCs w:val="20"/>
                <w:highlight w:val="none"/>
                <w:lang w:val="en-US" w:eastAsia="zh-CN"/>
              </w:rPr>
              <w:t>3</w:t>
            </w:r>
            <w:r>
              <w:rPr>
                <w:rFonts w:hint="eastAsia" w:ascii="宋体" w:hAnsi="宋体" w:cs="宋体"/>
                <w:color w:val="000000"/>
                <w:kern w:val="0"/>
                <w:sz w:val="20"/>
                <w:szCs w:val="20"/>
                <w:highlight w:val="none"/>
                <w:lang w:val="en-US" w:eastAsia="zh-CN"/>
              </w:rPr>
              <w:t>CM</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通什1</w:t>
            </w:r>
          </w:p>
        </w:tc>
      </w:tr>
      <w:tr>
        <w:tblPrEx>
          <w:tblCellMar>
            <w:top w:w="0" w:type="dxa"/>
            <w:left w:w="108" w:type="dxa"/>
            <w:bottom w:w="0" w:type="dxa"/>
            <w:right w:w="108" w:type="dxa"/>
          </w:tblCellMar>
        </w:tblPrEx>
        <w:trPr>
          <w:trHeight w:val="96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22</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电磁炉</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功率：</w:t>
            </w:r>
            <w:r>
              <w:rPr>
                <w:rFonts w:hint="eastAsia" w:cs="宋体"/>
                <w:color w:val="000000"/>
                <w:kern w:val="0"/>
                <w:sz w:val="20"/>
                <w:szCs w:val="20"/>
                <w:highlight w:val="none"/>
                <w:lang w:val="en-US" w:eastAsia="zh-CN"/>
              </w:rPr>
              <w:t>2000-</w:t>
            </w:r>
            <w:r>
              <w:rPr>
                <w:rFonts w:hint="eastAsia" w:ascii="宋体" w:hAnsi="宋体" w:cs="宋体"/>
                <w:color w:val="000000"/>
                <w:kern w:val="0"/>
                <w:sz w:val="20"/>
                <w:szCs w:val="20"/>
                <w:highlight w:val="none"/>
              </w:rPr>
              <w:t>2200W；面板：NEG；线圈盘：旋磁匀火线圈盘；能效3级；火力：9档滑控</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通什1</w:t>
            </w:r>
          </w:p>
        </w:tc>
      </w:tr>
      <w:tr>
        <w:tblPrEx>
          <w:tblCellMar>
            <w:top w:w="0" w:type="dxa"/>
            <w:left w:w="108" w:type="dxa"/>
            <w:bottom w:w="0" w:type="dxa"/>
            <w:right w:w="108" w:type="dxa"/>
          </w:tblCellMar>
        </w:tblPrEx>
        <w:trPr>
          <w:trHeight w:val="1928"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23</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办公桌椅</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桌子：180*80*75CM±</w:t>
            </w:r>
            <w:r>
              <w:rPr>
                <w:rFonts w:hint="eastAsia" w:cs="宋体"/>
                <w:color w:val="000000"/>
                <w:kern w:val="0"/>
                <w:sz w:val="22"/>
                <w:szCs w:val="22"/>
                <w:highlight w:val="none"/>
                <w:lang w:val="en-US" w:eastAsia="zh-CN"/>
              </w:rPr>
              <w:t>2C</w:t>
            </w:r>
            <w:r>
              <w:rPr>
                <w:rFonts w:hint="eastAsia" w:ascii="宋体" w:hAnsi="宋体" w:cs="宋体"/>
                <w:color w:val="000000"/>
                <w:kern w:val="0"/>
                <w:sz w:val="22"/>
                <w:szCs w:val="22"/>
                <w:highlight w:val="none"/>
              </w:rPr>
              <w:t>M；材质：钢架E1材板；隐蔽穿线盒；可调脚垫；颜色：黑色+白色；桌面：25MM；侧柜尺寸：90*40*60C±</w:t>
            </w:r>
            <w:r>
              <w:rPr>
                <w:rFonts w:hint="eastAsia" w:cs="宋体"/>
                <w:color w:val="000000"/>
                <w:kern w:val="0"/>
                <w:sz w:val="22"/>
                <w:szCs w:val="22"/>
                <w:highlight w:val="none"/>
                <w:lang w:val="en-US" w:eastAsia="zh-CN"/>
              </w:rPr>
              <w:t>2C</w:t>
            </w:r>
            <w:r>
              <w:rPr>
                <w:rFonts w:hint="eastAsia" w:ascii="宋体" w:hAnsi="宋体" w:cs="宋体"/>
                <w:color w:val="000000"/>
                <w:kern w:val="0"/>
                <w:sz w:val="22"/>
                <w:szCs w:val="22"/>
                <w:highlight w:val="none"/>
              </w:rPr>
              <w:t>M；椅子总高：92CM±</w:t>
            </w:r>
            <w:r>
              <w:rPr>
                <w:rFonts w:hint="eastAsia" w:cs="宋体"/>
                <w:color w:val="000000"/>
                <w:kern w:val="0"/>
                <w:sz w:val="22"/>
                <w:szCs w:val="22"/>
                <w:highlight w:val="none"/>
                <w:lang w:val="en-US" w:eastAsia="zh-CN"/>
              </w:rPr>
              <w:t>2C</w:t>
            </w:r>
            <w:r>
              <w:rPr>
                <w:rFonts w:hint="eastAsia" w:ascii="宋体" w:hAnsi="宋体" w:cs="宋体"/>
                <w:color w:val="000000"/>
                <w:kern w:val="0"/>
                <w:sz w:val="22"/>
                <w:szCs w:val="22"/>
                <w:highlight w:val="none"/>
              </w:rPr>
              <w:t>M、座高44CM±</w:t>
            </w:r>
            <w:r>
              <w:rPr>
                <w:rFonts w:hint="eastAsia" w:cs="宋体"/>
                <w:color w:val="000000"/>
                <w:kern w:val="0"/>
                <w:sz w:val="22"/>
                <w:szCs w:val="22"/>
                <w:highlight w:val="none"/>
                <w:lang w:val="en-US" w:eastAsia="zh-CN"/>
              </w:rPr>
              <w:t>2C</w:t>
            </w:r>
            <w:r>
              <w:rPr>
                <w:rFonts w:hint="eastAsia" w:ascii="宋体" w:hAnsi="宋体" w:cs="宋体"/>
                <w:color w:val="000000"/>
                <w:kern w:val="0"/>
                <w:sz w:val="22"/>
                <w:szCs w:val="22"/>
                <w:highlight w:val="none"/>
              </w:rPr>
              <w:t>M、扶手离地62CM±</w:t>
            </w:r>
            <w:r>
              <w:rPr>
                <w:rFonts w:hint="eastAsia" w:cs="宋体"/>
                <w:color w:val="000000"/>
                <w:kern w:val="0"/>
                <w:sz w:val="22"/>
                <w:szCs w:val="22"/>
                <w:highlight w:val="none"/>
                <w:lang w:val="en-US" w:eastAsia="zh-CN"/>
              </w:rPr>
              <w:t>2C</w:t>
            </w:r>
            <w:r>
              <w:rPr>
                <w:rFonts w:hint="eastAsia" w:ascii="宋体" w:hAnsi="宋体" w:cs="宋体"/>
                <w:color w:val="000000"/>
                <w:kern w:val="0"/>
                <w:sz w:val="22"/>
                <w:szCs w:val="22"/>
                <w:highlight w:val="none"/>
              </w:rPr>
              <w:t>M、背高48CM±</w:t>
            </w:r>
            <w:r>
              <w:rPr>
                <w:rFonts w:hint="eastAsia" w:cs="宋体"/>
                <w:color w:val="000000"/>
                <w:kern w:val="0"/>
                <w:sz w:val="22"/>
                <w:szCs w:val="22"/>
                <w:highlight w:val="none"/>
                <w:lang w:val="en-US" w:eastAsia="zh-CN"/>
              </w:rPr>
              <w:t>2C</w:t>
            </w:r>
            <w:r>
              <w:rPr>
                <w:rFonts w:hint="eastAsia" w:ascii="宋体" w:hAnsi="宋体" w:cs="宋体"/>
                <w:color w:val="000000"/>
                <w:kern w:val="0"/>
                <w:sz w:val="22"/>
                <w:szCs w:val="22"/>
                <w:highlight w:val="none"/>
              </w:rPr>
              <w:t>M；加固横档设计</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通什1</w:t>
            </w:r>
          </w:p>
        </w:tc>
      </w:tr>
      <w:tr>
        <w:tblPrEx>
          <w:tblCellMar>
            <w:top w:w="0" w:type="dxa"/>
            <w:left w:w="108" w:type="dxa"/>
            <w:bottom w:w="0" w:type="dxa"/>
            <w:right w:w="108" w:type="dxa"/>
          </w:tblCellMar>
        </w:tblPrEx>
        <w:trPr>
          <w:trHeight w:val="64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24</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资料柜</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尺寸：高1800*宽</w:t>
            </w:r>
            <w:r>
              <w:rPr>
                <w:rFonts w:hint="eastAsia" w:ascii="宋体" w:hAnsi="宋体" w:cs="宋体"/>
                <w:color w:val="C00000"/>
                <w:kern w:val="0"/>
                <w:sz w:val="22"/>
                <w:szCs w:val="22"/>
                <w:highlight w:val="none"/>
              </w:rPr>
              <w:t>900</w:t>
            </w:r>
            <w:r>
              <w:rPr>
                <w:rFonts w:hint="eastAsia" w:ascii="宋体" w:hAnsi="宋体" w:cs="宋体"/>
                <w:color w:val="000000"/>
                <w:kern w:val="0"/>
                <w:sz w:val="22"/>
                <w:szCs w:val="22"/>
                <w:highlight w:val="none"/>
              </w:rPr>
              <w:t>*深400MM±</w:t>
            </w:r>
            <w:r>
              <w:rPr>
                <w:rFonts w:hint="eastAsia" w:cs="宋体"/>
                <w:color w:val="000000"/>
                <w:kern w:val="0"/>
                <w:sz w:val="22"/>
                <w:szCs w:val="22"/>
                <w:highlight w:val="none"/>
                <w:lang w:val="en-US" w:eastAsia="zh-CN"/>
              </w:rPr>
              <w:t>5M</w:t>
            </w:r>
            <w:r>
              <w:rPr>
                <w:rFonts w:hint="eastAsia" w:ascii="宋体" w:hAnsi="宋体" w:cs="宋体"/>
                <w:color w:val="000000"/>
                <w:kern w:val="0"/>
                <w:sz w:val="22"/>
                <w:szCs w:val="22"/>
                <w:highlight w:val="none"/>
              </w:rPr>
              <w:t>M/厚度1.4MM，加厚冷轧钢板，通玻</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通什1、番阳3</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26</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外伤处理器械</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弯头止血钳长16CM、4号手术刀等</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通什1</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27</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喉头喷雾器</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尺寸：长18CM*高9CM*瓶直径4.5CM</w:t>
            </w:r>
            <w:r>
              <w:rPr>
                <w:rFonts w:hint="eastAsia" w:ascii="宋体" w:hAnsi="宋体" w:cs="宋体"/>
                <w:color w:val="000000"/>
                <w:kern w:val="0"/>
                <w:sz w:val="22"/>
                <w:szCs w:val="22"/>
                <w:highlight w:val="none"/>
              </w:rPr>
              <w:t>±</w:t>
            </w:r>
            <w:r>
              <w:rPr>
                <w:rFonts w:hint="eastAsia" w:cs="宋体"/>
                <w:color w:val="000000"/>
                <w:kern w:val="0"/>
                <w:sz w:val="22"/>
                <w:szCs w:val="22"/>
                <w:highlight w:val="none"/>
                <w:lang w:val="en-US" w:eastAsia="zh-CN"/>
              </w:rPr>
              <w:t>0.5M</w:t>
            </w:r>
            <w:r>
              <w:rPr>
                <w:rFonts w:hint="eastAsia" w:ascii="宋体" w:hAnsi="宋体" w:cs="宋体"/>
                <w:color w:val="000000"/>
                <w:kern w:val="0"/>
                <w:sz w:val="22"/>
                <w:szCs w:val="22"/>
                <w:highlight w:val="none"/>
              </w:rPr>
              <w:t>M</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通什2</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28</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秒表</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30道；82*62*20MM</w:t>
            </w:r>
            <w:r>
              <w:rPr>
                <w:rFonts w:hint="eastAsia" w:ascii="宋体" w:hAnsi="宋体" w:cs="宋体"/>
                <w:color w:val="000000"/>
                <w:kern w:val="0"/>
                <w:sz w:val="22"/>
                <w:szCs w:val="22"/>
                <w:highlight w:val="none"/>
              </w:rPr>
              <w:t>±</w:t>
            </w:r>
            <w:r>
              <w:rPr>
                <w:rFonts w:hint="eastAsia" w:cs="宋体"/>
                <w:color w:val="000000"/>
                <w:kern w:val="0"/>
                <w:sz w:val="22"/>
                <w:szCs w:val="22"/>
                <w:highlight w:val="none"/>
                <w:lang w:val="en-US" w:eastAsia="zh-CN"/>
              </w:rPr>
              <w:t>5M</w:t>
            </w:r>
            <w:r>
              <w:rPr>
                <w:rFonts w:hint="eastAsia" w:ascii="宋体" w:hAnsi="宋体" w:cs="宋体"/>
                <w:color w:val="000000"/>
                <w:kern w:val="0"/>
                <w:sz w:val="22"/>
                <w:szCs w:val="22"/>
                <w:highlight w:val="none"/>
              </w:rPr>
              <w:t>M</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通什2</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29</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辨色图谱</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红绿色盲光谱；色觉检查图</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本</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通什5</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30</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酒精灯</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150ML/瓶直径8CM*高11.5CM±</w:t>
            </w:r>
            <w:r>
              <w:rPr>
                <w:rFonts w:hint="eastAsia" w:cs="宋体"/>
                <w:color w:val="000000"/>
                <w:kern w:val="0"/>
                <w:sz w:val="22"/>
                <w:szCs w:val="22"/>
                <w:highlight w:val="none"/>
                <w:lang w:val="en-US" w:eastAsia="zh-CN"/>
              </w:rPr>
              <w:t>1C</w:t>
            </w:r>
            <w:r>
              <w:rPr>
                <w:rFonts w:hint="eastAsia" w:ascii="宋体" w:hAnsi="宋体" w:cs="宋体"/>
                <w:color w:val="000000"/>
                <w:kern w:val="0"/>
                <w:sz w:val="22"/>
                <w:szCs w:val="22"/>
                <w:highlight w:val="none"/>
              </w:rPr>
              <w:t>M</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通什5</w:t>
            </w:r>
          </w:p>
        </w:tc>
      </w:tr>
      <w:tr>
        <w:tblPrEx>
          <w:tblCellMar>
            <w:top w:w="0" w:type="dxa"/>
            <w:left w:w="108" w:type="dxa"/>
            <w:bottom w:w="0" w:type="dxa"/>
            <w:right w:w="108" w:type="dxa"/>
          </w:tblCellMar>
        </w:tblPrEx>
        <w:trPr>
          <w:trHeight w:val="64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31</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棉球缸</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棉球缸尺寸：8CM；小号腰盘尺寸：18.5*11CM（304不锈钢）</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通什2</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32</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医用工作服</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颜色：白；面料：涤卡/涤府；抗皱不起球</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8</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套</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畅好2、一小6</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33</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医用卫生桶</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36*33*51CM</w:t>
            </w:r>
            <w:r>
              <w:rPr>
                <w:rFonts w:hint="eastAsia" w:ascii="宋体" w:hAnsi="宋体" w:cs="宋体"/>
                <w:color w:val="000000"/>
                <w:kern w:val="0"/>
                <w:sz w:val="22"/>
                <w:szCs w:val="22"/>
                <w:highlight w:val="none"/>
              </w:rPr>
              <w:t>±</w:t>
            </w:r>
            <w:r>
              <w:rPr>
                <w:rFonts w:hint="eastAsia" w:cs="宋体"/>
                <w:color w:val="000000"/>
                <w:kern w:val="0"/>
                <w:sz w:val="22"/>
                <w:szCs w:val="22"/>
                <w:highlight w:val="none"/>
                <w:lang w:val="en-US" w:eastAsia="zh-CN"/>
              </w:rPr>
              <w:t>1C</w:t>
            </w:r>
            <w:r>
              <w:rPr>
                <w:rFonts w:hint="eastAsia" w:ascii="宋体" w:hAnsi="宋体" w:cs="宋体"/>
                <w:color w:val="000000"/>
                <w:kern w:val="0"/>
                <w:sz w:val="22"/>
                <w:szCs w:val="22"/>
                <w:highlight w:val="none"/>
              </w:rPr>
              <w:t>M</w:t>
            </w:r>
            <w:r>
              <w:rPr>
                <w:rFonts w:hint="eastAsia" w:ascii="宋体" w:hAnsi="宋体" w:cs="宋体"/>
                <w:color w:val="000000"/>
                <w:kern w:val="0"/>
                <w:sz w:val="20"/>
                <w:szCs w:val="20"/>
                <w:highlight w:val="none"/>
              </w:rPr>
              <w:t>；颜色：黄</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畅好2</w:t>
            </w:r>
          </w:p>
        </w:tc>
      </w:tr>
      <w:tr>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34</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水银温度计</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水银柱；清晰刻度；测量范围：35-42度</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100</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支</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畅好100</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35</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医用口罩</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材质：无纺布、熔喷布、静电棉；等级：KN95</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包</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0"/>
                <w:szCs w:val="20"/>
                <w:highlight w:val="none"/>
                <w:lang w:eastAsia="zh-CN"/>
              </w:rPr>
            </w:pPr>
            <w:r>
              <w:rPr>
                <w:rFonts w:hint="eastAsia" w:ascii="宋体" w:hAnsi="宋体" w:cs="宋体"/>
                <w:color w:val="auto"/>
                <w:kern w:val="0"/>
                <w:sz w:val="20"/>
                <w:szCs w:val="20"/>
                <w:highlight w:val="none"/>
              </w:rPr>
              <w:t>畅好</w:t>
            </w:r>
            <w:r>
              <w:rPr>
                <w:rFonts w:hint="eastAsia" w:ascii="宋体" w:hAnsi="宋体" w:cs="宋体"/>
                <w:color w:val="auto"/>
                <w:kern w:val="0"/>
                <w:sz w:val="20"/>
                <w:szCs w:val="20"/>
                <w:highlight w:val="none"/>
                <w:lang w:val="en-US" w:eastAsia="zh-CN"/>
              </w:rPr>
              <w:t>1</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36</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医用手套</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100只/装； PVC透明手套</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包</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0"/>
                <w:szCs w:val="20"/>
                <w:highlight w:val="none"/>
                <w:lang w:eastAsia="zh-CN"/>
              </w:rPr>
            </w:pPr>
            <w:r>
              <w:rPr>
                <w:rFonts w:hint="eastAsia" w:ascii="宋体" w:hAnsi="宋体" w:cs="宋体"/>
                <w:color w:val="auto"/>
                <w:kern w:val="0"/>
                <w:sz w:val="20"/>
                <w:szCs w:val="20"/>
                <w:highlight w:val="none"/>
              </w:rPr>
              <w:t>畅好</w:t>
            </w:r>
            <w:r>
              <w:rPr>
                <w:rFonts w:hint="eastAsia" w:ascii="宋体" w:hAnsi="宋体" w:cs="宋体"/>
                <w:color w:val="auto"/>
                <w:kern w:val="0"/>
                <w:sz w:val="20"/>
                <w:szCs w:val="20"/>
                <w:highlight w:val="none"/>
                <w:lang w:val="en-US" w:eastAsia="zh-CN"/>
              </w:rPr>
              <w:t>1</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37</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风油精</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3ML</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20</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瓶</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畅好20</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38</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驱风油</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10ML</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20</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瓶</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畅好20</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39</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正红花油</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50ML</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20</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瓶</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畅好20</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40</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活络油</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50ML</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20</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瓶</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畅好20</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41</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云南白药酊</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50ML</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20</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瓶</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畅好20</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42</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云南白药创可贴</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50片/盒</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10</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盒</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畅好10</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43</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跌打万花油</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cs="宋体"/>
                <w:color w:val="000000"/>
                <w:kern w:val="0"/>
                <w:sz w:val="20"/>
                <w:szCs w:val="20"/>
                <w:highlight w:val="none"/>
                <w:lang w:val="en-US" w:eastAsia="zh-CN"/>
              </w:rPr>
              <w:t>10-</w:t>
            </w:r>
            <w:r>
              <w:rPr>
                <w:rFonts w:hint="eastAsia" w:ascii="宋体" w:hAnsi="宋体" w:cs="宋体"/>
                <w:color w:val="000000"/>
                <w:kern w:val="0"/>
                <w:sz w:val="20"/>
                <w:szCs w:val="20"/>
                <w:highlight w:val="none"/>
              </w:rPr>
              <w:t>15ML</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10</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瓶</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畅好10</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44</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纱布</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34*40CM；10片/包</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20</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包</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畅好20</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45</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碘酊</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20ML</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10</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瓶</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畅好10</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46</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酒精</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75%；500ML</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10</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瓶</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畅好10</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47</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创面消毒喷雾剂</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70ML</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瓶</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畅好5</w:t>
            </w:r>
          </w:p>
        </w:tc>
      </w:tr>
      <w:tr>
        <w:tblPrEx>
          <w:tblCellMar>
            <w:top w:w="0" w:type="dxa"/>
            <w:left w:w="108" w:type="dxa"/>
            <w:bottom w:w="0" w:type="dxa"/>
            <w:right w:w="108" w:type="dxa"/>
          </w:tblCellMar>
        </w:tblPrEx>
        <w:trPr>
          <w:trHeight w:val="64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48</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肺活量计</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量程100-9999ML/宽屏液晶显示17.5*13.5CM±</w:t>
            </w:r>
            <w:r>
              <w:rPr>
                <w:rFonts w:hint="eastAsia" w:cs="宋体"/>
                <w:color w:val="000000"/>
                <w:kern w:val="0"/>
                <w:sz w:val="22"/>
                <w:szCs w:val="22"/>
                <w:highlight w:val="none"/>
                <w:lang w:val="en-US" w:eastAsia="zh-CN"/>
              </w:rPr>
              <w:t>1C</w:t>
            </w:r>
            <w:r>
              <w:rPr>
                <w:rFonts w:hint="eastAsia" w:ascii="宋体" w:hAnsi="宋体" w:cs="宋体"/>
                <w:color w:val="000000"/>
                <w:kern w:val="0"/>
                <w:sz w:val="22"/>
                <w:szCs w:val="22"/>
                <w:highlight w:val="none"/>
              </w:rPr>
              <w:t>M/</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台</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畅好2</w:t>
            </w:r>
          </w:p>
        </w:tc>
      </w:tr>
      <w:tr>
        <w:tblPrEx>
          <w:tblCellMar>
            <w:top w:w="0" w:type="dxa"/>
            <w:left w:w="108" w:type="dxa"/>
            <w:bottom w:w="0" w:type="dxa"/>
            <w:right w:w="108" w:type="dxa"/>
          </w:tblCellMar>
        </w:tblPrEx>
        <w:trPr>
          <w:trHeight w:val="8953"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49</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auto"/>
                <w:kern w:val="0"/>
                <w:sz w:val="22"/>
                <w:szCs w:val="22"/>
                <w:highlight w:val="none"/>
              </w:rPr>
              <w:t>商用台式一体机电脑</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1.产品类型:商用台式一体机电脑</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2.CPU：Intel Core I5-10500处理器（3.1GHz 主频、12M 缓存）</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3.主板：Intel H470芯片组及以上</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4.内存：配置 ≥8G DDR4 2666MHz内存，提供双内存槽位；</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5.硬盘：256G PCIe M.2 SSD+ 1T SATA3 7200rpm 硬盘</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6.光驱：无光驱</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7.显卡：R625-2G独显</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8.音频设备：内置立体声音箱；支持杜比音效</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9.网卡：集成10/100/1000M以太网卡，802.11 AC无线网卡 </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10.键鼠：USB键盘、鼠标， 支持键盘开机功能，方便使用； </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12.摄像头：1080P高清摄像头，配置数字阵列麦克风；带物理遮挡开关；</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13.显示屏：≥23.8寸广视角全高清液晶显示屏(1920x1080)</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14.接口：6个USB Type-A接口[其中5个3.2 G1、1个3.2G2]；1个USB Type-C接口[3.2 G1-支持给其他设备(手机)快速充电]、DP-Ount二合一接口、多合一读卡器、可选1个串口  </w:t>
            </w:r>
          </w:p>
          <w:p>
            <w:pPr>
              <w:widowControl/>
              <w:jc w:val="left"/>
              <w:textAlignment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15.电源：外置≤150W 节能电源</w:t>
            </w:r>
          </w:p>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16.操作系统：原厂预装正版Window10家庭版</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台</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一小1</w:t>
            </w:r>
          </w:p>
        </w:tc>
      </w:tr>
      <w:tr>
        <w:tblPrEx>
          <w:tblCellMar>
            <w:top w:w="0" w:type="dxa"/>
            <w:left w:w="108" w:type="dxa"/>
            <w:bottom w:w="0" w:type="dxa"/>
            <w:right w:w="108" w:type="dxa"/>
          </w:tblCellMar>
        </w:tblPrEx>
        <w:trPr>
          <w:trHeight w:val="1608"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50</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血糖仪</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数值记忆值：500个血糖结果+20个质控检测结果；测量范围：0.6-33.3mmol/L；测试时间：5秒显示结果；USB红外线配对连接；配件：采血笔、试纸、针头、酒精棉</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一小1</w:t>
            </w:r>
          </w:p>
        </w:tc>
      </w:tr>
      <w:tr>
        <w:tblPrEx>
          <w:tblCellMar>
            <w:top w:w="0" w:type="dxa"/>
            <w:left w:w="108" w:type="dxa"/>
            <w:bottom w:w="0" w:type="dxa"/>
            <w:right w:w="108" w:type="dxa"/>
          </w:tblCellMar>
        </w:tblPrEx>
        <w:trPr>
          <w:trHeight w:val="636"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51</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血糖试纸</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 xml:space="preserve">25片/盒 </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盒</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一小5</w:t>
            </w:r>
          </w:p>
        </w:tc>
      </w:tr>
      <w:tr>
        <w:tblPrEx>
          <w:tblCellMar>
            <w:top w:w="0" w:type="dxa"/>
            <w:left w:w="108" w:type="dxa"/>
            <w:bottom w:w="0" w:type="dxa"/>
            <w:right w:w="108" w:type="dxa"/>
          </w:tblCellMar>
        </w:tblPrEx>
        <w:trPr>
          <w:trHeight w:val="1024"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52</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担架</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材质：铝合金铲式担架；尺寸：170*43*6CM±</w:t>
            </w:r>
            <w:r>
              <w:rPr>
                <w:rFonts w:hint="eastAsia" w:cs="宋体"/>
                <w:color w:val="000000"/>
                <w:kern w:val="0"/>
                <w:sz w:val="22"/>
                <w:szCs w:val="22"/>
                <w:highlight w:val="none"/>
                <w:lang w:val="en-US" w:eastAsia="zh-CN"/>
              </w:rPr>
              <w:t>1C</w:t>
            </w:r>
            <w:r>
              <w:rPr>
                <w:rFonts w:hint="eastAsia" w:ascii="宋体" w:hAnsi="宋体" w:cs="宋体"/>
                <w:color w:val="000000"/>
                <w:kern w:val="0"/>
                <w:sz w:val="22"/>
                <w:szCs w:val="22"/>
                <w:highlight w:val="none"/>
              </w:rPr>
              <w:t>M；折叠尺寸：120*43*9CM；三档伸缩、可折叠</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一小1</w:t>
            </w:r>
          </w:p>
        </w:tc>
      </w:tr>
      <w:tr>
        <w:tblPrEx>
          <w:tblCellMar>
            <w:top w:w="0" w:type="dxa"/>
            <w:left w:w="108" w:type="dxa"/>
            <w:bottom w:w="0" w:type="dxa"/>
            <w:right w:w="108" w:type="dxa"/>
          </w:tblCellMar>
        </w:tblPrEx>
        <w:trPr>
          <w:trHeight w:val="1024"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53</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净水机</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额定电源：200V-50HZ；额定总净水量：2000L；净水流量：1.04L/min；工作压力：0.5-0.7MPA；额定功率：60W</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台</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一小1</w:t>
            </w:r>
          </w:p>
        </w:tc>
      </w:tr>
      <w:tr>
        <w:tblPrEx>
          <w:tblCellMar>
            <w:top w:w="0" w:type="dxa"/>
            <w:left w:w="108" w:type="dxa"/>
            <w:bottom w:w="0" w:type="dxa"/>
            <w:right w:w="108" w:type="dxa"/>
          </w:tblCellMar>
        </w:tblPrEx>
        <w:trPr>
          <w:trHeight w:val="1608" w:hRule="atLeast"/>
        </w:trPr>
        <w:tc>
          <w:tcPr>
            <w:tcW w:w="608"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54</w:t>
            </w:r>
          </w:p>
        </w:tc>
        <w:tc>
          <w:tcPr>
            <w:tcW w:w="122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空调</w:t>
            </w:r>
          </w:p>
        </w:tc>
        <w:tc>
          <w:tcPr>
            <w:tcW w:w="3471"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rPr>
              <w:t>内机尺寸：1796*449MM±</w:t>
            </w:r>
            <w:r>
              <w:rPr>
                <w:rFonts w:hint="eastAsia" w:cs="宋体"/>
                <w:color w:val="000000"/>
                <w:kern w:val="0"/>
                <w:sz w:val="22"/>
                <w:szCs w:val="22"/>
                <w:highlight w:val="none"/>
                <w:lang w:val="en-US" w:eastAsia="zh-CN"/>
              </w:rPr>
              <w:t>20MM</w:t>
            </w:r>
            <w:r>
              <w:rPr>
                <w:rFonts w:hint="eastAsia" w:ascii="宋体" w:hAnsi="宋体" w:cs="宋体"/>
                <w:color w:val="000000"/>
                <w:kern w:val="0"/>
                <w:sz w:val="22"/>
                <w:szCs w:val="22"/>
                <w:highlight w:val="none"/>
              </w:rPr>
              <w:t>；外机尺寸：807*555MM±</w:t>
            </w:r>
            <w:r>
              <w:rPr>
                <w:rFonts w:hint="eastAsia" w:cs="宋体"/>
                <w:color w:val="000000"/>
                <w:kern w:val="0"/>
                <w:sz w:val="22"/>
                <w:szCs w:val="22"/>
                <w:highlight w:val="none"/>
                <w:lang w:val="en-US" w:eastAsia="zh-CN"/>
              </w:rPr>
              <w:t>120MM</w:t>
            </w:r>
            <w:r>
              <w:rPr>
                <w:rFonts w:hint="eastAsia" w:ascii="宋体" w:hAnsi="宋体" w:cs="宋体"/>
                <w:color w:val="000000"/>
                <w:kern w:val="0"/>
                <w:sz w:val="22"/>
                <w:szCs w:val="22"/>
                <w:highlight w:val="none"/>
              </w:rPr>
              <w:t>；空调功率：大2匹；工作方式：变频；类型：柜机；冷暖类型：冷暖型；制冷量：7200W；制冷功率：2800W；制热量：9200W；制热功率：3150W</w:t>
            </w:r>
            <w:r>
              <w:rPr>
                <w:rFonts w:hint="eastAsia" w:cs="宋体"/>
                <w:color w:val="000000"/>
                <w:kern w:val="0"/>
                <w:sz w:val="22"/>
                <w:szCs w:val="22"/>
                <w:highlight w:val="none"/>
                <w:lang w:val="en-US" w:eastAsia="zh-CN"/>
              </w:rPr>
              <w:t xml:space="preserve"> </w:t>
            </w:r>
          </w:p>
        </w:tc>
        <w:tc>
          <w:tcPr>
            <w:tcW w:w="53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748"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台</w:t>
            </w:r>
          </w:p>
        </w:tc>
        <w:tc>
          <w:tcPr>
            <w:tcW w:w="748"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91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p>
        </w:tc>
        <w:tc>
          <w:tcPr>
            <w:tcW w:w="151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番阳</w:t>
            </w:r>
          </w:p>
        </w:tc>
      </w:tr>
      <w:tr>
        <w:tblPrEx>
          <w:tblCellMar>
            <w:top w:w="0" w:type="dxa"/>
            <w:left w:w="108" w:type="dxa"/>
            <w:bottom w:w="0" w:type="dxa"/>
            <w:right w:w="108" w:type="dxa"/>
          </w:tblCellMar>
        </w:tblPrEx>
        <w:trPr>
          <w:trHeight w:val="329" w:hRule="atLeast"/>
        </w:trPr>
        <w:tc>
          <w:tcPr>
            <w:tcW w:w="6586" w:type="dxa"/>
            <w:gridSpan w:val="5"/>
            <w:tcBorders>
              <w:top w:val="single" w:color="auto" w:sz="4" w:space="0"/>
              <w:left w:val="single" w:color="auto" w:sz="4"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rPr>
              <w:t>合计</w:t>
            </w:r>
          </w:p>
        </w:tc>
        <w:tc>
          <w:tcPr>
            <w:tcW w:w="748" w:type="dxa"/>
            <w:tcBorders>
              <w:top w:val="single" w:color="auto" w:sz="4" w:space="0"/>
              <w:left w:val="nil"/>
              <w:bottom w:val="single" w:color="auto" w:sz="4" w:space="0"/>
              <w:right w:val="nil"/>
            </w:tcBorders>
            <w:noWrap/>
            <w:vAlign w:val="center"/>
          </w:tcPr>
          <w:p>
            <w:pPr>
              <w:rPr>
                <w:rFonts w:hint="eastAsia" w:ascii="宋体" w:hAnsi="宋体" w:cs="宋体"/>
                <w:color w:val="000000"/>
                <w:sz w:val="22"/>
                <w:szCs w:val="22"/>
                <w:highlight w:val="none"/>
              </w:rPr>
            </w:pPr>
          </w:p>
        </w:tc>
        <w:tc>
          <w:tcPr>
            <w:tcW w:w="914" w:type="dxa"/>
            <w:tcBorders>
              <w:top w:val="single" w:color="auto" w:sz="4" w:space="0"/>
              <w:left w:val="nil"/>
              <w:bottom w:val="single" w:color="auto" w:sz="4" w:space="0"/>
              <w:right w:val="nil"/>
            </w:tcBorders>
            <w:noWrap/>
            <w:vAlign w:val="center"/>
          </w:tcPr>
          <w:p>
            <w:pPr>
              <w:widowControl/>
              <w:jc w:val="right"/>
              <w:textAlignment w:val="center"/>
              <w:rPr>
                <w:rFonts w:hint="eastAsia" w:ascii="宋体" w:hAnsi="宋体" w:cs="宋体"/>
                <w:color w:val="000000"/>
                <w:sz w:val="22"/>
                <w:szCs w:val="22"/>
                <w:highlight w:val="none"/>
              </w:rPr>
            </w:pPr>
          </w:p>
        </w:tc>
        <w:tc>
          <w:tcPr>
            <w:tcW w:w="1512" w:type="dxa"/>
            <w:tcBorders>
              <w:top w:val="single" w:color="auto" w:sz="4" w:space="0"/>
              <w:left w:val="nil"/>
              <w:bottom w:val="single" w:color="auto" w:sz="4" w:space="0"/>
              <w:right w:val="single" w:color="auto" w:sz="4" w:space="0"/>
            </w:tcBorders>
            <w:noWrap/>
            <w:vAlign w:val="center"/>
          </w:tcPr>
          <w:p>
            <w:pPr>
              <w:rPr>
                <w:rFonts w:hint="eastAsia" w:ascii="宋体" w:hAnsi="宋体" w:cs="宋体"/>
                <w:color w:val="000000"/>
                <w:sz w:val="22"/>
                <w:szCs w:val="22"/>
                <w:highlight w:val="none"/>
              </w:rPr>
            </w:pPr>
          </w:p>
        </w:tc>
      </w:tr>
      <w:tr>
        <w:tblPrEx>
          <w:tblCellMar>
            <w:top w:w="0" w:type="dxa"/>
            <w:left w:w="108" w:type="dxa"/>
            <w:bottom w:w="0" w:type="dxa"/>
            <w:right w:w="108" w:type="dxa"/>
          </w:tblCellMar>
        </w:tblPrEx>
        <w:trPr>
          <w:trHeight w:val="319" w:hRule="atLeast"/>
        </w:trPr>
        <w:tc>
          <w:tcPr>
            <w:tcW w:w="6586" w:type="dxa"/>
            <w:gridSpan w:val="5"/>
            <w:tcBorders>
              <w:top w:val="single" w:color="auto" w:sz="4" w:space="0"/>
              <w:left w:val="nil"/>
              <w:bottom w:val="nil"/>
              <w:right w:val="nil"/>
            </w:tcBorders>
            <w:noWrap/>
            <w:vAlign w:val="center"/>
          </w:tcPr>
          <w:p>
            <w:pPr>
              <w:widowControl/>
              <w:jc w:val="center"/>
              <w:textAlignment w:val="center"/>
              <w:rPr>
                <w:rFonts w:hint="eastAsia" w:ascii="宋体" w:hAnsi="宋体" w:cs="宋体"/>
                <w:color w:val="000000"/>
                <w:kern w:val="0"/>
                <w:sz w:val="22"/>
                <w:szCs w:val="22"/>
                <w:highlight w:val="none"/>
              </w:rPr>
            </w:pPr>
          </w:p>
        </w:tc>
        <w:tc>
          <w:tcPr>
            <w:tcW w:w="748" w:type="dxa"/>
            <w:tcBorders>
              <w:top w:val="single" w:color="auto" w:sz="4" w:space="0"/>
              <w:left w:val="nil"/>
              <w:bottom w:val="nil"/>
              <w:right w:val="nil"/>
            </w:tcBorders>
            <w:noWrap/>
            <w:vAlign w:val="center"/>
          </w:tcPr>
          <w:p>
            <w:pPr>
              <w:rPr>
                <w:rFonts w:hint="eastAsia" w:ascii="宋体" w:hAnsi="宋体" w:cs="宋体"/>
                <w:color w:val="000000"/>
                <w:sz w:val="22"/>
                <w:szCs w:val="22"/>
                <w:highlight w:val="none"/>
              </w:rPr>
            </w:pPr>
          </w:p>
        </w:tc>
        <w:tc>
          <w:tcPr>
            <w:tcW w:w="914" w:type="dxa"/>
            <w:tcBorders>
              <w:top w:val="single" w:color="auto" w:sz="4" w:space="0"/>
              <w:left w:val="nil"/>
              <w:bottom w:val="nil"/>
              <w:right w:val="nil"/>
            </w:tcBorders>
            <w:noWrap/>
            <w:vAlign w:val="center"/>
          </w:tcPr>
          <w:p>
            <w:pPr>
              <w:widowControl/>
              <w:jc w:val="right"/>
              <w:textAlignment w:val="center"/>
              <w:rPr>
                <w:rFonts w:hint="eastAsia" w:ascii="宋体" w:hAnsi="宋体" w:cs="宋体"/>
                <w:color w:val="000000"/>
                <w:kern w:val="0"/>
                <w:sz w:val="22"/>
                <w:szCs w:val="22"/>
                <w:highlight w:val="none"/>
              </w:rPr>
            </w:pPr>
          </w:p>
        </w:tc>
        <w:tc>
          <w:tcPr>
            <w:tcW w:w="1512" w:type="dxa"/>
            <w:tcBorders>
              <w:top w:val="single" w:color="auto" w:sz="4" w:space="0"/>
              <w:left w:val="nil"/>
              <w:bottom w:val="nil"/>
              <w:right w:val="nil"/>
            </w:tcBorders>
            <w:noWrap/>
            <w:vAlign w:val="center"/>
          </w:tcPr>
          <w:p>
            <w:pPr>
              <w:rPr>
                <w:rFonts w:hint="eastAsia" w:ascii="宋体" w:hAnsi="宋体" w:cs="宋体"/>
                <w:color w:val="000000"/>
                <w:sz w:val="22"/>
                <w:szCs w:val="22"/>
                <w:highlight w:val="none"/>
              </w:rPr>
            </w:pPr>
          </w:p>
        </w:tc>
      </w:tr>
    </w:tbl>
    <w:p>
      <w:pPr>
        <w:spacing w:line="400" w:lineRule="exact"/>
        <w:rPr>
          <w:rFonts w:hint="eastAsia"/>
          <w:b/>
          <w:sz w:val="24"/>
          <w:highlight w:val="none"/>
        </w:rPr>
      </w:pPr>
    </w:p>
    <w:p>
      <w:pPr>
        <w:spacing w:line="400" w:lineRule="exact"/>
        <w:rPr>
          <w:rFonts w:hint="eastAsia" w:ascii="宋体" w:hAnsi="宋体"/>
          <w:b/>
          <w:sz w:val="24"/>
          <w:highlight w:val="none"/>
        </w:rPr>
      </w:pPr>
      <w:r>
        <w:rPr>
          <w:rFonts w:hint="eastAsia"/>
          <w:b/>
          <w:sz w:val="24"/>
          <w:highlight w:val="none"/>
          <w:lang w:val="en-US" w:eastAsia="zh-CN"/>
        </w:rPr>
        <w:t>六</w:t>
      </w:r>
      <w:r>
        <w:rPr>
          <w:rFonts w:hint="eastAsia"/>
          <w:b/>
          <w:sz w:val="24"/>
          <w:highlight w:val="none"/>
        </w:rPr>
        <w:t>、 合同执行计划</w:t>
      </w:r>
    </w:p>
    <w:p>
      <w:pPr>
        <w:numPr>
          <w:ilvl w:val="0"/>
          <w:numId w:val="25"/>
        </w:num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交付时间：合同</w:t>
      </w:r>
      <w:r>
        <w:rPr>
          <w:rFonts w:ascii="宋体" w:hAnsi="宋体"/>
          <w:color w:val="auto"/>
          <w:sz w:val="24"/>
          <w:highlight w:val="none"/>
        </w:rPr>
        <w:t>签订之日起</w:t>
      </w:r>
      <w:r>
        <w:rPr>
          <w:rFonts w:hint="eastAsia" w:ascii="宋体" w:hAnsi="宋体"/>
          <w:color w:val="auto"/>
          <w:sz w:val="24"/>
          <w:highlight w:val="none"/>
          <w:u w:val="single"/>
        </w:rPr>
        <w:t>30</w:t>
      </w:r>
      <w:r>
        <w:rPr>
          <w:rFonts w:hint="eastAsia" w:ascii="宋体" w:hAnsi="宋体"/>
          <w:color w:val="auto"/>
          <w:sz w:val="24"/>
          <w:highlight w:val="none"/>
        </w:rPr>
        <w:t>个</w:t>
      </w:r>
      <w:r>
        <w:rPr>
          <w:rFonts w:ascii="宋体" w:hAnsi="宋体"/>
          <w:color w:val="auto"/>
          <w:sz w:val="24"/>
          <w:highlight w:val="none"/>
        </w:rPr>
        <w:t>日历</w:t>
      </w:r>
      <w:r>
        <w:rPr>
          <w:rFonts w:hint="eastAsia" w:ascii="宋体" w:hAnsi="宋体"/>
          <w:color w:val="auto"/>
          <w:sz w:val="24"/>
          <w:highlight w:val="none"/>
        </w:rPr>
        <w:t>天</w:t>
      </w:r>
      <w:r>
        <w:rPr>
          <w:rFonts w:ascii="宋体" w:hAnsi="宋体"/>
          <w:color w:val="auto"/>
          <w:sz w:val="24"/>
          <w:highlight w:val="none"/>
        </w:rPr>
        <w:t>内</w:t>
      </w:r>
      <w:r>
        <w:rPr>
          <w:rFonts w:hint="eastAsia" w:ascii="宋体" w:hAnsi="宋体"/>
          <w:color w:val="auto"/>
          <w:sz w:val="24"/>
          <w:highlight w:val="none"/>
        </w:rPr>
        <w:t>完成供货、验收。</w:t>
      </w:r>
    </w:p>
    <w:p>
      <w:pPr>
        <w:spacing w:line="420" w:lineRule="exact"/>
        <w:ind w:firstLine="480" w:firstLineChars="200"/>
        <w:rPr>
          <w:rFonts w:hint="eastAsia"/>
          <w:color w:val="auto"/>
          <w:highlight w:val="none"/>
        </w:rPr>
      </w:pPr>
      <w:r>
        <w:rPr>
          <w:rFonts w:hint="eastAsia"/>
          <w:color w:val="auto"/>
          <w:sz w:val="24"/>
          <w:highlight w:val="none"/>
        </w:rPr>
        <w:t>2. 交付地点：</w:t>
      </w:r>
      <w:bookmarkStart w:id="2" w:name="_Toc6655485"/>
      <w:r>
        <w:rPr>
          <w:rFonts w:hint="eastAsia"/>
          <w:color w:val="auto"/>
          <w:sz w:val="24"/>
          <w:highlight w:val="none"/>
        </w:rPr>
        <w:t>采购</w:t>
      </w:r>
      <w:r>
        <w:rPr>
          <w:color w:val="auto"/>
          <w:sz w:val="24"/>
          <w:highlight w:val="none"/>
        </w:rPr>
        <w:t>人指定地点</w:t>
      </w:r>
      <w:bookmarkEnd w:id="2"/>
      <w:bookmarkStart w:id="3" w:name="_Toc6655486"/>
    </w:p>
    <w:bookmarkEnd w:id="3"/>
    <w:p>
      <w:pPr>
        <w:widowControl/>
        <w:spacing w:line="420" w:lineRule="exact"/>
        <w:ind w:right="880" w:rightChars="400" w:firstLine="480" w:firstLineChars="200"/>
        <w:jc w:val="left"/>
        <w:rPr>
          <w:rFonts w:hint="eastAsia" w:ascii="宋体" w:hAnsi="宋体"/>
          <w:b/>
          <w:color w:val="000000"/>
          <w:sz w:val="24"/>
          <w:highlight w:val="none"/>
        </w:rPr>
      </w:pPr>
      <w:r>
        <w:rPr>
          <w:rFonts w:cs="Calibri"/>
          <w:color w:val="000000"/>
          <w:kern w:val="0"/>
          <w:sz w:val="24"/>
          <w:highlight w:val="none"/>
        </w:rPr>
        <w:t>3</w:t>
      </w:r>
      <w:r>
        <w:rPr>
          <w:rFonts w:hint="eastAsia" w:ascii="宋体" w:hAnsi="宋体" w:cs="宋体"/>
          <w:color w:val="000000"/>
          <w:kern w:val="0"/>
          <w:sz w:val="24"/>
          <w:highlight w:val="none"/>
        </w:rPr>
        <w:t>、付款方式：成交后由采购人与成交供应商共同协商确定。</w:t>
      </w:r>
    </w:p>
    <w:p>
      <w:pPr>
        <w:widowControl/>
        <w:spacing w:line="420" w:lineRule="exact"/>
        <w:ind w:right="880" w:rightChars="400"/>
        <w:jc w:val="left"/>
        <w:rPr>
          <w:rFonts w:hint="eastAsia" w:ascii="宋体" w:hAnsi="宋体"/>
          <w:b/>
          <w:color w:val="000000"/>
          <w:sz w:val="24"/>
          <w:highlight w:val="none"/>
        </w:rPr>
      </w:pPr>
      <w:r>
        <w:rPr>
          <w:rFonts w:hint="eastAsia" w:ascii="宋体" w:hAnsi="宋体"/>
          <w:b/>
          <w:color w:val="000000"/>
          <w:sz w:val="24"/>
          <w:highlight w:val="none"/>
          <w:lang w:val="en-US" w:eastAsia="zh-CN"/>
        </w:rPr>
        <w:t>七</w:t>
      </w:r>
      <w:r>
        <w:rPr>
          <w:rFonts w:hint="eastAsia" w:ascii="宋体" w:hAnsi="宋体"/>
          <w:b/>
          <w:color w:val="000000"/>
          <w:sz w:val="24"/>
          <w:highlight w:val="none"/>
        </w:rPr>
        <w:t>、质量保证</w:t>
      </w:r>
    </w:p>
    <w:p>
      <w:pPr>
        <w:tabs>
          <w:tab w:val="left" w:pos="735"/>
        </w:tabs>
        <w:spacing w:line="480" w:lineRule="exact"/>
        <w:ind w:right="880" w:rightChars="400" w:firstLine="480" w:firstLineChars="200"/>
        <w:jc w:val="left"/>
        <w:rPr>
          <w:rFonts w:ascii="宋体" w:hAnsi="宋体"/>
          <w:kern w:val="24"/>
          <w:sz w:val="24"/>
          <w:highlight w:val="none"/>
          <w:shd w:val="clear" w:color="auto" w:fill="FFFFFF"/>
        </w:rPr>
      </w:pPr>
      <w:r>
        <w:rPr>
          <w:rFonts w:ascii="宋体" w:hAnsi="宋体"/>
          <w:kern w:val="24"/>
          <w:sz w:val="24"/>
          <w:highlight w:val="none"/>
          <w:shd w:val="clear" w:color="auto" w:fill="FFFFFF"/>
        </w:rPr>
        <w:t>1、</w:t>
      </w:r>
      <w:r>
        <w:rPr>
          <w:rFonts w:hint="eastAsia" w:ascii="宋体" w:hAnsi="宋体"/>
          <w:kern w:val="24"/>
          <w:sz w:val="24"/>
          <w:highlight w:val="none"/>
          <w:shd w:val="clear" w:color="auto" w:fill="FFFFFF"/>
        </w:rPr>
        <w:t>供应商</w:t>
      </w:r>
      <w:r>
        <w:rPr>
          <w:rFonts w:ascii="宋体" w:hAnsi="宋体"/>
          <w:kern w:val="24"/>
          <w:sz w:val="24"/>
          <w:highlight w:val="none"/>
          <w:shd w:val="clear" w:color="auto" w:fill="FFFFFF"/>
        </w:rPr>
        <w:t>所供货物是全新的、未使用过的。提供的全部货物没有设计、材料或工艺上的缺陷,或者没有因卖方的行为或疏忽而产生的缺陷，这些缺陷是所供货物在我国现行条件下正常使用可能产生的。</w:t>
      </w:r>
    </w:p>
    <w:p>
      <w:pPr>
        <w:tabs>
          <w:tab w:val="left" w:pos="735"/>
        </w:tabs>
        <w:spacing w:line="480" w:lineRule="exact"/>
        <w:ind w:right="880" w:rightChars="400" w:firstLine="480" w:firstLineChars="200"/>
        <w:jc w:val="left"/>
        <w:rPr>
          <w:rFonts w:hint="eastAsia" w:ascii="宋体" w:hAnsi="宋体"/>
          <w:color w:val="000000"/>
          <w:sz w:val="24"/>
          <w:highlight w:val="none"/>
        </w:rPr>
      </w:pPr>
      <w:r>
        <w:rPr>
          <w:rFonts w:ascii="宋体" w:hAnsi="宋体"/>
          <w:kern w:val="24"/>
          <w:sz w:val="24"/>
          <w:highlight w:val="none"/>
          <w:shd w:val="clear" w:color="auto" w:fill="FFFFFF"/>
        </w:rPr>
        <w:t>2、所有设备技术指标和功能附件必须符合本项目采购文件的要求。</w:t>
      </w:r>
    </w:p>
    <w:p>
      <w:pPr>
        <w:widowControl/>
        <w:ind w:firstLine="480" w:firstLineChars="200"/>
        <w:jc w:val="left"/>
        <w:rPr>
          <w:highlight w:val="none"/>
        </w:rPr>
      </w:pPr>
      <w:r>
        <w:rPr>
          <w:rFonts w:hint="eastAsia" w:ascii="宋体" w:hAnsi="宋体" w:cs="宋体"/>
          <w:color w:val="000000"/>
          <w:kern w:val="0"/>
          <w:sz w:val="24"/>
          <w:highlight w:val="none"/>
        </w:rPr>
        <w:t xml:space="preserve">3、运输、税费及其他费用：由成交供应商负责。 </w:t>
      </w:r>
    </w:p>
    <w:p>
      <w:pPr>
        <w:widowControl/>
        <w:ind w:firstLine="480" w:firstLineChars="200"/>
        <w:jc w:val="left"/>
        <w:rPr>
          <w:highlight w:val="none"/>
        </w:rPr>
      </w:pPr>
      <w:r>
        <w:rPr>
          <w:rFonts w:hint="eastAsia" w:ascii="宋体" w:hAnsi="宋体" w:cs="宋体"/>
          <w:color w:val="000000"/>
          <w:kern w:val="0"/>
          <w:sz w:val="24"/>
          <w:highlight w:val="none"/>
        </w:rPr>
        <w:t>4、验收要求：按照国家有关标准、采购文件及投标的技术要求进行验收，成交供应商必须提供完整、合格、有效的产品出厂文件及有关货物资证文件。</w:t>
      </w:r>
    </w:p>
    <w:p>
      <w:pPr>
        <w:widowControl/>
        <w:spacing w:line="420" w:lineRule="exact"/>
        <w:ind w:right="880" w:rightChars="400"/>
        <w:jc w:val="left"/>
        <w:rPr>
          <w:rFonts w:hint="eastAsia" w:ascii="宋体" w:hAnsi="宋体"/>
          <w:b/>
          <w:color w:val="000000"/>
          <w:sz w:val="24"/>
          <w:highlight w:val="none"/>
        </w:rPr>
      </w:pPr>
      <w:r>
        <w:rPr>
          <w:rFonts w:hint="eastAsia" w:ascii="宋体" w:hAnsi="宋体"/>
          <w:b/>
          <w:color w:val="000000"/>
          <w:sz w:val="24"/>
          <w:highlight w:val="none"/>
          <w:lang w:val="en-US" w:eastAsia="zh-CN"/>
        </w:rPr>
        <w:t>八</w:t>
      </w:r>
      <w:r>
        <w:rPr>
          <w:rFonts w:hint="eastAsia" w:ascii="宋体" w:hAnsi="宋体"/>
          <w:b/>
          <w:color w:val="000000"/>
          <w:sz w:val="24"/>
          <w:highlight w:val="none"/>
        </w:rPr>
        <w:t>、售后服务</w:t>
      </w:r>
    </w:p>
    <w:p>
      <w:pPr>
        <w:widowControl/>
        <w:ind w:firstLine="480" w:firstLineChars="20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 xml:space="preserve">1）从货物安装验收合格之日算起1年包换3年保修； </w:t>
      </w:r>
    </w:p>
    <w:p>
      <w:pPr>
        <w:widowControl/>
        <w:ind w:firstLine="480" w:firstLineChars="20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 xml:space="preserve">2）提供全天候（7×24 小时）的电话技术支持服务，系统设备如有重大故障，售后维护人员必须在接到采购人电话后及时赶到现场排除故障； </w:t>
      </w:r>
    </w:p>
    <w:p>
      <w:pPr>
        <w:widowControl/>
        <w:ind w:firstLine="480" w:firstLineChars="20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 xml:space="preserve">3）质保期内，若因非操作不当引起的故障或损坏，成交供应商应无偿维修；维修不能解决的，无条件更换。成交供应商对采购人提出的维修通知在 2 小时内不予响应的，采购人有权委托其他单位进行维修，产生的所有费用由成交供应商承担。对短时间内不能解决的设备问题，须提供备机、备件，保证在 24 小时内恢复系统的正常运行。 </w:t>
      </w:r>
    </w:p>
    <w:p>
      <w:pPr>
        <w:pStyle w:val="5"/>
        <w:rPr>
          <w:sz w:val="28"/>
          <w:highlight w:val="none"/>
        </w:rPr>
      </w:pPr>
      <w:r>
        <w:rPr>
          <w:rFonts w:hint="eastAsia" w:ascii="宋体" w:hAnsi="宋体" w:cs="宋体"/>
          <w:color w:val="000000"/>
          <w:kern w:val="0"/>
          <w:sz w:val="24"/>
          <w:highlight w:val="none"/>
        </w:rPr>
        <w:t>4）现场培训：整体安装调试完毕后，投标人须组织现场培训，培训内容包括所有产品的日常保养和维护、常见故障的排除等。</w:t>
      </w:r>
    </w:p>
    <w:p>
      <w:pPr>
        <w:pStyle w:val="5"/>
        <w:spacing w:before="8"/>
        <w:rPr>
          <w:sz w:val="29"/>
          <w:highlight w:val="none"/>
        </w:rPr>
      </w:pPr>
    </w:p>
    <w:p>
      <w:pPr>
        <w:pStyle w:val="5"/>
        <w:spacing w:before="31" w:line="319" w:lineRule="auto"/>
        <w:ind w:right="1276"/>
        <w:rPr>
          <w:highlight w:val="none"/>
        </w:rPr>
        <w:sectPr>
          <w:pgSz w:w="11900" w:h="16840"/>
          <w:pgMar w:top="1440" w:right="520" w:bottom="1380" w:left="1140" w:header="0" w:footer="1119" w:gutter="0"/>
          <w:pgNumType w:fmt="decimal"/>
          <w:cols w:space="720" w:num="1"/>
        </w:sectPr>
      </w:pPr>
    </w:p>
    <w:p>
      <w:pPr>
        <w:spacing w:before="10" w:line="266" w:lineRule="auto"/>
        <w:ind w:left="3158" w:right="3770" w:firstLine="0"/>
        <w:jc w:val="center"/>
        <w:rPr>
          <w:sz w:val="44"/>
          <w:highlight w:val="none"/>
        </w:rPr>
      </w:pPr>
      <w:r>
        <w:rPr>
          <w:sz w:val="44"/>
          <w:highlight w:val="none"/>
        </w:rPr>
        <w:t>第四章 评标办法前附表</w:t>
      </w:r>
    </w:p>
    <w:p>
      <w:pPr>
        <w:pStyle w:val="5"/>
        <w:spacing w:before="11"/>
        <w:rPr>
          <w:sz w:val="25"/>
          <w:highlight w:val="none"/>
        </w:rPr>
      </w:pPr>
    </w:p>
    <w:p>
      <w:pPr>
        <w:pStyle w:val="8"/>
        <w:spacing w:before="54"/>
        <w:rPr>
          <w:sz w:val="43"/>
          <w:highlight w:val="none"/>
        </w:rPr>
      </w:pPr>
      <w:r>
        <w:rPr>
          <w:highlight w:val="none"/>
        </w:rPr>
        <w:t>初步评审标准：</w:t>
      </w:r>
    </w:p>
    <w:p>
      <w:pPr>
        <w:pStyle w:val="10"/>
        <w:ind w:left="662"/>
        <w:rPr>
          <w:highlight w:val="none"/>
        </w:rPr>
      </w:pPr>
      <w:r>
        <w:rPr>
          <w:highlight w:val="none"/>
        </w:rPr>
        <w:t>资格性审查标准</w:t>
      </w:r>
    </w:p>
    <w:p>
      <w:pPr>
        <w:pStyle w:val="5"/>
        <w:spacing w:before="2"/>
        <w:rPr>
          <w:sz w:val="10"/>
          <w:highlight w:val="none"/>
        </w:rPr>
      </w:pPr>
    </w:p>
    <w:tbl>
      <w:tblPr>
        <w:tblStyle w:val="17"/>
        <w:tblW w:w="0" w:type="auto"/>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42"/>
        <w:gridCol w:w="4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142" w:type="dxa"/>
          </w:tcPr>
          <w:p>
            <w:pPr>
              <w:pStyle w:val="21"/>
              <w:spacing w:line="292" w:lineRule="exact"/>
              <w:ind w:left="107"/>
              <w:rPr>
                <w:sz w:val="24"/>
                <w:highlight w:val="none"/>
              </w:rPr>
            </w:pPr>
            <w:r>
              <w:rPr>
                <w:sz w:val="24"/>
                <w:highlight w:val="none"/>
              </w:rPr>
              <w:t>评审因素</w:t>
            </w:r>
          </w:p>
        </w:tc>
        <w:tc>
          <w:tcPr>
            <w:tcW w:w="4380" w:type="dxa"/>
          </w:tcPr>
          <w:p>
            <w:pPr>
              <w:pStyle w:val="21"/>
              <w:spacing w:line="292" w:lineRule="exact"/>
              <w:ind w:left="108"/>
              <w:rPr>
                <w:sz w:val="24"/>
                <w:highlight w:val="none"/>
              </w:rPr>
            </w:pPr>
            <w:r>
              <w:rPr>
                <w:sz w:val="24"/>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142" w:type="dxa"/>
          </w:tcPr>
          <w:p>
            <w:pPr>
              <w:pStyle w:val="21"/>
              <w:spacing w:line="307" w:lineRule="exact"/>
              <w:ind w:left="107"/>
              <w:rPr>
                <w:sz w:val="24"/>
                <w:highlight w:val="none"/>
              </w:rPr>
            </w:pPr>
            <w:r>
              <w:rPr>
                <w:sz w:val="24"/>
                <w:highlight w:val="none"/>
              </w:rPr>
              <w:t>在中华人民共和国注册的、具有</w:t>
            </w:r>
          </w:p>
          <w:p>
            <w:pPr>
              <w:pStyle w:val="21"/>
              <w:spacing w:before="4" w:line="292" w:lineRule="exact"/>
              <w:ind w:left="107"/>
              <w:rPr>
                <w:sz w:val="24"/>
                <w:highlight w:val="none"/>
              </w:rPr>
            </w:pPr>
            <w:r>
              <w:rPr>
                <w:sz w:val="24"/>
                <w:highlight w:val="none"/>
              </w:rPr>
              <w:t>独立承担民事责任能力的法人</w:t>
            </w:r>
          </w:p>
        </w:tc>
        <w:tc>
          <w:tcPr>
            <w:tcW w:w="4380" w:type="dxa"/>
          </w:tcPr>
          <w:p>
            <w:pPr>
              <w:pStyle w:val="21"/>
              <w:spacing w:before="4" w:line="292" w:lineRule="exact"/>
              <w:ind w:left="108"/>
              <w:rPr>
                <w:sz w:val="24"/>
                <w:highlight w:val="none"/>
              </w:rPr>
            </w:pPr>
            <w:r>
              <w:rPr>
                <w:sz w:val="24"/>
                <w:highlight w:val="none"/>
              </w:rPr>
              <w:t>具有独立承担民事责任的能力。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142" w:type="dxa"/>
          </w:tcPr>
          <w:p>
            <w:pPr>
              <w:pStyle w:val="21"/>
              <w:ind w:left="107"/>
              <w:rPr>
                <w:sz w:val="24"/>
                <w:highlight w:val="none"/>
              </w:rPr>
            </w:pPr>
            <w:r>
              <w:rPr>
                <w:sz w:val="24"/>
                <w:highlight w:val="none"/>
              </w:rPr>
              <w:t>有依法缴纳税收和社会保障资金</w:t>
            </w:r>
          </w:p>
          <w:p>
            <w:pPr>
              <w:pStyle w:val="21"/>
              <w:spacing w:before="4" w:line="292" w:lineRule="exact"/>
              <w:ind w:left="107"/>
              <w:rPr>
                <w:sz w:val="24"/>
                <w:highlight w:val="none"/>
              </w:rPr>
            </w:pPr>
            <w:r>
              <w:rPr>
                <w:sz w:val="24"/>
                <w:highlight w:val="none"/>
              </w:rPr>
              <w:t>的良好记录。</w:t>
            </w:r>
          </w:p>
        </w:tc>
        <w:tc>
          <w:tcPr>
            <w:tcW w:w="4380" w:type="dxa"/>
          </w:tcPr>
          <w:p>
            <w:pPr>
              <w:pStyle w:val="21"/>
              <w:ind w:left="108"/>
              <w:rPr>
                <w:sz w:val="24"/>
                <w:highlight w:val="none"/>
              </w:rPr>
            </w:pPr>
            <w:r>
              <w:rPr>
                <w:spacing w:val="-13"/>
                <w:sz w:val="24"/>
                <w:highlight w:val="none"/>
              </w:rPr>
              <w:t xml:space="preserve">提供缴纳 </w:t>
            </w:r>
            <w:r>
              <w:rPr>
                <w:sz w:val="24"/>
                <w:highlight w:val="none"/>
              </w:rPr>
              <w:t>2020</w:t>
            </w:r>
            <w:r>
              <w:rPr>
                <w:spacing w:val="-25"/>
                <w:sz w:val="24"/>
                <w:highlight w:val="none"/>
              </w:rPr>
              <w:t xml:space="preserve"> </w:t>
            </w:r>
            <w:r>
              <w:rPr>
                <w:rFonts w:ascii="宋体" w:hAnsi="宋体" w:eastAsia="宋体" w:cs="宋体"/>
                <w:spacing w:val="-25"/>
                <w:sz w:val="24"/>
                <w:highlight w:val="none"/>
              </w:rPr>
              <w:t>年</w:t>
            </w:r>
            <w:r>
              <w:rPr>
                <w:rFonts w:hint="eastAsia" w:ascii="宋体" w:hAnsi="宋体" w:eastAsia="宋体" w:cs="宋体"/>
                <w:spacing w:val="-25"/>
                <w:sz w:val="24"/>
                <w:highlight w:val="none"/>
                <w:lang w:val="en-US" w:eastAsia="zh-CN"/>
              </w:rPr>
              <w:t xml:space="preserve">10 </w:t>
            </w:r>
            <w:r>
              <w:rPr>
                <w:rFonts w:hint="eastAsia" w:cs="宋体"/>
                <w:spacing w:val="-25"/>
                <w:sz w:val="24"/>
                <w:highlight w:val="none"/>
                <w:lang w:val="en-US" w:eastAsia="zh-CN"/>
              </w:rPr>
              <w:t>月</w:t>
            </w:r>
            <w:r>
              <w:rPr>
                <w:rFonts w:hint="eastAsia" w:ascii="宋体" w:hAnsi="宋体" w:eastAsia="宋体" w:cs="宋体"/>
                <w:spacing w:val="-25"/>
                <w:sz w:val="24"/>
                <w:highlight w:val="none"/>
                <w:lang w:val="en-US" w:eastAsia="zh-CN"/>
              </w:rPr>
              <w:t>至今</w:t>
            </w:r>
            <w:r>
              <w:rPr>
                <w:rFonts w:ascii="宋体" w:hAnsi="宋体" w:eastAsia="宋体" w:cs="宋体"/>
                <w:spacing w:val="-25"/>
                <w:sz w:val="24"/>
                <w:highlight w:val="none"/>
              </w:rPr>
              <w:t>任</w:t>
            </w:r>
            <w:r>
              <w:rPr>
                <w:spacing w:val="-25"/>
                <w:sz w:val="24"/>
                <w:highlight w:val="none"/>
              </w:rPr>
              <w:t xml:space="preserve">意 </w:t>
            </w:r>
            <w:r>
              <w:rPr>
                <w:sz w:val="24"/>
                <w:highlight w:val="none"/>
              </w:rPr>
              <w:t>3</w:t>
            </w:r>
            <w:r>
              <w:rPr>
                <w:spacing w:val="-12"/>
                <w:sz w:val="24"/>
                <w:highlight w:val="none"/>
              </w:rPr>
              <w:t xml:space="preserve"> 个月的税收、社保记</w:t>
            </w:r>
            <w:r>
              <w:rPr>
                <w:sz w:val="24"/>
                <w:highlight w:val="none"/>
              </w:rPr>
              <w:t>录凭证</w:t>
            </w:r>
            <w:r>
              <w:rPr>
                <w:rFonts w:hint="eastAsia"/>
                <w:sz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4142" w:type="dxa"/>
          </w:tcPr>
          <w:p>
            <w:pPr>
              <w:pStyle w:val="21"/>
              <w:spacing w:before="2" w:line="242" w:lineRule="auto"/>
              <w:ind w:left="107" w:right="95"/>
              <w:rPr>
                <w:sz w:val="24"/>
                <w:highlight w:val="none"/>
              </w:rPr>
            </w:pPr>
            <w:r>
              <w:rPr>
                <w:sz w:val="24"/>
                <w:highlight w:val="none"/>
              </w:rPr>
              <w:t>具有良好的商业信誉和健全的财务会计制度。</w:t>
            </w:r>
          </w:p>
        </w:tc>
        <w:tc>
          <w:tcPr>
            <w:tcW w:w="4380" w:type="dxa"/>
          </w:tcPr>
          <w:p>
            <w:pPr>
              <w:pStyle w:val="21"/>
              <w:spacing w:before="4" w:line="292" w:lineRule="exact"/>
              <w:ind w:left="108"/>
              <w:rPr>
                <w:sz w:val="24"/>
                <w:highlight w:val="none"/>
              </w:rPr>
            </w:pPr>
            <w:r>
              <w:rPr>
                <w:spacing w:val="-21"/>
                <w:sz w:val="24"/>
                <w:highlight w:val="none"/>
              </w:rPr>
              <w:t xml:space="preserve">提供 </w:t>
            </w:r>
            <w:r>
              <w:rPr>
                <w:sz w:val="24"/>
                <w:highlight w:val="none"/>
              </w:rPr>
              <w:t>2020</w:t>
            </w:r>
            <w:r>
              <w:rPr>
                <w:spacing w:val="-25"/>
                <w:sz w:val="24"/>
                <w:highlight w:val="none"/>
              </w:rPr>
              <w:t xml:space="preserve"> 年</w:t>
            </w:r>
            <w:r>
              <w:rPr>
                <w:rFonts w:hint="eastAsia"/>
                <w:spacing w:val="-25"/>
                <w:sz w:val="24"/>
                <w:highlight w:val="none"/>
                <w:lang w:val="en-US" w:eastAsia="zh-CN"/>
              </w:rPr>
              <w:t>10 月至今</w:t>
            </w:r>
            <w:r>
              <w:rPr>
                <w:spacing w:val="-25"/>
                <w:sz w:val="24"/>
                <w:highlight w:val="none"/>
              </w:rPr>
              <w:t>任意</w:t>
            </w:r>
            <w:r>
              <w:rPr>
                <w:sz w:val="24"/>
                <w:highlight w:val="none"/>
              </w:rPr>
              <w:t>3</w:t>
            </w:r>
            <w:r>
              <w:rPr>
                <w:spacing w:val="-13"/>
                <w:sz w:val="24"/>
                <w:highlight w:val="none"/>
              </w:rPr>
              <w:t>个月的企业财务报表，包</w:t>
            </w:r>
            <w:r>
              <w:rPr>
                <w:sz w:val="24"/>
                <w:highlight w:val="none"/>
              </w:rPr>
              <w:t>括资产负债表、损益表、现金流量表。提供</w:t>
            </w:r>
            <w:r>
              <w:rPr>
                <w:spacing w:val="33"/>
                <w:sz w:val="24"/>
                <w:highlight w:val="none"/>
              </w:rPr>
              <w:t>的资料须加盖公章。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142" w:type="dxa"/>
          </w:tcPr>
          <w:p>
            <w:pPr>
              <w:pStyle w:val="21"/>
              <w:spacing w:line="307" w:lineRule="exact"/>
              <w:ind w:left="107"/>
              <w:rPr>
                <w:sz w:val="24"/>
                <w:highlight w:val="none"/>
              </w:rPr>
            </w:pPr>
            <w:r>
              <w:rPr>
                <w:sz w:val="24"/>
                <w:highlight w:val="none"/>
              </w:rPr>
              <w:t>参加政府采购活动前三年内，在</w:t>
            </w:r>
          </w:p>
          <w:p>
            <w:pPr>
              <w:pStyle w:val="21"/>
              <w:spacing w:before="4" w:line="292" w:lineRule="exact"/>
              <w:ind w:left="107"/>
              <w:rPr>
                <w:sz w:val="24"/>
                <w:highlight w:val="none"/>
              </w:rPr>
            </w:pPr>
            <w:r>
              <w:rPr>
                <w:sz w:val="24"/>
                <w:highlight w:val="none"/>
              </w:rPr>
              <w:t>经营活动中没有重大违法记录。</w:t>
            </w:r>
          </w:p>
        </w:tc>
        <w:tc>
          <w:tcPr>
            <w:tcW w:w="4380" w:type="dxa"/>
          </w:tcPr>
          <w:p>
            <w:pPr>
              <w:pStyle w:val="21"/>
              <w:spacing w:before="4" w:line="292" w:lineRule="exact"/>
              <w:ind w:left="108"/>
              <w:rPr>
                <w:sz w:val="24"/>
                <w:highlight w:val="none"/>
              </w:rPr>
            </w:pPr>
            <w:r>
              <w:rPr>
                <w:spacing w:val="-11"/>
                <w:sz w:val="24"/>
                <w:highlight w:val="none"/>
              </w:rPr>
              <w:t>提供无重大违法记录声明函，加盖公章。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4142" w:type="dxa"/>
          </w:tcPr>
          <w:p>
            <w:pPr>
              <w:pStyle w:val="21"/>
              <w:spacing w:line="307" w:lineRule="exact"/>
              <w:ind w:left="107"/>
              <w:rPr>
                <w:sz w:val="24"/>
                <w:highlight w:val="none"/>
              </w:rPr>
            </w:pPr>
            <w:r>
              <w:rPr>
                <w:sz w:val="24"/>
                <w:highlight w:val="none"/>
              </w:rPr>
              <w:t>投标人无不良信用记录。</w:t>
            </w:r>
          </w:p>
        </w:tc>
        <w:tc>
          <w:tcPr>
            <w:tcW w:w="4380" w:type="dxa"/>
          </w:tcPr>
          <w:p>
            <w:pPr>
              <w:pStyle w:val="21"/>
              <w:spacing w:before="4" w:line="292" w:lineRule="exact"/>
              <w:ind w:left="108"/>
              <w:rPr>
                <w:sz w:val="24"/>
                <w:highlight w:val="none"/>
              </w:rPr>
            </w:pPr>
            <w:r>
              <w:rPr>
                <w:sz w:val="24"/>
                <w:highlight w:val="none"/>
              </w:rPr>
              <w:t>投标人无不良信用记录。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142" w:type="dxa"/>
          </w:tcPr>
          <w:p>
            <w:pPr>
              <w:pStyle w:val="21"/>
              <w:spacing w:line="307" w:lineRule="exact"/>
              <w:ind w:left="107"/>
              <w:rPr>
                <w:sz w:val="24"/>
                <w:highlight w:val="none"/>
              </w:rPr>
            </w:pPr>
            <w:r>
              <w:rPr>
                <w:sz w:val="24"/>
                <w:highlight w:val="none"/>
              </w:rPr>
              <w:t>参加政府采购活动前三年内，无</w:t>
            </w:r>
          </w:p>
          <w:p>
            <w:pPr>
              <w:pStyle w:val="21"/>
              <w:spacing w:before="4" w:line="292" w:lineRule="exact"/>
              <w:ind w:left="107"/>
              <w:rPr>
                <w:sz w:val="24"/>
                <w:highlight w:val="none"/>
              </w:rPr>
            </w:pPr>
            <w:r>
              <w:rPr>
                <w:sz w:val="24"/>
                <w:highlight w:val="none"/>
              </w:rPr>
              <w:t>环保类行政处罚记录。</w:t>
            </w:r>
          </w:p>
        </w:tc>
        <w:tc>
          <w:tcPr>
            <w:tcW w:w="4380" w:type="dxa"/>
          </w:tcPr>
          <w:p>
            <w:pPr>
              <w:pStyle w:val="21"/>
              <w:spacing w:line="307" w:lineRule="exact"/>
              <w:ind w:left="108"/>
              <w:rPr>
                <w:sz w:val="24"/>
                <w:highlight w:val="none"/>
              </w:rPr>
            </w:pPr>
            <w:r>
              <w:rPr>
                <w:sz w:val="24"/>
                <w:highlight w:val="none"/>
              </w:rPr>
              <w:t>提供无环保类行政处罚记录声明函，加盖公章。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142" w:type="dxa"/>
          </w:tcPr>
          <w:p>
            <w:pPr>
              <w:pStyle w:val="21"/>
              <w:spacing w:line="292" w:lineRule="exact"/>
              <w:ind w:left="107"/>
              <w:rPr>
                <w:sz w:val="24"/>
                <w:highlight w:val="none"/>
              </w:rPr>
            </w:pPr>
            <w:r>
              <w:rPr>
                <w:sz w:val="24"/>
                <w:highlight w:val="none"/>
              </w:rPr>
              <w:t>不接受联合体投标。</w:t>
            </w:r>
          </w:p>
        </w:tc>
        <w:tc>
          <w:tcPr>
            <w:tcW w:w="4380" w:type="dxa"/>
          </w:tcPr>
          <w:p>
            <w:pPr>
              <w:pStyle w:val="21"/>
              <w:spacing w:line="292" w:lineRule="exact"/>
              <w:ind w:left="108"/>
              <w:rPr>
                <w:sz w:val="24"/>
                <w:highlight w:val="none"/>
              </w:rPr>
            </w:pPr>
            <w:r>
              <w:rPr>
                <w:sz w:val="24"/>
                <w:highlight w:val="none"/>
              </w:rPr>
              <w:t>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4142" w:type="dxa"/>
          </w:tcPr>
          <w:p>
            <w:pPr>
              <w:pStyle w:val="21"/>
              <w:spacing w:before="2"/>
              <w:ind w:left="107"/>
              <w:rPr>
                <w:sz w:val="24"/>
                <w:highlight w:val="none"/>
              </w:rPr>
            </w:pPr>
            <w:r>
              <w:rPr>
                <w:sz w:val="24"/>
                <w:highlight w:val="none"/>
              </w:rPr>
              <w:t>符合法律、行政法规规定的其他</w:t>
            </w:r>
            <w:r>
              <w:rPr>
                <w:rFonts w:hint="eastAsia"/>
                <w:sz w:val="24"/>
                <w:highlight w:val="none"/>
                <w:lang w:val="en-US" w:eastAsia="zh-CN"/>
              </w:rPr>
              <w:t>条</w:t>
            </w:r>
            <w:r>
              <w:rPr>
                <w:sz w:val="24"/>
                <w:highlight w:val="none"/>
              </w:rPr>
              <w:t>件。</w:t>
            </w:r>
          </w:p>
        </w:tc>
        <w:tc>
          <w:tcPr>
            <w:tcW w:w="4380" w:type="dxa"/>
          </w:tcPr>
          <w:p>
            <w:pPr>
              <w:pStyle w:val="21"/>
              <w:spacing w:before="2"/>
              <w:ind w:left="108"/>
              <w:rPr>
                <w:sz w:val="24"/>
                <w:highlight w:val="none"/>
              </w:rPr>
            </w:pPr>
            <w:r>
              <w:rPr>
                <w:sz w:val="24"/>
                <w:highlight w:val="none"/>
              </w:rPr>
              <w:t>符合法律、行政法规规定的其他条件。</w:t>
            </w:r>
          </w:p>
        </w:tc>
      </w:tr>
    </w:tbl>
    <w:p>
      <w:pPr>
        <w:pStyle w:val="10"/>
        <w:ind w:left="662"/>
        <w:rPr>
          <w:highlight w:val="none"/>
        </w:rPr>
      </w:pPr>
      <w:r>
        <w:rPr>
          <w:highlight w:val="none"/>
        </w:rPr>
        <w:t>符合性审查标准</w:t>
      </w:r>
    </w:p>
    <w:p>
      <w:pPr>
        <w:pStyle w:val="5"/>
        <w:spacing w:before="2"/>
        <w:rPr>
          <w:sz w:val="10"/>
          <w:highlight w:val="none"/>
        </w:rPr>
      </w:pPr>
    </w:p>
    <w:tbl>
      <w:tblPr>
        <w:tblStyle w:val="17"/>
        <w:tblW w:w="0" w:type="auto"/>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91"/>
        <w:gridCol w:w="58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3091" w:type="dxa"/>
          </w:tcPr>
          <w:p>
            <w:pPr>
              <w:pStyle w:val="21"/>
              <w:spacing w:line="292" w:lineRule="exact"/>
              <w:ind w:left="107"/>
              <w:rPr>
                <w:sz w:val="24"/>
                <w:highlight w:val="none"/>
              </w:rPr>
            </w:pPr>
            <w:r>
              <w:rPr>
                <w:sz w:val="24"/>
                <w:highlight w:val="none"/>
              </w:rPr>
              <w:t>评审因素</w:t>
            </w:r>
          </w:p>
        </w:tc>
        <w:tc>
          <w:tcPr>
            <w:tcW w:w="5816" w:type="dxa"/>
          </w:tcPr>
          <w:p>
            <w:pPr>
              <w:pStyle w:val="21"/>
              <w:spacing w:line="292" w:lineRule="exact"/>
              <w:ind w:left="108"/>
              <w:rPr>
                <w:sz w:val="24"/>
                <w:highlight w:val="none"/>
              </w:rPr>
            </w:pPr>
            <w:r>
              <w:rPr>
                <w:sz w:val="24"/>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091" w:type="dxa"/>
          </w:tcPr>
          <w:p>
            <w:pPr>
              <w:pStyle w:val="21"/>
              <w:spacing w:line="307" w:lineRule="exact"/>
              <w:ind w:left="107"/>
              <w:rPr>
                <w:sz w:val="24"/>
                <w:highlight w:val="none"/>
              </w:rPr>
            </w:pPr>
            <w:r>
              <w:rPr>
                <w:sz w:val="24"/>
                <w:highlight w:val="none"/>
              </w:rPr>
              <w:t>投标报价</w:t>
            </w:r>
          </w:p>
        </w:tc>
        <w:tc>
          <w:tcPr>
            <w:tcW w:w="5816" w:type="dxa"/>
          </w:tcPr>
          <w:p>
            <w:pPr>
              <w:pStyle w:val="21"/>
              <w:spacing w:line="307" w:lineRule="exact"/>
              <w:ind w:left="108"/>
              <w:rPr>
                <w:sz w:val="24"/>
                <w:highlight w:val="none"/>
              </w:rPr>
            </w:pPr>
            <w:r>
              <w:rPr>
                <w:sz w:val="24"/>
                <w:highlight w:val="none"/>
              </w:rPr>
              <w:t>按照招标文件要求进行报价；投标价须是唯一的；</w:t>
            </w:r>
          </w:p>
          <w:p>
            <w:pPr>
              <w:pStyle w:val="21"/>
              <w:spacing w:before="4" w:line="292" w:lineRule="exact"/>
              <w:ind w:left="108"/>
              <w:rPr>
                <w:sz w:val="24"/>
                <w:highlight w:val="none"/>
              </w:rPr>
            </w:pPr>
            <w:r>
              <w:rPr>
                <w:sz w:val="24"/>
                <w:highlight w:val="none"/>
              </w:rPr>
              <w:t>不得超出预算或最高限价。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3091" w:type="dxa"/>
          </w:tcPr>
          <w:p>
            <w:pPr>
              <w:pStyle w:val="21"/>
              <w:spacing w:line="307" w:lineRule="exact"/>
              <w:ind w:left="107"/>
              <w:rPr>
                <w:sz w:val="24"/>
                <w:highlight w:val="none"/>
              </w:rPr>
            </w:pPr>
            <w:r>
              <w:rPr>
                <w:sz w:val="24"/>
                <w:highlight w:val="none"/>
              </w:rPr>
              <w:t>文件要求</w:t>
            </w:r>
          </w:p>
        </w:tc>
        <w:tc>
          <w:tcPr>
            <w:tcW w:w="5816" w:type="dxa"/>
          </w:tcPr>
          <w:p>
            <w:pPr>
              <w:pStyle w:val="21"/>
              <w:spacing w:line="307" w:lineRule="exact"/>
              <w:ind w:left="108"/>
              <w:rPr>
                <w:sz w:val="24"/>
                <w:highlight w:val="none"/>
              </w:rPr>
            </w:pPr>
            <w:r>
              <w:rPr>
                <w:sz w:val="24"/>
                <w:highlight w:val="none"/>
              </w:rPr>
              <w:t>按要求提供供应商自觉抵制政府采购领域商业贿</w:t>
            </w:r>
          </w:p>
          <w:p>
            <w:pPr>
              <w:pStyle w:val="21"/>
              <w:spacing w:before="2" w:line="310" w:lineRule="atLeast"/>
              <w:ind w:left="108" w:right="23"/>
              <w:rPr>
                <w:sz w:val="24"/>
                <w:highlight w:val="none"/>
              </w:rPr>
            </w:pPr>
            <w:r>
              <w:rPr>
                <w:sz w:val="24"/>
                <w:highlight w:val="none"/>
              </w:rPr>
              <w:t>赂行为承诺书、法定代表人资格证明书（或法定代表人授权委托书）、承诺函、售后服务承诺书。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3091" w:type="dxa"/>
          </w:tcPr>
          <w:p>
            <w:pPr>
              <w:pStyle w:val="21"/>
              <w:spacing w:line="292" w:lineRule="exact"/>
              <w:ind w:left="107"/>
              <w:rPr>
                <w:sz w:val="24"/>
                <w:highlight w:val="none"/>
              </w:rPr>
            </w:pPr>
            <w:r>
              <w:rPr>
                <w:sz w:val="24"/>
                <w:highlight w:val="none"/>
              </w:rPr>
              <w:t>投标有效期</w:t>
            </w:r>
          </w:p>
        </w:tc>
        <w:tc>
          <w:tcPr>
            <w:tcW w:w="5816" w:type="dxa"/>
          </w:tcPr>
          <w:p>
            <w:pPr>
              <w:pStyle w:val="21"/>
              <w:spacing w:line="292" w:lineRule="exact"/>
              <w:ind w:left="108"/>
              <w:rPr>
                <w:sz w:val="24"/>
                <w:highlight w:val="none"/>
              </w:rPr>
            </w:pPr>
            <w:r>
              <w:rPr>
                <w:sz w:val="24"/>
                <w:highlight w:val="none"/>
              </w:rPr>
              <w:t>投标有效期须满足招标文件要求。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3091" w:type="dxa"/>
          </w:tcPr>
          <w:p>
            <w:pPr>
              <w:pStyle w:val="21"/>
              <w:spacing w:before="2"/>
              <w:ind w:left="107"/>
              <w:rPr>
                <w:sz w:val="24"/>
                <w:highlight w:val="none"/>
              </w:rPr>
            </w:pPr>
            <w:r>
              <w:rPr>
                <w:sz w:val="24"/>
                <w:highlight w:val="none"/>
              </w:rPr>
              <w:t>合同履行期限（交付期）、</w:t>
            </w:r>
          </w:p>
          <w:p>
            <w:pPr>
              <w:pStyle w:val="21"/>
              <w:spacing w:before="4" w:line="292" w:lineRule="exact"/>
              <w:ind w:left="107"/>
              <w:rPr>
                <w:sz w:val="24"/>
                <w:highlight w:val="none"/>
              </w:rPr>
            </w:pPr>
            <w:r>
              <w:rPr>
                <w:sz w:val="24"/>
                <w:highlight w:val="none"/>
              </w:rPr>
              <w:t>交货地点</w:t>
            </w:r>
          </w:p>
        </w:tc>
        <w:tc>
          <w:tcPr>
            <w:tcW w:w="5816" w:type="dxa"/>
          </w:tcPr>
          <w:p>
            <w:pPr>
              <w:pStyle w:val="21"/>
              <w:spacing w:before="2"/>
              <w:ind w:left="107"/>
              <w:rPr>
                <w:sz w:val="24"/>
                <w:highlight w:val="none"/>
              </w:rPr>
            </w:pPr>
            <w:r>
              <w:rPr>
                <w:sz w:val="24"/>
                <w:highlight w:val="none"/>
              </w:rPr>
              <w:t>合同履行期限（交付期）、交货地点须满足招标文</w:t>
            </w:r>
          </w:p>
          <w:p>
            <w:pPr>
              <w:pStyle w:val="21"/>
              <w:spacing w:before="4" w:line="292" w:lineRule="exact"/>
              <w:ind w:left="107"/>
              <w:rPr>
                <w:sz w:val="24"/>
                <w:highlight w:val="none"/>
              </w:rPr>
            </w:pPr>
            <w:r>
              <w:rPr>
                <w:sz w:val="24"/>
                <w:highlight w:val="none"/>
              </w:rPr>
              <w:t>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3091" w:type="dxa"/>
          </w:tcPr>
          <w:p>
            <w:pPr>
              <w:pStyle w:val="21"/>
              <w:spacing w:line="307" w:lineRule="exact"/>
              <w:ind w:left="107"/>
              <w:rPr>
                <w:sz w:val="24"/>
                <w:highlight w:val="none"/>
              </w:rPr>
            </w:pPr>
            <w:r>
              <w:rPr>
                <w:sz w:val="24"/>
                <w:highlight w:val="none"/>
              </w:rPr>
              <w:t>式样、签署和盖章</w:t>
            </w:r>
          </w:p>
        </w:tc>
        <w:tc>
          <w:tcPr>
            <w:tcW w:w="5816" w:type="dxa"/>
          </w:tcPr>
          <w:p>
            <w:pPr>
              <w:pStyle w:val="21"/>
              <w:spacing w:line="307" w:lineRule="exact"/>
              <w:ind w:left="108"/>
              <w:rPr>
                <w:sz w:val="24"/>
                <w:highlight w:val="none"/>
              </w:rPr>
            </w:pPr>
            <w:r>
              <w:rPr>
                <w:sz w:val="24"/>
                <w:highlight w:val="none"/>
              </w:rPr>
              <w:t>须符合招标文件的式样、签署和盖章要求且内容完</w:t>
            </w:r>
          </w:p>
          <w:p>
            <w:pPr>
              <w:pStyle w:val="21"/>
              <w:spacing w:before="4" w:line="292" w:lineRule="exact"/>
              <w:ind w:left="108"/>
              <w:rPr>
                <w:sz w:val="24"/>
                <w:highlight w:val="none"/>
              </w:rPr>
            </w:pPr>
            <w:r>
              <w:rPr>
                <w:sz w:val="24"/>
                <w:highlight w:val="none"/>
              </w:rPr>
              <w:t>整无缺漏。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3091" w:type="dxa"/>
            <w:vAlign w:val="top"/>
          </w:tcPr>
          <w:p>
            <w:pPr>
              <w:pStyle w:val="21"/>
              <w:spacing w:line="307" w:lineRule="exact"/>
              <w:ind w:left="107"/>
              <w:rPr>
                <w:sz w:val="24"/>
                <w:highlight w:val="none"/>
              </w:rPr>
            </w:pPr>
            <w:r>
              <w:rPr>
                <w:sz w:val="24"/>
                <w:highlight w:val="none"/>
              </w:rPr>
              <w:t>无认定为“投标无效”的其</w:t>
            </w:r>
          </w:p>
          <w:p>
            <w:pPr>
              <w:pStyle w:val="21"/>
              <w:spacing w:before="4" w:line="292" w:lineRule="exact"/>
              <w:ind w:left="107" w:leftChars="0" w:right="0" w:rightChars="0"/>
              <w:rPr>
                <w:sz w:val="24"/>
                <w:highlight w:val="none"/>
              </w:rPr>
            </w:pPr>
            <w:r>
              <w:rPr>
                <w:sz w:val="24"/>
                <w:highlight w:val="none"/>
              </w:rPr>
              <w:t>他情形</w:t>
            </w:r>
          </w:p>
        </w:tc>
        <w:tc>
          <w:tcPr>
            <w:tcW w:w="5816" w:type="dxa"/>
            <w:vAlign w:val="top"/>
          </w:tcPr>
          <w:p>
            <w:pPr>
              <w:pStyle w:val="21"/>
              <w:spacing w:line="307" w:lineRule="exact"/>
              <w:ind w:left="107" w:leftChars="0" w:right="0" w:rightChars="0"/>
              <w:rPr>
                <w:sz w:val="24"/>
                <w:highlight w:val="none"/>
              </w:rPr>
            </w:pPr>
            <w:r>
              <w:rPr>
                <w:sz w:val="24"/>
                <w:highlight w:val="none"/>
              </w:rPr>
              <w:t>无认定为“投标无效”的其他情形。</w:t>
            </w:r>
          </w:p>
        </w:tc>
      </w:tr>
    </w:tbl>
    <w:p>
      <w:pPr>
        <w:spacing w:after="0" w:line="292" w:lineRule="exact"/>
        <w:rPr>
          <w:sz w:val="24"/>
          <w:highlight w:val="none"/>
        </w:rPr>
        <w:sectPr>
          <w:pgSz w:w="11900" w:h="16840"/>
          <w:pgMar w:top="1460" w:right="520" w:bottom="1380" w:left="1140" w:header="0" w:footer="1119" w:gutter="0"/>
          <w:pgNumType w:fmt="decimal"/>
          <w:cols w:space="720" w:num="1"/>
        </w:sectPr>
      </w:pPr>
    </w:p>
    <w:p>
      <w:pPr>
        <w:pStyle w:val="5"/>
        <w:spacing w:before="6"/>
        <w:rPr>
          <w:sz w:val="28"/>
          <w:highlight w:val="none"/>
        </w:rPr>
      </w:pPr>
    </w:p>
    <w:p>
      <w:pPr>
        <w:pStyle w:val="8"/>
        <w:spacing w:before="54"/>
        <w:rPr>
          <w:highlight w:val="none"/>
        </w:rPr>
      </w:pPr>
      <w:r>
        <w:rPr>
          <w:highlight w:val="none"/>
        </w:rPr>
        <w:t>详细评审标准：</w:t>
      </w:r>
    </w:p>
    <w:p>
      <w:pPr>
        <w:pStyle w:val="10"/>
        <w:ind w:left="662"/>
        <w:rPr>
          <w:color w:val="auto"/>
          <w:highlight w:val="none"/>
        </w:rPr>
      </w:pPr>
      <w:r>
        <w:rPr>
          <w:color w:val="auto"/>
          <w:highlight w:val="none"/>
        </w:rPr>
        <w:t>技术评分</w:t>
      </w:r>
    </w:p>
    <w:p>
      <w:pPr>
        <w:pStyle w:val="5"/>
        <w:spacing w:before="2"/>
        <w:rPr>
          <w:color w:val="auto"/>
          <w:sz w:val="10"/>
          <w:highlight w:val="none"/>
        </w:rPr>
      </w:pPr>
    </w:p>
    <w:tbl>
      <w:tblPr>
        <w:tblStyle w:val="17"/>
        <w:tblW w:w="0" w:type="auto"/>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5"/>
        <w:gridCol w:w="1560"/>
        <w:gridCol w:w="5414"/>
        <w:gridCol w:w="8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785" w:type="dxa"/>
          </w:tcPr>
          <w:p>
            <w:pPr>
              <w:pStyle w:val="21"/>
              <w:spacing w:before="2" w:line="292" w:lineRule="exact"/>
              <w:ind w:left="107"/>
              <w:rPr>
                <w:color w:val="auto"/>
                <w:sz w:val="24"/>
                <w:highlight w:val="none"/>
              </w:rPr>
            </w:pPr>
            <w:r>
              <w:rPr>
                <w:color w:val="auto"/>
                <w:sz w:val="24"/>
                <w:highlight w:val="none"/>
              </w:rPr>
              <w:t>序号</w:t>
            </w:r>
          </w:p>
        </w:tc>
        <w:tc>
          <w:tcPr>
            <w:tcW w:w="1560" w:type="dxa"/>
          </w:tcPr>
          <w:p>
            <w:pPr>
              <w:pStyle w:val="21"/>
              <w:spacing w:before="2" w:line="292" w:lineRule="exact"/>
              <w:ind w:left="107"/>
              <w:rPr>
                <w:color w:val="auto"/>
                <w:sz w:val="24"/>
                <w:highlight w:val="none"/>
              </w:rPr>
            </w:pPr>
            <w:r>
              <w:rPr>
                <w:color w:val="auto"/>
                <w:sz w:val="24"/>
                <w:highlight w:val="none"/>
              </w:rPr>
              <w:t>评审因素</w:t>
            </w:r>
          </w:p>
        </w:tc>
        <w:tc>
          <w:tcPr>
            <w:tcW w:w="5414" w:type="dxa"/>
          </w:tcPr>
          <w:p>
            <w:pPr>
              <w:pStyle w:val="21"/>
              <w:spacing w:before="2" w:line="292" w:lineRule="exact"/>
              <w:ind w:left="107"/>
              <w:rPr>
                <w:color w:val="auto"/>
                <w:sz w:val="24"/>
                <w:highlight w:val="none"/>
              </w:rPr>
            </w:pPr>
            <w:r>
              <w:rPr>
                <w:color w:val="auto"/>
                <w:sz w:val="24"/>
                <w:highlight w:val="none"/>
              </w:rPr>
              <w:t>评审标准</w:t>
            </w:r>
          </w:p>
        </w:tc>
        <w:tc>
          <w:tcPr>
            <w:tcW w:w="880" w:type="dxa"/>
          </w:tcPr>
          <w:p>
            <w:pPr>
              <w:pStyle w:val="21"/>
              <w:spacing w:before="2" w:line="292" w:lineRule="exact"/>
              <w:ind w:right="280"/>
              <w:jc w:val="right"/>
              <w:rPr>
                <w:color w:val="auto"/>
                <w:sz w:val="24"/>
                <w:highlight w:val="none"/>
              </w:rPr>
            </w:pPr>
            <w:r>
              <w:rPr>
                <w:color w:val="auto"/>
                <w:w w:val="95"/>
                <w:sz w:val="24"/>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8" w:hRule="atLeast"/>
        </w:trPr>
        <w:tc>
          <w:tcPr>
            <w:tcW w:w="785" w:type="dxa"/>
          </w:tcPr>
          <w:p>
            <w:pPr>
              <w:pStyle w:val="21"/>
              <w:rPr>
                <w:color w:val="auto"/>
                <w:sz w:val="24"/>
                <w:highlight w:val="none"/>
              </w:rPr>
            </w:pPr>
          </w:p>
          <w:p>
            <w:pPr>
              <w:pStyle w:val="21"/>
              <w:rPr>
                <w:color w:val="auto"/>
                <w:sz w:val="24"/>
                <w:highlight w:val="none"/>
              </w:rPr>
            </w:pPr>
          </w:p>
          <w:p>
            <w:pPr>
              <w:pStyle w:val="21"/>
              <w:rPr>
                <w:color w:val="auto"/>
                <w:sz w:val="24"/>
                <w:highlight w:val="none"/>
              </w:rPr>
            </w:pPr>
          </w:p>
          <w:p>
            <w:pPr>
              <w:pStyle w:val="21"/>
              <w:spacing w:before="169"/>
              <w:ind w:left="6"/>
              <w:jc w:val="center"/>
              <w:rPr>
                <w:color w:val="auto"/>
                <w:sz w:val="24"/>
                <w:highlight w:val="none"/>
              </w:rPr>
            </w:pPr>
            <w:r>
              <w:rPr>
                <w:color w:val="auto"/>
                <w:w w:val="99"/>
                <w:sz w:val="24"/>
                <w:highlight w:val="none"/>
              </w:rPr>
              <w:t>1</w:t>
            </w:r>
          </w:p>
        </w:tc>
        <w:tc>
          <w:tcPr>
            <w:tcW w:w="1560" w:type="dxa"/>
            <w:vAlign w:val="top"/>
          </w:tcPr>
          <w:p>
            <w:pPr>
              <w:pStyle w:val="21"/>
              <w:rPr>
                <w:color w:val="auto"/>
                <w:sz w:val="24"/>
                <w:highlight w:val="none"/>
              </w:rPr>
            </w:pPr>
          </w:p>
          <w:p>
            <w:pPr>
              <w:pStyle w:val="21"/>
              <w:spacing w:before="164" w:line="242" w:lineRule="auto"/>
              <w:ind w:left="179" w:leftChars="0" w:right="168" w:rightChars="0"/>
              <w:jc w:val="center"/>
              <w:rPr>
                <w:color w:val="auto"/>
                <w:sz w:val="24"/>
                <w:highlight w:val="none"/>
              </w:rPr>
            </w:pPr>
            <w:r>
              <w:rPr>
                <w:color w:val="auto"/>
                <w:sz w:val="24"/>
                <w:highlight w:val="none"/>
              </w:rPr>
              <w:t>投标文件技术参数响应情况</w:t>
            </w:r>
          </w:p>
        </w:tc>
        <w:tc>
          <w:tcPr>
            <w:tcW w:w="5414" w:type="dxa"/>
            <w:vAlign w:val="top"/>
          </w:tcPr>
          <w:p>
            <w:pPr>
              <w:pStyle w:val="21"/>
              <w:spacing w:before="5" w:line="292" w:lineRule="exact"/>
              <w:ind w:left="107"/>
              <w:rPr>
                <w:color w:val="auto"/>
                <w:sz w:val="24"/>
                <w:highlight w:val="none"/>
              </w:rPr>
            </w:pPr>
            <w:r>
              <w:rPr>
                <w:color w:val="auto"/>
                <w:sz w:val="24"/>
                <w:highlight w:val="none"/>
                <w:lang w:val="en-US" w:eastAsia="zh-CN"/>
              </w:rPr>
              <w:t>投标人提供的设备技术参数与招标文件中规定的参数进</w:t>
            </w:r>
            <w:r>
              <w:rPr>
                <w:rFonts w:hint="default"/>
                <w:color w:val="auto"/>
                <w:sz w:val="24"/>
                <w:highlight w:val="none"/>
                <w:lang w:val="en-US" w:eastAsia="zh-CN"/>
              </w:rPr>
              <w:t>行点对点比较: 1) 完全满足招标文件要求，得</w:t>
            </w:r>
            <w:r>
              <w:rPr>
                <w:rFonts w:hint="eastAsia"/>
                <w:color w:val="auto"/>
                <w:sz w:val="24"/>
                <w:highlight w:val="none"/>
                <w:lang w:val="en-US" w:eastAsia="zh-CN"/>
              </w:rPr>
              <w:t>30</w:t>
            </w:r>
            <w:r>
              <w:rPr>
                <w:rFonts w:hint="default"/>
                <w:color w:val="auto"/>
                <w:sz w:val="24"/>
                <w:highlight w:val="none"/>
                <w:lang w:val="en-US" w:eastAsia="zh-CN"/>
              </w:rPr>
              <w:t xml:space="preserve">分； </w:t>
            </w:r>
          </w:p>
          <w:p>
            <w:pPr>
              <w:pStyle w:val="21"/>
              <w:spacing w:before="5" w:line="292" w:lineRule="exact"/>
              <w:ind w:left="107" w:leftChars="0" w:right="0" w:rightChars="0"/>
              <w:rPr>
                <w:color w:val="auto"/>
                <w:sz w:val="24"/>
                <w:highlight w:val="none"/>
              </w:rPr>
            </w:pPr>
            <w:r>
              <w:rPr>
                <w:rFonts w:hint="default"/>
                <w:color w:val="auto"/>
                <w:sz w:val="24"/>
                <w:highlight w:val="none"/>
                <w:lang w:val="en-US" w:eastAsia="zh-CN"/>
              </w:rPr>
              <w:t>2) 带“★”号的产品技术参数不满足招标文件要求的每项扣</w:t>
            </w:r>
            <w:r>
              <w:rPr>
                <w:rFonts w:hint="eastAsia"/>
                <w:color w:val="auto"/>
                <w:sz w:val="24"/>
                <w:highlight w:val="none"/>
                <w:lang w:val="en-US" w:eastAsia="zh-CN"/>
              </w:rPr>
              <w:t>2</w:t>
            </w:r>
            <w:r>
              <w:rPr>
                <w:rFonts w:hint="default"/>
                <w:color w:val="auto"/>
                <w:sz w:val="24"/>
                <w:highlight w:val="none"/>
                <w:lang w:val="en-US" w:eastAsia="zh-CN"/>
              </w:rPr>
              <w:t>分，其他技术参数不满足招标文件要求的每项扣</w:t>
            </w:r>
            <w:r>
              <w:rPr>
                <w:rFonts w:hint="eastAsia"/>
                <w:color w:val="auto"/>
                <w:sz w:val="24"/>
                <w:highlight w:val="none"/>
                <w:lang w:val="en-US" w:eastAsia="zh-CN"/>
              </w:rPr>
              <w:t>1</w:t>
            </w:r>
            <w:r>
              <w:rPr>
                <w:rFonts w:hint="default"/>
                <w:color w:val="auto"/>
                <w:sz w:val="24"/>
                <w:highlight w:val="none"/>
                <w:lang w:val="en-US" w:eastAsia="zh-CN"/>
              </w:rPr>
              <w:t>分，扣完为止。</w:t>
            </w:r>
          </w:p>
        </w:tc>
        <w:tc>
          <w:tcPr>
            <w:tcW w:w="880" w:type="dxa"/>
            <w:vAlign w:val="top"/>
          </w:tcPr>
          <w:p>
            <w:pPr>
              <w:pStyle w:val="21"/>
              <w:jc w:val="center"/>
              <w:rPr>
                <w:color w:val="auto"/>
                <w:sz w:val="24"/>
                <w:highlight w:val="none"/>
              </w:rPr>
            </w:pPr>
          </w:p>
          <w:p>
            <w:pPr>
              <w:pStyle w:val="21"/>
              <w:spacing w:before="169"/>
              <w:ind w:right="308" w:rightChars="0"/>
              <w:jc w:val="both"/>
              <w:rPr>
                <w:rFonts w:hint="eastAsia"/>
                <w:color w:val="auto"/>
                <w:w w:val="95"/>
                <w:sz w:val="24"/>
                <w:highlight w:val="none"/>
                <w:lang w:val="en-US" w:eastAsia="zh-CN"/>
              </w:rPr>
            </w:pPr>
          </w:p>
          <w:p>
            <w:pPr>
              <w:pStyle w:val="21"/>
              <w:spacing w:before="169"/>
              <w:ind w:right="308" w:rightChars="0"/>
              <w:jc w:val="center"/>
              <w:rPr>
                <w:rFonts w:hint="default" w:eastAsia="宋体"/>
                <w:color w:val="auto"/>
                <w:sz w:val="24"/>
                <w:highlight w:val="none"/>
                <w:lang w:val="en-US" w:eastAsia="zh-CN"/>
              </w:rPr>
            </w:pPr>
            <w:r>
              <w:rPr>
                <w:rFonts w:hint="eastAsia"/>
                <w:color w:val="auto"/>
                <w:w w:val="95"/>
                <w:sz w:val="24"/>
                <w:highlight w:val="none"/>
                <w:lang w:val="en-US" w:eastAsia="zh-CN"/>
              </w:rPr>
              <w:t>30分</w:t>
            </w:r>
          </w:p>
        </w:tc>
      </w:tr>
    </w:tbl>
    <w:p>
      <w:pPr>
        <w:pStyle w:val="10"/>
        <w:spacing w:before="135"/>
        <w:ind w:left="662"/>
        <w:rPr>
          <w:color w:val="auto"/>
          <w:highlight w:val="none"/>
        </w:rPr>
      </w:pPr>
      <w:r>
        <w:rPr>
          <w:color w:val="auto"/>
          <w:highlight w:val="none"/>
        </w:rPr>
        <w:t>商务评分</w:t>
      </w:r>
    </w:p>
    <w:p>
      <w:pPr>
        <w:pStyle w:val="5"/>
        <w:spacing w:before="2"/>
        <w:rPr>
          <w:color w:val="auto"/>
          <w:sz w:val="10"/>
          <w:highlight w:val="none"/>
        </w:rPr>
      </w:pPr>
    </w:p>
    <w:tbl>
      <w:tblPr>
        <w:tblStyle w:val="17"/>
        <w:tblW w:w="0" w:type="auto"/>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0"/>
        <w:gridCol w:w="1415"/>
        <w:gridCol w:w="5486"/>
        <w:gridCol w:w="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30" w:type="dxa"/>
          </w:tcPr>
          <w:p>
            <w:pPr>
              <w:pStyle w:val="21"/>
              <w:spacing w:line="292" w:lineRule="exact"/>
              <w:ind w:left="107"/>
              <w:rPr>
                <w:color w:val="auto"/>
                <w:sz w:val="24"/>
                <w:highlight w:val="none"/>
              </w:rPr>
            </w:pPr>
            <w:r>
              <w:rPr>
                <w:color w:val="auto"/>
                <w:sz w:val="24"/>
                <w:highlight w:val="none"/>
              </w:rPr>
              <w:t>序号</w:t>
            </w:r>
          </w:p>
        </w:tc>
        <w:tc>
          <w:tcPr>
            <w:tcW w:w="1415" w:type="dxa"/>
          </w:tcPr>
          <w:p>
            <w:pPr>
              <w:pStyle w:val="21"/>
              <w:spacing w:line="292" w:lineRule="exact"/>
              <w:ind w:left="108"/>
              <w:rPr>
                <w:color w:val="auto"/>
                <w:sz w:val="24"/>
                <w:highlight w:val="none"/>
              </w:rPr>
            </w:pPr>
            <w:r>
              <w:rPr>
                <w:color w:val="auto"/>
                <w:sz w:val="24"/>
                <w:highlight w:val="none"/>
              </w:rPr>
              <w:t>评审因素</w:t>
            </w:r>
          </w:p>
        </w:tc>
        <w:tc>
          <w:tcPr>
            <w:tcW w:w="5486" w:type="dxa"/>
          </w:tcPr>
          <w:p>
            <w:pPr>
              <w:pStyle w:val="21"/>
              <w:spacing w:line="292" w:lineRule="exact"/>
              <w:ind w:left="108"/>
              <w:rPr>
                <w:color w:val="auto"/>
                <w:sz w:val="24"/>
                <w:highlight w:val="none"/>
              </w:rPr>
            </w:pPr>
            <w:r>
              <w:rPr>
                <w:color w:val="auto"/>
                <w:sz w:val="24"/>
                <w:highlight w:val="none"/>
              </w:rPr>
              <w:t>评审标准</w:t>
            </w:r>
          </w:p>
        </w:tc>
        <w:tc>
          <w:tcPr>
            <w:tcW w:w="908" w:type="dxa"/>
          </w:tcPr>
          <w:p>
            <w:pPr>
              <w:pStyle w:val="21"/>
              <w:spacing w:line="292" w:lineRule="exact"/>
              <w:ind w:left="108"/>
              <w:rPr>
                <w:color w:val="auto"/>
                <w:sz w:val="24"/>
                <w:highlight w:val="none"/>
              </w:rPr>
            </w:pPr>
            <w:r>
              <w:rPr>
                <w:color w:val="auto"/>
                <w:sz w:val="24"/>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830" w:type="dxa"/>
          </w:tcPr>
          <w:p>
            <w:pPr>
              <w:pStyle w:val="21"/>
              <w:rPr>
                <w:color w:val="auto"/>
                <w:sz w:val="24"/>
                <w:highlight w:val="none"/>
              </w:rPr>
            </w:pPr>
          </w:p>
          <w:p>
            <w:pPr>
              <w:pStyle w:val="21"/>
              <w:rPr>
                <w:color w:val="auto"/>
                <w:sz w:val="24"/>
                <w:highlight w:val="none"/>
              </w:rPr>
            </w:pPr>
          </w:p>
          <w:p>
            <w:pPr>
              <w:pStyle w:val="21"/>
              <w:rPr>
                <w:color w:val="auto"/>
                <w:sz w:val="24"/>
                <w:highlight w:val="none"/>
              </w:rPr>
            </w:pPr>
          </w:p>
          <w:p>
            <w:pPr>
              <w:pStyle w:val="21"/>
              <w:spacing w:before="4"/>
              <w:rPr>
                <w:color w:val="auto"/>
                <w:sz w:val="25"/>
                <w:highlight w:val="none"/>
              </w:rPr>
            </w:pPr>
          </w:p>
          <w:p>
            <w:pPr>
              <w:pStyle w:val="21"/>
              <w:spacing w:before="1"/>
              <w:ind w:left="9"/>
              <w:jc w:val="center"/>
              <w:rPr>
                <w:color w:val="auto"/>
                <w:w w:val="99"/>
                <w:sz w:val="24"/>
                <w:highlight w:val="none"/>
              </w:rPr>
            </w:pPr>
          </w:p>
          <w:p>
            <w:pPr>
              <w:pStyle w:val="21"/>
              <w:spacing w:before="1"/>
              <w:ind w:left="9"/>
              <w:jc w:val="center"/>
              <w:rPr>
                <w:color w:val="auto"/>
                <w:w w:val="99"/>
                <w:sz w:val="24"/>
                <w:highlight w:val="none"/>
              </w:rPr>
            </w:pPr>
          </w:p>
          <w:p>
            <w:pPr>
              <w:pStyle w:val="21"/>
              <w:spacing w:before="1"/>
              <w:ind w:left="9"/>
              <w:jc w:val="center"/>
              <w:rPr>
                <w:color w:val="auto"/>
                <w:w w:val="99"/>
                <w:sz w:val="24"/>
                <w:highlight w:val="none"/>
              </w:rPr>
            </w:pPr>
          </w:p>
          <w:p>
            <w:pPr>
              <w:pStyle w:val="21"/>
              <w:spacing w:before="1"/>
              <w:ind w:left="9"/>
              <w:jc w:val="center"/>
              <w:rPr>
                <w:color w:val="auto"/>
                <w:w w:val="99"/>
                <w:sz w:val="24"/>
                <w:highlight w:val="none"/>
              </w:rPr>
            </w:pPr>
          </w:p>
          <w:p>
            <w:pPr>
              <w:pStyle w:val="21"/>
              <w:spacing w:before="1"/>
              <w:ind w:left="9"/>
              <w:jc w:val="center"/>
              <w:rPr>
                <w:color w:val="auto"/>
                <w:w w:val="99"/>
                <w:sz w:val="24"/>
                <w:highlight w:val="none"/>
              </w:rPr>
            </w:pPr>
          </w:p>
          <w:p>
            <w:pPr>
              <w:pStyle w:val="21"/>
              <w:spacing w:before="1"/>
              <w:ind w:left="9"/>
              <w:jc w:val="center"/>
              <w:rPr>
                <w:color w:val="auto"/>
                <w:w w:val="99"/>
                <w:sz w:val="24"/>
                <w:highlight w:val="none"/>
              </w:rPr>
            </w:pPr>
          </w:p>
          <w:p>
            <w:pPr>
              <w:pStyle w:val="21"/>
              <w:spacing w:before="1"/>
              <w:ind w:left="9"/>
              <w:jc w:val="center"/>
              <w:rPr>
                <w:color w:val="auto"/>
                <w:w w:val="99"/>
                <w:sz w:val="24"/>
                <w:highlight w:val="none"/>
              </w:rPr>
            </w:pPr>
          </w:p>
          <w:p>
            <w:pPr>
              <w:pStyle w:val="21"/>
              <w:spacing w:before="1"/>
              <w:ind w:left="9"/>
              <w:jc w:val="center"/>
              <w:rPr>
                <w:color w:val="auto"/>
                <w:w w:val="99"/>
                <w:sz w:val="24"/>
                <w:highlight w:val="none"/>
              </w:rPr>
            </w:pPr>
          </w:p>
          <w:p>
            <w:pPr>
              <w:pStyle w:val="21"/>
              <w:spacing w:before="1"/>
              <w:ind w:left="9"/>
              <w:jc w:val="center"/>
              <w:rPr>
                <w:color w:val="auto"/>
                <w:w w:val="99"/>
                <w:sz w:val="24"/>
                <w:highlight w:val="none"/>
              </w:rPr>
            </w:pPr>
          </w:p>
          <w:p>
            <w:pPr>
              <w:pStyle w:val="21"/>
              <w:spacing w:before="1"/>
              <w:ind w:left="9"/>
              <w:jc w:val="center"/>
              <w:rPr>
                <w:color w:val="auto"/>
                <w:sz w:val="24"/>
                <w:highlight w:val="none"/>
              </w:rPr>
            </w:pPr>
            <w:r>
              <w:rPr>
                <w:color w:val="auto"/>
                <w:w w:val="99"/>
                <w:sz w:val="24"/>
                <w:highlight w:val="none"/>
              </w:rPr>
              <w:t>2</w:t>
            </w:r>
          </w:p>
        </w:tc>
        <w:tc>
          <w:tcPr>
            <w:tcW w:w="1415" w:type="dxa"/>
          </w:tcPr>
          <w:p>
            <w:pPr>
              <w:pStyle w:val="21"/>
              <w:jc w:val="center"/>
              <w:rPr>
                <w:color w:val="auto"/>
                <w:sz w:val="24"/>
                <w:highlight w:val="none"/>
              </w:rPr>
            </w:pPr>
          </w:p>
          <w:p>
            <w:pPr>
              <w:pStyle w:val="21"/>
              <w:jc w:val="center"/>
              <w:rPr>
                <w:color w:val="auto"/>
                <w:sz w:val="24"/>
                <w:highlight w:val="none"/>
              </w:rPr>
            </w:pPr>
          </w:p>
          <w:p>
            <w:pPr>
              <w:pStyle w:val="21"/>
              <w:jc w:val="center"/>
              <w:rPr>
                <w:color w:val="auto"/>
                <w:sz w:val="24"/>
                <w:highlight w:val="none"/>
              </w:rPr>
            </w:pPr>
          </w:p>
          <w:p>
            <w:pPr>
              <w:pStyle w:val="21"/>
              <w:spacing w:before="169" w:line="242" w:lineRule="auto"/>
              <w:ind w:right="145"/>
              <w:jc w:val="center"/>
              <w:rPr>
                <w:color w:val="auto"/>
                <w:sz w:val="24"/>
                <w:highlight w:val="none"/>
              </w:rPr>
            </w:pPr>
          </w:p>
          <w:p>
            <w:pPr>
              <w:pStyle w:val="21"/>
              <w:spacing w:before="169" w:line="242" w:lineRule="auto"/>
              <w:ind w:right="145"/>
              <w:jc w:val="center"/>
              <w:rPr>
                <w:color w:val="auto"/>
                <w:sz w:val="24"/>
                <w:highlight w:val="none"/>
              </w:rPr>
            </w:pPr>
          </w:p>
          <w:p>
            <w:pPr>
              <w:pStyle w:val="21"/>
              <w:spacing w:before="169" w:line="242" w:lineRule="auto"/>
              <w:ind w:right="145"/>
              <w:jc w:val="center"/>
              <w:rPr>
                <w:color w:val="auto"/>
                <w:sz w:val="24"/>
                <w:highlight w:val="none"/>
              </w:rPr>
            </w:pPr>
          </w:p>
          <w:p>
            <w:pPr>
              <w:pStyle w:val="21"/>
              <w:spacing w:before="169" w:line="242" w:lineRule="auto"/>
              <w:ind w:right="145"/>
              <w:jc w:val="center"/>
              <w:rPr>
                <w:color w:val="auto"/>
                <w:sz w:val="24"/>
                <w:highlight w:val="none"/>
              </w:rPr>
            </w:pPr>
            <w:r>
              <w:rPr>
                <w:rFonts w:hint="eastAsia"/>
                <w:color w:val="auto"/>
                <w:sz w:val="24"/>
                <w:highlight w:val="none"/>
                <w:lang w:val="en-US" w:eastAsia="zh-CN"/>
              </w:rPr>
              <w:t>综合实力</w:t>
            </w:r>
          </w:p>
          <w:p>
            <w:pPr>
              <w:pStyle w:val="21"/>
              <w:spacing w:before="169" w:line="242" w:lineRule="auto"/>
              <w:ind w:right="145"/>
              <w:jc w:val="center"/>
              <w:rPr>
                <w:color w:val="auto"/>
                <w:sz w:val="24"/>
                <w:highlight w:val="none"/>
              </w:rPr>
            </w:pPr>
          </w:p>
          <w:p>
            <w:pPr>
              <w:pStyle w:val="21"/>
              <w:spacing w:before="169" w:line="242" w:lineRule="auto"/>
              <w:ind w:right="145"/>
              <w:jc w:val="center"/>
              <w:rPr>
                <w:color w:val="auto"/>
                <w:sz w:val="24"/>
                <w:highlight w:val="none"/>
              </w:rPr>
            </w:pPr>
          </w:p>
          <w:p>
            <w:pPr>
              <w:pStyle w:val="21"/>
              <w:spacing w:before="169" w:line="242" w:lineRule="auto"/>
              <w:ind w:right="145"/>
              <w:jc w:val="center"/>
              <w:rPr>
                <w:color w:val="auto"/>
                <w:sz w:val="24"/>
                <w:highlight w:val="none"/>
              </w:rPr>
            </w:pPr>
          </w:p>
        </w:tc>
        <w:tc>
          <w:tcPr>
            <w:tcW w:w="5486" w:type="dxa"/>
            <w:tcBorders>
              <w:bottom w:val="single" w:color="auto" w:sz="4" w:space="0"/>
            </w:tcBorders>
          </w:tcPr>
          <w:p>
            <w:pPr>
              <w:pStyle w:val="21"/>
              <w:spacing w:before="4" w:line="310" w:lineRule="atLeast"/>
              <w:ind w:left="108" w:right="-29"/>
              <w:rPr>
                <w:color w:val="auto"/>
                <w:sz w:val="24"/>
                <w:highlight w:val="none"/>
              </w:rPr>
            </w:pPr>
            <w:r>
              <w:rPr>
                <w:color w:val="auto"/>
                <w:sz w:val="24"/>
                <w:highlight w:val="none"/>
              </w:rPr>
              <w:t>为确保投标人所投产品生产厂家产品的优良性，具有良好的企业信用，所投产品</w:t>
            </w:r>
            <w:r>
              <w:rPr>
                <w:rFonts w:hint="eastAsia"/>
                <w:color w:val="auto"/>
                <w:sz w:val="24"/>
                <w:highlight w:val="none"/>
                <w:lang w:val="en-US" w:eastAsia="zh-CN"/>
              </w:rPr>
              <w:t>主要</w:t>
            </w:r>
            <w:r>
              <w:rPr>
                <w:color w:val="auto"/>
                <w:sz w:val="24"/>
                <w:highlight w:val="none"/>
              </w:rPr>
              <w:t>生产企业能力，投标人或产品制造商所获得的行业相关资质认证证书，需要提供以下证明：</w:t>
            </w:r>
          </w:p>
          <w:p>
            <w:pPr>
              <w:pStyle w:val="21"/>
              <w:spacing w:before="4" w:line="310" w:lineRule="atLeast"/>
              <w:ind w:left="108" w:right="-29"/>
              <w:rPr>
                <w:color w:val="auto"/>
                <w:sz w:val="24"/>
                <w:highlight w:val="none"/>
              </w:rPr>
            </w:pPr>
            <w:r>
              <w:rPr>
                <w:rFonts w:hint="eastAsia"/>
                <w:color w:val="auto"/>
                <w:sz w:val="24"/>
                <w:highlight w:val="none"/>
                <w:lang w:val="en-US" w:eastAsia="zh-CN"/>
              </w:rPr>
              <w:t>1、</w:t>
            </w:r>
            <w:r>
              <w:rPr>
                <w:color w:val="auto"/>
                <w:sz w:val="24"/>
                <w:highlight w:val="none"/>
              </w:rPr>
              <w:t>投标人或产品制造商</w:t>
            </w:r>
            <w:r>
              <w:rPr>
                <w:rFonts w:hint="eastAsia"/>
                <w:color w:val="auto"/>
                <w:sz w:val="24"/>
                <w:highlight w:val="none"/>
                <w:lang w:val="en-US" w:eastAsia="zh-CN"/>
              </w:rPr>
              <w:t>获得</w:t>
            </w:r>
            <w:r>
              <w:rPr>
                <w:color w:val="auto"/>
                <w:sz w:val="24"/>
                <w:highlight w:val="none"/>
              </w:rPr>
              <w:t xml:space="preserve"> ISO9001 质量管理体系认证证书，提供得</w:t>
            </w:r>
            <w:r>
              <w:rPr>
                <w:rFonts w:hint="eastAsia"/>
                <w:color w:val="auto"/>
                <w:sz w:val="24"/>
                <w:highlight w:val="none"/>
                <w:lang w:val="en-US" w:eastAsia="zh-CN"/>
              </w:rPr>
              <w:t>3</w:t>
            </w:r>
            <w:r>
              <w:rPr>
                <w:color w:val="auto"/>
                <w:sz w:val="24"/>
                <w:highlight w:val="none"/>
              </w:rPr>
              <w:t>分，不提供不得分；</w:t>
            </w:r>
          </w:p>
          <w:p>
            <w:pPr>
              <w:pStyle w:val="21"/>
              <w:spacing w:before="4" w:line="310" w:lineRule="atLeast"/>
              <w:ind w:left="108" w:right="-29"/>
              <w:rPr>
                <w:color w:val="auto"/>
                <w:sz w:val="24"/>
                <w:highlight w:val="none"/>
              </w:rPr>
            </w:pPr>
            <w:r>
              <w:rPr>
                <w:rFonts w:hint="eastAsia"/>
                <w:color w:val="auto"/>
                <w:sz w:val="24"/>
                <w:highlight w:val="none"/>
                <w:lang w:val="en-US" w:eastAsia="zh-CN"/>
              </w:rPr>
              <w:t>2、</w:t>
            </w:r>
            <w:r>
              <w:rPr>
                <w:color w:val="auto"/>
                <w:sz w:val="24"/>
                <w:highlight w:val="none"/>
              </w:rPr>
              <w:t>投标人或产品制造商</w:t>
            </w:r>
            <w:r>
              <w:rPr>
                <w:rFonts w:hint="eastAsia"/>
                <w:color w:val="auto"/>
                <w:sz w:val="24"/>
                <w:highlight w:val="none"/>
                <w:lang w:val="en-US" w:eastAsia="zh-CN"/>
              </w:rPr>
              <w:t>获得</w:t>
            </w:r>
            <w:r>
              <w:rPr>
                <w:color w:val="auto"/>
                <w:sz w:val="24"/>
                <w:highlight w:val="none"/>
              </w:rPr>
              <w:t xml:space="preserve"> ISO14001 环境管理体系认证证书，提供得 </w:t>
            </w:r>
            <w:r>
              <w:rPr>
                <w:rFonts w:hint="eastAsia"/>
                <w:color w:val="auto"/>
                <w:sz w:val="24"/>
                <w:highlight w:val="none"/>
                <w:lang w:val="en-US" w:eastAsia="zh-CN"/>
              </w:rPr>
              <w:t>3</w:t>
            </w:r>
            <w:r>
              <w:rPr>
                <w:color w:val="auto"/>
                <w:sz w:val="24"/>
                <w:highlight w:val="none"/>
              </w:rPr>
              <w:t>分，不提供不得分；</w:t>
            </w:r>
          </w:p>
          <w:p>
            <w:pPr>
              <w:pStyle w:val="21"/>
              <w:spacing w:before="4" w:line="310" w:lineRule="atLeast"/>
              <w:ind w:left="108" w:right="-29"/>
              <w:rPr>
                <w:color w:val="auto"/>
                <w:sz w:val="24"/>
                <w:highlight w:val="none"/>
              </w:rPr>
            </w:pPr>
            <w:r>
              <w:rPr>
                <w:rFonts w:hint="eastAsia"/>
                <w:color w:val="auto"/>
                <w:sz w:val="24"/>
                <w:highlight w:val="none"/>
                <w:lang w:val="en-US" w:eastAsia="zh-CN"/>
              </w:rPr>
              <w:t>3、</w:t>
            </w:r>
            <w:r>
              <w:rPr>
                <w:color w:val="auto"/>
                <w:sz w:val="24"/>
                <w:highlight w:val="none"/>
              </w:rPr>
              <w:t>投标人或产品制造商</w:t>
            </w:r>
            <w:r>
              <w:rPr>
                <w:rFonts w:hint="eastAsia"/>
                <w:color w:val="auto"/>
                <w:sz w:val="24"/>
                <w:highlight w:val="none"/>
                <w:lang w:val="en-US" w:eastAsia="zh-CN"/>
              </w:rPr>
              <w:t>获得</w:t>
            </w:r>
            <w:r>
              <w:rPr>
                <w:color w:val="auto"/>
                <w:sz w:val="24"/>
                <w:highlight w:val="none"/>
              </w:rPr>
              <w:t>ISO45001 职业健康安全管理体系认证证书，得</w:t>
            </w:r>
            <w:r>
              <w:rPr>
                <w:rFonts w:hint="eastAsia"/>
                <w:color w:val="auto"/>
                <w:sz w:val="24"/>
                <w:highlight w:val="none"/>
                <w:lang w:val="en-US" w:eastAsia="zh-CN"/>
              </w:rPr>
              <w:t>3</w:t>
            </w:r>
            <w:r>
              <w:rPr>
                <w:color w:val="auto"/>
                <w:sz w:val="24"/>
                <w:highlight w:val="none"/>
              </w:rPr>
              <w:t>分，不提供不得分；</w:t>
            </w:r>
          </w:p>
          <w:p>
            <w:pPr>
              <w:pStyle w:val="21"/>
              <w:spacing w:before="4" w:line="310" w:lineRule="atLeast"/>
              <w:ind w:left="108" w:right="-29"/>
              <w:rPr>
                <w:rFonts w:hint="eastAsia"/>
                <w:color w:val="auto"/>
                <w:sz w:val="24"/>
                <w:highlight w:val="none"/>
                <w:lang w:val="en-US" w:eastAsia="zh-CN"/>
              </w:rPr>
            </w:pPr>
            <w:r>
              <w:rPr>
                <w:rFonts w:hint="eastAsia"/>
                <w:color w:val="auto"/>
                <w:sz w:val="24"/>
                <w:highlight w:val="none"/>
                <w:lang w:val="en-US" w:eastAsia="zh-CN"/>
              </w:rPr>
              <w:t>4、</w:t>
            </w:r>
            <w:r>
              <w:rPr>
                <w:rFonts w:hint="eastAsia"/>
                <w:color w:val="auto"/>
                <w:sz w:val="24"/>
                <w:highlight w:val="none"/>
              </w:rPr>
              <w:t>提供投入本项目的实验室设备具有产品质量安全责任保险得</w:t>
            </w:r>
            <w:r>
              <w:rPr>
                <w:rFonts w:hint="eastAsia"/>
                <w:color w:val="auto"/>
                <w:sz w:val="24"/>
                <w:highlight w:val="none"/>
                <w:lang w:val="en-US" w:eastAsia="zh-CN"/>
              </w:rPr>
              <w:t>3</w:t>
            </w:r>
            <w:r>
              <w:rPr>
                <w:rFonts w:hint="eastAsia"/>
                <w:color w:val="auto"/>
                <w:sz w:val="24"/>
                <w:highlight w:val="none"/>
              </w:rPr>
              <w:t>分</w:t>
            </w:r>
            <w:r>
              <w:rPr>
                <w:rFonts w:hint="eastAsia"/>
                <w:color w:val="auto"/>
                <w:sz w:val="24"/>
                <w:highlight w:val="none"/>
                <w:lang w:eastAsia="zh-CN"/>
              </w:rPr>
              <w:t>，</w:t>
            </w:r>
            <w:r>
              <w:rPr>
                <w:rFonts w:hint="eastAsia"/>
                <w:color w:val="auto"/>
                <w:sz w:val="24"/>
                <w:highlight w:val="none"/>
                <w:lang w:val="en-US" w:eastAsia="zh-CN"/>
              </w:rPr>
              <w:t>不提供不得分</w:t>
            </w:r>
            <w:r>
              <w:rPr>
                <w:rFonts w:hint="eastAsia"/>
                <w:color w:val="auto"/>
                <w:sz w:val="24"/>
                <w:highlight w:val="none"/>
              </w:rPr>
              <w:t>；（须提供保险证明</w:t>
            </w:r>
            <w:r>
              <w:rPr>
                <w:rFonts w:hint="eastAsia"/>
                <w:color w:val="auto"/>
                <w:sz w:val="24"/>
                <w:highlight w:val="none"/>
                <w:lang w:eastAsia="zh-CN"/>
              </w:rPr>
              <w:t>复印</w:t>
            </w:r>
            <w:r>
              <w:rPr>
                <w:rFonts w:hint="eastAsia"/>
                <w:color w:val="auto"/>
                <w:sz w:val="24"/>
                <w:highlight w:val="none"/>
              </w:rPr>
              <w:t>件和保险发票</w:t>
            </w:r>
            <w:r>
              <w:rPr>
                <w:rFonts w:hint="eastAsia"/>
                <w:color w:val="auto"/>
                <w:sz w:val="24"/>
                <w:highlight w:val="none"/>
                <w:lang w:eastAsia="zh-CN"/>
              </w:rPr>
              <w:t>复印</w:t>
            </w:r>
            <w:r>
              <w:rPr>
                <w:rFonts w:hint="eastAsia"/>
                <w:color w:val="auto"/>
                <w:sz w:val="24"/>
                <w:highlight w:val="none"/>
              </w:rPr>
              <w:t>件</w:t>
            </w:r>
            <w:r>
              <w:rPr>
                <w:rFonts w:hint="eastAsia"/>
                <w:color w:val="auto"/>
                <w:sz w:val="24"/>
                <w:highlight w:val="none"/>
                <w:lang w:eastAsia="zh-CN"/>
              </w:rPr>
              <w:t>加盖</w:t>
            </w:r>
            <w:r>
              <w:rPr>
                <w:rFonts w:hint="eastAsia"/>
                <w:color w:val="auto"/>
                <w:sz w:val="24"/>
                <w:highlight w:val="none"/>
                <w:lang w:val="en-US" w:eastAsia="zh-CN"/>
              </w:rPr>
              <w:t>产品制造商公章</w:t>
            </w:r>
            <w:r>
              <w:rPr>
                <w:rFonts w:hint="eastAsia"/>
                <w:color w:val="auto"/>
                <w:sz w:val="24"/>
                <w:highlight w:val="none"/>
              </w:rPr>
              <w:t>）；</w:t>
            </w:r>
          </w:p>
          <w:p>
            <w:pPr>
              <w:pStyle w:val="21"/>
              <w:spacing w:before="4" w:line="310" w:lineRule="atLeast"/>
              <w:ind w:left="108" w:right="-29"/>
              <w:rPr>
                <w:color w:val="auto"/>
                <w:sz w:val="24"/>
                <w:highlight w:val="none"/>
              </w:rPr>
            </w:pPr>
            <w:r>
              <w:rPr>
                <w:color w:val="auto"/>
                <w:sz w:val="24"/>
                <w:highlight w:val="none"/>
              </w:rPr>
              <w:t>评审依据：以上需提供相关证书、证明复印件并加盖</w:t>
            </w:r>
            <w:r>
              <w:rPr>
                <w:rFonts w:hint="eastAsia"/>
                <w:color w:val="auto"/>
                <w:sz w:val="24"/>
                <w:highlight w:val="none"/>
                <w:lang w:val="en-US" w:eastAsia="zh-CN"/>
              </w:rPr>
              <w:t>生产</w:t>
            </w:r>
            <w:r>
              <w:rPr>
                <w:color w:val="auto"/>
                <w:sz w:val="24"/>
                <w:highlight w:val="none"/>
              </w:rPr>
              <w:t>厂商公章</w:t>
            </w:r>
            <w:r>
              <w:rPr>
                <w:rFonts w:hint="eastAsia"/>
                <w:color w:val="auto"/>
                <w:sz w:val="24"/>
                <w:highlight w:val="none"/>
                <w:lang w:eastAsia="zh-CN"/>
              </w:rPr>
              <w:t>和</w:t>
            </w:r>
            <w:r>
              <w:rPr>
                <w:color w:val="auto"/>
                <w:sz w:val="24"/>
                <w:highlight w:val="none"/>
              </w:rPr>
              <w:t>投标专用章。</w:t>
            </w:r>
          </w:p>
        </w:tc>
        <w:tc>
          <w:tcPr>
            <w:tcW w:w="908" w:type="dxa"/>
            <w:tcBorders>
              <w:bottom w:val="single" w:color="auto" w:sz="4" w:space="0"/>
            </w:tcBorders>
          </w:tcPr>
          <w:p>
            <w:pPr>
              <w:pStyle w:val="21"/>
              <w:rPr>
                <w:color w:val="auto"/>
                <w:sz w:val="24"/>
                <w:highlight w:val="none"/>
              </w:rPr>
            </w:pPr>
          </w:p>
          <w:p>
            <w:pPr>
              <w:pStyle w:val="21"/>
              <w:rPr>
                <w:color w:val="auto"/>
                <w:sz w:val="24"/>
                <w:highlight w:val="none"/>
              </w:rPr>
            </w:pPr>
          </w:p>
          <w:p>
            <w:pPr>
              <w:pStyle w:val="21"/>
              <w:rPr>
                <w:color w:val="auto"/>
                <w:sz w:val="24"/>
                <w:highlight w:val="none"/>
              </w:rPr>
            </w:pPr>
          </w:p>
          <w:p>
            <w:pPr>
              <w:pStyle w:val="21"/>
              <w:spacing w:before="4"/>
              <w:rPr>
                <w:color w:val="auto"/>
                <w:sz w:val="25"/>
                <w:highlight w:val="none"/>
              </w:rPr>
            </w:pPr>
          </w:p>
          <w:p>
            <w:pPr>
              <w:pStyle w:val="21"/>
              <w:spacing w:before="1"/>
              <w:ind w:left="8"/>
              <w:jc w:val="center"/>
              <w:rPr>
                <w:rFonts w:hint="eastAsia" w:ascii="Times New Roman"/>
                <w:color w:val="auto"/>
                <w:sz w:val="21"/>
                <w:highlight w:val="none"/>
                <w:lang w:val="en-US" w:eastAsia="zh-CN"/>
              </w:rPr>
            </w:pPr>
          </w:p>
          <w:p>
            <w:pPr>
              <w:pStyle w:val="21"/>
              <w:spacing w:before="1"/>
              <w:ind w:left="8"/>
              <w:jc w:val="center"/>
              <w:rPr>
                <w:rFonts w:hint="eastAsia" w:ascii="Times New Roman"/>
                <w:color w:val="auto"/>
                <w:sz w:val="21"/>
                <w:highlight w:val="none"/>
                <w:lang w:val="en-US" w:eastAsia="zh-CN"/>
              </w:rPr>
            </w:pPr>
          </w:p>
          <w:p>
            <w:pPr>
              <w:pStyle w:val="21"/>
              <w:spacing w:before="1"/>
              <w:ind w:left="8"/>
              <w:jc w:val="center"/>
              <w:rPr>
                <w:rFonts w:hint="eastAsia" w:ascii="Times New Roman"/>
                <w:color w:val="auto"/>
                <w:sz w:val="21"/>
                <w:highlight w:val="none"/>
                <w:lang w:val="en-US" w:eastAsia="zh-CN"/>
              </w:rPr>
            </w:pPr>
          </w:p>
          <w:p>
            <w:pPr>
              <w:pStyle w:val="21"/>
              <w:spacing w:before="1"/>
              <w:ind w:left="8"/>
              <w:jc w:val="center"/>
              <w:rPr>
                <w:rFonts w:hint="eastAsia" w:ascii="Times New Roman"/>
                <w:color w:val="auto"/>
                <w:sz w:val="21"/>
                <w:highlight w:val="none"/>
                <w:lang w:val="en-US" w:eastAsia="zh-CN"/>
              </w:rPr>
            </w:pPr>
          </w:p>
          <w:p>
            <w:pPr>
              <w:pStyle w:val="21"/>
              <w:spacing w:before="1"/>
              <w:ind w:left="8"/>
              <w:jc w:val="center"/>
              <w:rPr>
                <w:rFonts w:hint="eastAsia" w:ascii="Times New Roman"/>
                <w:color w:val="auto"/>
                <w:sz w:val="21"/>
                <w:highlight w:val="none"/>
                <w:lang w:val="en-US" w:eastAsia="zh-CN"/>
              </w:rPr>
            </w:pPr>
          </w:p>
          <w:p>
            <w:pPr>
              <w:pStyle w:val="21"/>
              <w:spacing w:before="1"/>
              <w:ind w:left="8"/>
              <w:jc w:val="center"/>
              <w:rPr>
                <w:rFonts w:hint="eastAsia" w:ascii="Times New Roman"/>
                <w:color w:val="auto"/>
                <w:sz w:val="21"/>
                <w:highlight w:val="none"/>
                <w:lang w:val="en-US" w:eastAsia="zh-CN"/>
              </w:rPr>
            </w:pPr>
          </w:p>
          <w:p>
            <w:pPr>
              <w:pStyle w:val="21"/>
              <w:spacing w:before="1"/>
              <w:ind w:left="8"/>
              <w:jc w:val="center"/>
              <w:rPr>
                <w:rFonts w:hint="eastAsia" w:ascii="Times New Roman"/>
                <w:color w:val="auto"/>
                <w:sz w:val="21"/>
                <w:highlight w:val="none"/>
                <w:lang w:val="en-US" w:eastAsia="zh-CN"/>
              </w:rPr>
            </w:pPr>
            <w:r>
              <w:rPr>
                <w:rFonts w:hint="eastAsia" w:ascii="Times New Roman"/>
                <w:color w:val="auto"/>
                <w:sz w:val="24"/>
                <w:szCs w:val="24"/>
                <w:highlight w:val="none"/>
                <w:lang w:val="en-US" w:eastAsia="zh-CN"/>
              </w:rPr>
              <w:t>12</w:t>
            </w:r>
            <w:r>
              <w:rPr>
                <w:color w:val="auto"/>
                <w:sz w:val="24"/>
                <w:szCs w:val="24"/>
                <w:highlight w:val="none"/>
              </w:rPr>
              <w:t>分</w:t>
            </w:r>
          </w:p>
          <w:p>
            <w:pPr>
              <w:pStyle w:val="21"/>
              <w:spacing w:before="1"/>
              <w:ind w:left="8"/>
              <w:jc w:val="center"/>
              <w:rPr>
                <w:rFonts w:hint="eastAsia" w:ascii="Times New Roman"/>
                <w:color w:val="auto"/>
                <w:sz w:val="21"/>
                <w:highlight w:val="none"/>
                <w:lang w:val="en-US" w:eastAsia="zh-CN"/>
              </w:rPr>
            </w:pPr>
          </w:p>
          <w:p>
            <w:pPr>
              <w:pStyle w:val="21"/>
              <w:spacing w:before="1"/>
              <w:ind w:left="8"/>
              <w:jc w:val="center"/>
              <w:rPr>
                <w:rFonts w:hint="eastAsia" w:ascii="Times New Roman"/>
                <w:color w:val="auto"/>
                <w:sz w:val="21"/>
                <w:highlight w:val="none"/>
                <w:lang w:val="en-US" w:eastAsia="zh-CN"/>
              </w:rPr>
            </w:pPr>
          </w:p>
          <w:p>
            <w:pPr>
              <w:pStyle w:val="21"/>
              <w:spacing w:before="1"/>
              <w:ind w:left="8"/>
              <w:jc w:val="center"/>
              <w:rPr>
                <w:rFonts w:hint="eastAsia" w:ascii="Times New Roman"/>
                <w:color w:val="auto"/>
                <w:sz w:val="21"/>
                <w:highlight w:val="none"/>
                <w:lang w:val="en-US" w:eastAsia="zh-CN"/>
              </w:rPr>
            </w:pPr>
          </w:p>
          <w:p>
            <w:pPr>
              <w:pStyle w:val="21"/>
              <w:spacing w:before="1"/>
              <w:ind w:left="8"/>
              <w:jc w:val="center"/>
              <w:rPr>
                <w:rFonts w:hint="eastAsia" w:ascii="Times New Roman"/>
                <w:color w:val="auto"/>
                <w:sz w:val="21"/>
                <w:highlight w:val="none"/>
                <w:lang w:val="en-US" w:eastAsia="zh-CN"/>
              </w:rPr>
            </w:pPr>
          </w:p>
          <w:p>
            <w:pPr>
              <w:pStyle w:val="21"/>
              <w:spacing w:before="1"/>
              <w:ind w:left="8"/>
              <w:jc w:val="center"/>
              <w:rPr>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4" w:hRule="atLeast"/>
        </w:trPr>
        <w:tc>
          <w:tcPr>
            <w:tcW w:w="830" w:type="dxa"/>
          </w:tcPr>
          <w:p>
            <w:pPr>
              <w:pStyle w:val="21"/>
              <w:spacing w:before="43"/>
              <w:ind w:left="9"/>
              <w:jc w:val="center"/>
              <w:rPr>
                <w:color w:val="auto"/>
                <w:w w:val="99"/>
                <w:sz w:val="24"/>
                <w:szCs w:val="24"/>
                <w:highlight w:val="none"/>
              </w:rPr>
            </w:pPr>
          </w:p>
          <w:p>
            <w:pPr>
              <w:pStyle w:val="21"/>
              <w:spacing w:before="43"/>
              <w:ind w:left="9"/>
              <w:jc w:val="center"/>
              <w:rPr>
                <w:color w:val="auto"/>
                <w:w w:val="99"/>
                <w:sz w:val="24"/>
                <w:szCs w:val="24"/>
                <w:highlight w:val="none"/>
              </w:rPr>
            </w:pPr>
          </w:p>
          <w:p>
            <w:pPr>
              <w:pStyle w:val="21"/>
              <w:spacing w:before="43"/>
              <w:ind w:left="9"/>
              <w:jc w:val="center"/>
              <w:rPr>
                <w:color w:val="auto"/>
                <w:w w:val="99"/>
                <w:sz w:val="24"/>
                <w:szCs w:val="24"/>
                <w:highlight w:val="none"/>
              </w:rPr>
            </w:pPr>
          </w:p>
          <w:p>
            <w:pPr>
              <w:pStyle w:val="21"/>
              <w:spacing w:before="43"/>
              <w:ind w:left="9"/>
              <w:jc w:val="center"/>
              <w:rPr>
                <w:rFonts w:hint="eastAsia" w:eastAsia="宋体"/>
                <w:color w:val="auto"/>
                <w:sz w:val="24"/>
                <w:szCs w:val="24"/>
                <w:highlight w:val="none"/>
                <w:lang w:eastAsia="zh-CN"/>
              </w:rPr>
            </w:pPr>
            <w:r>
              <w:rPr>
                <w:rFonts w:hint="eastAsia"/>
                <w:color w:val="auto"/>
                <w:w w:val="99"/>
                <w:sz w:val="24"/>
                <w:szCs w:val="24"/>
                <w:highlight w:val="none"/>
                <w:lang w:val="en-US" w:eastAsia="zh-CN"/>
              </w:rPr>
              <w:t>3</w:t>
            </w:r>
          </w:p>
        </w:tc>
        <w:tc>
          <w:tcPr>
            <w:tcW w:w="1415" w:type="dxa"/>
            <w:vAlign w:val="top"/>
          </w:tcPr>
          <w:p>
            <w:pPr>
              <w:pStyle w:val="21"/>
              <w:spacing w:before="43"/>
              <w:ind w:left="156"/>
              <w:rPr>
                <w:color w:val="auto"/>
                <w:sz w:val="24"/>
                <w:highlight w:val="none"/>
              </w:rPr>
            </w:pPr>
          </w:p>
          <w:p>
            <w:pPr>
              <w:pStyle w:val="21"/>
              <w:spacing w:before="43"/>
              <w:ind w:left="156"/>
              <w:rPr>
                <w:color w:val="auto"/>
                <w:sz w:val="24"/>
                <w:highlight w:val="none"/>
              </w:rPr>
            </w:pPr>
          </w:p>
          <w:p>
            <w:pPr>
              <w:pStyle w:val="21"/>
              <w:spacing w:before="43"/>
              <w:ind w:left="156"/>
              <w:jc w:val="center"/>
              <w:rPr>
                <w:color w:val="auto"/>
                <w:sz w:val="24"/>
                <w:highlight w:val="none"/>
              </w:rPr>
            </w:pPr>
            <w:r>
              <w:rPr>
                <w:color w:val="auto"/>
                <w:sz w:val="24"/>
                <w:highlight w:val="none"/>
              </w:rPr>
              <w:t>售后服务</w:t>
            </w:r>
          </w:p>
          <w:p>
            <w:pPr>
              <w:pStyle w:val="21"/>
              <w:spacing w:before="43"/>
              <w:ind w:left="156" w:leftChars="0" w:right="0" w:rightChars="0"/>
              <w:jc w:val="center"/>
              <w:rPr>
                <w:color w:val="auto"/>
                <w:sz w:val="24"/>
                <w:szCs w:val="24"/>
                <w:highlight w:val="none"/>
              </w:rPr>
            </w:pPr>
            <w:r>
              <w:rPr>
                <w:color w:val="auto"/>
                <w:sz w:val="24"/>
                <w:highlight w:val="none"/>
              </w:rPr>
              <w:t>方案</w:t>
            </w:r>
          </w:p>
        </w:tc>
        <w:tc>
          <w:tcPr>
            <w:tcW w:w="5486" w:type="dxa"/>
            <w:tcBorders>
              <w:top w:val="single" w:color="auto" w:sz="4" w:space="0"/>
            </w:tcBorders>
            <w:vAlign w:val="top"/>
          </w:tcPr>
          <w:p>
            <w:pPr>
              <w:pStyle w:val="21"/>
              <w:numPr>
                <w:ilvl w:val="0"/>
                <w:numId w:val="26"/>
              </w:numPr>
              <w:spacing w:before="79" w:line="301" w:lineRule="exact"/>
              <w:ind w:left="108"/>
              <w:rPr>
                <w:rFonts w:hint="eastAsia"/>
                <w:color w:val="auto"/>
                <w:sz w:val="24"/>
                <w:highlight w:val="none"/>
              </w:rPr>
            </w:pPr>
            <w:r>
              <w:rPr>
                <w:rFonts w:hint="eastAsia"/>
                <w:color w:val="auto"/>
                <w:sz w:val="24"/>
                <w:highlight w:val="none"/>
              </w:rPr>
              <w:t xml:space="preserve">优：售后服务承诺内容较全面、售后服务体系完善、售后服务响应方式多样化、售后服务响应速度快的，得 </w:t>
            </w:r>
            <w:r>
              <w:rPr>
                <w:rFonts w:hint="eastAsia"/>
                <w:color w:val="auto"/>
                <w:sz w:val="24"/>
                <w:highlight w:val="none"/>
                <w:lang w:val="en-US" w:eastAsia="zh-CN"/>
              </w:rPr>
              <w:t>6.1-10</w:t>
            </w:r>
            <w:r>
              <w:rPr>
                <w:rFonts w:hint="eastAsia"/>
                <w:color w:val="auto"/>
                <w:sz w:val="24"/>
                <w:highlight w:val="none"/>
              </w:rPr>
              <w:t xml:space="preserve">分； </w:t>
            </w:r>
          </w:p>
          <w:p>
            <w:pPr>
              <w:pStyle w:val="21"/>
              <w:numPr>
                <w:ilvl w:val="0"/>
                <w:numId w:val="0"/>
              </w:numPr>
              <w:spacing w:before="79" w:line="301" w:lineRule="exact"/>
              <w:ind w:right="0" w:rightChars="0"/>
              <w:rPr>
                <w:rFonts w:hint="eastAsia"/>
                <w:color w:val="auto"/>
                <w:sz w:val="24"/>
                <w:highlight w:val="none"/>
              </w:rPr>
            </w:pPr>
            <w:r>
              <w:rPr>
                <w:rFonts w:hint="eastAsia"/>
                <w:color w:val="auto"/>
                <w:sz w:val="24"/>
                <w:highlight w:val="none"/>
              </w:rPr>
              <w:t>2、良：售后服务承诺内容基本全面、售后服务体系基本完善、售后服务响应方式多样化、售后服务响应速度一般的，得</w:t>
            </w:r>
            <w:r>
              <w:rPr>
                <w:rFonts w:hint="eastAsia"/>
                <w:color w:val="auto"/>
                <w:sz w:val="24"/>
                <w:highlight w:val="none"/>
                <w:lang w:val="en-US" w:eastAsia="zh-CN"/>
              </w:rPr>
              <w:t>2.1-6</w:t>
            </w:r>
            <w:r>
              <w:rPr>
                <w:rFonts w:hint="eastAsia"/>
                <w:color w:val="auto"/>
                <w:sz w:val="24"/>
                <w:highlight w:val="none"/>
              </w:rPr>
              <w:t>分；</w:t>
            </w:r>
          </w:p>
          <w:p>
            <w:pPr>
              <w:pStyle w:val="21"/>
              <w:spacing w:before="79" w:line="301" w:lineRule="exact"/>
              <w:ind w:left="108" w:leftChars="0" w:right="0" w:rightChars="0"/>
              <w:rPr>
                <w:color w:val="auto"/>
                <w:sz w:val="24"/>
                <w:szCs w:val="24"/>
                <w:highlight w:val="none"/>
              </w:rPr>
            </w:pPr>
            <w:r>
              <w:rPr>
                <w:rFonts w:hint="eastAsia"/>
                <w:color w:val="auto"/>
                <w:sz w:val="24"/>
                <w:highlight w:val="none"/>
              </w:rPr>
              <w:t>3、差：售后服务承诺内容欠缺、或售后服务体系不完善、售后服务响应方式单一、或售后服务响应速度慢的，或不提供售后服务方案的，得</w:t>
            </w:r>
            <w:r>
              <w:rPr>
                <w:rFonts w:hint="eastAsia"/>
                <w:color w:val="auto"/>
                <w:sz w:val="24"/>
                <w:highlight w:val="none"/>
                <w:lang w:val="en-US" w:eastAsia="zh-CN"/>
              </w:rPr>
              <w:t>0-2</w:t>
            </w:r>
            <w:r>
              <w:rPr>
                <w:rFonts w:hint="eastAsia"/>
                <w:color w:val="auto"/>
                <w:sz w:val="24"/>
                <w:highlight w:val="none"/>
              </w:rPr>
              <w:t>分。</w:t>
            </w:r>
          </w:p>
        </w:tc>
        <w:tc>
          <w:tcPr>
            <w:tcW w:w="908" w:type="dxa"/>
            <w:tcBorders>
              <w:top w:val="single" w:color="auto" w:sz="4" w:space="0"/>
            </w:tcBorders>
            <w:vAlign w:val="center"/>
          </w:tcPr>
          <w:p>
            <w:pPr>
              <w:pStyle w:val="21"/>
              <w:spacing w:before="43"/>
              <w:ind w:left="8"/>
              <w:jc w:val="center"/>
              <w:rPr>
                <w:color w:val="auto"/>
                <w:w w:val="99"/>
                <w:sz w:val="24"/>
                <w:highlight w:val="none"/>
              </w:rPr>
            </w:pPr>
          </w:p>
          <w:p>
            <w:pPr>
              <w:pStyle w:val="21"/>
              <w:spacing w:before="43"/>
              <w:ind w:left="8"/>
              <w:jc w:val="center"/>
              <w:rPr>
                <w:color w:val="auto"/>
                <w:w w:val="99"/>
                <w:sz w:val="24"/>
                <w:highlight w:val="none"/>
              </w:rPr>
            </w:pPr>
          </w:p>
          <w:p>
            <w:pPr>
              <w:pStyle w:val="21"/>
              <w:spacing w:before="43"/>
              <w:ind w:left="8" w:leftChars="0" w:right="0" w:rightChars="0"/>
              <w:jc w:val="center"/>
              <w:rPr>
                <w:rFonts w:hint="default" w:eastAsia="宋体"/>
                <w:color w:val="auto"/>
                <w:sz w:val="24"/>
                <w:szCs w:val="24"/>
                <w:highlight w:val="none"/>
                <w:lang w:val="en-US" w:eastAsia="zh-CN"/>
              </w:rPr>
            </w:pPr>
            <w:r>
              <w:rPr>
                <w:rFonts w:hint="eastAsia"/>
                <w:color w:val="auto"/>
                <w:w w:val="99"/>
                <w:sz w:val="24"/>
                <w:highlight w:val="none"/>
                <w:lang w:val="en-US" w:eastAsia="zh-CN"/>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7" w:hRule="atLeast"/>
        </w:trPr>
        <w:tc>
          <w:tcPr>
            <w:tcW w:w="830" w:type="dxa"/>
            <w:vAlign w:val="center"/>
          </w:tcPr>
          <w:p>
            <w:pPr>
              <w:pStyle w:val="21"/>
              <w:jc w:val="center"/>
              <w:rPr>
                <w:color w:val="auto"/>
                <w:sz w:val="24"/>
                <w:szCs w:val="24"/>
                <w:highlight w:val="none"/>
              </w:rPr>
            </w:pPr>
          </w:p>
          <w:p>
            <w:pPr>
              <w:pStyle w:val="21"/>
              <w:spacing w:before="160"/>
              <w:ind w:left="9" w:leftChars="0" w:right="0" w:rightChars="0"/>
              <w:jc w:val="center"/>
              <w:rPr>
                <w:rFonts w:hint="eastAsia" w:eastAsia="宋体"/>
                <w:color w:val="auto"/>
                <w:w w:val="99"/>
                <w:sz w:val="24"/>
                <w:szCs w:val="24"/>
                <w:highlight w:val="none"/>
                <w:lang w:eastAsia="zh-CN"/>
              </w:rPr>
            </w:pPr>
            <w:r>
              <w:rPr>
                <w:rFonts w:hint="eastAsia"/>
                <w:color w:val="auto"/>
                <w:w w:val="99"/>
                <w:sz w:val="24"/>
                <w:szCs w:val="24"/>
                <w:highlight w:val="none"/>
                <w:lang w:val="en-US" w:eastAsia="zh-CN"/>
              </w:rPr>
              <w:t>4</w:t>
            </w:r>
          </w:p>
        </w:tc>
        <w:tc>
          <w:tcPr>
            <w:tcW w:w="1415" w:type="dxa"/>
            <w:vAlign w:val="center"/>
          </w:tcPr>
          <w:p>
            <w:pPr>
              <w:pStyle w:val="21"/>
              <w:spacing w:before="43"/>
              <w:ind w:left="156" w:leftChars="0" w:right="0" w:rightChars="0"/>
              <w:jc w:val="center"/>
              <w:rPr>
                <w:color w:val="auto"/>
                <w:sz w:val="24"/>
                <w:szCs w:val="24"/>
                <w:highlight w:val="none"/>
              </w:rPr>
            </w:pPr>
            <w:r>
              <w:rPr>
                <w:color w:val="auto"/>
                <w:sz w:val="24"/>
                <w:highlight w:val="none"/>
              </w:rPr>
              <w:t>质量保证措施方案</w:t>
            </w:r>
          </w:p>
        </w:tc>
        <w:tc>
          <w:tcPr>
            <w:tcW w:w="5486" w:type="dxa"/>
            <w:vAlign w:val="top"/>
          </w:tcPr>
          <w:p>
            <w:pPr>
              <w:pStyle w:val="21"/>
              <w:spacing w:before="2" w:line="310" w:lineRule="atLeast"/>
              <w:ind w:left="108" w:right="1"/>
              <w:rPr>
                <w:color w:val="auto"/>
                <w:sz w:val="24"/>
                <w:highlight w:val="none"/>
              </w:rPr>
            </w:pPr>
            <w:r>
              <w:rPr>
                <w:color w:val="auto"/>
                <w:sz w:val="24"/>
                <w:highlight w:val="none"/>
              </w:rPr>
              <w:t>1、优：内容全面细致、结合实际、针对性强、措施具体的， 满足本项目需求的，得</w:t>
            </w:r>
            <w:r>
              <w:rPr>
                <w:rFonts w:hint="eastAsia"/>
                <w:color w:val="auto"/>
                <w:sz w:val="24"/>
                <w:highlight w:val="none"/>
                <w:lang w:val="en-US" w:eastAsia="zh-CN"/>
              </w:rPr>
              <w:t xml:space="preserve"> 6.1-9</w:t>
            </w:r>
            <w:r>
              <w:rPr>
                <w:color w:val="auto"/>
                <w:sz w:val="24"/>
                <w:highlight w:val="none"/>
              </w:rPr>
              <w:t xml:space="preserve"> 分；</w:t>
            </w:r>
          </w:p>
          <w:p>
            <w:pPr>
              <w:pStyle w:val="21"/>
              <w:spacing w:before="2" w:line="310" w:lineRule="atLeast"/>
              <w:ind w:left="108" w:right="1"/>
              <w:rPr>
                <w:color w:val="auto"/>
                <w:sz w:val="24"/>
                <w:highlight w:val="none"/>
              </w:rPr>
            </w:pPr>
            <w:r>
              <w:rPr>
                <w:color w:val="auto"/>
                <w:sz w:val="24"/>
                <w:highlight w:val="none"/>
              </w:rPr>
              <w:t xml:space="preserve">2、良：包含基本内容、结合实际、针对性一般，有基本措施， 基本符合本项目需求的，得 </w:t>
            </w:r>
            <w:r>
              <w:rPr>
                <w:rFonts w:hint="eastAsia"/>
                <w:color w:val="auto"/>
                <w:sz w:val="24"/>
                <w:highlight w:val="none"/>
                <w:lang w:val="en-US" w:eastAsia="zh-CN"/>
              </w:rPr>
              <w:t>2.1-6</w:t>
            </w:r>
            <w:r>
              <w:rPr>
                <w:color w:val="auto"/>
                <w:sz w:val="24"/>
                <w:highlight w:val="none"/>
              </w:rPr>
              <w:t xml:space="preserve"> 分；</w:t>
            </w:r>
          </w:p>
          <w:p>
            <w:pPr>
              <w:pStyle w:val="21"/>
              <w:spacing w:before="79" w:line="301" w:lineRule="exact"/>
              <w:ind w:left="108" w:leftChars="0" w:right="0" w:rightChars="0"/>
              <w:rPr>
                <w:rFonts w:hint="eastAsia"/>
                <w:color w:val="auto"/>
                <w:sz w:val="24"/>
                <w:szCs w:val="24"/>
                <w:highlight w:val="none"/>
              </w:rPr>
            </w:pPr>
            <w:r>
              <w:rPr>
                <w:color w:val="auto"/>
                <w:sz w:val="24"/>
                <w:highlight w:val="none"/>
              </w:rPr>
              <w:t>3、差：内容不够全面、未结合实际、针对性差，或措施不明确的，或不提供质量保证措施方案的，得</w:t>
            </w:r>
            <w:r>
              <w:rPr>
                <w:rFonts w:hint="eastAsia"/>
                <w:color w:val="auto"/>
                <w:sz w:val="24"/>
                <w:highlight w:val="none"/>
                <w:lang w:val="en-US" w:eastAsia="zh-CN"/>
              </w:rPr>
              <w:t xml:space="preserve"> 0-2 </w:t>
            </w:r>
            <w:r>
              <w:rPr>
                <w:color w:val="auto"/>
                <w:sz w:val="24"/>
                <w:highlight w:val="none"/>
              </w:rPr>
              <w:t>分。</w:t>
            </w:r>
          </w:p>
        </w:tc>
        <w:tc>
          <w:tcPr>
            <w:tcW w:w="908" w:type="dxa"/>
            <w:vAlign w:val="center"/>
          </w:tcPr>
          <w:p>
            <w:pPr>
              <w:pStyle w:val="21"/>
              <w:spacing w:before="43"/>
              <w:ind w:left="8" w:leftChars="0" w:right="0" w:rightChars="0"/>
              <w:jc w:val="center"/>
              <w:rPr>
                <w:rFonts w:hint="default"/>
                <w:color w:val="auto"/>
                <w:w w:val="99"/>
                <w:sz w:val="24"/>
                <w:szCs w:val="24"/>
                <w:highlight w:val="none"/>
                <w:lang w:val="en-US" w:eastAsia="zh-CN"/>
              </w:rPr>
            </w:pPr>
            <w:r>
              <w:rPr>
                <w:rFonts w:hint="eastAsia"/>
                <w:color w:val="auto"/>
                <w:w w:val="99"/>
                <w:sz w:val="24"/>
                <w:highlight w:val="none"/>
                <w:lang w:val="en-US" w:eastAsia="zh-CN"/>
              </w:rPr>
              <w:t>9分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7" w:hRule="atLeast"/>
        </w:trPr>
        <w:tc>
          <w:tcPr>
            <w:tcW w:w="830" w:type="dxa"/>
            <w:vAlign w:val="center"/>
          </w:tcPr>
          <w:p>
            <w:pPr>
              <w:pStyle w:val="21"/>
              <w:spacing w:before="160"/>
              <w:ind w:left="9" w:leftChars="0" w:right="0" w:rightChars="0"/>
              <w:jc w:val="center"/>
              <w:rPr>
                <w:color w:val="auto"/>
                <w:w w:val="99"/>
                <w:sz w:val="24"/>
                <w:szCs w:val="24"/>
                <w:highlight w:val="none"/>
              </w:rPr>
            </w:pPr>
            <w:r>
              <w:rPr>
                <w:rFonts w:hint="eastAsia"/>
                <w:color w:val="auto"/>
                <w:w w:val="99"/>
                <w:sz w:val="24"/>
                <w:szCs w:val="24"/>
                <w:highlight w:val="none"/>
                <w:lang w:val="en-US" w:eastAsia="zh-CN"/>
              </w:rPr>
              <w:t>5</w:t>
            </w:r>
          </w:p>
        </w:tc>
        <w:tc>
          <w:tcPr>
            <w:tcW w:w="1415" w:type="dxa"/>
            <w:vAlign w:val="center"/>
          </w:tcPr>
          <w:p>
            <w:pPr>
              <w:pStyle w:val="21"/>
              <w:spacing w:before="43"/>
              <w:ind w:left="156" w:leftChars="0" w:right="0" w:rightChars="0"/>
              <w:jc w:val="center"/>
              <w:rPr>
                <w:color w:val="auto"/>
                <w:sz w:val="24"/>
                <w:szCs w:val="24"/>
                <w:highlight w:val="none"/>
              </w:rPr>
            </w:pPr>
            <w:r>
              <w:rPr>
                <w:color w:val="auto"/>
                <w:sz w:val="24"/>
                <w:highlight w:val="none"/>
              </w:rPr>
              <w:t>项目应急方案</w:t>
            </w:r>
          </w:p>
        </w:tc>
        <w:tc>
          <w:tcPr>
            <w:tcW w:w="5486" w:type="dxa"/>
            <w:vAlign w:val="top"/>
          </w:tcPr>
          <w:p>
            <w:pPr>
              <w:pStyle w:val="21"/>
              <w:spacing w:before="2" w:line="310" w:lineRule="atLeast"/>
              <w:ind w:left="108" w:right="1"/>
              <w:rPr>
                <w:color w:val="auto"/>
                <w:sz w:val="24"/>
                <w:highlight w:val="none"/>
              </w:rPr>
            </w:pPr>
            <w:r>
              <w:rPr>
                <w:color w:val="auto"/>
                <w:sz w:val="24"/>
                <w:highlight w:val="none"/>
              </w:rPr>
              <w:t xml:space="preserve">1、优：建立应急组织机构，有详细的、科学性强、可行性高的应急方案，能保证在突发事件中设备正常使用的，得 </w:t>
            </w:r>
            <w:r>
              <w:rPr>
                <w:rFonts w:hint="eastAsia"/>
                <w:color w:val="auto"/>
                <w:sz w:val="24"/>
                <w:highlight w:val="none"/>
                <w:lang w:val="en-US" w:eastAsia="zh-CN"/>
              </w:rPr>
              <w:t>6.1-9</w:t>
            </w:r>
            <w:r>
              <w:rPr>
                <w:color w:val="auto"/>
                <w:sz w:val="24"/>
                <w:highlight w:val="none"/>
              </w:rPr>
              <w:t xml:space="preserve"> 分；</w:t>
            </w:r>
          </w:p>
          <w:p>
            <w:pPr>
              <w:pStyle w:val="21"/>
              <w:spacing w:before="2" w:line="310" w:lineRule="atLeast"/>
              <w:ind w:left="108" w:right="1"/>
              <w:rPr>
                <w:color w:val="auto"/>
                <w:sz w:val="24"/>
                <w:highlight w:val="none"/>
              </w:rPr>
            </w:pPr>
            <w:r>
              <w:rPr>
                <w:color w:val="auto"/>
                <w:sz w:val="24"/>
                <w:highlight w:val="none"/>
              </w:rPr>
              <w:t xml:space="preserve">2、良：建立应急组织机构，有基本的、科学性与可行性一般的应急方案，能保证在突发事件发生后短时间内恢复设备正常 使用的，得 </w:t>
            </w:r>
            <w:r>
              <w:rPr>
                <w:rFonts w:hint="eastAsia"/>
                <w:color w:val="auto"/>
                <w:sz w:val="24"/>
                <w:highlight w:val="none"/>
                <w:lang w:val="en-US" w:eastAsia="zh-CN"/>
              </w:rPr>
              <w:t>2.1-6</w:t>
            </w:r>
            <w:r>
              <w:rPr>
                <w:color w:val="auto"/>
                <w:sz w:val="24"/>
                <w:highlight w:val="none"/>
              </w:rPr>
              <w:t xml:space="preserve"> 分；</w:t>
            </w:r>
          </w:p>
          <w:p>
            <w:pPr>
              <w:pStyle w:val="21"/>
              <w:spacing w:before="79" w:line="301" w:lineRule="exact"/>
              <w:ind w:left="108" w:leftChars="0" w:right="0" w:rightChars="0"/>
              <w:rPr>
                <w:rFonts w:hint="eastAsia"/>
                <w:color w:val="auto"/>
                <w:sz w:val="24"/>
                <w:szCs w:val="24"/>
                <w:highlight w:val="none"/>
              </w:rPr>
            </w:pPr>
            <w:r>
              <w:rPr>
                <w:color w:val="auto"/>
                <w:sz w:val="24"/>
                <w:highlight w:val="none"/>
              </w:rPr>
              <w:t>3、差：未建立应急组织机构，或提供不够详细、或科学性与可行性较差的应急方案，在突发事件发生后长时间内不能恢复正常使用的，或不提供应急方案的，得</w:t>
            </w:r>
            <w:r>
              <w:rPr>
                <w:rFonts w:hint="eastAsia"/>
                <w:color w:val="auto"/>
                <w:sz w:val="24"/>
                <w:highlight w:val="none"/>
                <w:lang w:val="en-US" w:eastAsia="zh-CN"/>
              </w:rPr>
              <w:t xml:space="preserve"> 0-2 </w:t>
            </w:r>
            <w:r>
              <w:rPr>
                <w:color w:val="auto"/>
                <w:sz w:val="24"/>
                <w:highlight w:val="none"/>
              </w:rPr>
              <w:t>分</w:t>
            </w:r>
          </w:p>
        </w:tc>
        <w:tc>
          <w:tcPr>
            <w:tcW w:w="908" w:type="dxa"/>
            <w:vAlign w:val="center"/>
          </w:tcPr>
          <w:p>
            <w:pPr>
              <w:pStyle w:val="21"/>
              <w:spacing w:before="43"/>
              <w:ind w:left="8" w:leftChars="0" w:right="0" w:rightChars="0"/>
              <w:jc w:val="center"/>
              <w:rPr>
                <w:rFonts w:hint="default"/>
                <w:color w:val="auto"/>
                <w:w w:val="99"/>
                <w:sz w:val="24"/>
                <w:szCs w:val="24"/>
                <w:highlight w:val="none"/>
                <w:lang w:val="en-US" w:eastAsia="zh-CN"/>
              </w:rPr>
            </w:pPr>
            <w:r>
              <w:rPr>
                <w:rFonts w:hint="eastAsia"/>
                <w:color w:val="auto"/>
                <w:w w:val="99"/>
                <w:sz w:val="24"/>
                <w:highlight w:val="none"/>
                <w:lang w:val="en-US" w:eastAsia="zh-CN"/>
              </w:rPr>
              <w:t>9分</w:t>
            </w:r>
          </w:p>
        </w:tc>
      </w:tr>
    </w:tbl>
    <w:p>
      <w:pPr>
        <w:pStyle w:val="5"/>
        <w:spacing w:before="1"/>
        <w:rPr>
          <w:sz w:val="18"/>
          <w:highlight w:val="none"/>
        </w:rPr>
      </w:pPr>
    </w:p>
    <w:p>
      <w:pPr>
        <w:pStyle w:val="5"/>
        <w:spacing w:before="1"/>
        <w:rPr>
          <w:sz w:val="18"/>
          <w:highlight w:val="none"/>
        </w:rPr>
      </w:pPr>
    </w:p>
    <w:p>
      <w:pPr>
        <w:pStyle w:val="5"/>
        <w:spacing w:before="1"/>
        <w:rPr>
          <w:sz w:val="18"/>
          <w:highlight w:val="none"/>
        </w:rPr>
      </w:pPr>
    </w:p>
    <w:p>
      <w:pPr>
        <w:pStyle w:val="5"/>
        <w:spacing w:before="1"/>
        <w:rPr>
          <w:sz w:val="18"/>
          <w:highlight w:val="none"/>
        </w:rPr>
      </w:pPr>
    </w:p>
    <w:p>
      <w:pPr>
        <w:pStyle w:val="5"/>
        <w:spacing w:before="1"/>
        <w:rPr>
          <w:sz w:val="18"/>
          <w:highlight w:val="none"/>
        </w:rPr>
      </w:pPr>
    </w:p>
    <w:p>
      <w:pPr>
        <w:pStyle w:val="10"/>
        <w:spacing w:before="61"/>
        <w:ind w:left="662"/>
        <w:rPr>
          <w:highlight w:val="none"/>
        </w:rPr>
      </w:pPr>
      <w:r>
        <w:rPr>
          <w:highlight w:val="none"/>
        </w:rPr>
        <w:t>价格评审</w:t>
      </w:r>
    </w:p>
    <w:p>
      <w:pPr>
        <w:pStyle w:val="5"/>
        <w:spacing w:before="2"/>
        <w:rPr>
          <w:sz w:val="10"/>
          <w:highlight w:val="none"/>
        </w:rPr>
      </w:pPr>
    </w:p>
    <w:tbl>
      <w:tblPr>
        <w:tblStyle w:val="17"/>
        <w:tblW w:w="0" w:type="auto"/>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31"/>
        <w:gridCol w:w="2129"/>
        <w:gridCol w:w="2131"/>
        <w:gridCol w:w="2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2131" w:type="dxa"/>
          </w:tcPr>
          <w:p>
            <w:pPr>
              <w:pStyle w:val="21"/>
              <w:spacing w:before="135"/>
              <w:ind w:left="107"/>
              <w:jc w:val="center"/>
              <w:rPr>
                <w:sz w:val="28"/>
                <w:highlight w:val="none"/>
              </w:rPr>
            </w:pPr>
            <w:r>
              <w:rPr>
                <w:sz w:val="28"/>
                <w:highlight w:val="none"/>
              </w:rPr>
              <w:t>序号</w:t>
            </w:r>
          </w:p>
        </w:tc>
        <w:tc>
          <w:tcPr>
            <w:tcW w:w="2129" w:type="dxa"/>
          </w:tcPr>
          <w:p>
            <w:pPr>
              <w:pStyle w:val="21"/>
              <w:spacing w:before="135"/>
              <w:ind w:left="108"/>
              <w:jc w:val="center"/>
              <w:rPr>
                <w:sz w:val="28"/>
                <w:highlight w:val="none"/>
              </w:rPr>
            </w:pPr>
            <w:r>
              <w:rPr>
                <w:sz w:val="28"/>
                <w:highlight w:val="none"/>
              </w:rPr>
              <w:t>评审因素</w:t>
            </w:r>
          </w:p>
        </w:tc>
        <w:tc>
          <w:tcPr>
            <w:tcW w:w="2131" w:type="dxa"/>
          </w:tcPr>
          <w:p>
            <w:pPr>
              <w:pStyle w:val="21"/>
              <w:spacing w:before="135"/>
              <w:ind w:left="107"/>
              <w:jc w:val="center"/>
              <w:rPr>
                <w:sz w:val="28"/>
                <w:highlight w:val="none"/>
              </w:rPr>
            </w:pPr>
            <w:r>
              <w:rPr>
                <w:sz w:val="28"/>
                <w:highlight w:val="none"/>
              </w:rPr>
              <w:t>评审标准</w:t>
            </w:r>
          </w:p>
        </w:tc>
        <w:tc>
          <w:tcPr>
            <w:tcW w:w="2249" w:type="dxa"/>
          </w:tcPr>
          <w:p>
            <w:pPr>
              <w:pStyle w:val="21"/>
              <w:spacing w:before="135"/>
              <w:ind w:left="108"/>
              <w:jc w:val="center"/>
              <w:rPr>
                <w:sz w:val="28"/>
                <w:highlight w:val="none"/>
              </w:rPr>
            </w:pPr>
            <w:r>
              <w:rPr>
                <w:sz w:val="28"/>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131" w:type="dxa"/>
            <w:vAlign w:val="center"/>
          </w:tcPr>
          <w:p>
            <w:pPr>
              <w:pStyle w:val="21"/>
              <w:spacing w:line="307" w:lineRule="exact"/>
              <w:ind w:left="107"/>
              <w:jc w:val="center"/>
              <w:rPr>
                <w:sz w:val="24"/>
                <w:highlight w:val="none"/>
              </w:rPr>
            </w:pPr>
            <w:r>
              <w:rPr>
                <w:sz w:val="24"/>
                <w:highlight w:val="none"/>
              </w:rPr>
              <w:t>报价得分</w:t>
            </w:r>
          </w:p>
        </w:tc>
        <w:tc>
          <w:tcPr>
            <w:tcW w:w="4260" w:type="dxa"/>
            <w:gridSpan w:val="2"/>
            <w:vAlign w:val="center"/>
          </w:tcPr>
          <w:p>
            <w:pPr>
              <w:pStyle w:val="21"/>
              <w:spacing w:line="307" w:lineRule="exact"/>
              <w:ind w:left="108"/>
              <w:jc w:val="center"/>
              <w:rPr>
                <w:sz w:val="24"/>
                <w:highlight w:val="none"/>
              </w:rPr>
            </w:pPr>
            <w:r>
              <w:rPr>
                <w:sz w:val="24"/>
                <w:highlight w:val="none"/>
              </w:rPr>
              <w:t>报价得分=评标基准价/投标报价*100*</w:t>
            </w:r>
          </w:p>
          <w:p>
            <w:pPr>
              <w:pStyle w:val="21"/>
              <w:spacing w:before="4" w:line="292" w:lineRule="exact"/>
              <w:ind w:left="108"/>
              <w:jc w:val="center"/>
              <w:rPr>
                <w:sz w:val="24"/>
                <w:highlight w:val="none"/>
              </w:rPr>
            </w:pPr>
            <w:r>
              <w:rPr>
                <w:sz w:val="24"/>
                <w:highlight w:val="none"/>
              </w:rPr>
              <w:t>报价分值权重</w:t>
            </w:r>
          </w:p>
        </w:tc>
        <w:tc>
          <w:tcPr>
            <w:tcW w:w="2249" w:type="dxa"/>
            <w:vAlign w:val="center"/>
          </w:tcPr>
          <w:p>
            <w:pPr>
              <w:pStyle w:val="21"/>
              <w:spacing w:before="132"/>
              <w:ind w:left="108"/>
              <w:jc w:val="center"/>
              <w:rPr>
                <w:rFonts w:hint="eastAsia" w:eastAsia="宋体"/>
                <w:sz w:val="28"/>
                <w:highlight w:val="none"/>
                <w:lang w:val="en-US" w:eastAsia="zh-CN"/>
              </w:rPr>
            </w:pPr>
            <w:r>
              <w:rPr>
                <w:sz w:val="28"/>
                <w:highlight w:val="none"/>
              </w:rPr>
              <w:t>30</w:t>
            </w:r>
            <w:r>
              <w:rPr>
                <w:rFonts w:hint="eastAsia"/>
                <w:sz w:val="28"/>
                <w:highlight w:val="none"/>
                <w:lang w:val="en-US" w:eastAsia="zh-CN"/>
              </w:rPr>
              <w:t>分</w:t>
            </w:r>
          </w:p>
        </w:tc>
      </w:tr>
    </w:tbl>
    <w:p>
      <w:pPr>
        <w:spacing w:after="0"/>
        <w:rPr>
          <w:sz w:val="28"/>
          <w:highlight w:val="none"/>
        </w:rPr>
        <w:sectPr>
          <w:pgSz w:w="11900" w:h="16840"/>
          <w:pgMar w:top="1440" w:right="520" w:bottom="1380" w:left="1140" w:header="0" w:footer="1119" w:gutter="0"/>
          <w:pgNumType w:fmt="decimal"/>
          <w:cols w:space="720" w:num="1"/>
        </w:sectPr>
      </w:pPr>
    </w:p>
    <w:p>
      <w:pPr>
        <w:spacing w:before="37"/>
        <w:ind w:left="0" w:right="611" w:firstLine="0"/>
        <w:jc w:val="center"/>
        <w:rPr>
          <w:sz w:val="44"/>
          <w:highlight w:val="none"/>
        </w:rPr>
      </w:pPr>
      <w:r>
        <w:rPr>
          <w:sz w:val="44"/>
          <w:highlight w:val="none"/>
        </w:rPr>
        <w:t>正文部分</w:t>
      </w:r>
    </w:p>
    <w:p>
      <w:pPr>
        <w:pStyle w:val="5"/>
        <w:spacing w:before="5"/>
        <w:rPr>
          <w:sz w:val="28"/>
          <w:highlight w:val="none"/>
        </w:rPr>
      </w:pPr>
    </w:p>
    <w:p>
      <w:pPr>
        <w:pStyle w:val="8"/>
        <w:numPr>
          <w:ilvl w:val="0"/>
          <w:numId w:val="27"/>
        </w:numPr>
        <w:tabs>
          <w:tab w:val="left" w:pos="1148"/>
        </w:tabs>
        <w:spacing w:before="54" w:after="0" w:line="240" w:lineRule="auto"/>
        <w:ind w:left="1147" w:right="0" w:hanging="486"/>
        <w:jc w:val="left"/>
        <w:rPr>
          <w:highlight w:val="none"/>
        </w:rPr>
      </w:pPr>
      <w:r>
        <w:rPr>
          <w:highlight w:val="none"/>
        </w:rPr>
        <w:t>评标方法</w:t>
      </w:r>
    </w:p>
    <w:p>
      <w:pPr>
        <w:pStyle w:val="20"/>
        <w:numPr>
          <w:ilvl w:val="1"/>
          <w:numId w:val="27"/>
        </w:numPr>
        <w:tabs>
          <w:tab w:val="left" w:pos="1500"/>
        </w:tabs>
        <w:spacing w:before="186" w:after="0" w:line="240" w:lineRule="auto"/>
        <w:ind w:left="1500" w:right="0" w:hanging="420"/>
        <w:jc w:val="left"/>
        <w:rPr>
          <w:sz w:val="24"/>
          <w:highlight w:val="none"/>
        </w:rPr>
      </w:pPr>
      <w:r>
        <w:rPr>
          <w:sz w:val="24"/>
          <w:highlight w:val="none"/>
        </w:rPr>
        <w:t>本项目采用综合评分法进行评标。</w:t>
      </w:r>
    </w:p>
    <w:p>
      <w:pPr>
        <w:pStyle w:val="20"/>
        <w:numPr>
          <w:ilvl w:val="1"/>
          <w:numId w:val="27"/>
        </w:numPr>
        <w:tabs>
          <w:tab w:val="left" w:pos="1500"/>
        </w:tabs>
        <w:spacing w:before="159" w:after="0" w:line="240" w:lineRule="auto"/>
        <w:ind w:left="1500" w:right="0" w:hanging="420"/>
        <w:jc w:val="left"/>
        <w:rPr>
          <w:sz w:val="24"/>
          <w:highlight w:val="none"/>
        </w:rPr>
      </w:pPr>
      <w:r>
        <w:rPr>
          <w:sz w:val="24"/>
          <w:highlight w:val="none"/>
        </w:rPr>
        <w:t>评审方式：纸质评审。</w:t>
      </w:r>
    </w:p>
    <w:p>
      <w:pPr>
        <w:pStyle w:val="8"/>
        <w:numPr>
          <w:ilvl w:val="0"/>
          <w:numId w:val="27"/>
        </w:numPr>
        <w:tabs>
          <w:tab w:val="left" w:pos="1148"/>
        </w:tabs>
        <w:spacing w:before="161" w:after="0" w:line="240" w:lineRule="auto"/>
        <w:ind w:left="1147" w:right="0" w:hanging="486"/>
        <w:jc w:val="left"/>
        <w:rPr>
          <w:highlight w:val="none"/>
        </w:rPr>
      </w:pPr>
      <w:r>
        <w:rPr>
          <w:highlight w:val="none"/>
        </w:rPr>
        <w:t>评标方法介绍</w:t>
      </w:r>
    </w:p>
    <w:p>
      <w:pPr>
        <w:pStyle w:val="20"/>
        <w:numPr>
          <w:ilvl w:val="1"/>
          <w:numId w:val="27"/>
        </w:numPr>
        <w:tabs>
          <w:tab w:val="left" w:pos="1560"/>
        </w:tabs>
        <w:spacing w:before="251" w:after="0" w:line="374" w:lineRule="auto"/>
        <w:ind w:left="660" w:right="1271" w:firstLine="480"/>
        <w:jc w:val="left"/>
        <w:rPr>
          <w:sz w:val="24"/>
          <w:highlight w:val="none"/>
        </w:rPr>
      </w:pPr>
      <w:r>
        <w:rPr>
          <w:spacing w:val="-5"/>
          <w:sz w:val="24"/>
          <w:highlight w:val="none"/>
        </w:rPr>
        <w:t>综合评分法，是指投标文件满足招标文件全部实质性要求，且按照评审</w:t>
      </w:r>
      <w:r>
        <w:rPr>
          <w:sz w:val="24"/>
          <w:highlight w:val="none"/>
        </w:rPr>
        <w:t>因素的量化指标评审得分最高的投标人为中标候选人的评标方法。</w:t>
      </w:r>
    </w:p>
    <w:p>
      <w:pPr>
        <w:pStyle w:val="20"/>
        <w:numPr>
          <w:ilvl w:val="1"/>
          <w:numId w:val="27"/>
        </w:numPr>
        <w:tabs>
          <w:tab w:val="left" w:pos="1560"/>
        </w:tabs>
        <w:spacing w:before="1" w:after="0" w:line="374" w:lineRule="auto"/>
        <w:ind w:left="660" w:right="1151" w:firstLine="480"/>
        <w:jc w:val="left"/>
        <w:rPr>
          <w:sz w:val="24"/>
          <w:highlight w:val="none"/>
        </w:rPr>
      </w:pPr>
      <w:r>
        <w:rPr>
          <w:spacing w:val="-11"/>
          <w:sz w:val="24"/>
          <w:highlight w:val="none"/>
        </w:rPr>
        <w:t>综合评分法评标步骤：先进行资格性审查</w:t>
      </w:r>
      <w:r>
        <w:rPr>
          <w:sz w:val="24"/>
          <w:highlight w:val="none"/>
        </w:rPr>
        <w:t>（</w:t>
      </w:r>
      <w:r>
        <w:rPr>
          <w:spacing w:val="-12"/>
          <w:sz w:val="24"/>
          <w:highlight w:val="none"/>
        </w:rPr>
        <w:t>详见“投标人须知 第六条”</w:t>
      </w:r>
      <w:r>
        <w:rPr>
          <w:spacing w:val="-41"/>
          <w:sz w:val="24"/>
          <w:highlight w:val="none"/>
        </w:rPr>
        <w:t xml:space="preserve">） </w:t>
      </w:r>
      <w:r>
        <w:rPr>
          <w:sz w:val="24"/>
          <w:highlight w:val="none"/>
        </w:rPr>
        <w:t>和符合性审查（</w:t>
      </w:r>
      <w:r>
        <w:rPr>
          <w:spacing w:val="-6"/>
          <w:sz w:val="24"/>
          <w:highlight w:val="none"/>
        </w:rPr>
        <w:t xml:space="preserve">详见“投标人须知 第 </w:t>
      </w:r>
      <w:r>
        <w:rPr>
          <w:sz w:val="24"/>
          <w:highlight w:val="none"/>
        </w:rPr>
        <w:t>7.3</w:t>
      </w:r>
      <w:r>
        <w:rPr>
          <w:spacing w:val="-24"/>
          <w:sz w:val="24"/>
          <w:highlight w:val="none"/>
        </w:rPr>
        <w:t xml:space="preserve"> 条</w:t>
      </w:r>
      <w:r>
        <w:rPr>
          <w:sz w:val="24"/>
          <w:highlight w:val="none"/>
        </w:rPr>
        <w:t>”），再对技术、商务及价格等评</w:t>
      </w:r>
      <w:r>
        <w:rPr>
          <w:spacing w:val="-10"/>
          <w:sz w:val="24"/>
          <w:highlight w:val="none"/>
        </w:rPr>
        <w:t>审因素进行综合评审。只有通过资格性检查和符合性审查的投标文件才能进入综合评审。</w:t>
      </w:r>
    </w:p>
    <w:p>
      <w:pPr>
        <w:pStyle w:val="20"/>
        <w:numPr>
          <w:ilvl w:val="1"/>
          <w:numId w:val="28"/>
        </w:numPr>
        <w:tabs>
          <w:tab w:val="left" w:pos="1560"/>
        </w:tabs>
        <w:spacing w:before="1" w:after="0" w:line="374" w:lineRule="auto"/>
        <w:ind w:left="660" w:right="1271" w:firstLine="480"/>
        <w:jc w:val="both"/>
        <w:rPr>
          <w:sz w:val="24"/>
          <w:highlight w:val="none"/>
        </w:rPr>
      </w:pPr>
      <w:r>
        <w:rPr>
          <w:spacing w:val="-5"/>
          <w:sz w:val="24"/>
          <w:highlight w:val="none"/>
        </w:rPr>
        <w:t>综合评分及其统计：按照评标程序、评分标准以及权重分配的规定，评标委员会成员分别对各投标文件的各项评审因素进行评价打分，经汇总各评审因</w:t>
      </w:r>
      <w:r>
        <w:rPr>
          <w:spacing w:val="-8"/>
          <w:sz w:val="24"/>
          <w:highlight w:val="none"/>
        </w:rPr>
        <w:t>素得分</w:t>
      </w:r>
      <w:r>
        <w:rPr>
          <w:sz w:val="24"/>
          <w:highlight w:val="none"/>
        </w:rPr>
        <w:t>（价格评分除外</w:t>
      </w:r>
      <w:r>
        <w:rPr>
          <w:spacing w:val="-24"/>
          <w:sz w:val="24"/>
          <w:highlight w:val="none"/>
        </w:rPr>
        <w:t>）</w:t>
      </w:r>
      <w:r>
        <w:rPr>
          <w:spacing w:val="-6"/>
          <w:sz w:val="24"/>
          <w:highlight w:val="none"/>
        </w:rPr>
        <w:t>后取平均值，再与价格评分相加即得综合得分。综合得</w:t>
      </w:r>
      <w:r>
        <w:rPr>
          <w:spacing w:val="-7"/>
          <w:sz w:val="24"/>
          <w:highlight w:val="none"/>
        </w:rPr>
        <w:t>分按由高到低顺序排列。得分相同的，按投标报价由低到高顺序排列。得分且投</w:t>
      </w:r>
      <w:r>
        <w:rPr>
          <w:spacing w:val="-9"/>
          <w:sz w:val="24"/>
          <w:highlight w:val="none"/>
        </w:rPr>
        <w:t>标报价相同的并列。投标文件满足招标文件全部实质性要求，且按照评审因素的</w:t>
      </w:r>
      <w:r>
        <w:rPr>
          <w:spacing w:val="-5"/>
          <w:sz w:val="24"/>
          <w:highlight w:val="none"/>
        </w:rPr>
        <w:t>量化指标评审得分最高的投标人为排名第一的中标候选人。综合得分次高的投标</w:t>
      </w:r>
      <w:r>
        <w:rPr>
          <w:sz w:val="24"/>
          <w:highlight w:val="none"/>
        </w:rPr>
        <w:t>人为第二中标候选人，以此类推。</w:t>
      </w:r>
    </w:p>
    <w:p>
      <w:pPr>
        <w:pStyle w:val="20"/>
        <w:numPr>
          <w:ilvl w:val="1"/>
          <w:numId w:val="28"/>
        </w:numPr>
        <w:tabs>
          <w:tab w:val="left" w:pos="1560"/>
        </w:tabs>
        <w:spacing w:before="2" w:after="0" w:line="240" w:lineRule="auto"/>
        <w:ind w:left="1560" w:right="0" w:hanging="420"/>
        <w:jc w:val="both"/>
        <w:rPr>
          <w:sz w:val="24"/>
          <w:highlight w:val="none"/>
        </w:rPr>
      </w:pPr>
      <w:r>
        <w:rPr>
          <w:spacing w:val="-4"/>
          <w:sz w:val="24"/>
          <w:highlight w:val="none"/>
        </w:rPr>
        <w:t xml:space="preserve">投标报价得分计算公式详见“投标人须知 第 </w:t>
      </w:r>
      <w:r>
        <w:rPr>
          <w:sz w:val="24"/>
          <w:highlight w:val="none"/>
        </w:rPr>
        <w:t>7.5.5、7.5.6</w:t>
      </w:r>
      <w:r>
        <w:rPr>
          <w:spacing w:val="-10"/>
          <w:sz w:val="24"/>
          <w:highlight w:val="none"/>
        </w:rPr>
        <w:t xml:space="preserve"> 条”规定。</w:t>
      </w:r>
    </w:p>
    <w:p>
      <w:pPr>
        <w:pStyle w:val="10"/>
        <w:spacing w:before="164"/>
        <w:ind w:left="1084"/>
        <w:rPr>
          <w:highlight w:val="none"/>
        </w:rPr>
      </w:pPr>
      <w:r>
        <w:rPr>
          <w:highlight w:val="none"/>
        </w:rPr>
        <w:t>评标参数及值表：</w:t>
      </w:r>
    </w:p>
    <w:p>
      <w:pPr>
        <w:pStyle w:val="5"/>
        <w:spacing w:before="2"/>
        <w:rPr>
          <w:sz w:val="10"/>
          <w:highlight w:val="none"/>
        </w:rPr>
      </w:pPr>
    </w:p>
    <w:tbl>
      <w:tblPr>
        <w:tblStyle w:val="17"/>
        <w:tblW w:w="0" w:type="auto"/>
        <w:tblInd w:w="123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60"/>
        <w:gridCol w:w="3118"/>
        <w:gridCol w:w="29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9" w:hRule="atLeast"/>
        </w:trPr>
        <w:tc>
          <w:tcPr>
            <w:tcW w:w="1560" w:type="dxa"/>
            <w:shd w:val="clear" w:color="auto" w:fill="D9D9D9"/>
          </w:tcPr>
          <w:p>
            <w:pPr>
              <w:pStyle w:val="21"/>
              <w:spacing w:before="143"/>
              <w:ind w:left="299"/>
              <w:rPr>
                <w:sz w:val="24"/>
                <w:highlight w:val="none"/>
              </w:rPr>
            </w:pPr>
            <w:r>
              <w:rPr>
                <w:sz w:val="24"/>
                <w:highlight w:val="none"/>
              </w:rPr>
              <w:t>评审因素</w:t>
            </w:r>
          </w:p>
        </w:tc>
        <w:tc>
          <w:tcPr>
            <w:tcW w:w="3118" w:type="dxa"/>
            <w:shd w:val="clear" w:color="auto" w:fill="D9D9D9"/>
          </w:tcPr>
          <w:p>
            <w:pPr>
              <w:pStyle w:val="21"/>
              <w:spacing w:before="143"/>
              <w:ind w:left="577" w:right="566"/>
              <w:jc w:val="center"/>
              <w:rPr>
                <w:sz w:val="24"/>
                <w:highlight w:val="none"/>
              </w:rPr>
            </w:pPr>
            <w:r>
              <w:rPr>
                <w:sz w:val="24"/>
                <w:highlight w:val="none"/>
              </w:rPr>
              <w:t>技术、商务等评分</w:t>
            </w:r>
          </w:p>
        </w:tc>
        <w:tc>
          <w:tcPr>
            <w:tcW w:w="2976" w:type="dxa"/>
            <w:tcBorders>
              <w:right w:val="single" w:color="000000" w:sz="4" w:space="0"/>
            </w:tcBorders>
            <w:shd w:val="clear" w:color="auto" w:fill="D9D9D9"/>
          </w:tcPr>
          <w:p>
            <w:pPr>
              <w:pStyle w:val="21"/>
              <w:spacing w:before="143"/>
              <w:ind w:left="986" w:right="976"/>
              <w:jc w:val="center"/>
              <w:rPr>
                <w:sz w:val="24"/>
                <w:highlight w:val="none"/>
              </w:rPr>
            </w:pPr>
            <w:r>
              <w:rPr>
                <w:sz w:val="24"/>
                <w:highlight w:val="none"/>
              </w:rPr>
              <w:t>价格评分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trPr>
        <w:tc>
          <w:tcPr>
            <w:tcW w:w="1560" w:type="dxa"/>
          </w:tcPr>
          <w:p>
            <w:pPr>
              <w:pStyle w:val="21"/>
              <w:tabs>
                <w:tab w:val="left" w:pos="1019"/>
              </w:tabs>
              <w:spacing w:before="143"/>
              <w:ind w:left="299"/>
              <w:rPr>
                <w:sz w:val="24"/>
                <w:highlight w:val="none"/>
              </w:rPr>
            </w:pPr>
            <w:r>
              <w:rPr>
                <w:sz w:val="24"/>
                <w:highlight w:val="none"/>
              </w:rPr>
              <w:t>权</w:t>
            </w:r>
            <w:r>
              <w:rPr>
                <w:sz w:val="24"/>
                <w:highlight w:val="none"/>
              </w:rPr>
              <w:tab/>
            </w:r>
            <w:r>
              <w:rPr>
                <w:sz w:val="24"/>
                <w:highlight w:val="none"/>
              </w:rPr>
              <w:t>重</w:t>
            </w:r>
          </w:p>
        </w:tc>
        <w:tc>
          <w:tcPr>
            <w:tcW w:w="3118" w:type="dxa"/>
          </w:tcPr>
          <w:p>
            <w:pPr>
              <w:pStyle w:val="21"/>
              <w:spacing w:before="143"/>
              <w:ind w:left="577" w:right="566"/>
              <w:jc w:val="center"/>
              <w:rPr>
                <w:sz w:val="24"/>
                <w:highlight w:val="none"/>
              </w:rPr>
            </w:pPr>
            <w:r>
              <w:rPr>
                <w:sz w:val="24"/>
                <w:highlight w:val="none"/>
              </w:rPr>
              <w:t>70%</w:t>
            </w:r>
          </w:p>
        </w:tc>
        <w:tc>
          <w:tcPr>
            <w:tcW w:w="2976" w:type="dxa"/>
            <w:tcBorders>
              <w:right w:val="single" w:color="000000" w:sz="4" w:space="0"/>
            </w:tcBorders>
          </w:tcPr>
          <w:p>
            <w:pPr>
              <w:pStyle w:val="21"/>
              <w:spacing w:before="143"/>
              <w:ind w:left="986" w:right="975"/>
              <w:jc w:val="center"/>
              <w:rPr>
                <w:sz w:val="24"/>
                <w:highlight w:val="none"/>
              </w:rPr>
            </w:pPr>
            <w:r>
              <w:rPr>
                <w:sz w:val="24"/>
                <w:highlight w:val="none"/>
              </w:rPr>
              <w:t>30%</w:t>
            </w:r>
          </w:p>
        </w:tc>
      </w:tr>
    </w:tbl>
    <w:p>
      <w:pPr>
        <w:pStyle w:val="5"/>
        <w:spacing w:before="3"/>
        <w:rPr>
          <w:sz w:val="30"/>
          <w:highlight w:val="none"/>
        </w:rPr>
      </w:pPr>
    </w:p>
    <w:p>
      <w:pPr>
        <w:pStyle w:val="8"/>
        <w:numPr>
          <w:ilvl w:val="0"/>
          <w:numId w:val="27"/>
        </w:numPr>
        <w:tabs>
          <w:tab w:val="left" w:pos="1148"/>
        </w:tabs>
        <w:spacing w:before="0" w:after="0" w:line="240" w:lineRule="auto"/>
        <w:ind w:left="1147" w:right="0" w:hanging="486"/>
        <w:jc w:val="left"/>
        <w:rPr>
          <w:highlight w:val="none"/>
        </w:rPr>
      </w:pPr>
      <w:r>
        <w:rPr>
          <w:highlight w:val="none"/>
        </w:rPr>
        <w:t>评审点及标准</w:t>
      </w:r>
    </w:p>
    <w:p>
      <w:pPr>
        <w:pStyle w:val="5"/>
        <w:spacing w:before="184"/>
        <w:ind w:left="1080"/>
        <w:rPr>
          <w:highlight w:val="none"/>
        </w:rPr>
      </w:pPr>
      <w:r>
        <w:rPr>
          <w:highlight w:val="none"/>
        </w:rPr>
        <w:t>参见《资格性审查标准》及《符合性审查标准》中的相关要求。</w:t>
      </w:r>
    </w:p>
    <w:p>
      <w:pPr>
        <w:spacing w:after="0"/>
        <w:rPr>
          <w:highlight w:val="none"/>
        </w:rPr>
        <w:sectPr>
          <w:pgSz w:w="11900" w:h="16840"/>
          <w:pgMar w:top="1600" w:right="520" w:bottom="1380" w:left="1140" w:header="0" w:footer="1119" w:gutter="0"/>
          <w:pgNumType w:fmt="decimal"/>
          <w:cols w:space="720" w:num="1"/>
        </w:sectPr>
      </w:pPr>
    </w:p>
    <w:p>
      <w:pPr>
        <w:pStyle w:val="8"/>
        <w:numPr>
          <w:ilvl w:val="0"/>
          <w:numId w:val="27"/>
        </w:numPr>
        <w:tabs>
          <w:tab w:val="left" w:pos="1148"/>
        </w:tabs>
        <w:spacing w:before="27" w:after="0" w:line="240" w:lineRule="auto"/>
        <w:ind w:left="1147" w:right="0" w:hanging="486"/>
        <w:jc w:val="left"/>
        <w:rPr>
          <w:highlight w:val="none"/>
        </w:rPr>
      </w:pPr>
      <w:r>
        <w:rPr>
          <w:highlight w:val="none"/>
        </w:rPr>
        <w:t>评分点及标准</w:t>
      </w:r>
    </w:p>
    <w:p>
      <w:pPr>
        <w:spacing w:before="239"/>
        <w:ind w:left="1080" w:right="0" w:firstLine="0"/>
        <w:jc w:val="left"/>
        <w:rPr>
          <w:sz w:val="24"/>
          <w:highlight w:val="none"/>
        </w:rPr>
      </w:pPr>
      <w:r>
        <w:rPr>
          <w:sz w:val="24"/>
          <w:highlight w:val="none"/>
        </w:rPr>
        <w:t>参见</w:t>
      </w:r>
      <w:r>
        <w:rPr>
          <w:sz w:val="28"/>
          <w:highlight w:val="none"/>
        </w:rPr>
        <w:t>《详细评审标准》</w:t>
      </w:r>
      <w:r>
        <w:rPr>
          <w:sz w:val="24"/>
          <w:highlight w:val="none"/>
        </w:rPr>
        <w:t>中的相关要求。</w:t>
      </w:r>
    </w:p>
    <w:p>
      <w:pPr>
        <w:spacing w:after="0"/>
        <w:jc w:val="left"/>
        <w:rPr>
          <w:sz w:val="24"/>
          <w:highlight w:val="none"/>
        </w:rPr>
        <w:sectPr>
          <w:pgSz w:w="11900" w:h="16840"/>
          <w:pgMar w:top="1520" w:right="520" w:bottom="1380" w:left="1140" w:header="0" w:footer="1119" w:gutter="0"/>
          <w:pgNumType w:fmt="decimal"/>
          <w:cols w:space="720" w:num="1"/>
        </w:sectPr>
      </w:pPr>
    </w:p>
    <w:p>
      <w:pPr>
        <w:pStyle w:val="6"/>
        <w:rPr>
          <w:highlight w:val="none"/>
        </w:rPr>
      </w:pPr>
      <w:bookmarkStart w:id="4" w:name="_TOC_250001"/>
      <w:bookmarkEnd w:id="4"/>
      <w:r>
        <w:rPr>
          <w:highlight w:val="none"/>
        </w:rPr>
        <w:t>第五章 合同文本</w:t>
      </w:r>
    </w:p>
    <w:p>
      <w:pPr>
        <w:spacing w:after="0"/>
        <w:rPr>
          <w:highlight w:val="none"/>
        </w:rPr>
      </w:pPr>
    </w:p>
    <w:p>
      <w:pPr>
        <w:pStyle w:val="7"/>
        <w:jc w:val="center"/>
        <w:rPr>
          <w:rFonts w:hint="default" w:eastAsia="宋体"/>
          <w:highlight w:val="none"/>
          <w:lang w:val="en-US" w:eastAsia="zh-CN"/>
        </w:rPr>
        <w:sectPr>
          <w:pgSz w:w="11900" w:h="16840"/>
          <w:pgMar w:top="1460" w:right="520" w:bottom="1380" w:left="1140" w:header="0" w:footer="1119" w:gutter="0"/>
          <w:pgNumType w:fmt="decimal"/>
          <w:cols w:space="720" w:num="1"/>
        </w:sectPr>
      </w:pPr>
      <w:r>
        <w:rPr>
          <w:rFonts w:hint="eastAsia"/>
          <w:highlight w:val="none"/>
          <w:lang w:val="en-US" w:eastAsia="zh-CN"/>
        </w:rPr>
        <w:t>（文本只做参考具体以双方签订为准）</w:t>
      </w:r>
    </w:p>
    <w:p>
      <w:pPr>
        <w:pStyle w:val="9"/>
        <w:tabs>
          <w:tab w:val="left" w:pos="3005"/>
        </w:tabs>
        <w:rPr>
          <w:rFonts w:ascii="Times New Roman" w:eastAsia="Times New Roman"/>
          <w:highlight w:val="none"/>
        </w:rPr>
      </w:pPr>
      <w:r>
        <w:rPr>
          <w:highlight w:val="none"/>
        </w:rPr>
        <w:t>合同编号：</w:t>
      </w:r>
      <w:r>
        <w:rPr>
          <w:rFonts w:ascii="Times New Roman" w:eastAsia="Times New Roman"/>
          <w:highlight w:val="none"/>
          <w:u w:val="single"/>
        </w:rPr>
        <w:t xml:space="preserve"> </w:t>
      </w:r>
      <w:r>
        <w:rPr>
          <w:rFonts w:ascii="Times New Roman" w:eastAsia="Times New Roman"/>
          <w:highlight w:val="none"/>
          <w:u w:val="single"/>
        </w:rPr>
        <w:tab/>
      </w:r>
    </w:p>
    <w:p>
      <w:pPr>
        <w:pStyle w:val="5"/>
        <w:rPr>
          <w:rFonts w:ascii="Times New Roman"/>
          <w:sz w:val="20"/>
          <w:highlight w:val="none"/>
        </w:rPr>
      </w:pPr>
    </w:p>
    <w:p>
      <w:pPr>
        <w:pStyle w:val="5"/>
        <w:rPr>
          <w:rFonts w:ascii="Times New Roman"/>
          <w:sz w:val="20"/>
          <w:highlight w:val="none"/>
        </w:rPr>
      </w:pPr>
    </w:p>
    <w:p>
      <w:pPr>
        <w:pStyle w:val="5"/>
        <w:rPr>
          <w:rFonts w:ascii="Times New Roman"/>
          <w:sz w:val="20"/>
          <w:highlight w:val="none"/>
        </w:rPr>
      </w:pPr>
    </w:p>
    <w:p>
      <w:pPr>
        <w:pStyle w:val="5"/>
        <w:rPr>
          <w:rFonts w:ascii="Times New Roman"/>
          <w:sz w:val="20"/>
          <w:highlight w:val="none"/>
        </w:rPr>
      </w:pPr>
    </w:p>
    <w:p>
      <w:pPr>
        <w:pStyle w:val="5"/>
        <w:rPr>
          <w:rFonts w:ascii="Times New Roman"/>
          <w:sz w:val="20"/>
          <w:highlight w:val="none"/>
        </w:rPr>
      </w:pPr>
    </w:p>
    <w:p>
      <w:pPr>
        <w:pStyle w:val="5"/>
        <w:rPr>
          <w:rFonts w:ascii="Times New Roman"/>
          <w:sz w:val="20"/>
          <w:highlight w:val="none"/>
        </w:rPr>
      </w:pPr>
    </w:p>
    <w:p>
      <w:pPr>
        <w:pStyle w:val="5"/>
        <w:rPr>
          <w:rFonts w:ascii="Times New Roman"/>
          <w:sz w:val="20"/>
          <w:highlight w:val="none"/>
        </w:rPr>
      </w:pPr>
    </w:p>
    <w:p>
      <w:pPr>
        <w:spacing w:before="149"/>
        <w:ind w:left="0" w:right="441" w:firstLine="0"/>
        <w:jc w:val="center"/>
        <w:rPr>
          <w:sz w:val="72"/>
          <w:highlight w:val="none"/>
        </w:rPr>
      </w:pPr>
      <w:r>
        <w:rPr>
          <w:sz w:val="72"/>
          <w:highlight w:val="none"/>
        </w:rPr>
        <w:t>海南省政府采购项目</w:t>
      </w:r>
    </w:p>
    <w:p>
      <w:pPr>
        <w:pStyle w:val="5"/>
        <w:rPr>
          <w:sz w:val="83"/>
          <w:highlight w:val="none"/>
        </w:rPr>
      </w:pPr>
    </w:p>
    <w:p>
      <w:pPr>
        <w:tabs>
          <w:tab w:val="left" w:pos="1977"/>
          <w:tab w:val="left" w:pos="3955"/>
        </w:tabs>
        <w:spacing w:before="1"/>
        <w:ind w:left="0" w:right="441" w:firstLine="0"/>
        <w:jc w:val="center"/>
        <w:rPr>
          <w:sz w:val="110"/>
          <w:highlight w:val="none"/>
        </w:rPr>
      </w:pPr>
      <w:r>
        <w:rPr>
          <w:sz w:val="110"/>
          <w:highlight w:val="none"/>
        </w:rPr>
        <w:t>合</w:t>
      </w:r>
      <w:r>
        <w:rPr>
          <w:sz w:val="110"/>
          <w:highlight w:val="none"/>
        </w:rPr>
        <w:tab/>
      </w:r>
      <w:r>
        <w:rPr>
          <w:sz w:val="110"/>
          <w:highlight w:val="none"/>
        </w:rPr>
        <w:t>同</w:t>
      </w:r>
      <w:r>
        <w:rPr>
          <w:sz w:val="110"/>
          <w:highlight w:val="none"/>
        </w:rPr>
        <w:tab/>
      </w:r>
      <w:r>
        <w:rPr>
          <w:sz w:val="110"/>
          <w:highlight w:val="none"/>
        </w:rPr>
        <w:t>书</w:t>
      </w:r>
    </w:p>
    <w:p>
      <w:pPr>
        <w:pStyle w:val="5"/>
        <w:rPr>
          <w:sz w:val="110"/>
          <w:highlight w:val="none"/>
        </w:rPr>
      </w:pPr>
    </w:p>
    <w:p>
      <w:pPr>
        <w:pStyle w:val="5"/>
        <w:spacing w:before="12"/>
        <w:rPr>
          <w:sz w:val="140"/>
          <w:highlight w:val="none"/>
        </w:rPr>
      </w:pPr>
    </w:p>
    <w:p>
      <w:pPr>
        <w:pStyle w:val="8"/>
        <w:tabs>
          <w:tab w:val="left" w:pos="4610"/>
          <w:tab w:val="left" w:pos="7089"/>
        </w:tabs>
        <w:spacing w:line="364" w:lineRule="auto"/>
        <w:ind w:left="2037" w:right="3148"/>
        <w:jc w:val="both"/>
        <w:rPr>
          <w:highlight w:val="none"/>
        </w:rPr>
      </w:pPr>
      <w:r>
        <w:rPr>
          <w:highlight w:val="none"/>
        </w:rPr>
        <w:t>项目名称</w:t>
      </w:r>
      <w:r>
        <w:rPr>
          <w:spacing w:val="-3"/>
          <w:highlight w:val="none"/>
        </w:rPr>
        <w:t>：</w:t>
      </w:r>
      <w:r>
        <w:rPr>
          <w:spacing w:val="-3"/>
          <w:highlight w:val="none"/>
          <w:u w:val="single"/>
        </w:rPr>
        <w:tab/>
      </w:r>
      <w:r>
        <w:rPr>
          <w:spacing w:val="-3"/>
          <w:highlight w:val="none"/>
          <w:u w:val="single"/>
        </w:rPr>
        <w:tab/>
      </w:r>
      <w:r>
        <w:rPr>
          <w:highlight w:val="none"/>
          <w:u w:val="single"/>
        </w:rPr>
        <w:t xml:space="preserve">                    </w:t>
      </w:r>
      <w:r>
        <w:rPr>
          <w:highlight w:val="none"/>
        </w:rPr>
        <w:t>项目编号</w:t>
      </w:r>
      <w:r>
        <w:rPr>
          <w:spacing w:val="-3"/>
          <w:highlight w:val="none"/>
        </w:rPr>
        <w:t>：</w:t>
      </w:r>
      <w:r>
        <w:rPr>
          <w:spacing w:val="-3"/>
          <w:highlight w:val="none"/>
          <w:u w:val="single"/>
        </w:rPr>
        <w:tab/>
      </w:r>
      <w:r>
        <w:rPr>
          <w:spacing w:val="-3"/>
          <w:highlight w:val="none"/>
          <w:u w:val="single"/>
        </w:rPr>
        <w:tab/>
      </w:r>
      <w:r>
        <w:rPr>
          <w:highlight w:val="none"/>
          <w:u w:val="single"/>
        </w:rPr>
        <w:t xml:space="preserve"> </w:t>
      </w:r>
      <w:r>
        <w:rPr>
          <w:highlight w:val="none"/>
        </w:rPr>
        <w:t xml:space="preserve">甲   </w:t>
      </w:r>
      <w:r>
        <w:rPr>
          <w:spacing w:val="4"/>
          <w:highlight w:val="none"/>
        </w:rPr>
        <w:t xml:space="preserve"> </w:t>
      </w:r>
      <w:r>
        <w:rPr>
          <w:highlight w:val="none"/>
        </w:rPr>
        <w:t>方</w:t>
      </w:r>
      <w:r>
        <w:rPr>
          <w:spacing w:val="-3"/>
          <w:highlight w:val="none"/>
        </w:rPr>
        <w:t>：</w:t>
      </w:r>
      <w:r>
        <w:rPr>
          <w:rFonts w:ascii="Times New Roman" w:eastAsia="Times New Roman"/>
          <w:w w:val="99"/>
          <w:highlight w:val="none"/>
          <w:u w:val="single"/>
        </w:rPr>
        <w:t xml:space="preserve"> </w:t>
      </w:r>
      <w:r>
        <w:rPr>
          <w:rFonts w:ascii="Times New Roman" w:eastAsia="Times New Roman"/>
          <w:highlight w:val="none"/>
          <w:u w:val="single"/>
        </w:rPr>
        <w:tab/>
      </w:r>
      <w:r>
        <w:rPr>
          <w:rFonts w:ascii="Times New Roman" w:eastAsia="Times New Roman"/>
          <w:highlight w:val="none"/>
          <w:u w:val="single"/>
        </w:rPr>
        <w:tab/>
      </w:r>
      <w:r>
        <w:rPr>
          <w:rFonts w:ascii="Times New Roman" w:eastAsia="Times New Roman"/>
          <w:highlight w:val="none"/>
          <w:u w:val="single"/>
        </w:rPr>
        <w:t xml:space="preserve"> </w:t>
      </w:r>
      <w:r>
        <w:rPr>
          <w:highlight w:val="none"/>
        </w:rPr>
        <w:t xml:space="preserve">乙   </w:t>
      </w:r>
      <w:r>
        <w:rPr>
          <w:spacing w:val="4"/>
          <w:highlight w:val="none"/>
        </w:rPr>
        <w:t xml:space="preserve"> </w:t>
      </w:r>
      <w:r>
        <w:rPr>
          <w:highlight w:val="none"/>
        </w:rPr>
        <w:t>方</w:t>
      </w:r>
      <w:r>
        <w:rPr>
          <w:spacing w:val="-3"/>
          <w:highlight w:val="none"/>
        </w:rPr>
        <w:t>：</w:t>
      </w:r>
      <w:r>
        <w:rPr>
          <w:rFonts w:ascii="Times New Roman" w:eastAsia="Times New Roman"/>
          <w:w w:val="99"/>
          <w:highlight w:val="none"/>
          <w:u w:val="single"/>
        </w:rPr>
        <w:t xml:space="preserve"> </w:t>
      </w:r>
      <w:r>
        <w:rPr>
          <w:rFonts w:ascii="Times New Roman" w:eastAsia="Times New Roman"/>
          <w:highlight w:val="none"/>
          <w:u w:val="single"/>
        </w:rPr>
        <w:tab/>
      </w:r>
      <w:r>
        <w:rPr>
          <w:rFonts w:ascii="Times New Roman" w:eastAsia="Times New Roman"/>
          <w:highlight w:val="none"/>
          <w:u w:val="single"/>
        </w:rPr>
        <w:tab/>
      </w:r>
      <w:r>
        <w:rPr>
          <w:rFonts w:ascii="Times New Roman" w:eastAsia="Times New Roman"/>
          <w:highlight w:val="none"/>
          <w:u w:val="single"/>
        </w:rPr>
        <w:t xml:space="preserve">                    </w:t>
      </w:r>
      <w:r>
        <w:rPr>
          <w:highlight w:val="none"/>
        </w:rPr>
        <w:t>签订日期</w:t>
      </w:r>
      <w:r>
        <w:rPr>
          <w:spacing w:val="-3"/>
          <w:highlight w:val="none"/>
        </w:rPr>
        <w:t>：</w:t>
      </w:r>
      <w:r>
        <w:rPr>
          <w:spacing w:val="-3"/>
          <w:highlight w:val="none"/>
          <w:u w:val="single"/>
        </w:rPr>
        <w:t xml:space="preserve"> </w:t>
      </w:r>
      <w:r>
        <w:rPr>
          <w:spacing w:val="-3"/>
          <w:highlight w:val="none"/>
          <w:u w:val="single"/>
        </w:rPr>
        <w:tab/>
      </w:r>
      <w:r>
        <w:rPr>
          <w:spacing w:val="-3"/>
          <w:highlight w:val="none"/>
        </w:rPr>
        <w:t>年 月</w:t>
      </w:r>
      <w:r>
        <w:rPr>
          <w:spacing w:val="31"/>
          <w:highlight w:val="none"/>
          <w:u w:val="single"/>
        </w:rPr>
        <w:t xml:space="preserve"> </w:t>
      </w:r>
      <w:r>
        <w:rPr>
          <w:highlight w:val="none"/>
        </w:rPr>
        <w:t>日</w:t>
      </w:r>
    </w:p>
    <w:p>
      <w:pPr>
        <w:spacing w:after="0" w:line="364" w:lineRule="auto"/>
        <w:jc w:val="both"/>
        <w:rPr>
          <w:highlight w:val="none"/>
        </w:rPr>
        <w:sectPr>
          <w:footerReference r:id="rId7" w:type="default"/>
          <w:pgSz w:w="11900" w:h="16840"/>
          <w:pgMar w:top="1400" w:right="520" w:bottom="1160" w:left="1140" w:header="0" w:footer="976" w:gutter="0"/>
          <w:pgNumType w:fmt="decimal"/>
          <w:cols w:space="720" w:num="1"/>
        </w:sectPr>
      </w:pPr>
    </w:p>
    <w:p>
      <w:pPr>
        <w:pStyle w:val="8"/>
        <w:spacing w:before="44"/>
        <w:ind w:left="0" w:right="434"/>
        <w:jc w:val="center"/>
        <w:rPr>
          <w:highlight w:val="none"/>
        </w:rPr>
      </w:pPr>
      <w:r>
        <w:rPr>
          <w:highlight w:val="none"/>
        </w:rPr>
        <w:t>合同专用条款</w:t>
      </w:r>
    </w:p>
    <w:p>
      <w:pPr>
        <w:pStyle w:val="5"/>
        <w:rPr>
          <w:sz w:val="32"/>
          <w:highlight w:val="none"/>
        </w:rPr>
      </w:pPr>
    </w:p>
    <w:p>
      <w:pPr>
        <w:pStyle w:val="5"/>
        <w:spacing w:before="9"/>
        <w:rPr>
          <w:sz w:val="32"/>
          <w:highlight w:val="none"/>
        </w:rPr>
      </w:pPr>
    </w:p>
    <w:p>
      <w:pPr>
        <w:pStyle w:val="10"/>
        <w:tabs>
          <w:tab w:val="left" w:pos="3355"/>
        </w:tabs>
        <w:spacing w:before="1" w:line="364" w:lineRule="auto"/>
        <w:ind w:left="107" w:right="467" w:firstLine="559"/>
        <w:jc w:val="both"/>
        <w:rPr>
          <w:highlight w:val="none"/>
        </w:rPr>
      </w:pPr>
      <w:r>
        <w:rPr>
          <w:rFonts w:ascii="Times New Roman" w:eastAsia="Times New Roman"/>
          <w:w w:val="100"/>
          <w:highlight w:val="none"/>
          <w:u w:val="single"/>
        </w:rPr>
        <w:t xml:space="preserve"> </w:t>
      </w:r>
      <w:r>
        <w:rPr>
          <w:rFonts w:ascii="Times New Roman" w:eastAsia="Times New Roman"/>
          <w:highlight w:val="none"/>
          <w:u w:val="single"/>
        </w:rPr>
        <w:t xml:space="preserve">   </w:t>
      </w:r>
      <w:r>
        <w:rPr>
          <w:highlight w:val="none"/>
          <w:u w:val="single"/>
        </w:rPr>
        <w:t>（采</w:t>
      </w:r>
      <w:r>
        <w:rPr>
          <w:spacing w:val="-3"/>
          <w:highlight w:val="none"/>
          <w:u w:val="single"/>
        </w:rPr>
        <w:t>购</w:t>
      </w:r>
      <w:r>
        <w:rPr>
          <w:highlight w:val="none"/>
          <w:u w:val="single"/>
        </w:rPr>
        <w:t>人名</w:t>
      </w:r>
      <w:r>
        <w:rPr>
          <w:spacing w:val="-3"/>
          <w:highlight w:val="none"/>
          <w:u w:val="single"/>
        </w:rPr>
        <w:t>称</w:t>
      </w:r>
      <w:r>
        <w:rPr>
          <w:highlight w:val="none"/>
          <w:u w:val="single"/>
        </w:rPr>
        <w:t xml:space="preserve">） </w:t>
      </w:r>
      <w:r>
        <w:rPr>
          <w:spacing w:val="4"/>
          <w:highlight w:val="none"/>
          <w:u w:val="single"/>
        </w:rPr>
        <w:t xml:space="preserve"> </w:t>
      </w:r>
      <w:r>
        <w:rPr>
          <w:highlight w:val="none"/>
        </w:rPr>
        <w:t>以</w:t>
      </w:r>
      <w:r>
        <w:rPr>
          <w:highlight w:val="none"/>
          <w:u w:val="single"/>
        </w:rPr>
        <w:t xml:space="preserve"> </w:t>
      </w:r>
      <w:r>
        <w:rPr>
          <w:spacing w:val="4"/>
          <w:highlight w:val="none"/>
          <w:u w:val="single"/>
        </w:rPr>
        <w:t xml:space="preserve"> </w:t>
      </w:r>
      <w:r>
        <w:rPr>
          <w:highlight w:val="none"/>
          <w:u w:val="single"/>
        </w:rPr>
        <w:t>（</w:t>
      </w:r>
      <w:r>
        <w:rPr>
          <w:spacing w:val="-3"/>
          <w:highlight w:val="none"/>
          <w:u w:val="single"/>
        </w:rPr>
        <w:t>政</w:t>
      </w:r>
      <w:r>
        <w:rPr>
          <w:highlight w:val="none"/>
          <w:u w:val="single"/>
        </w:rPr>
        <w:t>府采</w:t>
      </w:r>
      <w:r>
        <w:rPr>
          <w:spacing w:val="-3"/>
          <w:highlight w:val="none"/>
          <w:u w:val="single"/>
        </w:rPr>
        <w:t>购</w:t>
      </w:r>
      <w:r>
        <w:rPr>
          <w:highlight w:val="none"/>
          <w:u w:val="single"/>
        </w:rPr>
        <w:t xml:space="preserve">方式） </w:t>
      </w:r>
      <w:r>
        <w:rPr>
          <w:spacing w:val="1"/>
          <w:highlight w:val="none"/>
          <w:u w:val="single"/>
        </w:rPr>
        <w:t xml:space="preserve"> </w:t>
      </w:r>
      <w:r>
        <w:rPr>
          <w:highlight w:val="none"/>
        </w:rPr>
        <w:t>对</w:t>
      </w:r>
      <w:r>
        <w:rPr>
          <w:highlight w:val="none"/>
          <w:u w:val="single"/>
        </w:rPr>
        <w:t xml:space="preserve">  </w:t>
      </w:r>
      <w:r>
        <w:rPr>
          <w:spacing w:val="3"/>
          <w:highlight w:val="none"/>
          <w:u w:val="single"/>
        </w:rPr>
        <w:t xml:space="preserve"> </w:t>
      </w:r>
      <w:r>
        <w:rPr>
          <w:highlight w:val="none"/>
          <w:u w:val="single"/>
        </w:rPr>
        <w:t>（</w:t>
      </w:r>
      <w:r>
        <w:rPr>
          <w:spacing w:val="-3"/>
          <w:highlight w:val="none"/>
          <w:u w:val="single"/>
        </w:rPr>
        <w:t>同</w:t>
      </w:r>
      <w:r>
        <w:rPr>
          <w:highlight w:val="none"/>
          <w:u w:val="single"/>
        </w:rPr>
        <w:t>前页项</w:t>
      </w:r>
      <w:r>
        <w:rPr>
          <w:spacing w:val="-3"/>
          <w:highlight w:val="none"/>
          <w:u w:val="single"/>
        </w:rPr>
        <w:t>目</w:t>
      </w:r>
      <w:r>
        <w:rPr>
          <w:highlight w:val="none"/>
          <w:u w:val="single"/>
        </w:rPr>
        <w:t>名</w:t>
      </w:r>
      <w:r>
        <w:rPr>
          <w:spacing w:val="-3"/>
          <w:highlight w:val="none"/>
          <w:u w:val="single"/>
        </w:rPr>
        <w:t>称</w:t>
      </w:r>
      <w:r>
        <w:rPr>
          <w:highlight w:val="none"/>
          <w:u w:val="single"/>
        </w:rPr>
        <w:t xml:space="preserve">） </w:t>
      </w:r>
      <w:r>
        <w:rPr>
          <w:highlight w:val="none"/>
        </w:rPr>
        <w:t>项目（项目编号：</w:t>
      </w:r>
      <w:r>
        <w:rPr>
          <w:highlight w:val="none"/>
          <w:u w:val="single"/>
        </w:rPr>
        <w:t xml:space="preserve"> </w:t>
      </w:r>
      <w:r>
        <w:rPr>
          <w:highlight w:val="none"/>
          <w:u w:val="single"/>
        </w:rPr>
        <w:tab/>
      </w:r>
      <w:r>
        <w:rPr>
          <w:highlight w:val="none"/>
        </w:rPr>
        <w:t>）进行了采购，</w:t>
      </w:r>
      <w:r>
        <w:rPr>
          <w:highlight w:val="none"/>
          <w:u w:val="single"/>
        </w:rPr>
        <w:t xml:space="preserve"> </w:t>
      </w:r>
      <w:r>
        <w:rPr>
          <w:spacing w:val="26"/>
          <w:highlight w:val="none"/>
          <w:u w:val="single"/>
        </w:rPr>
        <w:t xml:space="preserve"> </w:t>
      </w:r>
      <w:r>
        <w:rPr>
          <w:highlight w:val="none"/>
          <w:u w:val="single"/>
        </w:rPr>
        <w:t>（中标供应商名称）</w:t>
      </w:r>
      <w:r>
        <w:rPr>
          <w:highlight w:val="none"/>
        </w:rPr>
        <w:t>为该项目中标供应</w:t>
      </w:r>
      <w:r>
        <w:rPr>
          <w:spacing w:val="-3"/>
          <w:highlight w:val="none"/>
        </w:rPr>
        <w:t>商</w:t>
      </w:r>
      <w:r>
        <w:rPr>
          <w:highlight w:val="none"/>
        </w:rPr>
        <w:t>。</w:t>
      </w:r>
    </w:p>
    <w:p>
      <w:pPr>
        <w:pStyle w:val="10"/>
        <w:spacing w:line="364" w:lineRule="auto"/>
        <w:ind w:left="107" w:right="542" w:firstLine="559"/>
        <w:jc w:val="both"/>
        <w:rPr>
          <w:highlight w:val="none"/>
        </w:rPr>
      </w:pPr>
      <w:r>
        <w:rPr>
          <w:highlight w:val="none"/>
          <w:u w:val="single"/>
        </w:rPr>
        <w:t>（采购人名称）</w:t>
      </w:r>
      <w:r>
        <w:rPr>
          <w:spacing w:val="7"/>
          <w:highlight w:val="none"/>
          <w:u w:val="single"/>
        </w:rPr>
        <w:t xml:space="preserve">  </w:t>
      </w:r>
      <w:r>
        <w:rPr>
          <w:highlight w:val="none"/>
        </w:rPr>
        <w:t>(以下简称：甲方)和</w:t>
      </w:r>
      <w:r>
        <w:rPr>
          <w:spacing w:val="8"/>
          <w:highlight w:val="none"/>
          <w:u w:val="single"/>
        </w:rPr>
        <w:t xml:space="preserve">  </w:t>
      </w:r>
      <w:r>
        <w:rPr>
          <w:highlight w:val="none"/>
          <w:u w:val="single"/>
        </w:rPr>
        <w:t>（中标供应商名称）</w:t>
      </w:r>
      <w:r>
        <w:rPr>
          <w:spacing w:val="11"/>
          <w:highlight w:val="none"/>
          <w:u w:val="single"/>
        </w:rPr>
        <w:t xml:space="preserve">  </w:t>
      </w:r>
      <w:r>
        <w:rPr>
          <w:highlight w:val="none"/>
        </w:rPr>
        <w:t>(以下简</w:t>
      </w:r>
      <w:r>
        <w:rPr>
          <w:spacing w:val="-9"/>
          <w:highlight w:val="none"/>
        </w:rPr>
        <w:t>称：乙方)根据《中华人民共和国合同法》、《中华人民共和国政府采购法》等相关法律法规，遵循平等、自愿、公平和诚实信用原则，同意按照下面的条款</w:t>
      </w:r>
      <w:r>
        <w:rPr>
          <w:spacing w:val="-6"/>
          <w:highlight w:val="none"/>
        </w:rPr>
        <w:t>和条件订立本政府采购合同，共同信守。</w:t>
      </w:r>
    </w:p>
    <w:p>
      <w:pPr>
        <w:pStyle w:val="10"/>
        <w:spacing w:before="116"/>
        <w:ind w:left="672"/>
        <w:rPr>
          <w:highlight w:val="none"/>
        </w:rPr>
      </w:pPr>
      <w:r>
        <w:rPr>
          <w:highlight w:val="none"/>
        </w:rPr>
        <w:t>一、政府采购合同文件</w:t>
      </w:r>
    </w:p>
    <w:p>
      <w:pPr>
        <w:pStyle w:val="10"/>
        <w:spacing w:before="184" w:line="364" w:lineRule="auto"/>
        <w:ind w:left="667" w:right="750" w:firstLine="2"/>
        <w:rPr>
          <w:highlight w:val="none"/>
        </w:rPr>
      </w:pPr>
      <w:r>
        <w:rPr>
          <w:highlight w:val="none"/>
        </w:rPr>
        <w:t>本政府采购合同所附下列文件是构成本政府采购合同不可分割的部分： 1.招标文件（含澄清或者修改文件）；</w:t>
      </w:r>
    </w:p>
    <w:p>
      <w:pPr>
        <w:pStyle w:val="10"/>
        <w:numPr>
          <w:ilvl w:val="0"/>
          <w:numId w:val="29"/>
        </w:numPr>
        <w:tabs>
          <w:tab w:val="left" w:pos="951"/>
        </w:tabs>
        <w:spacing w:before="0" w:after="0" w:line="358" w:lineRule="exact"/>
        <w:ind w:left="950" w:right="0" w:hanging="284"/>
        <w:jc w:val="left"/>
        <w:rPr>
          <w:highlight w:val="none"/>
        </w:rPr>
      </w:pPr>
      <w:r>
        <w:rPr>
          <w:spacing w:val="-3"/>
          <w:highlight w:val="none"/>
        </w:rPr>
        <w:t>招标文件的更正公告、变更公告；</w:t>
      </w:r>
    </w:p>
    <w:p>
      <w:pPr>
        <w:pStyle w:val="10"/>
        <w:numPr>
          <w:ilvl w:val="0"/>
          <w:numId w:val="29"/>
        </w:numPr>
        <w:tabs>
          <w:tab w:val="left" w:pos="951"/>
        </w:tabs>
        <w:spacing w:before="186" w:after="0" w:line="240" w:lineRule="auto"/>
        <w:ind w:left="950" w:right="0" w:hanging="284"/>
        <w:jc w:val="left"/>
        <w:rPr>
          <w:highlight w:val="none"/>
        </w:rPr>
      </w:pPr>
      <w:r>
        <w:rPr>
          <w:spacing w:val="-3"/>
          <w:highlight w:val="none"/>
        </w:rPr>
        <w:t>乙方提交的投标文件</w:t>
      </w:r>
      <w:r>
        <w:rPr>
          <w:highlight w:val="none"/>
        </w:rPr>
        <w:t>（</w:t>
      </w:r>
      <w:r>
        <w:rPr>
          <w:spacing w:val="-3"/>
          <w:highlight w:val="none"/>
        </w:rPr>
        <w:t>含澄清或者说明文件</w:t>
      </w:r>
      <w:r>
        <w:rPr>
          <w:highlight w:val="none"/>
        </w:rPr>
        <w:t>）；</w:t>
      </w:r>
    </w:p>
    <w:p>
      <w:pPr>
        <w:pStyle w:val="10"/>
        <w:numPr>
          <w:ilvl w:val="0"/>
          <w:numId w:val="29"/>
        </w:numPr>
        <w:tabs>
          <w:tab w:val="left" w:pos="951"/>
        </w:tabs>
        <w:spacing w:before="186" w:after="0" w:line="240" w:lineRule="auto"/>
        <w:ind w:left="950" w:right="0" w:hanging="284"/>
        <w:jc w:val="left"/>
        <w:rPr>
          <w:highlight w:val="none"/>
        </w:rPr>
      </w:pPr>
      <w:r>
        <w:rPr>
          <w:spacing w:val="-3"/>
          <w:highlight w:val="none"/>
        </w:rPr>
        <w:t>政府采购合同条款；</w:t>
      </w:r>
    </w:p>
    <w:p>
      <w:pPr>
        <w:pStyle w:val="10"/>
        <w:numPr>
          <w:ilvl w:val="0"/>
          <w:numId w:val="29"/>
        </w:numPr>
        <w:tabs>
          <w:tab w:val="left" w:pos="951"/>
        </w:tabs>
        <w:spacing w:before="186" w:after="0" w:line="240" w:lineRule="auto"/>
        <w:ind w:left="950" w:right="0" w:hanging="284"/>
        <w:jc w:val="left"/>
        <w:rPr>
          <w:highlight w:val="none"/>
        </w:rPr>
      </w:pPr>
      <w:r>
        <w:rPr>
          <w:spacing w:val="-1"/>
          <w:highlight w:val="none"/>
        </w:rPr>
        <w:t>中标通知书；</w:t>
      </w:r>
    </w:p>
    <w:p>
      <w:pPr>
        <w:pStyle w:val="10"/>
        <w:numPr>
          <w:ilvl w:val="0"/>
          <w:numId w:val="29"/>
        </w:numPr>
        <w:tabs>
          <w:tab w:val="left" w:pos="951"/>
        </w:tabs>
        <w:spacing w:before="186" w:after="0" w:line="240" w:lineRule="auto"/>
        <w:ind w:left="950" w:right="0" w:hanging="284"/>
        <w:jc w:val="left"/>
        <w:rPr>
          <w:highlight w:val="none"/>
        </w:rPr>
      </w:pPr>
      <w:r>
        <w:rPr>
          <w:spacing w:val="-3"/>
          <w:highlight w:val="none"/>
        </w:rPr>
        <w:t>政府采购合同的其它附件。</w:t>
      </w:r>
    </w:p>
    <w:p>
      <w:pPr>
        <w:pStyle w:val="5"/>
        <w:spacing w:before="1"/>
        <w:rPr>
          <w:highlight w:val="none"/>
        </w:rPr>
      </w:pPr>
    </w:p>
    <w:p>
      <w:pPr>
        <w:pStyle w:val="10"/>
        <w:ind w:left="672"/>
        <w:rPr>
          <w:highlight w:val="none"/>
        </w:rPr>
      </w:pPr>
      <w:r>
        <w:rPr>
          <w:highlight w:val="none"/>
        </w:rPr>
        <w:t>二、政府采购合同范围和条件</w:t>
      </w:r>
    </w:p>
    <w:p>
      <w:pPr>
        <w:pStyle w:val="10"/>
        <w:spacing w:before="184"/>
        <w:ind w:left="669"/>
        <w:rPr>
          <w:highlight w:val="none"/>
        </w:rPr>
      </w:pPr>
      <w:r>
        <w:rPr>
          <w:highlight w:val="none"/>
        </w:rPr>
        <w:t>本政府采购合同的范围和条件与上述政府采购合同文件的规定相一致。</w:t>
      </w:r>
    </w:p>
    <w:p>
      <w:pPr>
        <w:pStyle w:val="5"/>
        <w:rPr>
          <w:highlight w:val="none"/>
        </w:rPr>
      </w:pPr>
    </w:p>
    <w:p>
      <w:pPr>
        <w:pStyle w:val="10"/>
        <w:spacing w:before="1"/>
        <w:ind w:left="672"/>
        <w:rPr>
          <w:highlight w:val="none"/>
        </w:rPr>
      </w:pPr>
      <w:r>
        <w:rPr>
          <w:highlight w:val="none"/>
        </w:rPr>
        <w:t>三、政府采购合同标的</w:t>
      </w:r>
    </w:p>
    <w:p>
      <w:pPr>
        <w:pStyle w:val="10"/>
        <w:spacing w:before="183" w:line="364" w:lineRule="auto"/>
        <w:ind w:left="108" w:right="750" w:firstLine="561"/>
        <w:rPr>
          <w:highlight w:val="none"/>
        </w:rPr>
      </w:pPr>
      <w:r>
        <w:rPr>
          <w:highlight w:val="none"/>
        </w:rPr>
        <w:t>本政府采购合同的标的为政府采购合同货物清单(同投标文件中的开标一览表/分项报价明细表)中所列货物及相关服务。</w:t>
      </w:r>
    </w:p>
    <w:tbl>
      <w:tblPr>
        <w:tblStyle w:val="17"/>
        <w:tblW w:w="0" w:type="auto"/>
        <w:tblInd w:w="2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9"/>
        <w:gridCol w:w="1524"/>
        <w:gridCol w:w="2018"/>
        <w:gridCol w:w="936"/>
        <w:gridCol w:w="1193"/>
        <w:gridCol w:w="1668"/>
        <w:gridCol w:w="12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749" w:type="dxa"/>
          </w:tcPr>
          <w:p>
            <w:pPr>
              <w:pStyle w:val="21"/>
              <w:spacing w:before="4"/>
              <w:rPr>
                <w:sz w:val="18"/>
                <w:highlight w:val="none"/>
              </w:rPr>
            </w:pPr>
          </w:p>
          <w:p>
            <w:pPr>
              <w:pStyle w:val="21"/>
              <w:ind w:left="134"/>
              <w:rPr>
                <w:sz w:val="24"/>
                <w:highlight w:val="none"/>
              </w:rPr>
            </w:pPr>
            <w:r>
              <w:rPr>
                <w:sz w:val="24"/>
                <w:highlight w:val="none"/>
              </w:rPr>
              <w:t>序号</w:t>
            </w:r>
          </w:p>
        </w:tc>
        <w:tc>
          <w:tcPr>
            <w:tcW w:w="1524" w:type="dxa"/>
          </w:tcPr>
          <w:p>
            <w:pPr>
              <w:pStyle w:val="21"/>
              <w:spacing w:before="4"/>
              <w:rPr>
                <w:sz w:val="18"/>
                <w:highlight w:val="none"/>
              </w:rPr>
            </w:pPr>
          </w:p>
          <w:p>
            <w:pPr>
              <w:pStyle w:val="21"/>
              <w:ind w:left="280"/>
              <w:rPr>
                <w:sz w:val="24"/>
                <w:highlight w:val="none"/>
              </w:rPr>
            </w:pPr>
            <w:r>
              <w:rPr>
                <w:sz w:val="24"/>
                <w:highlight w:val="none"/>
              </w:rPr>
              <w:t>货物名称</w:t>
            </w:r>
          </w:p>
        </w:tc>
        <w:tc>
          <w:tcPr>
            <w:tcW w:w="2018" w:type="dxa"/>
          </w:tcPr>
          <w:p>
            <w:pPr>
              <w:pStyle w:val="21"/>
              <w:spacing w:before="4"/>
              <w:rPr>
                <w:sz w:val="18"/>
                <w:highlight w:val="none"/>
              </w:rPr>
            </w:pPr>
          </w:p>
          <w:p>
            <w:pPr>
              <w:pStyle w:val="21"/>
              <w:ind w:left="167"/>
              <w:rPr>
                <w:sz w:val="24"/>
                <w:highlight w:val="none"/>
              </w:rPr>
            </w:pPr>
            <w:r>
              <w:rPr>
                <w:sz w:val="24"/>
                <w:highlight w:val="none"/>
              </w:rPr>
              <w:t>品牌、规格型号</w:t>
            </w:r>
          </w:p>
        </w:tc>
        <w:tc>
          <w:tcPr>
            <w:tcW w:w="936" w:type="dxa"/>
          </w:tcPr>
          <w:p>
            <w:pPr>
              <w:pStyle w:val="21"/>
              <w:spacing w:before="2"/>
              <w:ind w:left="168"/>
              <w:rPr>
                <w:sz w:val="24"/>
                <w:highlight w:val="none"/>
              </w:rPr>
            </w:pPr>
            <w:r>
              <w:rPr>
                <w:sz w:val="24"/>
                <w:highlight w:val="none"/>
              </w:rPr>
              <w:t>数量/</w:t>
            </w:r>
          </w:p>
          <w:p>
            <w:pPr>
              <w:pStyle w:val="21"/>
              <w:spacing w:before="160"/>
              <w:ind w:left="228"/>
              <w:rPr>
                <w:sz w:val="24"/>
                <w:highlight w:val="none"/>
              </w:rPr>
            </w:pPr>
            <w:r>
              <w:rPr>
                <w:sz w:val="24"/>
                <w:highlight w:val="none"/>
              </w:rPr>
              <w:t>单位</w:t>
            </w:r>
          </w:p>
        </w:tc>
        <w:tc>
          <w:tcPr>
            <w:tcW w:w="1193" w:type="dxa"/>
          </w:tcPr>
          <w:p>
            <w:pPr>
              <w:pStyle w:val="21"/>
              <w:spacing w:before="2"/>
              <w:ind w:left="355"/>
              <w:rPr>
                <w:sz w:val="24"/>
                <w:highlight w:val="none"/>
              </w:rPr>
            </w:pPr>
            <w:r>
              <w:rPr>
                <w:sz w:val="24"/>
                <w:highlight w:val="none"/>
              </w:rPr>
              <w:t>单价</w:t>
            </w:r>
          </w:p>
          <w:p>
            <w:pPr>
              <w:pStyle w:val="21"/>
              <w:spacing w:before="160"/>
              <w:ind w:left="235"/>
              <w:rPr>
                <w:sz w:val="24"/>
                <w:highlight w:val="none"/>
              </w:rPr>
            </w:pPr>
            <w:r>
              <w:rPr>
                <w:sz w:val="24"/>
                <w:highlight w:val="none"/>
              </w:rPr>
              <w:t>（元）</w:t>
            </w:r>
          </w:p>
        </w:tc>
        <w:tc>
          <w:tcPr>
            <w:tcW w:w="1668" w:type="dxa"/>
          </w:tcPr>
          <w:p>
            <w:pPr>
              <w:pStyle w:val="21"/>
              <w:spacing w:before="2"/>
              <w:ind w:left="334" w:right="323"/>
              <w:jc w:val="center"/>
              <w:rPr>
                <w:sz w:val="24"/>
                <w:highlight w:val="none"/>
              </w:rPr>
            </w:pPr>
            <w:r>
              <w:rPr>
                <w:sz w:val="24"/>
                <w:highlight w:val="none"/>
              </w:rPr>
              <w:t>单项总价</w:t>
            </w:r>
          </w:p>
          <w:p>
            <w:pPr>
              <w:pStyle w:val="21"/>
              <w:spacing w:before="160"/>
              <w:ind w:left="334" w:right="320"/>
              <w:jc w:val="center"/>
              <w:rPr>
                <w:sz w:val="24"/>
                <w:highlight w:val="none"/>
              </w:rPr>
            </w:pPr>
            <w:r>
              <w:rPr>
                <w:sz w:val="24"/>
                <w:highlight w:val="none"/>
              </w:rPr>
              <w:t>(元)</w:t>
            </w:r>
          </w:p>
        </w:tc>
        <w:tc>
          <w:tcPr>
            <w:tcW w:w="1265" w:type="dxa"/>
          </w:tcPr>
          <w:p>
            <w:pPr>
              <w:pStyle w:val="21"/>
              <w:spacing w:before="4"/>
              <w:rPr>
                <w:sz w:val="18"/>
                <w:highlight w:val="none"/>
              </w:rPr>
            </w:pPr>
          </w:p>
          <w:p>
            <w:pPr>
              <w:pStyle w:val="21"/>
              <w:ind w:left="391"/>
              <w:rPr>
                <w:sz w:val="24"/>
                <w:highlight w:val="none"/>
              </w:rPr>
            </w:pPr>
            <w:r>
              <w:rPr>
                <w:sz w:val="24"/>
                <w:highlight w:val="none"/>
              </w:rPr>
              <w:t>备注</w:t>
            </w:r>
          </w:p>
        </w:tc>
      </w:tr>
    </w:tbl>
    <w:p>
      <w:pPr>
        <w:spacing w:after="0"/>
        <w:rPr>
          <w:sz w:val="24"/>
          <w:highlight w:val="none"/>
        </w:rPr>
        <w:sectPr>
          <w:footerReference r:id="rId8" w:type="default"/>
          <w:pgSz w:w="11900" w:h="16840"/>
          <w:pgMar w:top="1400" w:right="520" w:bottom="1380" w:left="1140" w:header="0" w:footer="1197" w:gutter="0"/>
          <w:pgNumType w:fmt="decimal"/>
          <w:cols w:space="720" w:num="1"/>
        </w:sectPr>
      </w:pPr>
    </w:p>
    <w:tbl>
      <w:tblPr>
        <w:tblStyle w:val="17"/>
        <w:tblW w:w="0" w:type="auto"/>
        <w:tblInd w:w="2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9"/>
        <w:gridCol w:w="1524"/>
        <w:gridCol w:w="2018"/>
        <w:gridCol w:w="936"/>
        <w:gridCol w:w="1193"/>
        <w:gridCol w:w="1668"/>
        <w:gridCol w:w="12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749" w:type="dxa"/>
          </w:tcPr>
          <w:p>
            <w:pPr>
              <w:pStyle w:val="21"/>
              <w:rPr>
                <w:rFonts w:ascii="Times New Roman"/>
                <w:sz w:val="26"/>
                <w:highlight w:val="none"/>
              </w:rPr>
            </w:pPr>
          </w:p>
        </w:tc>
        <w:tc>
          <w:tcPr>
            <w:tcW w:w="1524" w:type="dxa"/>
          </w:tcPr>
          <w:p>
            <w:pPr>
              <w:pStyle w:val="21"/>
              <w:rPr>
                <w:rFonts w:ascii="Times New Roman"/>
                <w:sz w:val="26"/>
                <w:highlight w:val="none"/>
              </w:rPr>
            </w:pPr>
          </w:p>
        </w:tc>
        <w:tc>
          <w:tcPr>
            <w:tcW w:w="2018" w:type="dxa"/>
          </w:tcPr>
          <w:p>
            <w:pPr>
              <w:pStyle w:val="21"/>
              <w:rPr>
                <w:rFonts w:ascii="Times New Roman"/>
                <w:sz w:val="26"/>
                <w:highlight w:val="none"/>
              </w:rPr>
            </w:pPr>
          </w:p>
        </w:tc>
        <w:tc>
          <w:tcPr>
            <w:tcW w:w="936" w:type="dxa"/>
          </w:tcPr>
          <w:p>
            <w:pPr>
              <w:pStyle w:val="21"/>
              <w:rPr>
                <w:rFonts w:ascii="Times New Roman"/>
                <w:sz w:val="26"/>
                <w:highlight w:val="none"/>
              </w:rPr>
            </w:pPr>
          </w:p>
        </w:tc>
        <w:tc>
          <w:tcPr>
            <w:tcW w:w="1193" w:type="dxa"/>
          </w:tcPr>
          <w:p>
            <w:pPr>
              <w:pStyle w:val="21"/>
              <w:rPr>
                <w:rFonts w:ascii="Times New Roman"/>
                <w:sz w:val="26"/>
                <w:highlight w:val="none"/>
              </w:rPr>
            </w:pPr>
          </w:p>
        </w:tc>
        <w:tc>
          <w:tcPr>
            <w:tcW w:w="1668" w:type="dxa"/>
          </w:tcPr>
          <w:p>
            <w:pPr>
              <w:pStyle w:val="21"/>
              <w:rPr>
                <w:rFonts w:ascii="Times New Roman"/>
                <w:sz w:val="26"/>
                <w:highlight w:val="none"/>
              </w:rPr>
            </w:pPr>
          </w:p>
        </w:tc>
        <w:tc>
          <w:tcPr>
            <w:tcW w:w="1265" w:type="dxa"/>
          </w:tcPr>
          <w:p>
            <w:pPr>
              <w:pStyle w:val="21"/>
              <w:rPr>
                <w:rFonts w:ascii="Times New Roman"/>
                <w:sz w:val="2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749" w:type="dxa"/>
          </w:tcPr>
          <w:p>
            <w:pPr>
              <w:pStyle w:val="21"/>
              <w:rPr>
                <w:rFonts w:ascii="Times New Roman"/>
                <w:sz w:val="26"/>
                <w:highlight w:val="none"/>
              </w:rPr>
            </w:pPr>
          </w:p>
        </w:tc>
        <w:tc>
          <w:tcPr>
            <w:tcW w:w="1524" w:type="dxa"/>
          </w:tcPr>
          <w:p>
            <w:pPr>
              <w:pStyle w:val="21"/>
              <w:rPr>
                <w:rFonts w:ascii="Times New Roman"/>
                <w:sz w:val="26"/>
                <w:highlight w:val="none"/>
              </w:rPr>
            </w:pPr>
          </w:p>
        </w:tc>
        <w:tc>
          <w:tcPr>
            <w:tcW w:w="2018" w:type="dxa"/>
          </w:tcPr>
          <w:p>
            <w:pPr>
              <w:pStyle w:val="21"/>
              <w:rPr>
                <w:rFonts w:ascii="Times New Roman"/>
                <w:sz w:val="26"/>
                <w:highlight w:val="none"/>
              </w:rPr>
            </w:pPr>
          </w:p>
        </w:tc>
        <w:tc>
          <w:tcPr>
            <w:tcW w:w="936" w:type="dxa"/>
          </w:tcPr>
          <w:p>
            <w:pPr>
              <w:pStyle w:val="21"/>
              <w:rPr>
                <w:rFonts w:ascii="Times New Roman"/>
                <w:sz w:val="26"/>
                <w:highlight w:val="none"/>
              </w:rPr>
            </w:pPr>
          </w:p>
        </w:tc>
        <w:tc>
          <w:tcPr>
            <w:tcW w:w="1193" w:type="dxa"/>
          </w:tcPr>
          <w:p>
            <w:pPr>
              <w:pStyle w:val="21"/>
              <w:rPr>
                <w:rFonts w:ascii="Times New Roman"/>
                <w:sz w:val="26"/>
                <w:highlight w:val="none"/>
              </w:rPr>
            </w:pPr>
          </w:p>
        </w:tc>
        <w:tc>
          <w:tcPr>
            <w:tcW w:w="1668" w:type="dxa"/>
          </w:tcPr>
          <w:p>
            <w:pPr>
              <w:pStyle w:val="21"/>
              <w:rPr>
                <w:rFonts w:ascii="Times New Roman"/>
                <w:sz w:val="26"/>
                <w:highlight w:val="none"/>
              </w:rPr>
            </w:pPr>
          </w:p>
        </w:tc>
        <w:tc>
          <w:tcPr>
            <w:tcW w:w="1265" w:type="dxa"/>
          </w:tcPr>
          <w:p>
            <w:pPr>
              <w:pStyle w:val="21"/>
              <w:rPr>
                <w:rFonts w:ascii="Times New Roman"/>
                <w:sz w:val="2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749" w:type="dxa"/>
          </w:tcPr>
          <w:p>
            <w:pPr>
              <w:pStyle w:val="21"/>
              <w:rPr>
                <w:rFonts w:ascii="Times New Roman"/>
                <w:sz w:val="26"/>
                <w:highlight w:val="none"/>
              </w:rPr>
            </w:pPr>
          </w:p>
        </w:tc>
        <w:tc>
          <w:tcPr>
            <w:tcW w:w="1524" w:type="dxa"/>
          </w:tcPr>
          <w:p>
            <w:pPr>
              <w:pStyle w:val="21"/>
              <w:rPr>
                <w:rFonts w:ascii="Times New Roman"/>
                <w:sz w:val="26"/>
                <w:highlight w:val="none"/>
              </w:rPr>
            </w:pPr>
          </w:p>
        </w:tc>
        <w:tc>
          <w:tcPr>
            <w:tcW w:w="2018" w:type="dxa"/>
          </w:tcPr>
          <w:p>
            <w:pPr>
              <w:pStyle w:val="21"/>
              <w:rPr>
                <w:rFonts w:ascii="Times New Roman"/>
                <w:sz w:val="26"/>
                <w:highlight w:val="none"/>
              </w:rPr>
            </w:pPr>
          </w:p>
        </w:tc>
        <w:tc>
          <w:tcPr>
            <w:tcW w:w="936" w:type="dxa"/>
          </w:tcPr>
          <w:p>
            <w:pPr>
              <w:pStyle w:val="21"/>
              <w:rPr>
                <w:rFonts w:ascii="Times New Roman"/>
                <w:sz w:val="26"/>
                <w:highlight w:val="none"/>
              </w:rPr>
            </w:pPr>
          </w:p>
        </w:tc>
        <w:tc>
          <w:tcPr>
            <w:tcW w:w="1193" w:type="dxa"/>
          </w:tcPr>
          <w:p>
            <w:pPr>
              <w:pStyle w:val="21"/>
              <w:rPr>
                <w:rFonts w:ascii="Times New Roman"/>
                <w:sz w:val="26"/>
                <w:highlight w:val="none"/>
              </w:rPr>
            </w:pPr>
          </w:p>
        </w:tc>
        <w:tc>
          <w:tcPr>
            <w:tcW w:w="1668" w:type="dxa"/>
          </w:tcPr>
          <w:p>
            <w:pPr>
              <w:pStyle w:val="21"/>
              <w:rPr>
                <w:rFonts w:ascii="Times New Roman"/>
                <w:sz w:val="26"/>
                <w:highlight w:val="none"/>
              </w:rPr>
            </w:pPr>
          </w:p>
        </w:tc>
        <w:tc>
          <w:tcPr>
            <w:tcW w:w="1265" w:type="dxa"/>
          </w:tcPr>
          <w:p>
            <w:pPr>
              <w:pStyle w:val="21"/>
              <w:rPr>
                <w:rFonts w:ascii="Times New Roman"/>
                <w:sz w:val="2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749" w:type="dxa"/>
          </w:tcPr>
          <w:p>
            <w:pPr>
              <w:pStyle w:val="21"/>
              <w:rPr>
                <w:rFonts w:ascii="Times New Roman"/>
                <w:sz w:val="26"/>
                <w:highlight w:val="none"/>
              </w:rPr>
            </w:pPr>
          </w:p>
        </w:tc>
        <w:tc>
          <w:tcPr>
            <w:tcW w:w="1524" w:type="dxa"/>
          </w:tcPr>
          <w:p>
            <w:pPr>
              <w:pStyle w:val="21"/>
              <w:rPr>
                <w:rFonts w:ascii="Times New Roman"/>
                <w:sz w:val="26"/>
                <w:highlight w:val="none"/>
              </w:rPr>
            </w:pPr>
          </w:p>
        </w:tc>
        <w:tc>
          <w:tcPr>
            <w:tcW w:w="2018" w:type="dxa"/>
          </w:tcPr>
          <w:p>
            <w:pPr>
              <w:pStyle w:val="21"/>
              <w:rPr>
                <w:rFonts w:ascii="Times New Roman"/>
                <w:sz w:val="26"/>
                <w:highlight w:val="none"/>
              </w:rPr>
            </w:pPr>
          </w:p>
        </w:tc>
        <w:tc>
          <w:tcPr>
            <w:tcW w:w="936" w:type="dxa"/>
          </w:tcPr>
          <w:p>
            <w:pPr>
              <w:pStyle w:val="21"/>
              <w:rPr>
                <w:rFonts w:ascii="Times New Roman"/>
                <w:sz w:val="26"/>
                <w:highlight w:val="none"/>
              </w:rPr>
            </w:pPr>
          </w:p>
        </w:tc>
        <w:tc>
          <w:tcPr>
            <w:tcW w:w="1193" w:type="dxa"/>
          </w:tcPr>
          <w:p>
            <w:pPr>
              <w:pStyle w:val="21"/>
              <w:rPr>
                <w:rFonts w:ascii="Times New Roman"/>
                <w:sz w:val="26"/>
                <w:highlight w:val="none"/>
              </w:rPr>
            </w:pPr>
          </w:p>
        </w:tc>
        <w:tc>
          <w:tcPr>
            <w:tcW w:w="1668" w:type="dxa"/>
          </w:tcPr>
          <w:p>
            <w:pPr>
              <w:pStyle w:val="21"/>
              <w:rPr>
                <w:rFonts w:ascii="Times New Roman"/>
                <w:sz w:val="26"/>
                <w:highlight w:val="none"/>
              </w:rPr>
            </w:pPr>
          </w:p>
        </w:tc>
        <w:tc>
          <w:tcPr>
            <w:tcW w:w="1265" w:type="dxa"/>
          </w:tcPr>
          <w:p>
            <w:pPr>
              <w:pStyle w:val="21"/>
              <w:rPr>
                <w:rFonts w:ascii="Times New Roman"/>
                <w:sz w:val="2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6420" w:type="dxa"/>
            <w:gridSpan w:val="5"/>
          </w:tcPr>
          <w:p>
            <w:pPr>
              <w:pStyle w:val="21"/>
              <w:tabs>
                <w:tab w:val="left" w:pos="1271"/>
              </w:tabs>
              <w:ind w:left="9"/>
              <w:jc w:val="center"/>
              <w:rPr>
                <w:sz w:val="28"/>
                <w:highlight w:val="none"/>
              </w:rPr>
            </w:pPr>
            <w:r>
              <w:rPr>
                <w:sz w:val="28"/>
                <w:highlight w:val="none"/>
              </w:rPr>
              <w:t>总</w:t>
            </w:r>
            <w:r>
              <w:rPr>
                <w:sz w:val="28"/>
                <w:highlight w:val="none"/>
              </w:rPr>
              <w:tab/>
            </w:r>
            <w:r>
              <w:rPr>
                <w:sz w:val="28"/>
                <w:highlight w:val="none"/>
              </w:rPr>
              <w:t>价</w:t>
            </w:r>
          </w:p>
        </w:tc>
        <w:tc>
          <w:tcPr>
            <w:tcW w:w="1668" w:type="dxa"/>
          </w:tcPr>
          <w:p>
            <w:pPr>
              <w:pStyle w:val="21"/>
              <w:rPr>
                <w:rFonts w:ascii="Times New Roman"/>
                <w:sz w:val="26"/>
                <w:highlight w:val="none"/>
              </w:rPr>
            </w:pPr>
          </w:p>
        </w:tc>
        <w:tc>
          <w:tcPr>
            <w:tcW w:w="1265" w:type="dxa"/>
          </w:tcPr>
          <w:p>
            <w:pPr>
              <w:pStyle w:val="21"/>
              <w:rPr>
                <w:rFonts w:ascii="Times New Roman"/>
                <w:sz w:val="26"/>
                <w:highlight w:val="none"/>
              </w:rPr>
            </w:pPr>
          </w:p>
        </w:tc>
      </w:tr>
    </w:tbl>
    <w:p>
      <w:pPr>
        <w:spacing w:before="123"/>
        <w:ind w:left="532" w:right="0" w:firstLine="0"/>
        <w:jc w:val="left"/>
        <w:rPr>
          <w:b/>
          <w:sz w:val="21"/>
          <w:highlight w:val="none"/>
        </w:rPr>
      </w:pPr>
      <w:r>
        <w:rPr>
          <w:b/>
          <w:sz w:val="21"/>
          <w:highlight w:val="none"/>
        </w:rPr>
        <w:t>注：此表须备注核心产品。</w:t>
      </w:r>
    </w:p>
    <w:p>
      <w:pPr>
        <w:pStyle w:val="5"/>
        <w:rPr>
          <w:b/>
          <w:sz w:val="20"/>
          <w:highlight w:val="none"/>
        </w:rPr>
      </w:pPr>
    </w:p>
    <w:p>
      <w:pPr>
        <w:pStyle w:val="10"/>
        <w:ind w:left="672"/>
        <w:rPr>
          <w:highlight w:val="none"/>
        </w:rPr>
      </w:pPr>
      <w:r>
        <w:rPr>
          <w:highlight w:val="none"/>
        </w:rPr>
        <w:t>四、政府采购合同金额</w:t>
      </w:r>
    </w:p>
    <w:p>
      <w:pPr>
        <w:pStyle w:val="10"/>
        <w:spacing w:before="184"/>
        <w:ind w:left="669"/>
        <w:rPr>
          <w:highlight w:val="none"/>
        </w:rPr>
      </w:pPr>
      <w:r>
        <w:rPr>
          <w:highlight w:val="none"/>
        </w:rPr>
        <w:t>根据上述政府采购合同文件要求，政府采购合同的总金额为人民币</w:t>
      </w:r>
      <w:r>
        <w:rPr>
          <w:highlight w:val="none"/>
          <w:u w:val="single"/>
        </w:rPr>
        <w:t>(大</w:t>
      </w:r>
    </w:p>
    <w:p>
      <w:pPr>
        <w:pStyle w:val="10"/>
        <w:tabs>
          <w:tab w:val="left" w:pos="1960"/>
        </w:tabs>
        <w:spacing w:before="186"/>
        <w:ind w:left="108"/>
        <w:rPr>
          <w:highlight w:val="none"/>
        </w:rPr>
      </w:pPr>
      <w:r>
        <w:rPr>
          <w:highlight w:val="none"/>
          <w:u w:val="single"/>
        </w:rPr>
        <w:t>写)</w:t>
      </w:r>
      <w:r>
        <w:rPr>
          <w:spacing w:val="1"/>
          <w:highlight w:val="none"/>
          <w:u w:val="single"/>
        </w:rPr>
        <w:t xml:space="preserve"> </w:t>
      </w:r>
      <w:r>
        <w:rPr>
          <w:spacing w:val="-56"/>
          <w:highlight w:val="none"/>
        </w:rPr>
        <w:t>，</w:t>
      </w:r>
      <w:r>
        <w:rPr>
          <w:highlight w:val="none"/>
        </w:rPr>
        <w:t>小写：</w:t>
      </w:r>
      <w:r>
        <w:rPr>
          <w:highlight w:val="none"/>
        </w:rPr>
        <w:tab/>
      </w:r>
      <w:r>
        <w:rPr>
          <w:highlight w:val="none"/>
        </w:rPr>
        <w:t>元</w:t>
      </w:r>
      <w:r>
        <w:rPr>
          <w:spacing w:val="28"/>
          <w:highlight w:val="none"/>
        </w:rPr>
        <w:t>。</w:t>
      </w:r>
      <w:r>
        <w:rPr>
          <w:highlight w:val="none"/>
        </w:rPr>
        <w:t>（此</w:t>
      </w:r>
      <w:r>
        <w:rPr>
          <w:spacing w:val="-3"/>
          <w:highlight w:val="none"/>
        </w:rPr>
        <w:t>合</w:t>
      </w:r>
      <w:r>
        <w:rPr>
          <w:highlight w:val="none"/>
        </w:rPr>
        <w:t>同价</w:t>
      </w:r>
      <w:r>
        <w:rPr>
          <w:spacing w:val="-3"/>
          <w:highlight w:val="none"/>
        </w:rPr>
        <w:t>指</w:t>
      </w:r>
      <w:r>
        <w:rPr>
          <w:highlight w:val="none"/>
        </w:rPr>
        <w:t>验</w:t>
      </w:r>
      <w:r>
        <w:rPr>
          <w:spacing w:val="-3"/>
          <w:highlight w:val="none"/>
        </w:rPr>
        <w:t>收</w:t>
      </w:r>
      <w:r>
        <w:rPr>
          <w:highlight w:val="none"/>
        </w:rPr>
        <w:t>合格并</w:t>
      </w:r>
      <w:r>
        <w:rPr>
          <w:spacing w:val="-3"/>
          <w:highlight w:val="none"/>
        </w:rPr>
        <w:t>将</w:t>
      </w:r>
      <w:r>
        <w:rPr>
          <w:highlight w:val="none"/>
        </w:rPr>
        <w:t>货物</w:t>
      </w:r>
      <w:r>
        <w:rPr>
          <w:spacing w:val="-3"/>
          <w:highlight w:val="none"/>
        </w:rPr>
        <w:t>送到</w:t>
      </w:r>
      <w:r>
        <w:rPr>
          <w:highlight w:val="none"/>
        </w:rPr>
        <w:t>交货地</w:t>
      </w:r>
      <w:r>
        <w:rPr>
          <w:spacing w:val="-3"/>
          <w:highlight w:val="none"/>
        </w:rPr>
        <w:t>点</w:t>
      </w:r>
      <w:r>
        <w:rPr>
          <w:highlight w:val="none"/>
        </w:rPr>
        <w:t>的全</w:t>
      </w:r>
      <w:r>
        <w:rPr>
          <w:spacing w:val="-3"/>
          <w:highlight w:val="none"/>
        </w:rPr>
        <w:t>部货</w:t>
      </w:r>
      <w:r>
        <w:rPr>
          <w:highlight w:val="none"/>
        </w:rPr>
        <w:t>款）</w:t>
      </w:r>
    </w:p>
    <w:p>
      <w:pPr>
        <w:pStyle w:val="5"/>
        <w:spacing w:before="1"/>
        <w:rPr>
          <w:highlight w:val="none"/>
        </w:rPr>
      </w:pPr>
    </w:p>
    <w:p>
      <w:pPr>
        <w:pStyle w:val="10"/>
        <w:ind w:left="672"/>
        <w:rPr>
          <w:highlight w:val="none"/>
        </w:rPr>
      </w:pPr>
      <w:r>
        <w:rPr>
          <w:highlight w:val="none"/>
        </w:rPr>
        <w:t>五、付款方式</w:t>
      </w:r>
    </w:p>
    <w:p>
      <w:pPr>
        <w:pStyle w:val="10"/>
        <w:numPr>
          <w:ilvl w:val="0"/>
          <w:numId w:val="30"/>
        </w:numPr>
        <w:tabs>
          <w:tab w:val="left" w:pos="951"/>
          <w:tab w:val="left" w:pos="5779"/>
          <w:tab w:val="left" w:pos="8575"/>
        </w:tabs>
        <w:spacing w:before="183" w:after="0" w:line="364" w:lineRule="auto"/>
        <w:ind w:left="107" w:right="542" w:firstLine="559"/>
        <w:jc w:val="both"/>
        <w:rPr>
          <w:highlight w:val="none"/>
        </w:rPr>
      </w:pPr>
      <w:r>
        <w:rPr>
          <w:highlight w:val="none"/>
        </w:rPr>
        <w:t>签订</w:t>
      </w:r>
      <w:r>
        <w:rPr>
          <w:spacing w:val="-3"/>
          <w:highlight w:val="none"/>
        </w:rPr>
        <w:t>合</w:t>
      </w:r>
      <w:r>
        <w:rPr>
          <w:highlight w:val="none"/>
        </w:rPr>
        <w:t>同之日起</w:t>
      </w:r>
      <w:r>
        <w:rPr>
          <w:spacing w:val="-66"/>
          <w:highlight w:val="none"/>
        </w:rPr>
        <w:t xml:space="preserve"> </w:t>
      </w:r>
      <w:r>
        <w:rPr>
          <w:highlight w:val="none"/>
        </w:rPr>
        <w:t>15</w:t>
      </w:r>
      <w:r>
        <w:rPr>
          <w:spacing w:val="-61"/>
          <w:highlight w:val="none"/>
        </w:rPr>
        <w:t xml:space="preserve"> </w:t>
      </w:r>
      <w:r>
        <w:rPr>
          <w:highlight w:val="none"/>
        </w:rPr>
        <w:t>个工</w:t>
      </w:r>
      <w:r>
        <w:rPr>
          <w:spacing w:val="-3"/>
          <w:highlight w:val="none"/>
        </w:rPr>
        <w:t>作</w:t>
      </w:r>
      <w:r>
        <w:rPr>
          <w:highlight w:val="none"/>
        </w:rPr>
        <w:t>日</w:t>
      </w:r>
      <w:r>
        <w:rPr>
          <w:spacing w:val="-3"/>
          <w:highlight w:val="none"/>
        </w:rPr>
        <w:t>内</w:t>
      </w:r>
      <w:r>
        <w:rPr>
          <w:spacing w:val="-77"/>
          <w:highlight w:val="none"/>
        </w:rPr>
        <w:t>，</w:t>
      </w:r>
      <w:r>
        <w:rPr>
          <w:highlight w:val="none"/>
        </w:rPr>
        <w:t>甲</w:t>
      </w:r>
      <w:r>
        <w:rPr>
          <w:spacing w:val="-3"/>
          <w:highlight w:val="none"/>
        </w:rPr>
        <w:t>方</w:t>
      </w:r>
      <w:r>
        <w:rPr>
          <w:highlight w:val="none"/>
        </w:rPr>
        <w:t>凭乙方</w:t>
      </w:r>
      <w:r>
        <w:rPr>
          <w:spacing w:val="-3"/>
          <w:highlight w:val="none"/>
        </w:rPr>
        <w:t>开</w:t>
      </w:r>
      <w:r>
        <w:rPr>
          <w:highlight w:val="none"/>
        </w:rPr>
        <w:t>具的</w:t>
      </w:r>
      <w:r>
        <w:rPr>
          <w:spacing w:val="-3"/>
          <w:highlight w:val="none"/>
        </w:rPr>
        <w:t>正式</w:t>
      </w:r>
      <w:r>
        <w:rPr>
          <w:highlight w:val="none"/>
        </w:rPr>
        <w:t>有效发</w:t>
      </w:r>
      <w:r>
        <w:rPr>
          <w:spacing w:val="-3"/>
          <w:highlight w:val="none"/>
        </w:rPr>
        <w:t>票</w:t>
      </w:r>
      <w:r>
        <w:rPr>
          <w:highlight w:val="none"/>
        </w:rPr>
        <w:t>向乙方支付合</w:t>
      </w:r>
      <w:r>
        <w:rPr>
          <w:spacing w:val="-3"/>
          <w:highlight w:val="none"/>
        </w:rPr>
        <w:t>同</w:t>
      </w:r>
      <w:r>
        <w:rPr>
          <w:highlight w:val="none"/>
        </w:rPr>
        <w:t>金额的</w:t>
      </w:r>
      <w:r>
        <w:rPr>
          <w:spacing w:val="-70"/>
          <w:highlight w:val="none"/>
        </w:rPr>
        <w:t xml:space="preserve"> </w:t>
      </w:r>
      <w:r>
        <w:rPr>
          <w:highlight w:val="none"/>
          <w:u w:val="single"/>
        </w:rPr>
        <w:t>30</w:t>
      </w:r>
      <w:r>
        <w:rPr>
          <w:highlight w:val="none"/>
        </w:rPr>
        <w:t>%，即</w:t>
      </w:r>
      <w:r>
        <w:rPr>
          <w:spacing w:val="-3"/>
          <w:highlight w:val="none"/>
        </w:rPr>
        <w:t>人</w:t>
      </w:r>
      <w:r>
        <w:rPr>
          <w:highlight w:val="none"/>
        </w:rPr>
        <w:t>民</w:t>
      </w:r>
      <w:r>
        <w:rPr>
          <w:spacing w:val="-3"/>
          <w:highlight w:val="none"/>
        </w:rPr>
        <w:t>币</w:t>
      </w:r>
      <w:r>
        <w:rPr>
          <w:highlight w:val="none"/>
        </w:rPr>
        <w:t>：¥</w:t>
      </w:r>
      <w:r>
        <w:rPr>
          <w:highlight w:val="none"/>
          <w:u w:val="single"/>
        </w:rPr>
        <w:t xml:space="preserve"> </w:t>
      </w:r>
      <w:r>
        <w:rPr>
          <w:highlight w:val="none"/>
          <w:u w:val="single"/>
        </w:rPr>
        <w:tab/>
      </w:r>
      <w:r>
        <w:rPr>
          <w:spacing w:val="-3"/>
          <w:highlight w:val="none"/>
        </w:rPr>
        <w:t>元</w:t>
      </w:r>
      <w:r>
        <w:rPr>
          <w:highlight w:val="none"/>
        </w:rPr>
        <w:t>（</w:t>
      </w:r>
      <w:r>
        <w:rPr>
          <w:spacing w:val="-3"/>
          <w:highlight w:val="none"/>
        </w:rPr>
        <w:t>大写</w:t>
      </w:r>
      <w:r>
        <w:rPr>
          <w:highlight w:val="none"/>
        </w:rPr>
        <w:t>：</w:t>
      </w:r>
      <w:r>
        <w:rPr>
          <w:highlight w:val="none"/>
          <w:u w:val="single"/>
        </w:rPr>
        <w:t xml:space="preserve"> </w:t>
      </w:r>
      <w:r>
        <w:rPr>
          <w:highlight w:val="none"/>
          <w:u w:val="single"/>
        </w:rPr>
        <w:tab/>
      </w:r>
      <w:r>
        <w:rPr>
          <w:highlight w:val="none"/>
        </w:rPr>
        <w:t>），做</w:t>
      </w:r>
      <w:r>
        <w:rPr>
          <w:spacing w:val="-17"/>
          <w:highlight w:val="none"/>
        </w:rPr>
        <w:t>为</w:t>
      </w:r>
      <w:r>
        <w:rPr>
          <w:highlight w:val="none"/>
        </w:rPr>
        <w:t>中标设</w:t>
      </w:r>
      <w:r>
        <w:rPr>
          <w:spacing w:val="-3"/>
          <w:highlight w:val="none"/>
        </w:rPr>
        <w:t>备</w:t>
      </w:r>
      <w:r>
        <w:rPr>
          <w:highlight w:val="none"/>
        </w:rPr>
        <w:t>预订</w:t>
      </w:r>
      <w:r>
        <w:rPr>
          <w:spacing w:val="-3"/>
          <w:highlight w:val="none"/>
        </w:rPr>
        <w:t>款（</w:t>
      </w:r>
      <w:r>
        <w:rPr>
          <w:highlight w:val="none"/>
        </w:rPr>
        <w:t>材料费</w:t>
      </w:r>
      <w:r>
        <w:rPr>
          <w:spacing w:val="-3"/>
          <w:highlight w:val="none"/>
        </w:rPr>
        <w:t>）</w:t>
      </w:r>
      <w:r>
        <w:rPr>
          <w:highlight w:val="none"/>
        </w:rPr>
        <w:t>。</w:t>
      </w:r>
    </w:p>
    <w:p>
      <w:pPr>
        <w:pStyle w:val="10"/>
        <w:numPr>
          <w:ilvl w:val="0"/>
          <w:numId w:val="30"/>
        </w:numPr>
        <w:tabs>
          <w:tab w:val="left" w:pos="669"/>
          <w:tab w:val="left" w:pos="670"/>
          <w:tab w:val="left" w:pos="5779"/>
          <w:tab w:val="left" w:pos="7319"/>
        </w:tabs>
        <w:spacing w:before="0" w:after="0" w:line="364" w:lineRule="auto"/>
        <w:ind w:left="107" w:right="546" w:firstLine="0"/>
        <w:jc w:val="left"/>
        <w:rPr>
          <w:highlight w:val="none"/>
        </w:rPr>
      </w:pPr>
      <w:r>
        <w:rPr>
          <w:highlight w:val="none"/>
        </w:rPr>
        <w:t>项</w:t>
      </w:r>
      <w:r>
        <w:rPr>
          <w:spacing w:val="-3"/>
          <w:highlight w:val="none"/>
        </w:rPr>
        <w:t>目</w:t>
      </w:r>
      <w:r>
        <w:rPr>
          <w:highlight w:val="none"/>
        </w:rPr>
        <w:t>通过</w:t>
      </w:r>
      <w:r>
        <w:rPr>
          <w:spacing w:val="-3"/>
          <w:highlight w:val="none"/>
        </w:rPr>
        <w:t>安装</w:t>
      </w:r>
      <w:r>
        <w:rPr>
          <w:highlight w:val="none"/>
        </w:rPr>
        <w:t>验收合</w:t>
      </w:r>
      <w:r>
        <w:rPr>
          <w:spacing w:val="-3"/>
          <w:highlight w:val="none"/>
        </w:rPr>
        <w:t>格</w:t>
      </w:r>
      <w:r>
        <w:rPr>
          <w:highlight w:val="none"/>
        </w:rPr>
        <w:t>后起</w:t>
      </w:r>
      <w:r>
        <w:rPr>
          <w:spacing w:val="-63"/>
          <w:highlight w:val="none"/>
        </w:rPr>
        <w:t xml:space="preserve"> </w:t>
      </w:r>
      <w:r>
        <w:rPr>
          <w:highlight w:val="none"/>
        </w:rPr>
        <w:t>15</w:t>
      </w:r>
      <w:r>
        <w:rPr>
          <w:spacing w:val="-62"/>
          <w:highlight w:val="none"/>
        </w:rPr>
        <w:t xml:space="preserve"> </w:t>
      </w:r>
      <w:r>
        <w:rPr>
          <w:spacing w:val="-3"/>
          <w:highlight w:val="none"/>
        </w:rPr>
        <w:t>个</w:t>
      </w:r>
      <w:r>
        <w:rPr>
          <w:highlight w:val="none"/>
        </w:rPr>
        <w:t>工作日</w:t>
      </w:r>
      <w:r>
        <w:rPr>
          <w:spacing w:val="-3"/>
          <w:highlight w:val="none"/>
        </w:rPr>
        <w:t>内</w:t>
      </w:r>
      <w:r>
        <w:rPr>
          <w:spacing w:val="-77"/>
          <w:highlight w:val="none"/>
        </w:rPr>
        <w:t>，</w:t>
      </w:r>
      <w:r>
        <w:rPr>
          <w:highlight w:val="none"/>
        </w:rPr>
        <w:t>甲</w:t>
      </w:r>
      <w:r>
        <w:rPr>
          <w:spacing w:val="-3"/>
          <w:highlight w:val="none"/>
        </w:rPr>
        <w:t>方</w:t>
      </w:r>
      <w:r>
        <w:rPr>
          <w:highlight w:val="none"/>
        </w:rPr>
        <w:t>凭</w:t>
      </w:r>
      <w:r>
        <w:rPr>
          <w:spacing w:val="-3"/>
          <w:highlight w:val="none"/>
        </w:rPr>
        <w:t>乙</w:t>
      </w:r>
      <w:r>
        <w:rPr>
          <w:highlight w:val="none"/>
        </w:rPr>
        <w:t>方开具</w:t>
      </w:r>
      <w:r>
        <w:rPr>
          <w:spacing w:val="-3"/>
          <w:highlight w:val="none"/>
        </w:rPr>
        <w:t>的</w:t>
      </w:r>
      <w:r>
        <w:rPr>
          <w:highlight w:val="none"/>
        </w:rPr>
        <w:t>正式</w:t>
      </w:r>
      <w:r>
        <w:rPr>
          <w:spacing w:val="-3"/>
          <w:highlight w:val="none"/>
        </w:rPr>
        <w:t>有效</w:t>
      </w:r>
      <w:r>
        <w:rPr>
          <w:highlight w:val="none"/>
        </w:rPr>
        <w:t>发票向乙</w:t>
      </w:r>
      <w:r>
        <w:rPr>
          <w:spacing w:val="-3"/>
          <w:highlight w:val="none"/>
        </w:rPr>
        <w:t>方</w:t>
      </w:r>
      <w:r>
        <w:rPr>
          <w:highlight w:val="none"/>
        </w:rPr>
        <w:t>支付</w:t>
      </w:r>
      <w:r>
        <w:rPr>
          <w:spacing w:val="-3"/>
          <w:highlight w:val="none"/>
        </w:rPr>
        <w:t>合同</w:t>
      </w:r>
      <w:r>
        <w:rPr>
          <w:highlight w:val="none"/>
        </w:rPr>
        <w:t>金额的</w:t>
      </w:r>
      <w:r>
        <w:rPr>
          <w:spacing w:val="-63"/>
          <w:highlight w:val="none"/>
        </w:rPr>
        <w:t xml:space="preserve"> </w:t>
      </w:r>
      <w:r>
        <w:rPr>
          <w:highlight w:val="none"/>
          <w:u w:val="single"/>
        </w:rPr>
        <w:t>65</w:t>
      </w:r>
      <w:r>
        <w:rPr>
          <w:highlight w:val="none"/>
        </w:rPr>
        <w:t>%，</w:t>
      </w:r>
      <w:r>
        <w:rPr>
          <w:spacing w:val="-3"/>
          <w:highlight w:val="none"/>
        </w:rPr>
        <w:t>即</w:t>
      </w:r>
      <w:r>
        <w:rPr>
          <w:highlight w:val="none"/>
        </w:rPr>
        <w:t>人</w:t>
      </w:r>
      <w:r>
        <w:rPr>
          <w:spacing w:val="-3"/>
          <w:highlight w:val="none"/>
        </w:rPr>
        <w:t>民</w:t>
      </w:r>
      <w:r>
        <w:rPr>
          <w:highlight w:val="none"/>
        </w:rPr>
        <w:t>币：¥</w:t>
      </w:r>
      <w:r>
        <w:rPr>
          <w:highlight w:val="none"/>
        </w:rPr>
        <w:tab/>
      </w:r>
      <w:r>
        <w:rPr>
          <w:highlight w:val="none"/>
          <w:u w:val="single"/>
        </w:rPr>
        <w:t xml:space="preserve"> </w:t>
      </w:r>
      <w:r>
        <w:rPr>
          <w:highlight w:val="none"/>
          <w:u w:val="single"/>
        </w:rPr>
        <w:tab/>
      </w:r>
      <w:r>
        <w:rPr>
          <w:highlight w:val="none"/>
        </w:rPr>
        <w:t>元</w:t>
      </w:r>
      <w:r>
        <w:rPr>
          <w:spacing w:val="-3"/>
          <w:highlight w:val="none"/>
        </w:rPr>
        <w:t>（</w:t>
      </w:r>
      <w:r>
        <w:rPr>
          <w:highlight w:val="none"/>
        </w:rPr>
        <w:t>大</w:t>
      </w:r>
    </w:p>
    <w:p>
      <w:pPr>
        <w:pStyle w:val="10"/>
        <w:tabs>
          <w:tab w:val="left" w:pos="2347"/>
        </w:tabs>
        <w:spacing w:line="358" w:lineRule="exact"/>
        <w:ind w:left="107"/>
        <w:rPr>
          <w:highlight w:val="none"/>
        </w:rPr>
      </w:pPr>
      <w:r>
        <w:rPr>
          <w:highlight w:val="none"/>
        </w:rPr>
        <w:t>写：</w:t>
      </w:r>
      <w:r>
        <w:rPr>
          <w:highlight w:val="none"/>
          <w:u w:val="single"/>
        </w:rPr>
        <w:t xml:space="preserve"> </w:t>
      </w:r>
      <w:r>
        <w:rPr>
          <w:highlight w:val="none"/>
          <w:u w:val="single"/>
        </w:rPr>
        <w:tab/>
      </w:r>
      <w:r>
        <w:rPr>
          <w:highlight w:val="none"/>
        </w:rPr>
        <w:t>）。</w:t>
      </w:r>
    </w:p>
    <w:p>
      <w:pPr>
        <w:pStyle w:val="10"/>
        <w:numPr>
          <w:ilvl w:val="0"/>
          <w:numId w:val="30"/>
        </w:numPr>
        <w:tabs>
          <w:tab w:val="left" w:pos="813"/>
          <w:tab w:val="left" w:pos="7739"/>
        </w:tabs>
        <w:spacing w:before="185" w:after="0" w:line="240" w:lineRule="auto"/>
        <w:ind w:left="812" w:right="0" w:hanging="425"/>
        <w:jc w:val="left"/>
        <w:rPr>
          <w:highlight w:val="none"/>
        </w:rPr>
      </w:pPr>
      <w:r>
        <w:rPr>
          <w:highlight w:val="none"/>
        </w:rPr>
        <w:t>剩余</w:t>
      </w:r>
      <w:r>
        <w:rPr>
          <w:spacing w:val="-62"/>
          <w:highlight w:val="none"/>
        </w:rPr>
        <w:t xml:space="preserve"> </w:t>
      </w:r>
      <w:r>
        <w:rPr>
          <w:highlight w:val="none"/>
          <w:u w:val="single"/>
        </w:rPr>
        <w:t>5</w:t>
      </w:r>
      <w:r>
        <w:rPr>
          <w:highlight w:val="none"/>
        </w:rPr>
        <w:t>%</w:t>
      </w:r>
      <w:r>
        <w:rPr>
          <w:spacing w:val="-3"/>
          <w:highlight w:val="none"/>
        </w:rPr>
        <w:t>作</w:t>
      </w:r>
      <w:r>
        <w:rPr>
          <w:highlight w:val="none"/>
        </w:rPr>
        <w:t>为</w:t>
      </w:r>
      <w:r>
        <w:rPr>
          <w:spacing w:val="-3"/>
          <w:highlight w:val="none"/>
        </w:rPr>
        <w:t>工</w:t>
      </w:r>
      <w:r>
        <w:rPr>
          <w:highlight w:val="none"/>
        </w:rPr>
        <w:t>程项目</w:t>
      </w:r>
      <w:r>
        <w:rPr>
          <w:spacing w:val="-3"/>
          <w:highlight w:val="none"/>
        </w:rPr>
        <w:t>质</w:t>
      </w:r>
      <w:r>
        <w:rPr>
          <w:highlight w:val="none"/>
        </w:rPr>
        <w:t>保金</w:t>
      </w:r>
      <w:r>
        <w:rPr>
          <w:spacing w:val="-3"/>
          <w:highlight w:val="none"/>
        </w:rPr>
        <w:t>，即</w:t>
      </w:r>
      <w:r>
        <w:rPr>
          <w:highlight w:val="none"/>
        </w:rPr>
        <w:t>人民币</w:t>
      </w:r>
      <w:r>
        <w:rPr>
          <w:spacing w:val="-3"/>
          <w:highlight w:val="none"/>
        </w:rPr>
        <w:t>：</w:t>
      </w:r>
      <w:r>
        <w:rPr>
          <w:spacing w:val="-3"/>
          <w:highlight w:val="none"/>
          <w:u w:val="single"/>
        </w:rPr>
        <w:t xml:space="preserve"> </w:t>
      </w:r>
      <w:r>
        <w:rPr>
          <w:spacing w:val="-3"/>
          <w:highlight w:val="none"/>
          <w:u w:val="single"/>
        </w:rPr>
        <w:tab/>
      </w:r>
      <w:r>
        <w:rPr>
          <w:highlight w:val="none"/>
        </w:rPr>
        <w:t>元</w:t>
      </w:r>
      <w:r>
        <w:rPr>
          <w:spacing w:val="-3"/>
          <w:highlight w:val="none"/>
        </w:rPr>
        <w:t>（</w:t>
      </w:r>
      <w:r>
        <w:rPr>
          <w:highlight w:val="none"/>
        </w:rPr>
        <w:t>大</w:t>
      </w:r>
    </w:p>
    <w:p>
      <w:pPr>
        <w:pStyle w:val="10"/>
        <w:tabs>
          <w:tab w:val="left" w:pos="2210"/>
        </w:tabs>
        <w:spacing w:before="184" w:line="364" w:lineRule="auto"/>
        <w:ind w:left="108" w:right="606"/>
        <w:rPr>
          <w:highlight w:val="none"/>
        </w:rPr>
      </w:pPr>
      <w:r>
        <w:rPr>
          <w:highlight w:val="none"/>
        </w:rPr>
        <w:t>写：</w:t>
      </w:r>
      <w:r>
        <w:rPr>
          <w:highlight w:val="none"/>
          <w:u w:val="single"/>
        </w:rPr>
        <w:t xml:space="preserve"> </w:t>
      </w:r>
      <w:r>
        <w:rPr>
          <w:highlight w:val="none"/>
          <w:u w:val="single"/>
        </w:rPr>
        <w:tab/>
      </w:r>
      <w:r>
        <w:rPr>
          <w:highlight w:val="none"/>
        </w:rPr>
        <w:t>），一年</w:t>
      </w:r>
      <w:r>
        <w:rPr>
          <w:spacing w:val="-3"/>
          <w:highlight w:val="none"/>
        </w:rPr>
        <w:t>后</w:t>
      </w:r>
      <w:r>
        <w:rPr>
          <w:highlight w:val="none"/>
        </w:rPr>
        <w:t>复检合格</w:t>
      </w:r>
      <w:r>
        <w:rPr>
          <w:spacing w:val="-68"/>
          <w:highlight w:val="none"/>
        </w:rPr>
        <w:t xml:space="preserve"> </w:t>
      </w:r>
      <w:r>
        <w:rPr>
          <w:highlight w:val="none"/>
        </w:rPr>
        <w:t>15</w:t>
      </w:r>
      <w:r>
        <w:rPr>
          <w:spacing w:val="-65"/>
          <w:highlight w:val="none"/>
        </w:rPr>
        <w:t xml:space="preserve"> </w:t>
      </w:r>
      <w:r>
        <w:rPr>
          <w:highlight w:val="none"/>
        </w:rPr>
        <w:t>个工</w:t>
      </w:r>
      <w:r>
        <w:rPr>
          <w:spacing w:val="-3"/>
          <w:highlight w:val="none"/>
        </w:rPr>
        <w:t>作</w:t>
      </w:r>
      <w:r>
        <w:rPr>
          <w:highlight w:val="none"/>
        </w:rPr>
        <w:t>日内</w:t>
      </w:r>
      <w:r>
        <w:rPr>
          <w:spacing w:val="-3"/>
          <w:highlight w:val="none"/>
        </w:rPr>
        <w:t>，</w:t>
      </w:r>
      <w:r>
        <w:rPr>
          <w:highlight w:val="none"/>
        </w:rPr>
        <w:t>甲</w:t>
      </w:r>
      <w:r>
        <w:rPr>
          <w:spacing w:val="-3"/>
          <w:highlight w:val="none"/>
        </w:rPr>
        <w:t>方</w:t>
      </w:r>
      <w:r>
        <w:rPr>
          <w:highlight w:val="none"/>
        </w:rPr>
        <w:t>向凭乙</w:t>
      </w:r>
      <w:r>
        <w:rPr>
          <w:spacing w:val="-3"/>
          <w:highlight w:val="none"/>
        </w:rPr>
        <w:t>方</w:t>
      </w:r>
      <w:r>
        <w:rPr>
          <w:highlight w:val="none"/>
        </w:rPr>
        <w:t>开具</w:t>
      </w:r>
      <w:r>
        <w:rPr>
          <w:spacing w:val="-3"/>
          <w:highlight w:val="none"/>
        </w:rPr>
        <w:t>的</w:t>
      </w:r>
      <w:r>
        <w:rPr>
          <w:highlight w:val="none"/>
        </w:rPr>
        <w:t>正式有效</w:t>
      </w:r>
      <w:r>
        <w:rPr>
          <w:spacing w:val="-3"/>
          <w:highlight w:val="none"/>
        </w:rPr>
        <w:t>发</w:t>
      </w:r>
      <w:r>
        <w:rPr>
          <w:highlight w:val="none"/>
        </w:rPr>
        <w:t>票乙</w:t>
      </w:r>
      <w:r>
        <w:rPr>
          <w:spacing w:val="-3"/>
          <w:highlight w:val="none"/>
        </w:rPr>
        <w:t>方全</w:t>
      </w:r>
      <w:r>
        <w:rPr>
          <w:highlight w:val="none"/>
        </w:rPr>
        <w:t>额支付。</w:t>
      </w:r>
    </w:p>
    <w:p>
      <w:pPr>
        <w:pStyle w:val="5"/>
        <w:rPr>
          <w:sz w:val="22"/>
          <w:highlight w:val="none"/>
        </w:rPr>
      </w:pPr>
    </w:p>
    <w:p>
      <w:pPr>
        <w:pStyle w:val="10"/>
        <w:ind w:left="672"/>
        <w:rPr>
          <w:highlight w:val="none"/>
        </w:rPr>
      </w:pPr>
      <w:r>
        <w:rPr>
          <w:highlight w:val="none"/>
        </w:rPr>
        <w:t>六、交付/履约时间、交付/履约地点和方式</w:t>
      </w:r>
    </w:p>
    <w:p>
      <w:pPr>
        <w:pStyle w:val="10"/>
        <w:spacing w:before="184" w:line="364" w:lineRule="auto"/>
        <w:ind w:left="667" w:right="887"/>
        <w:rPr>
          <w:spacing w:val="-8"/>
          <w:highlight w:val="none"/>
        </w:rPr>
      </w:pPr>
      <w:r>
        <w:rPr>
          <w:highlight w:val="none"/>
        </w:rPr>
        <w:t>交付/</w:t>
      </w:r>
      <w:r>
        <w:rPr>
          <w:spacing w:val="-8"/>
          <w:highlight w:val="none"/>
        </w:rPr>
        <w:t>履约时间：</w:t>
      </w:r>
      <w:r>
        <w:rPr>
          <w:rFonts w:hint="eastAsia"/>
          <w:spacing w:val="-8"/>
          <w:highlight w:val="none"/>
          <w:lang w:val="en-US" w:eastAsia="zh-CN"/>
        </w:rPr>
        <w:t>合同签订之日起 30 个日历天内完成供货、验收。</w:t>
      </w:r>
    </w:p>
    <w:p>
      <w:pPr>
        <w:pStyle w:val="10"/>
        <w:spacing w:before="184" w:line="364" w:lineRule="auto"/>
        <w:ind w:left="667" w:right="887"/>
        <w:rPr>
          <w:highlight w:val="none"/>
        </w:rPr>
      </w:pPr>
      <w:r>
        <w:rPr>
          <w:spacing w:val="-10"/>
          <w:highlight w:val="none"/>
        </w:rPr>
        <w:t>交付/</w:t>
      </w:r>
      <w:r>
        <w:rPr>
          <w:spacing w:val="-5"/>
          <w:highlight w:val="none"/>
        </w:rPr>
        <w:t>履约地点：采购人指定地点</w:t>
      </w:r>
    </w:p>
    <w:p>
      <w:pPr>
        <w:pStyle w:val="10"/>
        <w:spacing w:before="119" w:line="364" w:lineRule="auto"/>
        <w:ind w:left="107" w:right="611" w:firstLine="559"/>
        <w:rPr>
          <w:highlight w:val="none"/>
        </w:rPr>
      </w:pPr>
      <w:r>
        <w:rPr>
          <w:highlight w:val="none"/>
        </w:rPr>
        <w:t>交付方式：按上述交货地点现场交货。乙方负责办理运输，将货物运抵现场。有关运输的一切费用由乙方承担。所有货物运抵现扬的日期为交货日期。</w:t>
      </w:r>
    </w:p>
    <w:p>
      <w:pPr>
        <w:spacing w:after="0" w:line="364" w:lineRule="auto"/>
        <w:rPr>
          <w:highlight w:val="none"/>
        </w:rPr>
        <w:sectPr>
          <w:pgSz w:w="11900" w:h="16840"/>
          <w:pgMar w:top="1440" w:right="520" w:bottom="1380" w:left="1140" w:header="0" w:footer="1197" w:gutter="0"/>
          <w:pgNumType w:fmt="decimal"/>
          <w:cols w:space="720" w:num="1"/>
        </w:sectPr>
      </w:pPr>
    </w:p>
    <w:p>
      <w:pPr>
        <w:pStyle w:val="10"/>
        <w:spacing w:before="40"/>
        <w:ind w:left="672"/>
        <w:rPr>
          <w:highlight w:val="none"/>
        </w:rPr>
      </w:pPr>
      <w:r>
        <w:rPr>
          <w:highlight w:val="none"/>
        </w:rPr>
        <w:t>七、售后服务（以中标人的投标文件响应为准）</w:t>
      </w:r>
    </w:p>
    <w:p>
      <w:pPr>
        <w:pStyle w:val="5"/>
        <w:spacing w:before="8"/>
        <w:rPr>
          <w:sz w:val="22"/>
          <w:highlight w:val="none"/>
        </w:rPr>
      </w:pPr>
    </w:p>
    <w:p>
      <w:pPr>
        <w:pStyle w:val="10"/>
        <w:spacing w:line="321" w:lineRule="auto"/>
        <w:ind w:left="107" w:right="542" w:firstLine="559"/>
        <w:jc w:val="both"/>
        <w:rPr>
          <w:highlight w:val="none"/>
        </w:rPr>
      </w:pPr>
      <w:r>
        <w:rPr>
          <w:highlight w:val="none"/>
        </w:rPr>
        <w:t>1</w:t>
      </w:r>
      <w:r>
        <w:rPr>
          <w:spacing w:val="-10"/>
          <w:highlight w:val="none"/>
        </w:rPr>
        <w:t>、本项目设备制造厂商提供原厂质保服务，在当地具有售后网点能够及时提供免费的零配件供应及保修服务，自项目验收之日起计算，保修费</w:t>
      </w:r>
      <w:r>
        <w:rPr>
          <w:spacing w:val="-6"/>
          <w:highlight w:val="none"/>
        </w:rPr>
        <w:t>用须计入总价。</w:t>
      </w:r>
    </w:p>
    <w:p>
      <w:pPr>
        <w:pStyle w:val="10"/>
        <w:spacing w:line="321" w:lineRule="auto"/>
        <w:ind w:left="107" w:right="542" w:firstLine="559"/>
        <w:jc w:val="both"/>
        <w:rPr>
          <w:highlight w:val="none"/>
        </w:rPr>
      </w:pPr>
      <w:r>
        <w:rPr>
          <w:highlight w:val="none"/>
        </w:rPr>
        <w:t>2</w:t>
      </w:r>
      <w:r>
        <w:rPr>
          <w:spacing w:val="-8"/>
          <w:highlight w:val="none"/>
        </w:rPr>
        <w:t xml:space="preserve">、免费质保期内，全国 </w:t>
      </w:r>
      <w:r>
        <w:rPr>
          <w:highlight w:val="none"/>
        </w:rPr>
        <w:t>24</w:t>
      </w:r>
      <w:r>
        <w:rPr>
          <w:spacing w:val="-19"/>
          <w:highlight w:val="none"/>
        </w:rPr>
        <w:t xml:space="preserve"> 小时免费 </w:t>
      </w:r>
      <w:r>
        <w:rPr>
          <w:highlight w:val="none"/>
        </w:rPr>
        <w:t>400</w:t>
      </w:r>
      <w:r>
        <w:rPr>
          <w:spacing w:val="-9"/>
          <w:highlight w:val="none"/>
        </w:rPr>
        <w:t xml:space="preserve"> 电话保修、二维码扫描保修、区域化驻地技术工程师专线保修，所有因设备、材料质量缺陷的维护及维修（非人为损坏）均为免费，若为非产品质量原因造成的损坏，维修费用由采购人自</w:t>
      </w:r>
      <w:r>
        <w:rPr>
          <w:spacing w:val="-10"/>
          <w:highlight w:val="none"/>
        </w:rPr>
        <w:t xml:space="preserve">行承担。售后服务响应时间 </w:t>
      </w:r>
      <w:r>
        <w:rPr>
          <w:highlight w:val="none"/>
        </w:rPr>
        <w:t>2</w:t>
      </w:r>
      <w:r>
        <w:rPr>
          <w:spacing w:val="-14"/>
          <w:highlight w:val="none"/>
        </w:rPr>
        <w:t xml:space="preserve"> 小时，</w:t>
      </w:r>
      <w:r>
        <w:rPr>
          <w:highlight w:val="none"/>
        </w:rPr>
        <w:t>8</w:t>
      </w:r>
      <w:r>
        <w:rPr>
          <w:spacing w:val="-8"/>
          <w:highlight w:val="none"/>
        </w:rPr>
        <w:t xml:space="preserve"> 小时内到达现场，</w:t>
      </w:r>
      <w:r>
        <w:rPr>
          <w:highlight w:val="none"/>
        </w:rPr>
        <w:t>24</w:t>
      </w:r>
      <w:r>
        <w:rPr>
          <w:spacing w:val="-8"/>
          <w:highlight w:val="none"/>
        </w:rPr>
        <w:t xml:space="preserve"> 小时内解决故障， </w:t>
      </w:r>
      <w:r>
        <w:rPr>
          <w:spacing w:val="-35"/>
          <w:highlight w:val="none"/>
        </w:rPr>
        <w:t xml:space="preserve">若 </w:t>
      </w:r>
      <w:r>
        <w:rPr>
          <w:highlight w:val="none"/>
        </w:rPr>
        <w:t>24</w:t>
      </w:r>
      <w:r>
        <w:rPr>
          <w:spacing w:val="-12"/>
          <w:highlight w:val="none"/>
        </w:rPr>
        <w:t xml:space="preserve"> 小时不能排除故障则提供采购人认可的解决方案，如果不能排除故障需要</w:t>
      </w:r>
      <w:r>
        <w:rPr>
          <w:spacing w:val="-7"/>
          <w:highlight w:val="none"/>
        </w:rPr>
        <w:t>返厂维修，则提供同档次同功能备品给采购人换上。</w:t>
      </w:r>
    </w:p>
    <w:p>
      <w:pPr>
        <w:pStyle w:val="10"/>
        <w:spacing w:line="321" w:lineRule="auto"/>
        <w:ind w:left="107" w:right="542" w:firstLine="559"/>
        <w:jc w:val="both"/>
        <w:rPr>
          <w:highlight w:val="none"/>
        </w:rPr>
      </w:pPr>
      <w:r>
        <w:rPr>
          <w:highlight w:val="none"/>
        </w:rPr>
        <w:t>3</w:t>
      </w:r>
      <w:r>
        <w:rPr>
          <w:spacing w:val="-10"/>
          <w:highlight w:val="none"/>
        </w:rPr>
        <w:t>、对质保期内货物的故障报修，如供应商未能做到上款的服务承诺，采购人可采取必要的补救措施，但其风险和费用由供应商承担，由于供应商的保证</w:t>
      </w:r>
      <w:r>
        <w:rPr>
          <w:spacing w:val="-7"/>
          <w:highlight w:val="none"/>
        </w:rPr>
        <w:t>服务不到位，质保期的到期时间将顺延。</w:t>
      </w:r>
    </w:p>
    <w:p>
      <w:pPr>
        <w:pStyle w:val="10"/>
        <w:spacing w:line="321" w:lineRule="auto"/>
        <w:ind w:left="107" w:right="544" w:firstLine="559"/>
        <w:rPr>
          <w:highlight w:val="none"/>
        </w:rPr>
      </w:pPr>
      <w:r>
        <w:rPr>
          <w:highlight w:val="none"/>
        </w:rPr>
        <w:t>4</w:t>
      </w:r>
      <w:r>
        <w:rPr>
          <w:spacing w:val="-10"/>
          <w:highlight w:val="none"/>
        </w:rPr>
        <w:t>、质保期内因用户使用、管理不当所造成的损失由采购人承担，供应商提</w:t>
      </w:r>
      <w:r>
        <w:rPr>
          <w:spacing w:val="-7"/>
          <w:highlight w:val="none"/>
        </w:rPr>
        <w:t>供有偿服务。</w:t>
      </w:r>
    </w:p>
    <w:p>
      <w:pPr>
        <w:pStyle w:val="10"/>
        <w:spacing w:line="357" w:lineRule="exact"/>
        <w:ind w:left="667"/>
        <w:rPr>
          <w:highlight w:val="none"/>
        </w:rPr>
      </w:pPr>
      <w:r>
        <w:rPr>
          <w:highlight w:val="none"/>
        </w:rPr>
        <w:t>5、质保期满后，若有零部件出现故障，经权威部门鉴定属于寿命异常问题</w:t>
      </w:r>
    </w:p>
    <w:p>
      <w:pPr>
        <w:pStyle w:val="10"/>
        <w:spacing w:before="112"/>
        <w:ind w:left="107"/>
        <w:rPr>
          <w:highlight w:val="none"/>
        </w:rPr>
      </w:pPr>
      <w:r>
        <w:rPr>
          <w:highlight w:val="none"/>
        </w:rPr>
        <w:t>（明显短于该零部件正常寿命）时，则由供应商负责免费更换及维修。</w:t>
      </w:r>
    </w:p>
    <w:p>
      <w:pPr>
        <w:pStyle w:val="10"/>
        <w:spacing w:before="122" w:line="321" w:lineRule="auto"/>
        <w:ind w:left="107" w:right="470" w:firstLine="559"/>
        <w:rPr>
          <w:highlight w:val="none"/>
        </w:rPr>
      </w:pPr>
      <w:r>
        <w:rPr>
          <w:highlight w:val="none"/>
        </w:rPr>
        <w:t>6、供应商须负责对采购人的技术人员免费进行安装、操作、数据处理、维护维修等方面的培训，人数不限。</w:t>
      </w:r>
    </w:p>
    <w:p>
      <w:pPr>
        <w:pStyle w:val="10"/>
        <w:spacing w:before="15"/>
        <w:ind w:left="672"/>
        <w:rPr>
          <w:highlight w:val="none"/>
        </w:rPr>
      </w:pPr>
      <w:r>
        <w:rPr>
          <w:highlight w:val="none"/>
        </w:rPr>
        <w:t>八、质量保证</w:t>
      </w:r>
    </w:p>
    <w:p>
      <w:pPr>
        <w:pStyle w:val="5"/>
        <w:spacing w:before="7"/>
        <w:rPr>
          <w:sz w:val="22"/>
          <w:highlight w:val="none"/>
        </w:rPr>
      </w:pPr>
    </w:p>
    <w:p>
      <w:pPr>
        <w:pStyle w:val="10"/>
        <w:ind w:left="667"/>
        <w:rPr>
          <w:highlight w:val="none"/>
        </w:rPr>
      </w:pPr>
      <w:r>
        <w:rPr>
          <w:highlight w:val="none"/>
        </w:rPr>
        <w:t>1、所有设备必须是厂商原装、全新的正品，符合国家及该产品的出厂标准。</w:t>
      </w:r>
    </w:p>
    <w:p>
      <w:pPr>
        <w:pStyle w:val="10"/>
        <w:spacing w:before="122"/>
        <w:ind w:left="667"/>
        <w:rPr>
          <w:highlight w:val="none"/>
        </w:rPr>
      </w:pPr>
      <w:r>
        <w:rPr>
          <w:highlight w:val="none"/>
        </w:rPr>
        <w:t>2、应保证设备外观清洁，标记编号以及盘面显示等字体清晰、明确。</w:t>
      </w:r>
    </w:p>
    <w:p>
      <w:pPr>
        <w:pStyle w:val="10"/>
        <w:spacing w:before="121" w:line="321" w:lineRule="auto"/>
        <w:ind w:left="108" w:right="470" w:firstLine="559"/>
        <w:rPr>
          <w:highlight w:val="none"/>
        </w:rPr>
      </w:pPr>
      <w:r>
        <w:rPr>
          <w:highlight w:val="none"/>
        </w:rPr>
        <w:t>3、对于影响设备正常工作的必要组成部分，无论在技术规范中指出与否， 供应商都应提供在响应文件中明确列出。</w:t>
      </w:r>
    </w:p>
    <w:p>
      <w:pPr>
        <w:pStyle w:val="10"/>
        <w:spacing w:line="357" w:lineRule="exact"/>
        <w:ind w:left="667"/>
        <w:rPr>
          <w:highlight w:val="none"/>
        </w:rPr>
      </w:pPr>
      <w:r>
        <w:rPr>
          <w:highlight w:val="none"/>
        </w:rPr>
        <w:t>4、供应商供货时应提供所有产品、设备提供出厂合格证等质量证明文件。</w:t>
      </w:r>
    </w:p>
    <w:p>
      <w:pPr>
        <w:pStyle w:val="10"/>
        <w:spacing w:before="121" w:line="321" w:lineRule="auto"/>
        <w:ind w:left="108" w:right="469" w:firstLine="559"/>
        <w:rPr>
          <w:highlight w:val="none"/>
        </w:rPr>
      </w:pPr>
      <w:r>
        <w:rPr>
          <w:highlight w:val="none"/>
        </w:rPr>
        <w:t>5、所提供的产品必须是在中国范围内合法销售，原装、全新、并完全符合用户要求的产品。</w:t>
      </w:r>
    </w:p>
    <w:p>
      <w:pPr>
        <w:pStyle w:val="10"/>
        <w:spacing w:line="357" w:lineRule="exact"/>
        <w:ind w:left="667"/>
        <w:rPr>
          <w:highlight w:val="none"/>
        </w:rPr>
      </w:pPr>
      <w:r>
        <w:rPr>
          <w:highlight w:val="none"/>
        </w:rPr>
        <w:t>6、所有设备均由供应商免费送货至采购人指定的交货地点并安装调试好，</w:t>
      </w:r>
    </w:p>
    <w:p>
      <w:pPr>
        <w:spacing w:after="0" w:line="357" w:lineRule="exact"/>
        <w:rPr>
          <w:highlight w:val="none"/>
        </w:rPr>
        <w:sectPr>
          <w:pgSz w:w="11900" w:h="16840"/>
          <w:pgMar w:top="1400" w:right="520" w:bottom="1380" w:left="1140" w:header="0" w:footer="1197" w:gutter="0"/>
          <w:pgNumType w:fmt="decimal"/>
          <w:cols w:space="720" w:num="1"/>
        </w:sectPr>
      </w:pPr>
    </w:p>
    <w:p>
      <w:pPr>
        <w:pStyle w:val="10"/>
        <w:spacing w:before="44"/>
        <w:ind w:left="108"/>
        <w:rPr>
          <w:highlight w:val="none"/>
        </w:rPr>
      </w:pPr>
      <w:r>
        <w:rPr>
          <w:highlight w:val="none"/>
        </w:rPr>
        <w:t>安装调试应以本招标文件要求的技术参数指标及响应文件响应情况为标准。</w:t>
      </w:r>
    </w:p>
    <w:p>
      <w:pPr>
        <w:pStyle w:val="10"/>
        <w:spacing w:before="121" w:line="321" w:lineRule="auto"/>
        <w:ind w:left="108" w:right="405" w:firstLine="559"/>
        <w:rPr>
          <w:highlight w:val="none"/>
        </w:rPr>
      </w:pPr>
      <w:r>
        <w:rPr>
          <w:highlight w:val="none"/>
        </w:rPr>
        <w:t>7</w:t>
      </w:r>
      <w:r>
        <w:rPr>
          <w:spacing w:val="-16"/>
          <w:highlight w:val="none"/>
        </w:rPr>
        <w:t>、供应商应提供包括但不限于满足设备安装、使用和维护的技术文件，如： 设备和附件装箱清单、设备质量合格检定证明文件、设备保修服务卡、设备使</w:t>
      </w:r>
      <w:r>
        <w:rPr>
          <w:spacing w:val="-8"/>
          <w:highlight w:val="none"/>
        </w:rPr>
        <w:t>用说明和维护手册等。</w:t>
      </w:r>
    </w:p>
    <w:p>
      <w:pPr>
        <w:pStyle w:val="10"/>
        <w:spacing w:before="15"/>
        <w:ind w:left="672"/>
        <w:rPr>
          <w:highlight w:val="none"/>
        </w:rPr>
      </w:pPr>
      <w:r>
        <w:rPr>
          <w:highlight w:val="none"/>
        </w:rPr>
        <w:t>九、验收要求</w:t>
      </w:r>
    </w:p>
    <w:p>
      <w:pPr>
        <w:pStyle w:val="5"/>
        <w:spacing w:before="8"/>
        <w:rPr>
          <w:sz w:val="23"/>
          <w:highlight w:val="none"/>
        </w:rPr>
      </w:pPr>
    </w:p>
    <w:p>
      <w:pPr>
        <w:pStyle w:val="10"/>
        <w:numPr>
          <w:ilvl w:val="1"/>
          <w:numId w:val="30"/>
        </w:numPr>
        <w:tabs>
          <w:tab w:val="left" w:pos="951"/>
        </w:tabs>
        <w:spacing w:before="1" w:after="0" w:line="364" w:lineRule="auto"/>
        <w:ind w:left="107" w:right="611" w:firstLine="559"/>
        <w:jc w:val="both"/>
        <w:rPr>
          <w:highlight w:val="none"/>
        </w:rPr>
      </w:pPr>
      <w:r>
        <w:rPr>
          <w:spacing w:val="-3"/>
          <w:highlight w:val="none"/>
        </w:rPr>
        <w:t>甲方应在乙方交货之日起</w:t>
      </w:r>
      <w:r>
        <w:rPr>
          <w:rFonts w:hint="eastAsia"/>
          <w:spacing w:val="-3"/>
          <w:highlight w:val="none"/>
          <w:u w:val="single"/>
          <w:lang w:val="en-US" w:eastAsia="zh-CN"/>
        </w:rPr>
        <w:t xml:space="preserve">  </w:t>
      </w:r>
      <w:r>
        <w:rPr>
          <w:spacing w:val="-3"/>
          <w:highlight w:val="none"/>
        </w:rPr>
        <w:t>个工作日内组织验收工作。验收时，乙方代表必须在场。甲方将对货物的质量、规格和数量进行检验，并出具验收意见。验收标准除乙方投标文件所响应的质量、规格和数量外，可溯源到国家、行业相关标准。验收后，乙方可在 工作日内提出书面验收异议，否则，视为同意验收意见。</w:t>
      </w:r>
    </w:p>
    <w:p>
      <w:pPr>
        <w:pStyle w:val="10"/>
        <w:numPr>
          <w:ilvl w:val="1"/>
          <w:numId w:val="30"/>
        </w:numPr>
        <w:tabs>
          <w:tab w:val="left" w:pos="951"/>
        </w:tabs>
        <w:spacing w:before="117" w:after="0" w:line="240" w:lineRule="auto"/>
        <w:ind w:left="950" w:right="0" w:hanging="284"/>
        <w:jc w:val="left"/>
        <w:rPr>
          <w:highlight w:val="none"/>
        </w:rPr>
      </w:pPr>
      <w:r>
        <w:rPr>
          <w:spacing w:val="-3"/>
          <w:highlight w:val="none"/>
        </w:rPr>
        <w:t>甲方有权邀请参加本项目的其他投标人或者第三方机构参与验收。</w:t>
      </w:r>
    </w:p>
    <w:p>
      <w:pPr>
        <w:pStyle w:val="5"/>
        <w:spacing w:before="11"/>
        <w:rPr>
          <w:sz w:val="23"/>
          <w:highlight w:val="none"/>
        </w:rPr>
      </w:pPr>
    </w:p>
    <w:p>
      <w:pPr>
        <w:pStyle w:val="10"/>
        <w:numPr>
          <w:ilvl w:val="1"/>
          <w:numId w:val="30"/>
        </w:numPr>
        <w:tabs>
          <w:tab w:val="left" w:pos="951"/>
        </w:tabs>
        <w:spacing w:before="0" w:after="0" w:line="364" w:lineRule="auto"/>
        <w:ind w:left="107" w:right="611" w:firstLine="559"/>
        <w:jc w:val="both"/>
        <w:rPr>
          <w:highlight w:val="none"/>
        </w:rPr>
      </w:pPr>
      <w:r>
        <w:rPr>
          <w:spacing w:val="-3"/>
          <w:highlight w:val="none"/>
        </w:rPr>
        <w:t>如设备的规格或质量、规格或性能与合同不符，或设备存在缺陷，乙方应接到甲方书面通知后 日内按合同确定的质量、规格或性能予以更换，由此产生的一切费用及给甲方造成的一切损失由乙方承担。同时相应延长质量保证期。</w:t>
      </w:r>
    </w:p>
    <w:p>
      <w:pPr>
        <w:pStyle w:val="10"/>
        <w:numPr>
          <w:ilvl w:val="1"/>
          <w:numId w:val="30"/>
        </w:numPr>
        <w:tabs>
          <w:tab w:val="left" w:pos="951"/>
        </w:tabs>
        <w:spacing w:before="116" w:after="0" w:line="364" w:lineRule="auto"/>
        <w:ind w:left="108" w:right="611" w:firstLine="559"/>
        <w:jc w:val="both"/>
        <w:rPr>
          <w:highlight w:val="none"/>
        </w:rPr>
      </w:pPr>
      <w:r>
        <w:rPr>
          <w:spacing w:val="-7"/>
          <w:highlight w:val="none"/>
        </w:rPr>
        <w:t xml:space="preserve">如因质量、规格或性能问题，乙方未按第 </w:t>
      </w:r>
      <w:r>
        <w:rPr>
          <w:highlight w:val="none"/>
        </w:rPr>
        <w:t>3</w:t>
      </w:r>
      <w:r>
        <w:rPr>
          <w:spacing w:val="-10"/>
          <w:highlight w:val="none"/>
        </w:rPr>
        <w:t xml:space="preserve"> 条的约定处理，甲方有权要</w:t>
      </w:r>
      <w:r>
        <w:rPr>
          <w:spacing w:val="-7"/>
          <w:highlight w:val="none"/>
        </w:rPr>
        <w:t>求乙方退货，乙方必须按合同约定的货款并加算银行同期贷款利息，退款给甲</w:t>
      </w:r>
      <w:r>
        <w:rPr>
          <w:spacing w:val="-5"/>
          <w:highlight w:val="none"/>
        </w:rPr>
        <w:t>方；并承担由退货给甲方造成的损失。</w:t>
      </w:r>
    </w:p>
    <w:p>
      <w:pPr>
        <w:pStyle w:val="10"/>
        <w:numPr>
          <w:ilvl w:val="1"/>
          <w:numId w:val="30"/>
        </w:numPr>
        <w:tabs>
          <w:tab w:val="left" w:pos="951"/>
        </w:tabs>
        <w:spacing w:before="118" w:after="0" w:line="364" w:lineRule="auto"/>
        <w:ind w:left="108" w:right="405" w:firstLine="559"/>
        <w:jc w:val="left"/>
        <w:rPr>
          <w:highlight w:val="none"/>
        </w:rPr>
      </w:pPr>
      <w:r>
        <w:rPr>
          <w:spacing w:val="-3"/>
          <w:highlight w:val="none"/>
        </w:rPr>
        <w:t>如因设备的质量问题发生纠纷，应由国家质检部门进行质量鉴定。如鉴</w:t>
      </w:r>
      <w:r>
        <w:rPr>
          <w:spacing w:val="-7"/>
          <w:highlight w:val="none"/>
        </w:rPr>
        <w:t>定结果证明乙方所供货物存在质量问题，费用由乙方承担。否则，由甲方承担。</w:t>
      </w:r>
    </w:p>
    <w:p>
      <w:pPr>
        <w:pStyle w:val="10"/>
        <w:spacing w:before="122"/>
        <w:ind w:left="672"/>
        <w:rPr>
          <w:highlight w:val="none"/>
        </w:rPr>
      </w:pPr>
      <w:r>
        <w:rPr>
          <w:highlight w:val="none"/>
        </w:rPr>
        <w:t>十、包装材料及运输环节</w:t>
      </w:r>
    </w:p>
    <w:p>
      <w:pPr>
        <w:pStyle w:val="5"/>
        <w:spacing w:before="9"/>
        <w:rPr>
          <w:sz w:val="23"/>
          <w:highlight w:val="none"/>
        </w:rPr>
      </w:pPr>
    </w:p>
    <w:p>
      <w:pPr>
        <w:pStyle w:val="10"/>
        <w:numPr>
          <w:ilvl w:val="0"/>
          <w:numId w:val="31"/>
        </w:numPr>
        <w:tabs>
          <w:tab w:val="left" w:pos="951"/>
        </w:tabs>
        <w:spacing w:before="0" w:after="0" w:line="364" w:lineRule="auto"/>
        <w:ind w:left="108" w:right="611" w:firstLine="559"/>
        <w:jc w:val="both"/>
        <w:rPr>
          <w:highlight w:val="none"/>
        </w:rPr>
      </w:pPr>
      <w:r>
        <w:rPr>
          <w:spacing w:val="-3"/>
          <w:highlight w:val="none"/>
        </w:rPr>
        <w:t>包装材料的具体要求：采购产品的塑料包装材料应符合海南禁塑制品名录要求，优先使用低</w:t>
      </w:r>
      <w:r>
        <w:rPr>
          <w:highlight w:val="none"/>
        </w:rPr>
        <w:t>（无</w:t>
      </w:r>
      <w:r>
        <w:rPr>
          <w:spacing w:val="-3"/>
          <w:highlight w:val="none"/>
        </w:rPr>
        <w:t>）</w:t>
      </w:r>
      <w:r>
        <w:rPr>
          <w:spacing w:val="-2"/>
          <w:highlight w:val="none"/>
        </w:rPr>
        <w:t>挥发性有机物</w:t>
      </w:r>
      <w:r>
        <w:rPr>
          <w:highlight w:val="none"/>
        </w:rPr>
        <w:t>（VOCs）</w:t>
      </w:r>
      <w:r>
        <w:rPr>
          <w:spacing w:val="-3"/>
          <w:highlight w:val="none"/>
        </w:rPr>
        <w:t>含量油墨印刷标识和全生物降解塑料。</w:t>
      </w:r>
    </w:p>
    <w:p>
      <w:pPr>
        <w:spacing w:after="0" w:line="364" w:lineRule="auto"/>
        <w:jc w:val="both"/>
        <w:rPr>
          <w:highlight w:val="none"/>
        </w:rPr>
        <w:sectPr>
          <w:pgSz w:w="11900" w:h="16840"/>
          <w:pgMar w:top="1500" w:right="520" w:bottom="1380" w:left="1140" w:header="0" w:footer="1197" w:gutter="0"/>
          <w:pgNumType w:fmt="decimal"/>
          <w:cols w:space="720" w:num="1"/>
        </w:sectPr>
      </w:pPr>
    </w:p>
    <w:p>
      <w:pPr>
        <w:pStyle w:val="10"/>
        <w:numPr>
          <w:ilvl w:val="0"/>
          <w:numId w:val="31"/>
        </w:numPr>
        <w:tabs>
          <w:tab w:val="left" w:pos="951"/>
        </w:tabs>
        <w:spacing w:before="38" w:after="0" w:line="240" w:lineRule="auto"/>
        <w:ind w:left="950" w:right="0" w:hanging="284"/>
        <w:jc w:val="left"/>
        <w:rPr>
          <w:highlight w:val="none"/>
        </w:rPr>
      </w:pPr>
      <w:r>
        <w:rPr>
          <w:spacing w:val="-3"/>
          <w:highlight w:val="none"/>
        </w:rPr>
        <w:t>运输环节的具体要求：采购产品的运输优先使用清洁能源汽车。</w:t>
      </w:r>
    </w:p>
    <w:p>
      <w:pPr>
        <w:pStyle w:val="5"/>
        <w:spacing w:before="1"/>
        <w:rPr>
          <w:highlight w:val="none"/>
        </w:rPr>
      </w:pPr>
    </w:p>
    <w:p>
      <w:pPr>
        <w:pStyle w:val="10"/>
        <w:ind w:left="672"/>
        <w:rPr>
          <w:highlight w:val="none"/>
        </w:rPr>
      </w:pPr>
      <w:r>
        <w:rPr>
          <w:highlight w:val="none"/>
        </w:rPr>
        <w:t>十一、违约责任</w:t>
      </w:r>
    </w:p>
    <w:p>
      <w:pPr>
        <w:pStyle w:val="10"/>
        <w:numPr>
          <w:ilvl w:val="0"/>
          <w:numId w:val="32"/>
        </w:numPr>
        <w:tabs>
          <w:tab w:val="left" w:pos="947"/>
          <w:tab w:val="left" w:pos="951"/>
        </w:tabs>
        <w:spacing w:before="184" w:after="0" w:line="364" w:lineRule="auto"/>
        <w:ind w:left="107" w:right="611" w:firstLine="559"/>
        <w:jc w:val="left"/>
        <w:rPr>
          <w:highlight w:val="none"/>
        </w:rPr>
      </w:pPr>
      <w:r>
        <w:rPr>
          <w:highlight w:val="none"/>
        </w:rPr>
        <w:t>如甲</w:t>
      </w:r>
      <w:r>
        <w:rPr>
          <w:spacing w:val="-3"/>
          <w:highlight w:val="none"/>
        </w:rPr>
        <w:t>方</w:t>
      </w:r>
      <w:r>
        <w:rPr>
          <w:highlight w:val="none"/>
        </w:rPr>
        <w:t>验收</w:t>
      </w:r>
      <w:r>
        <w:rPr>
          <w:spacing w:val="-3"/>
          <w:highlight w:val="none"/>
        </w:rPr>
        <w:t>不符</w:t>
      </w:r>
      <w:r>
        <w:rPr>
          <w:highlight w:val="none"/>
        </w:rPr>
        <w:t>合产品</w:t>
      </w:r>
      <w:r>
        <w:rPr>
          <w:spacing w:val="-3"/>
          <w:highlight w:val="none"/>
        </w:rPr>
        <w:t>目</w:t>
      </w:r>
      <w:r>
        <w:rPr>
          <w:highlight w:val="none"/>
        </w:rPr>
        <w:t>录或</w:t>
      </w:r>
      <w:r>
        <w:rPr>
          <w:spacing w:val="-3"/>
          <w:highlight w:val="none"/>
        </w:rPr>
        <w:t>达不</w:t>
      </w:r>
      <w:r>
        <w:rPr>
          <w:highlight w:val="none"/>
        </w:rPr>
        <w:t>到国家</w:t>
      </w:r>
      <w:r>
        <w:rPr>
          <w:spacing w:val="-3"/>
          <w:highlight w:val="none"/>
        </w:rPr>
        <w:t>标</w:t>
      </w:r>
      <w:r>
        <w:rPr>
          <w:highlight w:val="none"/>
        </w:rPr>
        <w:t>准，</w:t>
      </w:r>
      <w:r>
        <w:rPr>
          <w:spacing w:val="-3"/>
          <w:highlight w:val="none"/>
        </w:rPr>
        <w:t>乙方</w:t>
      </w:r>
      <w:r>
        <w:rPr>
          <w:highlight w:val="none"/>
        </w:rPr>
        <w:t>无条件</w:t>
      </w:r>
      <w:r>
        <w:rPr>
          <w:spacing w:val="-3"/>
          <w:highlight w:val="none"/>
        </w:rPr>
        <w:t>退</w:t>
      </w:r>
      <w:r>
        <w:rPr>
          <w:highlight w:val="none"/>
        </w:rPr>
        <w:t>货并</w:t>
      </w:r>
      <w:r>
        <w:rPr>
          <w:spacing w:val="-3"/>
          <w:highlight w:val="none"/>
        </w:rPr>
        <w:t>偿</w:t>
      </w:r>
      <w:r>
        <w:rPr>
          <w:highlight w:val="none"/>
        </w:rPr>
        <w:t>付货款</w:t>
      </w:r>
      <w:r>
        <w:rPr>
          <w:highlight w:val="none"/>
          <w:u w:val="single"/>
        </w:rPr>
        <w:t xml:space="preserve"> </w:t>
      </w:r>
      <w:r>
        <w:rPr>
          <w:highlight w:val="none"/>
          <w:u w:val="single"/>
        </w:rPr>
        <w:tab/>
      </w:r>
      <w:r>
        <w:rPr>
          <w:highlight w:val="none"/>
        </w:rPr>
        <w:t>%的</w:t>
      </w:r>
      <w:r>
        <w:rPr>
          <w:spacing w:val="-3"/>
          <w:highlight w:val="none"/>
        </w:rPr>
        <w:t>违</w:t>
      </w:r>
      <w:r>
        <w:rPr>
          <w:highlight w:val="none"/>
        </w:rPr>
        <w:t>约金。</w:t>
      </w:r>
    </w:p>
    <w:p>
      <w:pPr>
        <w:pStyle w:val="10"/>
        <w:numPr>
          <w:ilvl w:val="0"/>
          <w:numId w:val="32"/>
        </w:numPr>
        <w:tabs>
          <w:tab w:val="left" w:pos="951"/>
          <w:tab w:val="left" w:pos="2908"/>
        </w:tabs>
        <w:spacing w:before="0" w:after="0" w:line="364" w:lineRule="auto"/>
        <w:ind w:left="108" w:right="611" w:firstLine="559"/>
        <w:jc w:val="left"/>
        <w:rPr>
          <w:highlight w:val="none"/>
        </w:rPr>
      </w:pPr>
      <w:r>
        <w:rPr>
          <w:highlight w:val="none"/>
        </w:rPr>
        <w:t>如乙</w:t>
      </w:r>
      <w:r>
        <w:rPr>
          <w:spacing w:val="-3"/>
          <w:highlight w:val="none"/>
        </w:rPr>
        <w:t>方</w:t>
      </w:r>
      <w:r>
        <w:rPr>
          <w:highlight w:val="none"/>
        </w:rPr>
        <w:t>不能</w:t>
      </w:r>
      <w:r>
        <w:rPr>
          <w:spacing w:val="-3"/>
          <w:highlight w:val="none"/>
        </w:rPr>
        <w:t>按期</w:t>
      </w:r>
      <w:r>
        <w:rPr>
          <w:highlight w:val="none"/>
        </w:rPr>
        <w:t>交货或</w:t>
      </w:r>
      <w:r>
        <w:rPr>
          <w:spacing w:val="-3"/>
          <w:highlight w:val="none"/>
        </w:rPr>
        <w:t>甲</w:t>
      </w:r>
      <w:r>
        <w:rPr>
          <w:highlight w:val="none"/>
        </w:rPr>
        <w:t>方无</w:t>
      </w:r>
      <w:r>
        <w:rPr>
          <w:spacing w:val="-3"/>
          <w:highlight w:val="none"/>
        </w:rPr>
        <w:t>正当</w:t>
      </w:r>
      <w:r>
        <w:rPr>
          <w:highlight w:val="none"/>
        </w:rPr>
        <w:t>理由中</w:t>
      </w:r>
      <w:r>
        <w:rPr>
          <w:spacing w:val="-3"/>
          <w:highlight w:val="none"/>
        </w:rPr>
        <w:t>途</w:t>
      </w:r>
      <w:r>
        <w:rPr>
          <w:highlight w:val="none"/>
        </w:rPr>
        <w:t>退货</w:t>
      </w:r>
      <w:r>
        <w:rPr>
          <w:spacing w:val="-3"/>
          <w:highlight w:val="none"/>
        </w:rPr>
        <w:t>，向</w:t>
      </w:r>
      <w:r>
        <w:rPr>
          <w:highlight w:val="none"/>
        </w:rPr>
        <w:t>对方偿</w:t>
      </w:r>
      <w:r>
        <w:rPr>
          <w:spacing w:val="-3"/>
          <w:highlight w:val="none"/>
        </w:rPr>
        <w:t>付</w:t>
      </w:r>
      <w:r>
        <w:rPr>
          <w:highlight w:val="none"/>
        </w:rPr>
        <w:t>不能</w:t>
      </w:r>
      <w:r>
        <w:rPr>
          <w:spacing w:val="-3"/>
          <w:highlight w:val="none"/>
        </w:rPr>
        <w:t>交</w:t>
      </w:r>
      <w:r>
        <w:rPr>
          <w:highlight w:val="none"/>
        </w:rPr>
        <w:t>货或中途</w:t>
      </w:r>
      <w:r>
        <w:rPr>
          <w:spacing w:val="-3"/>
          <w:highlight w:val="none"/>
        </w:rPr>
        <w:t>退</w:t>
      </w:r>
      <w:r>
        <w:rPr>
          <w:highlight w:val="none"/>
        </w:rPr>
        <w:t>货货</w:t>
      </w:r>
      <w:r>
        <w:rPr>
          <w:spacing w:val="-3"/>
          <w:highlight w:val="none"/>
        </w:rPr>
        <w:t>款每</w:t>
      </w:r>
      <w:r>
        <w:rPr>
          <w:highlight w:val="none"/>
        </w:rPr>
        <w:t>日</w:t>
      </w:r>
      <w:r>
        <w:rPr>
          <w:highlight w:val="none"/>
          <w:u w:val="single"/>
        </w:rPr>
        <w:t xml:space="preserve"> </w:t>
      </w:r>
      <w:r>
        <w:rPr>
          <w:highlight w:val="none"/>
          <w:u w:val="single"/>
        </w:rPr>
        <w:tab/>
      </w:r>
      <w:r>
        <w:rPr>
          <w:highlight w:val="none"/>
        </w:rPr>
        <w:t>%的违</w:t>
      </w:r>
      <w:r>
        <w:rPr>
          <w:spacing w:val="-3"/>
          <w:highlight w:val="none"/>
        </w:rPr>
        <w:t>约</w:t>
      </w:r>
      <w:r>
        <w:rPr>
          <w:highlight w:val="none"/>
        </w:rPr>
        <w:t>金。</w:t>
      </w:r>
    </w:p>
    <w:p>
      <w:pPr>
        <w:pStyle w:val="10"/>
        <w:numPr>
          <w:ilvl w:val="0"/>
          <w:numId w:val="32"/>
        </w:numPr>
        <w:tabs>
          <w:tab w:val="left" w:pos="951"/>
          <w:tab w:val="left" w:pos="3467"/>
        </w:tabs>
        <w:spacing w:before="0" w:after="0" w:line="364" w:lineRule="auto"/>
        <w:ind w:left="108" w:right="611" w:firstLine="559"/>
        <w:jc w:val="left"/>
        <w:rPr>
          <w:highlight w:val="none"/>
        </w:rPr>
      </w:pPr>
      <w:r>
        <w:rPr>
          <w:highlight w:val="none"/>
        </w:rPr>
        <w:t>如供</w:t>
      </w:r>
      <w:r>
        <w:rPr>
          <w:spacing w:val="-3"/>
          <w:highlight w:val="none"/>
        </w:rPr>
        <w:t>方</w:t>
      </w:r>
      <w:r>
        <w:rPr>
          <w:highlight w:val="none"/>
        </w:rPr>
        <w:t>采用</w:t>
      </w:r>
      <w:r>
        <w:rPr>
          <w:spacing w:val="-3"/>
          <w:highlight w:val="none"/>
        </w:rPr>
        <w:t>的包</w:t>
      </w:r>
      <w:r>
        <w:rPr>
          <w:highlight w:val="none"/>
        </w:rPr>
        <w:t>装材料</w:t>
      </w:r>
      <w:r>
        <w:rPr>
          <w:spacing w:val="-3"/>
          <w:highlight w:val="none"/>
        </w:rPr>
        <w:t>不</w:t>
      </w:r>
      <w:r>
        <w:rPr>
          <w:highlight w:val="none"/>
        </w:rPr>
        <w:t>符合</w:t>
      </w:r>
      <w:r>
        <w:rPr>
          <w:spacing w:val="-3"/>
          <w:highlight w:val="none"/>
        </w:rPr>
        <w:t>国家</w:t>
      </w:r>
      <w:r>
        <w:rPr>
          <w:highlight w:val="none"/>
        </w:rPr>
        <w:t>环保标</w:t>
      </w:r>
      <w:r>
        <w:rPr>
          <w:spacing w:val="-3"/>
          <w:highlight w:val="none"/>
        </w:rPr>
        <w:t>准</w:t>
      </w:r>
      <w:r>
        <w:rPr>
          <w:highlight w:val="none"/>
        </w:rPr>
        <w:t>及运</w:t>
      </w:r>
      <w:r>
        <w:rPr>
          <w:spacing w:val="-3"/>
          <w:highlight w:val="none"/>
        </w:rPr>
        <w:t>输过</w:t>
      </w:r>
      <w:r>
        <w:rPr>
          <w:highlight w:val="none"/>
        </w:rPr>
        <w:t>程中出</w:t>
      </w:r>
      <w:r>
        <w:rPr>
          <w:spacing w:val="-3"/>
          <w:highlight w:val="none"/>
        </w:rPr>
        <w:t>现</w:t>
      </w:r>
      <w:r>
        <w:rPr>
          <w:highlight w:val="none"/>
        </w:rPr>
        <w:t>污损</w:t>
      </w:r>
      <w:r>
        <w:rPr>
          <w:spacing w:val="-3"/>
          <w:highlight w:val="none"/>
        </w:rPr>
        <w:t>，</w:t>
      </w:r>
      <w:r>
        <w:rPr>
          <w:highlight w:val="none"/>
        </w:rPr>
        <w:t>供方无条</w:t>
      </w:r>
      <w:r>
        <w:rPr>
          <w:spacing w:val="-3"/>
          <w:highlight w:val="none"/>
        </w:rPr>
        <w:t>件</w:t>
      </w:r>
      <w:r>
        <w:rPr>
          <w:highlight w:val="none"/>
        </w:rPr>
        <w:t>退货</w:t>
      </w:r>
      <w:r>
        <w:rPr>
          <w:spacing w:val="-3"/>
          <w:highlight w:val="none"/>
        </w:rPr>
        <w:t>并偿</w:t>
      </w:r>
      <w:r>
        <w:rPr>
          <w:highlight w:val="none"/>
        </w:rPr>
        <w:t>付货</w:t>
      </w:r>
      <w:r>
        <w:rPr>
          <w:spacing w:val="-3"/>
          <w:highlight w:val="none"/>
        </w:rPr>
        <w:t>款</w:t>
      </w:r>
      <w:r>
        <w:rPr>
          <w:spacing w:val="-3"/>
          <w:highlight w:val="none"/>
          <w:u w:val="single"/>
        </w:rPr>
        <w:t xml:space="preserve"> </w:t>
      </w:r>
      <w:r>
        <w:rPr>
          <w:spacing w:val="-3"/>
          <w:highlight w:val="none"/>
          <w:u w:val="single"/>
        </w:rPr>
        <w:tab/>
      </w:r>
      <w:r>
        <w:rPr>
          <w:highlight w:val="none"/>
        </w:rPr>
        <w:t>%</w:t>
      </w:r>
      <w:r>
        <w:rPr>
          <w:spacing w:val="-3"/>
          <w:highlight w:val="none"/>
        </w:rPr>
        <w:t>的</w:t>
      </w:r>
      <w:r>
        <w:rPr>
          <w:highlight w:val="none"/>
        </w:rPr>
        <w:t>违约</w:t>
      </w:r>
      <w:r>
        <w:rPr>
          <w:spacing w:val="-3"/>
          <w:highlight w:val="none"/>
        </w:rPr>
        <w:t>金</w:t>
      </w:r>
      <w:r>
        <w:rPr>
          <w:highlight w:val="none"/>
        </w:rPr>
        <w:t>。</w:t>
      </w:r>
    </w:p>
    <w:p>
      <w:pPr>
        <w:pStyle w:val="10"/>
        <w:spacing w:before="141"/>
        <w:ind w:left="662"/>
        <w:rPr>
          <w:highlight w:val="none"/>
        </w:rPr>
      </w:pPr>
      <w:r>
        <w:rPr>
          <w:highlight w:val="none"/>
        </w:rPr>
        <w:t>十二、合同纠纷处理</w:t>
      </w:r>
    </w:p>
    <w:p>
      <w:pPr>
        <w:pStyle w:val="10"/>
        <w:spacing w:before="157" w:line="348" w:lineRule="auto"/>
        <w:ind w:left="657" w:right="4250" w:firstLine="9"/>
        <w:rPr>
          <w:highlight w:val="none"/>
        </w:rPr>
      </w:pPr>
      <w:r>
        <w:rPr>
          <w:highlight w:val="none"/>
        </w:rPr>
        <w:t>本合同执行过程中发生纠纷，作如下处理： 1.由甲乙双方协商处理。</w:t>
      </w:r>
    </w:p>
    <w:p>
      <w:pPr>
        <w:pStyle w:val="10"/>
        <w:numPr>
          <w:ilvl w:val="0"/>
          <w:numId w:val="33"/>
        </w:numPr>
        <w:tabs>
          <w:tab w:val="left" w:pos="941"/>
        </w:tabs>
        <w:spacing w:before="0" w:after="0" w:line="355" w:lineRule="exact"/>
        <w:ind w:left="940" w:right="0" w:hanging="284"/>
        <w:jc w:val="left"/>
        <w:rPr>
          <w:highlight w:val="none"/>
        </w:rPr>
      </w:pPr>
      <w:r>
        <w:rPr>
          <w:spacing w:val="-3"/>
          <w:highlight w:val="none"/>
        </w:rPr>
        <w:t>申请仲裁。仲裁机构为海南仲裁委员会。</w:t>
      </w:r>
    </w:p>
    <w:p>
      <w:pPr>
        <w:pStyle w:val="10"/>
        <w:numPr>
          <w:ilvl w:val="0"/>
          <w:numId w:val="33"/>
        </w:numPr>
        <w:tabs>
          <w:tab w:val="left" w:pos="941"/>
        </w:tabs>
        <w:spacing w:before="162" w:after="0" w:line="333" w:lineRule="auto"/>
        <w:ind w:left="672" w:right="4821" w:hanging="15"/>
        <w:jc w:val="left"/>
        <w:rPr>
          <w:highlight w:val="none"/>
        </w:rPr>
      </w:pPr>
      <w:r>
        <w:rPr>
          <w:spacing w:val="-3"/>
          <w:highlight w:val="none"/>
        </w:rPr>
        <w:t>提起诉讼。诉讼地点为甲方所在地。十三、政府采购合同生效</w:t>
      </w:r>
    </w:p>
    <w:p>
      <w:pPr>
        <w:pStyle w:val="10"/>
        <w:spacing w:before="164"/>
        <w:ind w:left="667"/>
        <w:rPr>
          <w:highlight w:val="none"/>
        </w:rPr>
      </w:pPr>
      <w:r>
        <w:rPr>
          <w:highlight w:val="none"/>
        </w:rPr>
        <w:t>本政府采购合同经甲乙双方授权代表签字盖章后生效。</w:t>
      </w:r>
    </w:p>
    <w:p>
      <w:pPr>
        <w:pStyle w:val="5"/>
        <w:spacing w:before="11"/>
        <w:rPr>
          <w:sz w:val="23"/>
          <w:highlight w:val="none"/>
        </w:rPr>
      </w:pPr>
    </w:p>
    <w:p>
      <w:pPr>
        <w:pStyle w:val="10"/>
        <w:spacing w:before="1" w:line="446" w:lineRule="auto"/>
        <w:ind w:left="672" w:right="2291" w:hanging="5"/>
        <w:rPr>
          <w:highlight w:val="none"/>
        </w:rPr>
      </w:pPr>
      <w:r>
        <w:rPr>
          <w:highlight w:val="none"/>
        </w:rPr>
        <w:t>本合同共三份：甲方一份、乙方一份、采购代理机构一份。十四、合同鉴证</w:t>
      </w:r>
    </w:p>
    <w:p>
      <w:pPr>
        <w:pStyle w:val="10"/>
        <w:spacing w:line="364" w:lineRule="auto"/>
        <w:ind w:left="107" w:right="611" w:firstLine="559"/>
        <w:rPr>
          <w:highlight w:val="none"/>
        </w:rPr>
      </w:pPr>
      <w:r>
        <w:rPr>
          <w:highlight w:val="none"/>
        </w:rPr>
        <w:t>采购代理机构应当在本合同上签章，以证明本合同条款与招标文件、投标文件的相关要求相符并且未对采购货物和技术参数进行实质性修改。</w:t>
      </w:r>
    </w:p>
    <w:p>
      <w:pPr>
        <w:pStyle w:val="10"/>
        <w:spacing w:before="138"/>
        <w:ind w:left="662"/>
        <w:rPr>
          <w:highlight w:val="none"/>
        </w:rPr>
      </w:pPr>
      <w:r>
        <w:rPr>
          <w:highlight w:val="none"/>
        </w:rPr>
        <w:t>十五、其他</w:t>
      </w:r>
    </w:p>
    <w:p>
      <w:pPr>
        <w:pStyle w:val="10"/>
        <w:spacing w:before="135" w:line="364" w:lineRule="auto"/>
        <w:ind w:left="108" w:right="611" w:firstLine="559"/>
        <w:jc w:val="both"/>
        <w:rPr>
          <w:highlight w:val="none"/>
        </w:rPr>
      </w:pPr>
      <w:r>
        <w:rPr>
          <w:highlight w:val="none"/>
        </w:rPr>
        <w:t>本合同未尽事宜，双方可以增加条款或补充协议的形式加以补充，但增加或补充协议的条款不得对招标文件和投标文件约定的内容作实质性修改。补充协议与本合同具有相同的法律效力。</w:t>
      </w:r>
    </w:p>
    <w:p>
      <w:pPr>
        <w:spacing w:after="0" w:line="364" w:lineRule="auto"/>
        <w:jc w:val="both"/>
        <w:rPr>
          <w:highlight w:val="none"/>
        </w:rPr>
        <w:sectPr>
          <w:pgSz w:w="11900" w:h="16840"/>
          <w:pgMar w:top="1400" w:right="520" w:bottom="1380" w:left="1140" w:header="0" w:footer="1197" w:gutter="0"/>
          <w:pgNumType w:fmt="decimal"/>
          <w:cols w:space="720" w:num="1"/>
        </w:sectPr>
      </w:pPr>
    </w:p>
    <w:p>
      <w:pPr>
        <w:pStyle w:val="10"/>
        <w:spacing w:before="38" w:line="364" w:lineRule="auto"/>
        <w:ind w:left="1648" w:right="4372" w:hanging="840"/>
        <w:rPr>
          <w:highlight w:val="none"/>
        </w:rPr>
      </w:pPr>
      <w:r>
        <w:rPr>
          <w:highlight w:val="none"/>
        </w:rPr>
        <w:t>附件：1.开标一览表、分项报价明细表； 2.技术、商务响应表；</w:t>
      </w:r>
    </w:p>
    <w:p>
      <w:pPr>
        <w:pStyle w:val="10"/>
        <w:spacing w:line="358" w:lineRule="exact"/>
        <w:ind w:left="1648"/>
        <w:rPr>
          <w:highlight w:val="none"/>
        </w:rPr>
      </w:pPr>
      <w:r>
        <w:rPr>
          <w:highlight w:val="none"/>
        </w:rPr>
        <w:t>3.中标通知书。</w:t>
      </w:r>
    </w:p>
    <w:p>
      <w:pPr>
        <w:pStyle w:val="5"/>
        <w:rPr>
          <w:sz w:val="28"/>
          <w:highlight w:val="none"/>
        </w:rPr>
      </w:pPr>
    </w:p>
    <w:p>
      <w:pPr>
        <w:pStyle w:val="5"/>
        <w:spacing w:before="3"/>
        <w:rPr>
          <w:sz w:val="29"/>
          <w:highlight w:val="none"/>
        </w:rPr>
      </w:pPr>
    </w:p>
    <w:p>
      <w:pPr>
        <w:pStyle w:val="10"/>
        <w:tabs>
          <w:tab w:val="left" w:pos="5810"/>
        </w:tabs>
        <w:ind w:left="626"/>
        <w:rPr>
          <w:highlight w:val="none"/>
        </w:rPr>
      </w:pPr>
      <w:r>
        <w:rPr>
          <w:highlight w:val="none"/>
        </w:rPr>
        <w:t>甲方（</w:t>
      </w:r>
      <w:r>
        <w:rPr>
          <w:spacing w:val="-3"/>
          <w:highlight w:val="none"/>
        </w:rPr>
        <w:t>公</w:t>
      </w:r>
      <w:r>
        <w:rPr>
          <w:highlight w:val="none"/>
        </w:rPr>
        <w:t>章）:</w:t>
      </w:r>
      <w:r>
        <w:rPr>
          <w:highlight w:val="none"/>
        </w:rPr>
        <w:tab/>
      </w:r>
      <w:r>
        <w:rPr>
          <w:spacing w:val="-3"/>
          <w:highlight w:val="none"/>
        </w:rPr>
        <w:t>乙</w:t>
      </w:r>
      <w:r>
        <w:rPr>
          <w:highlight w:val="none"/>
        </w:rPr>
        <w:t>方(公</w:t>
      </w:r>
      <w:r>
        <w:rPr>
          <w:spacing w:val="-3"/>
          <w:highlight w:val="none"/>
        </w:rPr>
        <w:t>章</w:t>
      </w:r>
      <w:r>
        <w:rPr>
          <w:highlight w:val="none"/>
        </w:rPr>
        <w:t>):</w:t>
      </w:r>
    </w:p>
    <w:p>
      <w:pPr>
        <w:pStyle w:val="10"/>
        <w:tabs>
          <w:tab w:val="left" w:pos="5810"/>
        </w:tabs>
        <w:spacing w:before="4"/>
        <w:ind w:left="626"/>
        <w:rPr>
          <w:highlight w:val="none"/>
        </w:rPr>
      </w:pPr>
      <w:r>
        <w:rPr>
          <w:highlight w:val="none"/>
        </w:rPr>
        <w:t>办公地</w:t>
      </w:r>
      <w:r>
        <w:rPr>
          <w:spacing w:val="-3"/>
          <w:highlight w:val="none"/>
        </w:rPr>
        <w:t>址</w:t>
      </w:r>
      <w:r>
        <w:rPr>
          <w:highlight w:val="none"/>
        </w:rPr>
        <w:t>：</w:t>
      </w:r>
      <w:r>
        <w:rPr>
          <w:highlight w:val="none"/>
        </w:rPr>
        <w:tab/>
      </w:r>
      <w:r>
        <w:rPr>
          <w:spacing w:val="-3"/>
          <w:highlight w:val="none"/>
        </w:rPr>
        <w:t>办</w:t>
      </w:r>
      <w:r>
        <w:rPr>
          <w:highlight w:val="none"/>
        </w:rPr>
        <w:t>公地</w:t>
      </w:r>
      <w:r>
        <w:rPr>
          <w:spacing w:val="-3"/>
          <w:highlight w:val="none"/>
        </w:rPr>
        <w:t>址</w:t>
      </w:r>
      <w:r>
        <w:rPr>
          <w:highlight w:val="none"/>
        </w:rPr>
        <w:t>：</w:t>
      </w:r>
    </w:p>
    <w:p>
      <w:pPr>
        <w:pStyle w:val="10"/>
        <w:tabs>
          <w:tab w:val="left" w:pos="5810"/>
        </w:tabs>
        <w:spacing w:before="3"/>
        <w:ind w:left="626"/>
        <w:rPr>
          <w:highlight w:val="none"/>
        </w:rPr>
      </w:pPr>
      <w:r>
        <w:rPr>
          <w:highlight w:val="none"/>
        </w:rPr>
        <w:t>法定代</w:t>
      </w:r>
      <w:r>
        <w:rPr>
          <w:spacing w:val="-3"/>
          <w:highlight w:val="none"/>
        </w:rPr>
        <w:t>表</w:t>
      </w:r>
      <w:r>
        <w:rPr>
          <w:highlight w:val="none"/>
        </w:rPr>
        <w:t>人</w:t>
      </w:r>
      <w:r>
        <w:rPr>
          <w:highlight w:val="none"/>
        </w:rPr>
        <w:tab/>
      </w:r>
      <w:r>
        <w:rPr>
          <w:spacing w:val="-3"/>
          <w:highlight w:val="none"/>
        </w:rPr>
        <w:t>法</w:t>
      </w:r>
      <w:r>
        <w:rPr>
          <w:highlight w:val="none"/>
        </w:rPr>
        <w:t>定代</w:t>
      </w:r>
      <w:r>
        <w:rPr>
          <w:spacing w:val="-3"/>
          <w:highlight w:val="none"/>
        </w:rPr>
        <w:t>表</w:t>
      </w:r>
      <w:r>
        <w:rPr>
          <w:highlight w:val="none"/>
        </w:rPr>
        <w:t>人</w:t>
      </w:r>
    </w:p>
    <w:p>
      <w:pPr>
        <w:pStyle w:val="10"/>
        <w:tabs>
          <w:tab w:val="left" w:pos="5810"/>
        </w:tabs>
        <w:spacing w:before="6"/>
        <w:ind w:left="626"/>
        <w:rPr>
          <w:highlight w:val="none"/>
        </w:rPr>
      </w:pPr>
      <w:r>
        <w:rPr>
          <w:highlight w:val="none"/>
        </w:rPr>
        <w:t>或授权</w:t>
      </w:r>
      <w:r>
        <w:rPr>
          <w:spacing w:val="-3"/>
          <w:highlight w:val="none"/>
        </w:rPr>
        <w:t>代</w:t>
      </w:r>
      <w:r>
        <w:rPr>
          <w:highlight w:val="none"/>
        </w:rPr>
        <w:t>表(签</w:t>
      </w:r>
      <w:r>
        <w:rPr>
          <w:spacing w:val="-3"/>
          <w:highlight w:val="none"/>
        </w:rPr>
        <w:t>字</w:t>
      </w:r>
      <w:r>
        <w:rPr>
          <w:highlight w:val="none"/>
        </w:rPr>
        <w:t>):</w:t>
      </w:r>
      <w:r>
        <w:rPr>
          <w:highlight w:val="none"/>
        </w:rPr>
        <w:tab/>
      </w:r>
      <w:r>
        <w:rPr>
          <w:spacing w:val="-3"/>
          <w:highlight w:val="none"/>
        </w:rPr>
        <w:t>或</w:t>
      </w:r>
      <w:r>
        <w:rPr>
          <w:highlight w:val="none"/>
        </w:rPr>
        <w:t>授权</w:t>
      </w:r>
      <w:r>
        <w:rPr>
          <w:spacing w:val="-3"/>
          <w:highlight w:val="none"/>
        </w:rPr>
        <w:t>代</w:t>
      </w:r>
      <w:r>
        <w:rPr>
          <w:highlight w:val="none"/>
        </w:rPr>
        <w:t>表(</w:t>
      </w:r>
      <w:r>
        <w:rPr>
          <w:spacing w:val="-3"/>
          <w:highlight w:val="none"/>
        </w:rPr>
        <w:t>签</w:t>
      </w:r>
      <w:r>
        <w:rPr>
          <w:highlight w:val="none"/>
        </w:rPr>
        <w:t>字):</w:t>
      </w:r>
    </w:p>
    <w:p>
      <w:pPr>
        <w:pStyle w:val="10"/>
        <w:tabs>
          <w:tab w:val="left" w:pos="5810"/>
        </w:tabs>
        <w:spacing w:before="4"/>
        <w:ind w:left="626"/>
        <w:rPr>
          <w:highlight w:val="none"/>
        </w:rPr>
      </w:pPr>
      <w:r>
        <w:rPr>
          <w:highlight w:val="none"/>
        </w:rPr>
        <w:t>联系人：</w:t>
      </w:r>
      <w:r>
        <w:rPr>
          <w:highlight w:val="none"/>
        </w:rPr>
        <w:tab/>
      </w:r>
      <w:r>
        <w:rPr>
          <w:spacing w:val="-3"/>
          <w:highlight w:val="none"/>
        </w:rPr>
        <w:t>联</w:t>
      </w:r>
      <w:r>
        <w:rPr>
          <w:highlight w:val="none"/>
        </w:rPr>
        <w:t>系人：</w:t>
      </w:r>
    </w:p>
    <w:p>
      <w:pPr>
        <w:pStyle w:val="10"/>
        <w:tabs>
          <w:tab w:val="left" w:pos="5810"/>
        </w:tabs>
        <w:spacing w:before="4"/>
        <w:ind w:left="626"/>
        <w:rPr>
          <w:highlight w:val="none"/>
        </w:rPr>
      </w:pPr>
      <w:r>
        <w:rPr>
          <w:highlight w:val="none"/>
        </w:rPr>
        <w:t>电话：</w:t>
      </w:r>
      <w:r>
        <w:rPr>
          <w:highlight w:val="none"/>
        </w:rPr>
        <w:tab/>
      </w:r>
      <w:r>
        <w:rPr>
          <w:spacing w:val="-3"/>
          <w:highlight w:val="none"/>
        </w:rPr>
        <w:t>电</w:t>
      </w:r>
      <w:r>
        <w:rPr>
          <w:highlight w:val="none"/>
        </w:rPr>
        <w:t>话：</w:t>
      </w:r>
    </w:p>
    <w:p>
      <w:pPr>
        <w:pStyle w:val="5"/>
        <w:rPr>
          <w:sz w:val="28"/>
          <w:highlight w:val="none"/>
        </w:rPr>
      </w:pPr>
    </w:p>
    <w:p>
      <w:pPr>
        <w:pStyle w:val="5"/>
        <w:rPr>
          <w:sz w:val="28"/>
          <w:highlight w:val="none"/>
        </w:rPr>
      </w:pPr>
    </w:p>
    <w:p>
      <w:pPr>
        <w:pStyle w:val="5"/>
        <w:spacing w:before="4"/>
        <w:rPr>
          <w:sz w:val="27"/>
          <w:highlight w:val="none"/>
        </w:rPr>
      </w:pPr>
    </w:p>
    <w:p>
      <w:pPr>
        <w:pStyle w:val="10"/>
        <w:spacing w:before="21"/>
        <w:ind w:left="667"/>
        <w:rPr>
          <w:highlight w:val="none"/>
        </w:rPr>
      </w:pPr>
      <w:r>
        <w:rPr>
          <w:highlight w:val="none"/>
        </w:rPr>
        <w:t>采购代理机构：</w:t>
      </w:r>
      <w:r>
        <w:rPr>
          <w:rFonts w:hint="eastAsia"/>
          <w:highlight w:val="none"/>
          <w:u w:val="single"/>
          <w:lang w:eastAsia="zh-CN"/>
        </w:rPr>
        <w:t>海南诚采项目管理有限公司</w:t>
      </w:r>
      <w:r>
        <w:rPr>
          <w:highlight w:val="none"/>
          <w:u w:val="single"/>
        </w:rPr>
        <w:t>（盖章）</w:t>
      </w:r>
    </w:p>
    <w:p>
      <w:pPr>
        <w:pStyle w:val="10"/>
        <w:tabs>
          <w:tab w:val="left" w:pos="1228"/>
        </w:tabs>
        <w:spacing w:before="162" w:line="348" w:lineRule="auto"/>
        <w:ind w:left="667" w:right="1029"/>
        <w:rPr>
          <w:rFonts w:hint="eastAsia"/>
          <w:highlight w:val="none"/>
          <w:u w:val="single"/>
          <w:lang w:eastAsia="zh-CN"/>
        </w:rPr>
      </w:pPr>
      <w:r>
        <w:rPr>
          <w:highlight w:val="none"/>
        </w:rPr>
        <w:t>地</w:t>
      </w:r>
      <w:r>
        <w:rPr>
          <w:highlight w:val="none"/>
        </w:rPr>
        <w:tab/>
      </w:r>
      <w:r>
        <w:rPr>
          <w:highlight w:val="none"/>
        </w:rPr>
        <w:t>址</w:t>
      </w:r>
      <w:r>
        <w:rPr>
          <w:spacing w:val="-3"/>
          <w:highlight w:val="none"/>
        </w:rPr>
        <w:t>：</w:t>
      </w:r>
      <w:r>
        <w:rPr>
          <w:rFonts w:hint="eastAsia"/>
          <w:highlight w:val="none"/>
          <w:u w:val="single"/>
          <w:lang w:eastAsia="zh-CN"/>
        </w:rPr>
        <w:t>海口市美兰区国兴大道五号海南大厦副楼915室</w:t>
      </w:r>
    </w:p>
    <w:p>
      <w:pPr>
        <w:pStyle w:val="10"/>
        <w:tabs>
          <w:tab w:val="left" w:pos="1228"/>
        </w:tabs>
        <w:spacing w:before="162" w:line="348" w:lineRule="auto"/>
        <w:ind w:left="667" w:right="1029"/>
        <w:rPr>
          <w:highlight w:val="none"/>
        </w:rPr>
      </w:pPr>
      <w:r>
        <w:rPr>
          <w:highlight w:val="none"/>
        </w:rPr>
        <w:t>经办人：</w:t>
      </w:r>
    </w:p>
    <w:p>
      <w:pPr>
        <w:pStyle w:val="5"/>
        <w:spacing w:before="2"/>
        <w:rPr>
          <w:sz w:val="40"/>
          <w:highlight w:val="none"/>
        </w:rPr>
      </w:pPr>
    </w:p>
    <w:p>
      <w:pPr>
        <w:pStyle w:val="10"/>
        <w:tabs>
          <w:tab w:val="left" w:pos="700"/>
          <w:tab w:val="left" w:pos="1540"/>
        </w:tabs>
        <w:ind w:left="0" w:right="544"/>
        <w:jc w:val="right"/>
        <w:rPr>
          <w:highlight w:val="none"/>
        </w:rPr>
      </w:pPr>
      <w:r>
        <w:rPr>
          <w:highlight w:val="none"/>
        </w:rPr>
        <w:t>年</w:t>
      </w:r>
      <w:r>
        <w:rPr>
          <w:highlight w:val="none"/>
        </w:rPr>
        <w:tab/>
      </w:r>
      <w:r>
        <w:rPr>
          <w:highlight w:val="none"/>
        </w:rPr>
        <w:t>月</w:t>
      </w:r>
      <w:r>
        <w:rPr>
          <w:highlight w:val="none"/>
        </w:rPr>
        <w:tab/>
      </w:r>
      <w:r>
        <w:rPr>
          <w:highlight w:val="none"/>
        </w:rPr>
        <w:t>日</w:t>
      </w:r>
    </w:p>
    <w:p>
      <w:pPr>
        <w:spacing w:after="0"/>
        <w:jc w:val="right"/>
        <w:rPr>
          <w:highlight w:val="none"/>
        </w:rPr>
        <w:sectPr>
          <w:pgSz w:w="11900" w:h="16840"/>
          <w:pgMar w:top="1400" w:right="520" w:bottom="1380" w:left="1140" w:header="0" w:footer="1197" w:gutter="0"/>
          <w:pgNumType w:fmt="decimal"/>
          <w:cols w:space="720" w:num="1"/>
        </w:sectPr>
      </w:pPr>
    </w:p>
    <w:p>
      <w:pPr>
        <w:pStyle w:val="8"/>
        <w:spacing w:before="122"/>
        <w:ind w:left="0" w:right="606"/>
        <w:jc w:val="center"/>
        <w:rPr>
          <w:highlight w:val="none"/>
        </w:rPr>
      </w:pPr>
      <w:r>
        <w:rPr>
          <w:highlight w:val="none"/>
        </w:rPr>
        <w:t>合同通用条款</w:t>
      </w:r>
    </w:p>
    <w:p>
      <w:pPr>
        <w:pStyle w:val="5"/>
        <w:rPr>
          <w:sz w:val="20"/>
          <w:highlight w:val="none"/>
        </w:rPr>
      </w:pPr>
    </w:p>
    <w:p>
      <w:pPr>
        <w:pStyle w:val="10"/>
        <w:numPr>
          <w:ilvl w:val="0"/>
          <w:numId w:val="34"/>
        </w:numPr>
        <w:tabs>
          <w:tab w:val="left" w:pos="1086"/>
        </w:tabs>
        <w:spacing w:before="235" w:after="0" w:line="240" w:lineRule="auto"/>
        <w:ind w:left="1085" w:right="0" w:hanging="424"/>
        <w:jc w:val="left"/>
        <w:rPr>
          <w:highlight w:val="none"/>
        </w:rPr>
      </w:pPr>
      <w:r>
        <w:rPr>
          <w:highlight w:val="none"/>
        </w:rPr>
        <w:t>定义</w:t>
      </w:r>
    </w:p>
    <w:p>
      <w:pPr>
        <w:pStyle w:val="5"/>
        <w:spacing w:before="1"/>
        <w:rPr>
          <w:sz w:val="36"/>
          <w:highlight w:val="none"/>
        </w:rPr>
      </w:pPr>
    </w:p>
    <w:p>
      <w:pPr>
        <w:pStyle w:val="10"/>
        <w:ind w:left="1219"/>
        <w:rPr>
          <w:highlight w:val="none"/>
        </w:rPr>
      </w:pPr>
      <w:r>
        <w:rPr>
          <w:highlight w:val="none"/>
        </w:rPr>
        <w:t>本合同下列术语应解释为：</w:t>
      </w:r>
    </w:p>
    <w:p>
      <w:pPr>
        <w:pStyle w:val="10"/>
        <w:spacing w:before="186" w:line="364" w:lineRule="auto"/>
        <w:ind w:right="1271" w:firstLine="559"/>
        <w:jc w:val="both"/>
        <w:rPr>
          <w:highlight w:val="none"/>
        </w:rPr>
      </w:pPr>
      <w:r>
        <w:rPr>
          <w:highlight w:val="none"/>
        </w:rPr>
        <w:t>（l）“合同”系指甲方和乙方（以下简称合同双方）签署的、</w:t>
      </w:r>
      <w:r>
        <w:rPr>
          <w:spacing w:val="-8"/>
          <w:highlight w:val="none"/>
        </w:rPr>
        <w:t>合同格式中列明的合同双方所达成的协议，包括所有的附件、附录和</w:t>
      </w:r>
      <w:r>
        <w:rPr>
          <w:spacing w:val="-5"/>
          <w:highlight w:val="none"/>
        </w:rPr>
        <w:t>构成合同的所有文件。</w:t>
      </w:r>
    </w:p>
    <w:p>
      <w:pPr>
        <w:pStyle w:val="10"/>
        <w:numPr>
          <w:ilvl w:val="0"/>
          <w:numId w:val="35"/>
        </w:numPr>
        <w:tabs>
          <w:tab w:val="left" w:pos="1926"/>
        </w:tabs>
        <w:spacing w:before="0" w:after="0" w:line="364" w:lineRule="auto"/>
        <w:ind w:left="660" w:right="1271" w:firstLine="559"/>
        <w:jc w:val="left"/>
        <w:rPr>
          <w:highlight w:val="none"/>
        </w:rPr>
      </w:pPr>
      <w:r>
        <w:rPr>
          <w:highlight w:val="none"/>
        </w:rPr>
        <w:t>“合同价”系指根据合同规定，乙方在完全履行合同义务</w:t>
      </w:r>
      <w:r>
        <w:rPr>
          <w:spacing w:val="-3"/>
          <w:highlight w:val="none"/>
        </w:rPr>
        <w:t>后甲方应付给乙方的价格。</w:t>
      </w:r>
    </w:p>
    <w:p>
      <w:pPr>
        <w:pStyle w:val="10"/>
        <w:numPr>
          <w:ilvl w:val="0"/>
          <w:numId w:val="35"/>
        </w:numPr>
        <w:tabs>
          <w:tab w:val="left" w:pos="1926"/>
        </w:tabs>
        <w:spacing w:before="0" w:after="0" w:line="364" w:lineRule="auto"/>
        <w:ind w:left="660" w:right="1269" w:firstLine="559"/>
        <w:jc w:val="both"/>
        <w:rPr>
          <w:highlight w:val="none"/>
        </w:rPr>
      </w:pPr>
      <w:r>
        <w:rPr>
          <w:highlight w:val="none"/>
        </w:rPr>
        <w:t>“货物（含软件及相关服务）”系指乙方按合同要求，须</w:t>
      </w:r>
      <w:r>
        <w:rPr>
          <w:spacing w:val="-10"/>
          <w:highlight w:val="none"/>
        </w:rPr>
        <w:t>向甲方提供的一切设备、机械、仪器、备件、工具、技术及手册等有</w:t>
      </w:r>
      <w:r>
        <w:rPr>
          <w:spacing w:val="-7"/>
          <w:highlight w:val="none"/>
        </w:rPr>
        <w:t>关资料。“工程”系指按合同要求进行施工。</w:t>
      </w:r>
    </w:p>
    <w:p>
      <w:pPr>
        <w:pStyle w:val="10"/>
        <w:numPr>
          <w:ilvl w:val="0"/>
          <w:numId w:val="35"/>
        </w:numPr>
        <w:tabs>
          <w:tab w:val="left" w:pos="1928"/>
        </w:tabs>
        <w:spacing w:before="0" w:after="0" w:line="364" w:lineRule="auto"/>
        <w:ind w:left="660" w:right="1269" w:firstLine="561"/>
        <w:jc w:val="both"/>
        <w:rPr>
          <w:highlight w:val="none"/>
        </w:rPr>
      </w:pPr>
      <w:r>
        <w:rPr>
          <w:highlight w:val="none"/>
        </w:rPr>
        <w:t>“服务”系指根据合同规定乙方承担与供货有关的所有辅</w:t>
      </w:r>
      <w:r>
        <w:rPr>
          <w:spacing w:val="-11"/>
          <w:highlight w:val="none"/>
        </w:rPr>
        <w:t>助服务，如运输、保险以及其它的服务，如安装、调试、提供技术援</w:t>
      </w:r>
      <w:r>
        <w:rPr>
          <w:spacing w:val="-7"/>
          <w:highlight w:val="none"/>
        </w:rPr>
        <w:t>助、培训及其他类似的义务。</w:t>
      </w:r>
    </w:p>
    <w:p>
      <w:pPr>
        <w:pStyle w:val="10"/>
        <w:numPr>
          <w:ilvl w:val="0"/>
          <w:numId w:val="35"/>
        </w:numPr>
        <w:tabs>
          <w:tab w:val="left" w:pos="1924"/>
        </w:tabs>
        <w:spacing w:before="0" w:after="0" w:line="357" w:lineRule="exact"/>
        <w:ind w:left="1923" w:right="0" w:hanging="703"/>
        <w:jc w:val="left"/>
        <w:rPr>
          <w:highlight w:val="none"/>
        </w:rPr>
      </w:pPr>
      <w:r>
        <w:rPr>
          <w:spacing w:val="-3"/>
          <w:highlight w:val="none"/>
        </w:rPr>
        <w:t>“甲方”系指购买货物（含软件及相关服务）</w:t>
      </w:r>
      <w:r>
        <w:rPr>
          <w:highlight w:val="none"/>
        </w:rPr>
        <w:t>的单位。</w:t>
      </w:r>
    </w:p>
    <w:p>
      <w:pPr>
        <w:pStyle w:val="10"/>
        <w:numPr>
          <w:ilvl w:val="0"/>
          <w:numId w:val="35"/>
        </w:numPr>
        <w:tabs>
          <w:tab w:val="left" w:pos="1924"/>
        </w:tabs>
        <w:spacing w:before="182" w:after="0" w:line="364" w:lineRule="auto"/>
        <w:ind w:left="660" w:right="1130" w:firstLine="561"/>
        <w:jc w:val="left"/>
        <w:rPr>
          <w:highlight w:val="none"/>
        </w:rPr>
      </w:pPr>
      <w:r>
        <w:rPr>
          <w:spacing w:val="-8"/>
          <w:highlight w:val="none"/>
        </w:rPr>
        <w:t>“乙方”系指根据合同规定提供货物</w:t>
      </w:r>
      <w:r>
        <w:rPr>
          <w:spacing w:val="-3"/>
          <w:highlight w:val="none"/>
        </w:rPr>
        <w:t>（</w:t>
      </w:r>
      <w:r>
        <w:rPr>
          <w:spacing w:val="-2"/>
          <w:highlight w:val="none"/>
        </w:rPr>
        <w:t>含软件及相关服务）</w:t>
      </w:r>
      <w:r>
        <w:rPr>
          <w:spacing w:val="-3"/>
          <w:highlight w:val="none"/>
        </w:rPr>
        <w:t>和服务的制造商或代理商。</w:t>
      </w:r>
    </w:p>
    <w:p>
      <w:pPr>
        <w:pStyle w:val="10"/>
        <w:numPr>
          <w:ilvl w:val="0"/>
          <w:numId w:val="35"/>
        </w:numPr>
        <w:tabs>
          <w:tab w:val="left" w:pos="1928"/>
        </w:tabs>
        <w:spacing w:before="0" w:after="0" w:line="364" w:lineRule="auto"/>
        <w:ind w:left="660" w:right="1269" w:firstLine="561"/>
        <w:jc w:val="left"/>
        <w:rPr>
          <w:highlight w:val="none"/>
        </w:rPr>
      </w:pPr>
      <w:r>
        <w:rPr>
          <w:highlight w:val="none"/>
        </w:rPr>
        <w:t>“现场”系指将要进行货物（含软件及相关服务）安装和</w:t>
      </w:r>
      <w:r>
        <w:rPr>
          <w:spacing w:val="-1"/>
          <w:highlight w:val="none"/>
        </w:rPr>
        <w:t>调试的地点。</w:t>
      </w:r>
    </w:p>
    <w:p>
      <w:pPr>
        <w:pStyle w:val="5"/>
        <w:spacing w:before="12"/>
        <w:rPr>
          <w:sz w:val="21"/>
          <w:highlight w:val="none"/>
        </w:rPr>
      </w:pPr>
    </w:p>
    <w:p>
      <w:pPr>
        <w:pStyle w:val="10"/>
        <w:numPr>
          <w:ilvl w:val="0"/>
          <w:numId w:val="34"/>
        </w:numPr>
        <w:tabs>
          <w:tab w:val="left" w:pos="1086"/>
        </w:tabs>
        <w:spacing w:before="1" w:after="0" w:line="240" w:lineRule="auto"/>
        <w:ind w:left="1085" w:right="0" w:hanging="424"/>
        <w:jc w:val="left"/>
        <w:rPr>
          <w:highlight w:val="none"/>
        </w:rPr>
      </w:pPr>
      <w:r>
        <w:rPr>
          <w:highlight w:val="none"/>
        </w:rPr>
        <w:t>技术规范</w:t>
      </w:r>
    </w:p>
    <w:p>
      <w:pPr>
        <w:pStyle w:val="5"/>
        <w:rPr>
          <w:sz w:val="36"/>
          <w:highlight w:val="none"/>
        </w:rPr>
      </w:pPr>
    </w:p>
    <w:p>
      <w:pPr>
        <w:pStyle w:val="10"/>
        <w:spacing w:line="364" w:lineRule="auto"/>
        <w:ind w:right="1127" w:firstLine="549"/>
        <w:jc w:val="both"/>
        <w:rPr>
          <w:highlight w:val="none"/>
        </w:rPr>
      </w:pPr>
      <w:r>
        <w:rPr>
          <w:spacing w:val="-11"/>
          <w:highlight w:val="none"/>
        </w:rPr>
        <w:t>提交货物</w:t>
      </w:r>
      <w:r>
        <w:rPr>
          <w:highlight w:val="none"/>
        </w:rPr>
        <w:t>（</w:t>
      </w:r>
      <w:r>
        <w:rPr>
          <w:spacing w:val="-3"/>
          <w:highlight w:val="none"/>
        </w:rPr>
        <w:t>含软件及相关服务</w:t>
      </w:r>
      <w:r>
        <w:rPr>
          <w:spacing w:val="-44"/>
          <w:highlight w:val="none"/>
        </w:rPr>
        <w:t>）</w:t>
      </w:r>
      <w:r>
        <w:rPr>
          <w:spacing w:val="-3"/>
          <w:highlight w:val="none"/>
        </w:rPr>
        <w:t>的技术规范应与招标文件的技术规范和技术规范附件（如果有的话）及其投标</w:t>
      </w:r>
      <w:r>
        <w:rPr>
          <w:spacing w:val="3"/>
          <w:highlight w:val="none"/>
        </w:rPr>
        <w:t>/</w:t>
      </w:r>
      <w:r>
        <w:rPr>
          <w:highlight w:val="none"/>
        </w:rPr>
        <w:t>响应文件的技术、商</w:t>
      </w:r>
      <w:r>
        <w:rPr>
          <w:spacing w:val="-20"/>
          <w:highlight w:val="none"/>
        </w:rPr>
        <w:t>务响应表</w:t>
      </w:r>
      <w:r>
        <w:rPr>
          <w:highlight w:val="none"/>
        </w:rPr>
        <w:t>（</w:t>
      </w:r>
      <w:r>
        <w:rPr>
          <w:spacing w:val="-3"/>
          <w:highlight w:val="none"/>
        </w:rPr>
        <w:t>如果被甲方接受的话</w:t>
      </w:r>
      <w:r>
        <w:rPr>
          <w:spacing w:val="-80"/>
          <w:highlight w:val="none"/>
        </w:rPr>
        <w:t>）</w:t>
      </w:r>
      <w:r>
        <w:rPr>
          <w:spacing w:val="-10"/>
          <w:highlight w:val="none"/>
        </w:rPr>
        <w:t>相一致。若技术规范中无相应说明，</w:t>
      </w:r>
    </w:p>
    <w:p>
      <w:pPr>
        <w:spacing w:after="0" w:line="364" w:lineRule="auto"/>
        <w:jc w:val="both"/>
        <w:rPr>
          <w:highlight w:val="none"/>
        </w:rPr>
        <w:sectPr>
          <w:pgSz w:w="11900" w:h="16840"/>
          <w:pgMar w:top="1600" w:right="520" w:bottom="1380" w:left="1140" w:header="0" w:footer="1197" w:gutter="0"/>
          <w:pgNumType w:fmt="decimal"/>
          <w:cols w:space="720" w:num="1"/>
        </w:sectPr>
      </w:pPr>
    </w:p>
    <w:p>
      <w:pPr>
        <w:pStyle w:val="10"/>
        <w:spacing w:before="38" w:line="554" w:lineRule="auto"/>
        <w:ind w:left="662" w:right="3136" w:hanging="3"/>
        <w:rPr>
          <w:highlight w:val="none"/>
        </w:rPr>
      </w:pPr>
      <w:r>
        <w:rPr>
          <w:highlight w:val="none"/>
        </w:rPr>
        <w:t>则以国家有关部门最新颁布的相应标准及规范为准。3．专利权</w:t>
      </w:r>
    </w:p>
    <w:p>
      <w:pPr>
        <w:pStyle w:val="10"/>
        <w:spacing w:line="364" w:lineRule="auto"/>
        <w:ind w:right="1269" w:firstLine="559"/>
        <w:jc w:val="both"/>
        <w:rPr>
          <w:highlight w:val="none"/>
        </w:rPr>
      </w:pPr>
      <w:r>
        <w:rPr>
          <w:spacing w:val="-7"/>
          <w:highlight w:val="none"/>
        </w:rPr>
        <w:t>乙方须保障甲方在使用该货物</w:t>
      </w:r>
      <w:r>
        <w:rPr>
          <w:highlight w:val="none"/>
        </w:rPr>
        <w:t>（</w:t>
      </w:r>
      <w:r>
        <w:rPr>
          <w:spacing w:val="-3"/>
          <w:highlight w:val="none"/>
        </w:rPr>
        <w:t>含软件及相关服务</w:t>
      </w:r>
      <w:r>
        <w:rPr>
          <w:spacing w:val="-48"/>
          <w:highlight w:val="none"/>
        </w:rPr>
        <w:t>）</w:t>
      </w:r>
      <w:r>
        <w:rPr>
          <w:spacing w:val="-2"/>
          <w:highlight w:val="none"/>
        </w:rPr>
        <w:t>或其任何一</w:t>
      </w:r>
      <w:r>
        <w:rPr>
          <w:spacing w:val="-9"/>
          <w:highlight w:val="none"/>
        </w:rPr>
        <w:t>部分时不受到第三方关于侵犯专利权、商标权、版权、专有技术等权</w:t>
      </w:r>
      <w:r>
        <w:rPr>
          <w:spacing w:val="-12"/>
          <w:highlight w:val="none"/>
        </w:rPr>
        <w:t>利的指控。如果任何第三方提出侵权指控，乙方须与第三方交涉并承</w:t>
      </w:r>
      <w:r>
        <w:rPr>
          <w:spacing w:val="-7"/>
          <w:highlight w:val="none"/>
        </w:rPr>
        <w:t>担可能发生的一切损失和费用。</w:t>
      </w:r>
    </w:p>
    <w:p>
      <w:pPr>
        <w:pStyle w:val="5"/>
        <w:spacing w:before="3"/>
        <w:rPr>
          <w:sz w:val="21"/>
          <w:highlight w:val="none"/>
        </w:rPr>
      </w:pPr>
    </w:p>
    <w:p>
      <w:pPr>
        <w:pStyle w:val="10"/>
        <w:numPr>
          <w:ilvl w:val="0"/>
          <w:numId w:val="36"/>
        </w:numPr>
        <w:tabs>
          <w:tab w:val="left" w:pos="1086"/>
        </w:tabs>
        <w:spacing w:before="1" w:after="0" w:line="240" w:lineRule="auto"/>
        <w:ind w:left="1085" w:right="0" w:hanging="424"/>
        <w:jc w:val="left"/>
        <w:rPr>
          <w:highlight w:val="none"/>
        </w:rPr>
      </w:pPr>
      <w:r>
        <w:rPr>
          <w:highlight w:val="none"/>
        </w:rPr>
        <w:t>包装要求</w:t>
      </w:r>
    </w:p>
    <w:p>
      <w:pPr>
        <w:pStyle w:val="5"/>
        <w:rPr>
          <w:sz w:val="36"/>
          <w:highlight w:val="none"/>
        </w:rPr>
      </w:pPr>
    </w:p>
    <w:p>
      <w:pPr>
        <w:pStyle w:val="10"/>
        <w:numPr>
          <w:ilvl w:val="1"/>
          <w:numId w:val="36"/>
        </w:numPr>
        <w:tabs>
          <w:tab w:val="left" w:pos="1781"/>
        </w:tabs>
        <w:spacing w:before="0" w:after="0" w:line="364" w:lineRule="auto"/>
        <w:ind w:left="660" w:right="1266" w:firstLine="559"/>
        <w:jc w:val="both"/>
        <w:rPr>
          <w:highlight w:val="none"/>
        </w:rPr>
      </w:pPr>
      <w:r>
        <w:rPr>
          <w:spacing w:val="-11"/>
          <w:highlight w:val="none"/>
        </w:rPr>
        <w:t>除合同另有规定外，乙方提供的全部货物</w:t>
      </w:r>
      <w:r>
        <w:rPr>
          <w:spacing w:val="-3"/>
          <w:highlight w:val="none"/>
        </w:rPr>
        <w:t>（</w:t>
      </w:r>
      <w:r>
        <w:rPr>
          <w:spacing w:val="-1"/>
          <w:highlight w:val="none"/>
        </w:rPr>
        <w:t>含软件及相关服务</w:t>
      </w:r>
      <w:r>
        <w:rPr>
          <w:spacing w:val="-32"/>
          <w:highlight w:val="none"/>
        </w:rPr>
        <w:t>），</w:t>
      </w:r>
      <w:r>
        <w:rPr>
          <w:spacing w:val="-5"/>
          <w:highlight w:val="none"/>
        </w:rPr>
        <w:t>均应采用相应的标准保护措施进行包装，使包装适应于远距离</w:t>
      </w:r>
      <w:r>
        <w:rPr>
          <w:spacing w:val="-12"/>
          <w:highlight w:val="none"/>
        </w:rPr>
        <w:t>运输、防潮、防震、防锈和防粗暴装卸，确保货物</w:t>
      </w:r>
      <w:r>
        <w:rPr>
          <w:highlight w:val="none"/>
        </w:rPr>
        <w:t>（</w:t>
      </w:r>
      <w:r>
        <w:rPr>
          <w:spacing w:val="-3"/>
          <w:highlight w:val="none"/>
        </w:rPr>
        <w:t>含软件及相关服务</w:t>
      </w:r>
      <w:r>
        <w:rPr>
          <w:spacing w:val="-32"/>
          <w:highlight w:val="none"/>
        </w:rPr>
        <w:t>）</w:t>
      </w:r>
      <w:r>
        <w:rPr>
          <w:spacing w:val="-9"/>
          <w:highlight w:val="none"/>
        </w:rPr>
        <w:t>安全无损运抵现场。由于包装不善所引起的货物</w:t>
      </w:r>
      <w:r>
        <w:rPr>
          <w:spacing w:val="-3"/>
          <w:highlight w:val="none"/>
        </w:rPr>
        <w:t>（</w:t>
      </w:r>
      <w:r>
        <w:rPr>
          <w:spacing w:val="-1"/>
          <w:highlight w:val="none"/>
        </w:rPr>
        <w:t>含软件及相关服务）</w:t>
      </w:r>
      <w:r>
        <w:rPr>
          <w:spacing w:val="-3"/>
          <w:highlight w:val="none"/>
        </w:rPr>
        <w:t>锈蚀、损坏和损失均由乙方承担。</w:t>
      </w:r>
    </w:p>
    <w:p>
      <w:pPr>
        <w:pStyle w:val="10"/>
        <w:numPr>
          <w:ilvl w:val="1"/>
          <w:numId w:val="36"/>
        </w:numPr>
        <w:tabs>
          <w:tab w:val="left" w:pos="1781"/>
        </w:tabs>
        <w:spacing w:before="0" w:after="0" w:line="554" w:lineRule="auto"/>
        <w:ind w:left="662" w:right="2298" w:firstLine="556"/>
        <w:jc w:val="left"/>
        <w:rPr>
          <w:highlight w:val="none"/>
        </w:rPr>
      </w:pPr>
      <w:r>
        <w:rPr>
          <w:spacing w:val="-3"/>
          <w:highlight w:val="none"/>
        </w:rPr>
        <w:t>每件包装箱内应附一份详细装箱单和质量合格证。5．装运标志</w:t>
      </w:r>
    </w:p>
    <w:p>
      <w:pPr>
        <w:pStyle w:val="10"/>
        <w:numPr>
          <w:ilvl w:val="1"/>
          <w:numId w:val="37"/>
        </w:numPr>
        <w:tabs>
          <w:tab w:val="left" w:pos="1788"/>
        </w:tabs>
        <w:spacing w:before="0" w:after="0" w:line="364" w:lineRule="auto"/>
        <w:ind w:left="660" w:right="1271" w:firstLine="559"/>
        <w:jc w:val="left"/>
        <w:rPr>
          <w:highlight w:val="none"/>
        </w:rPr>
      </w:pPr>
      <w:r>
        <w:rPr>
          <w:spacing w:val="3"/>
          <w:highlight w:val="none"/>
        </w:rPr>
        <w:t>乙方应在每一包装箱邻接的四侧用不褪色的油漆以醒目的</w:t>
      </w:r>
      <w:r>
        <w:rPr>
          <w:spacing w:val="-2"/>
          <w:highlight w:val="none"/>
        </w:rPr>
        <w:t>中文字样做出下列标记：</w:t>
      </w:r>
    </w:p>
    <w:p>
      <w:pPr>
        <w:pStyle w:val="10"/>
        <w:spacing w:line="358" w:lineRule="exact"/>
        <w:ind w:left="1219"/>
        <w:rPr>
          <w:highlight w:val="none"/>
        </w:rPr>
      </w:pPr>
      <w:r>
        <w:rPr>
          <w:highlight w:val="none"/>
        </w:rPr>
        <w:t>（l）收货人</w:t>
      </w:r>
    </w:p>
    <w:p>
      <w:pPr>
        <w:pStyle w:val="10"/>
        <w:numPr>
          <w:ilvl w:val="0"/>
          <w:numId w:val="38"/>
        </w:numPr>
        <w:tabs>
          <w:tab w:val="left" w:pos="1924"/>
        </w:tabs>
        <w:spacing w:before="175" w:after="0" w:line="240" w:lineRule="auto"/>
        <w:ind w:left="1923" w:right="0" w:hanging="705"/>
        <w:jc w:val="left"/>
        <w:rPr>
          <w:highlight w:val="none"/>
        </w:rPr>
      </w:pPr>
      <w:r>
        <w:rPr>
          <w:highlight w:val="none"/>
        </w:rPr>
        <w:t>合同号</w:t>
      </w:r>
    </w:p>
    <w:p>
      <w:pPr>
        <w:pStyle w:val="10"/>
        <w:numPr>
          <w:ilvl w:val="0"/>
          <w:numId w:val="38"/>
        </w:numPr>
        <w:tabs>
          <w:tab w:val="left" w:pos="1924"/>
        </w:tabs>
        <w:spacing w:before="186" w:after="0" w:line="240" w:lineRule="auto"/>
        <w:ind w:left="1923" w:right="0" w:hanging="705"/>
        <w:jc w:val="left"/>
        <w:rPr>
          <w:highlight w:val="none"/>
        </w:rPr>
      </w:pPr>
      <w:r>
        <w:rPr>
          <w:spacing w:val="-1"/>
          <w:highlight w:val="none"/>
        </w:rPr>
        <w:t>装运标志</w:t>
      </w:r>
    </w:p>
    <w:p>
      <w:pPr>
        <w:pStyle w:val="10"/>
        <w:numPr>
          <w:ilvl w:val="0"/>
          <w:numId w:val="38"/>
        </w:numPr>
        <w:tabs>
          <w:tab w:val="left" w:pos="1924"/>
        </w:tabs>
        <w:spacing w:before="186" w:after="0" w:line="240" w:lineRule="auto"/>
        <w:ind w:left="1923" w:right="0" w:hanging="705"/>
        <w:jc w:val="left"/>
        <w:rPr>
          <w:highlight w:val="none"/>
        </w:rPr>
      </w:pPr>
      <w:r>
        <w:rPr>
          <w:spacing w:val="-1"/>
          <w:highlight w:val="none"/>
        </w:rPr>
        <w:t>收货人代号</w:t>
      </w:r>
    </w:p>
    <w:p>
      <w:pPr>
        <w:pStyle w:val="10"/>
        <w:numPr>
          <w:ilvl w:val="0"/>
          <w:numId w:val="38"/>
        </w:numPr>
        <w:tabs>
          <w:tab w:val="left" w:pos="1924"/>
        </w:tabs>
        <w:spacing w:before="186" w:after="0" w:line="240" w:lineRule="auto"/>
        <w:ind w:left="1923" w:right="0" w:hanging="705"/>
        <w:jc w:val="left"/>
        <w:rPr>
          <w:highlight w:val="none"/>
        </w:rPr>
      </w:pPr>
      <w:r>
        <w:rPr>
          <w:highlight w:val="none"/>
        </w:rPr>
        <w:t>目的地</w:t>
      </w:r>
    </w:p>
    <w:p>
      <w:pPr>
        <w:pStyle w:val="10"/>
        <w:numPr>
          <w:ilvl w:val="0"/>
          <w:numId w:val="38"/>
        </w:numPr>
        <w:tabs>
          <w:tab w:val="left" w:pos="1924"/>
        </w:tabs>
        <w:spacing w:before="186" w:after="0" w:line="240" w:lineRule="auto"/>
        <w:ind w:left="1923" w:right="0" w:hanging="705"/>
        <w:jc w:val="left"/>
        <w:rPr>
          <w:highlight w:val="none"/>
        </w:rPr>
      </w:pPr>
      <w:r>
        <w:rPr>
          <w:highlight w:val="none"/>
        </w:rPr>
        <w:t>货物</w:t>
      </w:r>
      <w:r>
        <w:rPr>
          <w:spacing w:val="-3"/>
          <w:highlight w:val="none"/>
        </w:rPr>
        <w:t>（</w:t>
      </w:r>
      <w:r>
        <w:rPr>
          <w:spacing w:val="-2"/>
          <w:highlight w:val="none"/>
        </w:rPr>
        <w:t>含软件及相关服务</w:t>
      </w:r>
      <w:r>
        <w:rPr>
          <w:highlight w:val="none"/>
        </w:rPr>
        <w:t>）</w:t>
      </w:r>
      <w:r>
        <w:rPr>
          <w:spacing w:val="-3"/>
          <w:highlight w:val="none"/>
        </w:rPr>
        <w:t>名称、品目号和箱号</w:t>
      </w:r>
    </w:p>
    <w:p>
      <w:pPr>
        <w:spacing w:after="0" w:line="240" w:lineRule="auto"/>
        <w:jc w:val="left"/>
        <w:rPr>
          <w:highlight w:val="none"/>
        </w:rPr>
        <w:sectPr>
          <w:pgSz w:w="11900" w:h="16840"/>
          <w:pgMar w:top="1400" w:right="520" w:bottom="1380" w:left="1140" w:header="0" w:footer="1197" w:gutter="0"/>
          <w:pgNumType w:fmt="decimal"/>
          <w:cols w:space="720" w:num="1"/>
        </w:sectPr>
      </w:pPr>
    </w:p>
    <w:p>
      <w:pPr>
        <w:pStyle w:val="10"/>
        <w:numPr>
          <w:ilvl w:val="0"/>
          <w:numId w:val="38"/>
        </w:numPr>
        <w:tabs>
          <w:tab w:val="left" w:pos="1924"/>
        </w:tabs>
        <w:spacing w:before="38" w:after="0" w:line="240" w:lineRule="auto"/>
        <w:ind w:left="1923" w:right="0" w:hanging="705"/>
        <w:jc w:val="left"/>
        <w:rPr>
          <w:highlight w:val="none"/>
        </w:rPr>
      </w:pPr>
      <w:r>
        <w:rPr>
          <w:spacing w:val="-1"/>
          <w:highlight w:val="none"/>
        </w:rPr>
        <w:t>毛重／净重</w:t>
      </w:r>
    </w:p>
    <w:p>
      <w:pPr>
        <w:pStyle w:val="10"/>
        <w:numPr>
          <w:ilvl w:val="0"/>
          <w:numId w:val="38"/>
        </w:numPr>
        <w:tabs>
          <w:tab w:val="left" w:pos="1924"/>
        </w:tabs>
        <w:spacing w:before="186" w:after="0" w:line="240" w:lineRule="auto"/>
        <w:ind w:left="1923" w:right="0" w:hanging="705"/>
        <w:jc w:val="left"/>
        <w:rPr>
          <w:highlight w:val="none"/>
        </w:rPr>
      </w:pPr>
      <w:r>
        <w:rPr>
          <w:highlight w:val="none"/>
        </w:rPr>
        <w:t>尺寸（</w:t>
      </w:r>
      <w:r>
        <w:rPr>
          <w:spacing w:val="67"/>
          <w:highlight w:val="none"/>
        </w:rPr>
        <w:t>长</w:t>
      </w:r>
      <w:r>
        <w:rPr>
          <w:highlight w:val="none"/>
        </w:rPr>
        <w:t>X</w:t>
      </w:r>
      <w:r>
        <w:rPr>
          <w:spacing w:val="-2"/>
          <w:highlight w:val="none"/>
        </w:rPr>
        <w:t xml:space="preserve"> 宽</w:t>
      </w:r>
      <w:r>
        <w:rPr>
          <w:highlight w:val="none"/>
        </w:rPr>
        <w:t>X</w:t>
      </w:r>
      <w:r>
        <w:rPr>
          <w:spacing w:val="-13"/>
          <w:highlight w:val="none"/>
        </w:rPr>
        <w:t xml:space="preserve"> 高，以厘米计</w:t>
      </w:r>
      <w:r>
        <w:rPr>
          <w:highlight w:val="none"/>
        </w:rPr>
        <w:t>）</w:t>
      </w:r>
    </w:p>
    <w:p>
      <w:pPr>
        <w:pStyle w:val="10"/>
        <w:numPr>
          <w:ilvl w:val="1"/>
          <w:numId w:val="37"/>
        </w:numPr>
        <w:tabs>
          <w:tab w:val="left" w:pos="1781"/>
        </w:tabs>
        <w:spacing w:before="186" w:after="0" w:line="364" w:lineRule="auto"/>
        <w:ind w:left="660" w:right="1132" w:firstLine="559"/>
        <w:jc w:val="left"/>
        <w:rPr>
          <w:highlight w:val="none"/>
        </w:rPr>
      </w:pPr>
      <w:r>
        <w:rPr>
          <w:spacing w:val="-31"/>
          <w:highlight w:val="none"/>
        </w:rPr>
        <w:t>如果货物</w:t>
      </w:r>
      <w:r>
        <w:rPr>
          <w:highlight w:val="none"/>
        </w:rPr>
        <w:t>（</w:t>
      </w:r>
      <w:r>
        <w:rPr>
          <w:spacing w:val="-3"/>
          <w:highlight w:val="none"/>
        </w:rPr>
        <w:t>含软件及相关服务</w:t>
      </w:r>
      <w:r>
        <w:rPr>
          <w:spacing w:val="-118"/>
          <w:highlight w:val="none"/>
        </w:rPr>
        <w:t>）</w:t>
      </w:r>
      <w:r>
        <w:rPr>
          <w:spacing w:val="-3"/>
          <w:highlight w:val="none"/>
        </w:rPr>
        <w:t xml:space="preserve">单件重量在两吨或两吨以上， </w:t>
      </w:r>
      <w:r>
        <w:rPr>
          <w:spacing w:val="-7"/>
          <w:highlight w:val="none"/>
        </w:rPr>
        <w:t>乙方应在每件包装箱的两侧用中文和适当的运输标志标明“重心”和</w:t>
      </w:r>
      <w:r>
        <w:rPr>
          <w:spacing w:val="-11"/>
          <w:highlight w:val="none"/>
        </w:rPr>
        <w:t>“吊装点”，以便装卸和搬运。根据货物</w:t>
      </w:r>
      <w:r>
        <w:rPr>
          <w:highlight w:val="none"/>
        </w:rPr>
        <w:t>（</w:t>
      </w:r>
      <w:r>
        <w:rPr>
          <w:spacing w:val="-3"/>
          <w:highlight w:val="none"/>
        </w:rPr>
        <w:t>含软件及相关服务</w:t>
      </w:r>
      <w:r>
        <w:rPr>
          <w:spacing w:val="-20"/>
          <w:highlight w:val="none"/>
        </w:rPr>
        <w:t>）</w:t>
      </w:r>
      <w:r>
        <w:rPr>
          <w:spacing w:val="-2"/>
          <w:highlight w:val="none"/>
        </w:rPr>
        <w:t>的特</w:t>
      </w:r>
      <w:r>
        <w:rPr>
          <w:spacing w:val="-3"/>
          <w:highlight w:val="none"/>
        </w:rPr>
        <w:t>点和运输的不同要求，乙方应在包装箱上清楚地标有“小心轻放”、“勿倒置”、“防潮”等字样和其他适当的标记。</w:t>
      </w:r>
    </w:p>
    <w:p>
      <w:pPr>
        <w:pStyle w:val="10"/>
        <w:numPr>
          <w:ilvl w:val="1"/>
          <w:numId w:val="37"/>
        </w:numPr>
        <w:tabs>
          <w:tab w:val="left" w:pos="1712"/>
        </w:tabs>
        <w:spacing w:before="0" w:after="0" w:line="364" w:lineRule="auto"/>
        <w:ind w:left="660" w:right="1271" w:firstLine="559"/>
        <w:jc w:val="left"/>
        <w:rPr>
          <w:highlight w:val="none"/>
        </w:rPr>
      </w:pPr>
      <w:r>
        <w:rPr>
          <w:spacing w:val="-4"/>
          <w:highlight w:val="none"/>
        </w:rPr>
        <w:t>因缺少装运标志或者装运标志不明确导致货物在运输、装卸过程中产生的损失，乙方应承担相应的过错责任。</w:t>
      </w:r>
    </w:p>
    <w:p>
      <w:pPr>
        <w:pStyle w:val="5"/>
        <w:spacing w:before="11"/>
        <w:rPr>
          <w:sz w:val="21"/>
          <w:highlight w:val="none"/>
        </w:rPr>
      </w:pPr>
    </w:p>
    <w:p>
      <w:pPr>
        <w:pStyle w:val="10"/>
        <w:numPr>
          <w:ilvl w:val="0"/>
          <w:numId w:val="39"/>
        </w:numPr>
        <w:tabs>
          <w:tab w:val="left" w:pos="1086"/>
        </w:tabs>
        <w:spacing w:before="0" w:after="0" w:line="240" w:lineRule="auto"/>
        <w:ind w:left="1085" w:right="0" w:hanging="424"/>
        <w:jc w:val="left"/>
        <w:rPr>
          <w:highlight w:val="none"/>
        </w:rPr>
      </w:pPr>
      <w:r>
        <w:rPr>
          <w:highlight w:val="none"/>
        </w:rPr>
        <w:t>交货方式</w:t>
      </w:r>
    </w:p>
    <w:p>
      <w:pPr>
        <w:pStyle w:val="5"/>
        <w:rPr>
          <w:sz w:val="36"/>
          <w:highlight w:val="none"/>
        </w:rPr>
      </w:pPr>
    </w:p>
    <w:p>
      <w:pPr>
        <w:pStyle w:val="10"/>
        <w:numPr>
          <w:ilvl w:val="1"/>
          <w:numId w:val="39"/>
        </w:numPr>
        <w:tabs>
          <w:tab w:val="left" w:pos="1788"/>
        </w:tabs>
        <w:spacing w:before="1" w:after="0" w:line="364" w:lineRule="auto"/>
        <w:ind w:left="660" w:right="1271" w:firstLine="559"/>
        <w:jc w:val="both"/>
        <w:rPr>
          <w:highlight w:val="none"/>
        </w:rPr>
      </w:pPr>
      <w:r>
        <w:rPr>
          <w:spacing w:val="3"/>
          <w:highlight w:val="none"/>
        </w:rPr>
        <w:t>交货方式一般为下列其中一种，具体在合同专用条款中规定。</w:t>
      </w:r>
    </w:p>
    <w:p>
      <w:pPr>
        <w:pStyle w:val="10"/>
        <w:numPr>
          <w:ilvl w:val="2"/>
          <w:numId w:val="39"/>
        </w:numPr>
        <w:tabs>
          <w:tab w:val="left" w:pos="2062"/>
        </w:tabs>
        <w:spacing w:before="0" w:after="0" w:line="364" w:lineRule="auto"/>
        <w:ind w:left="660" w:right="1271" w:firstLine="559"/>
        <w:jc w:val="both"/>
        <w:rPr>
          <w:highlight w:val="none"/>
        </w:rPr>
      </w:pPr>
      <w:r>
        <w:rPr>
          <w:spacing w:val="-11"/>
          <w:highlight w:val="none"/>
        </w:rPr>
        <w:t>现场交货：乙方负责办理运输和保险，将货物</w:t>
      </w:r>
      <w:r>
        <w:rPr>
          <w:spacing w:val="-3"/>
          <w:highlight w:val="none"/>
        </w:rPr>
        <w:t>（</w:t>
      </w:r>
      <w:r>
        <w:rPr>
          <w:highlight w:val="none"/>
        </w:rPr>
        <w:t>含软件及</w:t>
      </w:r>
      <w:r>
        <w:rPr>
          <w:spacing w:val="-1"/>
          <w:highlight w:val="none"/>
        </w:rPr>
        <w:t>相关服务</w:t>
      </w:r>
      <w:r>
        <w:rPr>
          <w:spacing w:val="-32"/>
          <w:highlight w:val="none"/>
        </w:rPr>
        <w:t>）</w:t>
      </w:r>
      <w:r>
        <w:rPr>
          <w:spacing w:val="-9"/>
          <w:highlight w:val="none"/>
        </w:rPr>
        <w:t>运抵现场。有关运输和保险的一切费用由乙方承担。所有货物（</w:t>
      </w:r>
      <w:r>
        <w:rPr>
          <w:spacing w:val="-3"/>
          <w:highlight w:val="none"/>
        </w:rPr>
        <w:t>含软件及相关服务）运抵现扬的日期为交货日期。</w:t>
      </w:r>
    </w:p>
    <w:p>
      <w:pPr>
        <w:pStyle w:val="10"/>
        <w:numPr>
          <w:ilvl w:val="2"/>
          <w:numId w:val="39"/>
        </w:numPr>
        <w:tabs>
          <w:tab w:val="left" w:pos="2062"/>
        </w:tabs>
        <w:spacing w:before="0" w:after="0" w:line="364" w:lineRule="auto"/>
        <w:ind w:left="660" w:right="1269" w:firstLine="559"/>
        <w:jc w:val="both"/>
        <w:rPr>
          <w:highlight w:val="none"/>
        </w:rPr>
      </w:pPr>
      <w:r>
        <w:rPr>
          <w:spacing w:val="-10"/>
          <w:highlight w:val="none"/>
        </w:rPr>
        <w:t>工厂交货：由乙方负责办理运输和保险事宜。运输费和保</w:t>
      </w:r>
      <w:r>
        <w:rPr>
          <w:spacing w:val="-7"/>
          <w:highlight w:val="none"/>
        </w:rPr>
        <w:t>险费由甲方承担。运输部门出具收据的日期为交货日期。</w:t>
      </w:r>
    </w:p>
    <w:p>
      <w:pPr>
        <w:pStyle w:val="10"/>
        <w:numPr>
          <w:ilvl w:val="2"/>
          <w:numId w:val="39"/>
        </w:numPr>
        <w:tabs>
          <w:tab w:val="left" w:pos="2062"/>
        </w:tabs>
        <w:spacing w:before="0" w:after="0" w:line="362" w:lineRule="auto"/>
        <w:ind w:left="660" w:right="1271" w:firstLine="559"/>
        <w:jc w:val="both"/>
        <w:rPr>
          <w:highlight w:val="none"/>
        </w:rPr>
      </w:pPr>
      <w:r>
        <w:rPr>
          <w:spacing w:val="-8"/>
          <w:highlight w:val="none"/>
        </w:rPr>
        <w:t>甲方自提货物</w:t>
      </w:r>
      <w:r>
        <w:rPr>
          <w:highlight w:val="none"/>
        </w:rPr>
        <w:t>（</w:t>
      </w:r>
      <w:r>
        <w:rPr>
          <w:spacing w:val="-3"/>
          <w:highlight w:val="none"/>
        </w:rPr>
        <w:t>含软件及相关服务</w:t>
      </w:r>
      <w:r>
        <w:rPr>
          <w:spacing w:val="-33"/>
          <w:highlight w:val="none"/>
        </w:rPr>
        <w:t>）</w:t>
      </w:r>
      <w:r>
        <w:rPr>
          <w:spacing w:val="-7"/>
          <w:highlight w:val="none"/>
        </w:rPr>
        <w:t>：由甲方在合同规定</w:t>
      </w:r>
      <w:r>
        <w:rPr>
          <w:spacing w:val="-5"/>
          <w:highlight w:val="none"/>
        </w:rPr>
        <w:t>地点自行办理提货。提单日期为交货日期。</w:t>
      </w:r>
    </w:p>
    <w:p>
      <w:pPr>
        <w:pStyle w:val="10"/>
        <w:numPr>
          <w:ilvl w:val="1"/>
          <w:numId w:val="39"/>
        </w:numPr>
        <w:tabs>
          <w:tab w:val="left" w:pos="1781"/>
        </w:tabs>
        <w:spacing w:before="0" w:after="0" w:line="364" w:lineRule="auto"/>
        <w:ind w:left="660" w:right="1178" w:firstLine="559"/>
        <w:jc w:val="left"/>
        <w:rPr>
          <w:highlight w:val="none"/>
        </w:rPr>
      </w:pPr>
      <w:r>
        <w:rPr>
          <w:spacing w:val="-6"/>
          <w:highlight w:val="none"/>
        </w:rPr>
        <w:t xml:space="preserve">乙方应在合同规定的交货期前 </w:t>
      </w:r>
      <w:r>
        <w:rPr>
          <w:highlight w:val="none"/>
        </w:rPr>
        <w:t>30</w:t>
      </w:r>
      <w:r>
        <w:rPr>
          <w:spacing w:val="-9"/>
          <w:highlight w:val="none"/>
        </w:rPr>
        <w:t xml:space="preserve"> 天以电报、传真或电传形</w:t>
      </w:r>
      <w:r>
        <w:rPr>
          <w:spacing w:val="-6"/>
          <w:highlight w:val="none"/>
        </w:rPr>
        <w:t>式将合同号、货物</w:t>
      </w:r>
      <w:r>
        <w:rPr>
          <w:highlight w:val="none"/>
        </w:rPr>
        <w:t>（</w:t>
      </w:r>
      <w:r>
        <w:rPr>
          <w:spacing w:val="-3"/>
          <w:highlight w:val="none"/>
        </w:rPr>
        <w:t>含软件及相关服务</w:t>
      </w:r>
      <w:r>
        <w:rPr>
          <w:highlight w:val="none"/>
        </w:rPr>
        <w:t>）</w:t>
      </w:r>
      <w:r>
        <w:rPr>
          <w:spacing w:val="-3"/>
          <w:highlight w:val="none"/>
        </w:rPr>
        <w:t>名称、数量、包装箱件数、</w:t>
      </w:r>
      <w:r>
        <w:rPr>
          <w:spacing w:val="-10"/>
          <w:highlight w:val="none"/>
        </w:rPr>
        <w:t>总毛重、总体积</w:t>
      </w:r>
      <w:r>
        <w:rPr>
          <w:spacing w:val="-3"/>
          <w:highlight w:val="none"/>
        </w:rPr>
        <w:t>（</w:t>
      </w:r>
      <w:r>
        <w:rPr>
          <w:highlight w:val="none"/>
        </w:rPr>
        <w:t>立方米</w:t>
      </w:r>
      <w:r>
        <w:rPr>
          <w:spacing w:val="-24"/>
          <w:highlight w:val="none"/>
        </w:rPr>
        <w:t>）</w:t>
      </w:r>
      <w:r>
        <w:rPr>
          <w:spacing w:val="-5"/>
          <w:highlight w:val="none"/>
        </w:rPr>
        <w:t>和备妥交货日期通知甲方。同时乙方应用</w:t>
      </w:r>
      <w:r>
        <w:rPr>
          <w:spacing w:val="-9"/>
          <w:highlight w:val="none"/>
        </w:rPr>
        <w:t>挂号信将详细交货清单一式六份包括合同号、货物</w:t>
      </w:r>
      <w:r>
        <w:rPr>
          <w:highlight w:val="none"/>
        </w:rPr>
        <w:t>（</w:t>
      </w:r>
      <w:r>
        <w:rPr>
          <w:spacing w:val="-3"/>
          <w:highlight w:val="none"/>
        </w:rPr>
        <w:t>含软件及相关服务</w:t>
      </w:r>
      <w:r>
        <w:rPr>
          <w:spacing w:val="-12"/>
          <w:highlight w:val="none"/>
        </w:rPr>
        <w:t>）</w:t>
      </w:r>
      <w:r>
        <w:rPr>
          <w:spacing w:val="-9"/>
          <w:highlight w:val="none"/>
        </w:rPr>
        <w:t>名称、规格、数量、总毛重、总体积</w:t>
      </w:r>
      <w:r>
        <w:rPr>
          <w:highlight w:val="none"/>
        </w:rPr>
        <w:t>（</w:t>
      </w:r>
      <w:r>
        <w:rPr>
          <w:spacing w:val="-2"/>
          <w:highlight w:val="none"/>
        </w:rPr>
        <w:t>立方米</w:t>
      </w:r>
      <w:r>
        <w:rPr>
          <w:spacing w:val="-12"/>
          <w:highlight w:val="none"/>
        </w:rPr>
        <w:t>）</w:t>
      </w:r>
      <w:r>
        <w:rPr>
          <w:spacing w:val="-5"/>
          <w:highlight w:val="none"/>
        </w:rPr>
        <w:t>、包装箱件数和</w:t>
      </w:r>
    </w:p>
    <w:p>
      <w:pPr>
        <w:spacing w:after="0" w:line="364" w:lineRule="auto"/>
        <w:jc w:val="left"/>
        <w:rPr>
          <w:highlight w:val="none"/>
        </w:rPr>
        <w:sectPr>
          <w:pgSz w:w="11900" w:h="16840"/>
          <w:pgMar w:top="1400" w:right="520" w:bottom="1380" w:left="1140" w:header="0" w:footer="1197" w:gutter="0"/>
          <w:pgNumType w:fmt="decimal"/>
          <w:cols w:space="720" w:num="1"/>
        </w:sectPr>
      </w:pPr>
    </w:p>
    <w:p>
      <w:pPr>
        <w:pStyle w:val="10"/>
        <w:spacing w:before="38" w:line="364" w:lineRule="auto"/>
        <w:ind w:right="1269"/>
        <w:jc w:val="both"/>
        <w:rPr>
          <w:highlight w:val="none"/>
        </w:rPr>
      </w:pPr>
      <w:r>
        <w:rPr>
          <w:spacing w:val="-6"/>
          <w:highlight w:val="none"/>
        </w:rPr>
        <w:t>每个包装箱的尺寸</w:t>
      </w:r>
      <w:r>
        <w:rPr>
          <w:highlight w:val="none"/>
        </w:rPr>
        <w:t>（</w:t>
      </w:r>
      <w:r>
        <w:rPr>
          <w:spacing w:val="-33"/>
          <w:highlight w:val="none"/>
        </w:rPr>
        <w:t xml:space="preserve">长 </w:t>
      </w:r>
      <w:r>
        <w:rPr>
          <w:highlight w:val="none"/>
        </w:rPr>
        <w:t>X</w:t>
      </w:r>
      <w:r>
        <w:rPr>
          <w:spacing w:val="2"/>
          <w:highlight w:val="none"/>
        </w:rPr>
        <w:t xml:space="preserve"> 宽</w:t>
      </w:r>
      <w:r>
        <w:rPr>
          <w:highlight w:val="none"/>
        </w:rPr>
        <w:t>X</w:t>
      </w:r>
      <w:r>
        <w:rPr>
          <w:spacing w:val="-33"/>
          <w:highlight w:val="none"/>
        </w:rPr>
        <w:t xml:space="preserve"> 高</w:t>
      </w:r>
      <w:r>
        <w:rPr>
          <w:spacing w:val="-24"/>
          <w:highlight w:val="none"/>
        </w:rPr>
        <w:t>）</w:t>
      </w:r>
      <w:r>
        <w:rPr>
          <w:spacing w:val="-8"/>
          <w:highlight w:val="none"/>
        </w:rPr>
        <w:t>、单价、总价和备妥待交日期以及</w:t>
      </w:r>
      <w:r>
        <w:rPr>
          <w:spacing w:val="-22"/>
          <w:highlight w:val="none"/>
        </w:rPr>
        <w:t>对货物</w:t>
      </w:r>
      <w:r>
        <w:rPr>
          <w:highlight w:val="none"/>
        </w:rPr>
        <w:t>（</w:t>
      </w:r>
      <w:r>
        <w:rPr>
          <w:spacing w:val="-3"/>
          <w:highlight w:val="none"/>
        </w:rPr>
        <w:t>含软件及相关服务</w:t>
      </w:r>
      <w:r>
        <w:rPr>
          <w:spacing w:val="-51"/>
          <w:highlight w:val="none"/>
        </w:rPr>
        <w:t>）</w:t>
      </w:r>
      <w:r>
        <w:rPr>
          <w:spacing w:val="-3"/>
          <w:highlight w:val="none"/>
        </w:rPr>
        <w:t>在运输和仓储的特殊要求和注意事项通知甲方。</w:t>
      </w:r>
    </w:p>
    <w:p>
      <w:pPr>
        <w:pStyle w:val="10"/>
        <w:numPr>
          <w:ilvl w:val="1"/>
          <w:numId w:val="39"/>
        </w:numPr>
        <w:tabs>
          <w:tab w:val="left" w:pos="1781"/>
        </w:tabs>
        <w:spacing w:before="0" w:after="0" w:line="364" w:lineRule="auto"/>
        <w:ind w:left="660" w:right="1269" w:firstLine="559"/>
        <w:jc w:val="both"/>
        <w:rPr>
          <w:highlight w:val="none"/>
        </w:rPr>
      </w:pPr>
      <w:r>
        <w:rPr>
          <w:spacing w:val="-9"/>
          <w:highlight w:val="none"/>
        </w:rPr>
        <w:t>在现场交货和工厂交货条件下，乙方装运的货物</w:t>
      </w:r>
      <w:r>
        <w:rPr>
          <w:spacing w:val="-3"/>
          <w:highlight w:val="none"/>
        </w:rPr>
        <w:t>（</w:t>
      </w:r>
      <w:r>
        <w:rPr>
          <w:highlight w:val="none"/>
        </w:rPr>
        <w:t>含软件及</w:t>
      </w:r>
      <w:r>
        <w:rPr>
          <w:spacing w:val="-1"/>
          <w:highlight w:val="none"/>
        </w:rPr>
        <w:t>相关服务</w:t>
      </w:r>
      <w:r>
        <w:rPr>
          <w:spacing w:val="-32"/>
          <w:highlight w:val="none"/>
        </w:rPr>
        <w:t>）</w:t>
      </w:r>
      <w:r>
        <w:rPr>
          <w:spacing w:val="-8"/>
          <w:highlight w:val="none"/>
        </w:rPr>
        <w:t>不应超过合同规定的数量或重量。否则，乙方应对超运部</w:t>
      </w:r>
      <w:r>
        <w:rPr>
          <w:spacing w:val="-5"/>
          <w:highlight w:val="none"/>
        </w:rPr>
        <w:t>分的数量或重量而引起的一切后果负责。</w:t>
      </w:r>
    </w:p>
    <w:p>
      <w:pPr>
        <w:pStyle w:val="5"/>
        <w:spacing w:before="11"/>
        <w:rPr>
          <w:sz w:val="21"/>
          <w:highlight w:val="none"/>
        </w:rPr>
      </w:pPr>
    </w:p>
    <w:p>
      <w:pPr>
        <w:pStyle w:val="10"/>
        <w:numPr>
          <w:ilvl w:val="0"/>
          <w:numId w:val="39"/>
        </w:numPr>
        <w:tabs>
          <w:tab w:val="left" w:pos="1086"/>
        </w:tabs>
        <w:spacing w:before="0" w:after="0" w:line="240" w:lineRule="auto"/>
        <w:ind w:left="1085" w:right="0" w:hanging="424"/>
        <w:jc w:val="left"/>
        <w:rPr>
          <w:highlight w:val="none"/>
        </w:rPr>
      </w:pPr>
      <w:r>
        <w:rPr>
          <w:highlight w:val="none"/>
        </w:rPr>
        <w:t>装运通知</w:t>
      </w:r>
    </w:p>
    <w:p>
      <w:pPr>
        <w:pStyle w:val="5"/>
        <w:spacing w:before="1"/>
        <w:rPr>
          <w:sz w:val="36"/>
          <w:highlight w:val="none"/>
        </w:rPr>
      </w:pPr>
    </w:p>
    <w:p>
      <w:pPr>
        <w:pStyle w:val="10"/>
        <w:spacing w:line="364" w:lineRule="auto"/>
        <w:ind w:right="1178" w:firstLine="559"/>
        <w:rPr>
          <w:highlight w:val="none"/>
        </w:rPr>
      </w:pPr>
      <w:r>
        <w:rPr>
          <w:highlight w:val="none"/>
        </w:rPr>
        <w:t>现场交货或工厂交货条件下的货物（含软件及相关服务），在乙方已通知甲方货物（含软件及相关服务）已备妥待运输后 2 4 小时之内，乙方应将合同号、货名、数量、毛重、总体积（立方米）、发票金额、运输工具名称及启运日期，以电报、传真或电传通知甲方， 同时乙方应按产品种类做好运输包装，禁止通过产品混包进行运输。如因乙方延误将上述内容用电报、传真或电传通知甲方，由此引起的一切损失应由乙方负担。</w:t>
      </w:r>
    </w:p>
    <w:p>
      <w:pPr>
        <w:pStyle w:val="5"/>
        <w:spacing w:before="10"/>
        <w:rPr>
          <w:sz w:val="21"/>
          <w:highlight w:val="none"/>
        </w:rPr>
      </w:pPr>
    </w:p>
    <w:p>
      <w:pPr>
        <w:pStyle w:val="10"/>
        <w:numPr>
          <w:ilvl w:val="0"/>
          <w:numId w:val="39"/>
        </w:numPr>
        <w:tabs>
          <w:tab w:val="left" w:pos="1086"/>
        </w:tabs>
        <w:spacing w:before="1" w:after="0" w:line="240" w:lineRule="auto"/>
        <w:ind w:left="1085" w:right="0" w:hanging="424"/>
        <w:jc w:val="left"/>
        <w:rPr>
          <w:highlight w:val="none"/>
        </w:rPr>
      </w:pPr>
      <w:r>
        <w:rPr>
          <w:highlight w:val="none"/>
        </w:rPr>
        <w:t>保险</w:t>
      </w:r>
    </w:p>
    <w:p>
      <w:pPr>
        <w:pStyle w:val="5"/>
        <w:rPr>
          <w:sz w:val="36"/>
          <w:highlight w:val="none"/>
        </w:rPr>
      </w:pPr>
    </w:p>
    <w:p>
      <w:pPr>
        <w:pStyle w:val="10"/>
        <w:spacing w:line="364" w:lineRule="auto"/>
        <w:ind w:right="1178" w:firstLine="559"/>
        <w:rPr>
          <w:highlight w:val="none"/>
        </w:rPr>
      </w:pPr>
      <w:r>
        <w:rPr>
          <w:highlight w:val="none"/>
        </w:rPr>
        <w:t>如果货物（含软件及相关服务）是按现场交货方式报价的，由乙方办理货物（含软件及相关服务）运抵现场这一段的保险，保险以人民币按照发票金额的 110％投保“一切险”，保险范围包括乙方承诺装运的货物（含软件及相关服务）；如果货物（含软件及相关服务） 是按工厂交货或甲方自提货物（含软件及相关服务）方式报价的，其保险由甲方办理。</w:t>
      </w:r>
    </w:p>
    <w:p>
      <w:pPr>
        <w:pStyle w:val="5"/>
        <w:spacing w:before="11"/>
        <w:rPr>
          <w:sz w:val="21"/>
          <w:highlight w:val="none"/>
        </w:rPr>
      </w:pPr>
    </w:p>
    <w:p>
      <w:pPr>
        <w:pStyle w:val="10"/>
        <w:numPr>
          <w:ilvl w:val="0"/>
          <w:numId w:val="39"/>
        </w:numPr>
        <w:tabs>
          <w:tab w:val="left" w:pos="1086"/>
        </w:tabs>
        <w:spacing w:before="1" w:after="0" w:line="240" w:lineRule="auto"/>
        <w:ind w:left="1085" w:right="0" w:hanging="424"/>
        <w:jc w:val="left"/>
        <w:rPr>
          <w:highlight w:val="none"/>
        </w:rPr>
      </w:pPr>
      <w:r>
        <w:rPr>
          <w:highlight w:val="none"/>
        </w:rPr>
        <w:t>付款方式</w:t>
      </w:r>
    </w:p>
    <w:p>
      <w:pPr>
        <w:spacing w:after="0" w:line="240" w:lineRule="auto"/>
        <w:jc w:val="left"/>
        <w:rPr>
          <w:highlight w:val="none"/>
        </w:rPr>
        <w:sectPr>
          <w:pgSz w:w="11900" w:h="16840"/>
          <w:pgMar w:top="1400" w:right="520" w:bottom="1380" w:left="1140" w:header="0" w:footer="1197" w:gutter="0"/>
          <w:pgNumType w:fmt="decimal"/>
          <w:cols w:space="720" w:num="1"/>
        </w:sectPr>
      </w:pPr>
    </w:p>
    <w:p>
      <w:pPr>
        <w:pStyle w:val="10"/>
        <w:spacing w:before="38" w:line="554" w:lineRule="auto"/>
        <w:ind w:left="662" w:right="5795" w:firstLine="420"/>
        <w:rPr>
          <w:highlight w:val="none"/>
        </w:rPr>
      </w:pPr>
      <w:r>
        <w:rPr>
          <w:highlight w:val="none"/>
        </w:rPr>
        <w:t>付款方式见合同专用条款。10．技术资料</w:t>
      </w:r>
    </w:p>
    <w:p>
      <w:pPr>
        <w:pStyle w:val="10"/>
        <w:spacing w:line="350" w:lineRule="exact"/>
        <w:ind w:left="1082"/>
        <w:rPr>
          <w:highlight w:val="none"/>
        </w:rPr>
      </w:pPr>
      <w:r>
        <w:rPr>
          <w:highlight w:val="none"/>
        </w:rPr>
        <w:t>合同项下技术资料（除合同专用条款规定外）将以下列方式交付：</w:t>
      </w:r>
    </w:p>
    <w:p>
      <w:pPr>
        <w:pStyle w:val="10"/>
        <w:numPr>
          <w:ilvl w:val="1"/>
          <w:numId w:val="40"/>
        </w:numPr>
        <w:tabs>
          <w:tab w:val="left" w:pos="1923"/>
        </w:tabs>
        <w:spacing w:before="186" w:after="0" w:line="364" w:lineRule="auto"/>
        <w:ind w:left="660" w:right="1266" w:firstLine="559"/>
        <w:jc w:val="both"/>
        <w:rPr>
          <w:highlight w:val="none"/>
        </w:rPr>
      </w:pPr>
      <w:r>
        <w:rPr>
          <w:spacing w:val="2"/>
          <w:highlight w:val="none"/>
        </w:rPr>
        <w:t xml:space="preserve">合同生效后 </w:t>
      </w:r>
      <w:r>
        <w:rPr>
          <w:highlight w:val="none"/>
        </w:rPr>
        <w:t>30 天之内，乙方应将每台设备和仪器的中文</w:t>
      </w:r>
      <w:r>
        <w:rPr>
          <w:spacing w:val="-9"/>
          <w:highlight w:val="none"/>
        </w:rPr>
        <w:t>技术资料一套，如目录索引、图纸、操作手册、使用指南、维修指南</w:t>
      </w:r>
      <w:r>
        <w:rPr>
          <w:spacing w:val="-6"/>
          <w:highlight w:val="none"/>
        </w:rPr>
        <w:t>和服务手册等交给甲方。</w:t>
      </w:r>
    </w:p>
    <w:p>
      <w:pPr>
        <w:pStyle w:val="10"/>
        <w:numPr>
          <w:ilvl w:val="1"/>
          <w:numId w:val="40"/>
        </w:numPr>
        <w:tabs>
          <w:tab w:val="left" w:pos="1923"/>
        </w:tabs>
        <w:spacing w:before="0" w:after="0" w:line="364" w:lineRule="auto"/>
        <w:ind w:left="660" w:right="1266" w:firstLine="559"/>
        <w:jc w:val="both"/>
        <w:rPr>
          <w:highlight w:val="none"/>
        </w:rPr>
      </w:pPr>
      <w:r>
        <w:rPr>
          <w:highlight w:val="none"/>
        </w:rPr>
        <w:t>另外一套完整的上述资料应包装好随每批货物（含软件及</w:t>
      </w:r>
      <w:r>
        <w:rPr>
          <w:spacing w:val="-1"/>
          <w:highlight w:val="none"/>
        </w:rPr>
        <w:t>相关服务</w:t>
      </w:r>
      <w:r>
        <w:rPr>
          <w:highlight w:val="none"/>
        </w:rPr>
        <w:t>）</w:t>
      </w:r>
      <w:r>
        <w:rPr>
          <w:spacing w:val="-3"/>
          <w:highlight w:val="none"/>
        </w:rPr>
        <w:t>一起发运。</w:t>
      </w:r>
    </w:p>
    <w:p>
      <w:pPr>
        <w:pStyle w:val="10"/>
        <w:numPr>
          <w:ilvl w:val="1"/>
          <w:numId w:val="40"/>
        </w:numPr>
        <w:tabs>
          <w:tab w:val="left" w:pos="1923"/>
        </w:tabs>
        <w:spacing w:before="0" w:after="0" w:line="364" w:lineRule="auto"/>
        <w:ind w:left="660" w:right="1266" w:firstLine="559"/>
        <w:jc w:val="both"/>
        <w:rPr>
          <w:highlight w:val="none"/>
        </w:rPr>
      </w:pPr>
      <w:r>
        <w:rPr>
          <w:highlight w:val="none"/>
        </w:rPr>
        <w:t>如果甲方确认乙方提供的技术资料不完整或在运输过程中</w:t>
      </w:r>
      <w:r>
        <w:rPr>
          <w:spacing w:val="-8"/>
          <w:highlight w:val="none"/>
        </w:rPr>
        <w:t xml:space="preserve">丢失，乙方将在收到甲方通知后 </w:t>
      </w:r>
      <w:r>
        <w:rPr>
          <w:highlight w:val="none"/>
        </w:rPr>
        <w:t>3</w:t>
      </w:r>
      <w:r>
        <w:rPr>
          <w:spacing w:val="-10"/>
          <w:highlight w:val="none"/>
        </w:rPr>
        <w:t xml:space="preserve"> 天内将这些资料免费交给甲方。</w:t>
      </w:r>
    </w:p>
    <w:p>
      <w:pPr>
        <w:pStyle w:val="5"/>
        <w:spacing w:before="11"/>
        <w:rPr>
          <w:sz w:val="21"/>
          <w:highlight w:val="none"/>
        </w:rPr>
      </w:pPr>
    </w:p>
    <w:p>
      <w:pPr>
        <w:pStyle w:val="10"/>
        <w:numPr>
          <w:ilvl w:val="0"/>
          <w:numId w:val="41"/>
        </w:numPr>
        <w:tabs>
          <w:tab w:val="left" w:pos="1228"/>
        </w:tabs>
        <w:spacing w:before="0" w:after="0" w:line="240" w:lineRule="auto"/>
        <w:ind w:left="1227" w:right="0" w:hanging="566"/>
        <w:jc w:val="left"/>
        <w:rPr>
          <w:highlight w:val="none"/>
        </w:rPr>
      </w:pPr>
      <w:r>
        <w:rPr>
          <w:highlight w:val="none"/>
        </w:rPr>
        <w:t>质量保证</w:t>
      </w:r>
    </w:p>
    <w:p>
      <w:pPr>
        <w:pStyle w:val="5"/>
        <w:rPr>
          <w:sz w:val="36"/>
          <w:highlight w:val="none"/>
        </w:rPr>
      </w:pPr>
    </w:p>
    <w:p>
      <w:pPr>
        <w:pStyle w:val="10"/>
        <w:spacing w:before="1" w:line="364" w:lineRule="auto"/>
        <w:ind w:right="1266" w:firstLine="559"/>
        <w:jc w:val="both"/>
        <w:rPr>
          <w:highlight w:val="none"/>
        </w:rPr>
      </w:pPr>
      <w:r>
        <w:rPr>
          <w:highlight w:val="none"/>
        </w:rPr>
        <w:t>11.l</w:t>
      </w:r>
      <w:r>
        <w:rPr>
          <w:spacing w:val="3"/>
          <w:highlight w:val="none"/>
        </w:rPr>
        <w:t xml:space="preserve"> 乙方应保证货物</w:t>
      </w:r>
      <w:r>
        <w:rPr>
          <w:highlight w:val="none"/>
        </w:rPr>
        <w:t>（含软件及相关服务）是全新的，未使用</w:t>
      </w:r>
      <w:r>
        <w:rPr>
          <w:spacing w:val="-11"/>
          <w:highlight w:val="none"/>
        </w:rPr>
        <w:t>过的，是用一流的工艺和最佳材料制造而成的，并完全符合合同规定</w:t>
      </w:r>
      <w:r>
        <w:rPr>
          <w:spacing w:val="-13"/>
          <w:highlight w:val="none"/>
        </w:rPr>
        <w:t>的质量、规格和性能要求。乙方应保证所提供的货物</w:t>
      </w:r>
      <w:r>
        <w:rPr>
          <w:spacing w:val="-3"/>
          <w:highlight w:val="none"/>
        </w:rPr>
        <w:t>（</w:t>
      </w:r>
      <w:r>
        <w:rPr>
          <w:spacing w:val="-1"/>
          <w:highlight w:val="none"/>
        </w:rPr>
        <w:t>含软件及相关服务</w:t>
      </w:r>
      <w:r>
        <w:rPr>
          <w:spacing w:val="-48"/>
          <w:highlight w:val="none"/>
        </w:rPr>
        <w:t>）</w:t>
      </w:r>
      <w:r>
        <w:rPr>
          <w:spacing w:val="-8"/>
          <w:highlight w:val="none"/>
        </w:rPr>
        <w:t>经正确安装、正常运转和保养在其使用寿命期内应具有满意的</w:t>
      </w:r>
      <w:r>
        <w:rPr>
          <w:spacing w:val="-13"/>
          <w:highlight w:val="none"/>
        </w:rPr>
        <w:t>性能。在货物</w:t>
      </w:r>
      <w:r>
        <w:rPr>
          <w:highlight w:val="none"/>
        </w:rPr>
        <w:t>（</w:t>
      </w:r>
      <w:r>
        <w:rPr>
          <w:spacing w:val="-3"/>
          <w:highlight w:val="none"/>
        </w:rPr>
        <w:t>含软件及相关服务</w:t>
      </w:r>
      <w:r>
        <w:rPr>
          <w:spacing w:val="-27"/>
          <w:highlight w:val="none"/>
        </w:rPr>
        <w:t>）</w:t>
      </w:r>
      <w:r>
        <w:rPr>
          <w:spacing w:val="-5"/>
          <w:highlight w:val="none"/>
        </w:rPr>
        <w:t>质量保证期内，乙方应对由于设</w:t>
      </w:r>
      <w:r>
        <w:rPr>
          <w:spacing w:val="-4"/>
          <w:highlight w:val="none"/>
        </w:rPr>
        <w:t>计、工艺或材料的缺陷而造成的任何不足或故障负责。</w:t>
      </w:r>
    </w:p>
    <w:p>
      <w:pPr>
        <w:pStyle w:val="10"/>
        <w:numPr>
          <w:ilvl w:val="1"/>
          <w:numId w:val="42"/>
        </w:numPr>
        <w:tabs>
          <w:tab w:val="left" w:pos="1923"/>
        </w:tabs>
        <w:spacing w:before="0" w:after="0" w:line="364" w:lineRule="auto"/>
        <w:ind w:left="660" w:right="1130" w:firstLine="559"/>
        <w:jc w:val="left"/>
        <w:rPr>
          <w:highlight w:val="none"/>
        </w:rPr>
      </w:pPr>
      <w:r>
        <w:rPr>
          <w:highlight w:val="none"/>
        </w:rPr>
        <w:t>根据甲方按检验标准自己检验的结果或当地商检部门检验</w:t>
      </w:r>
      <w:r>
        <w:rPr>
          <w:spacing w:val="-16"/>
          <w:highlight w:val="none"/>
        </w:rPr>
        <w:t>结果，或者在质量保证期内，如果货物</w:t>
      </w:r>
      <w:r>
        <w:rPr>
          <w:highlight w:val="none"/>
        </w:rPr>
        <w:t>（</w:t>
      </w:r>
      <w:r>
        <w:rPr>
          <w:spacing w:val="-3"/>
          <w:highlight w:val="none"/>
        </w:rPr>
        <w:t>含软件及相关服务</w:t>
      </w:r>
      <w:r>
        <w:rPr>
          <w:spacing w:val="-60"/>
          <w:highlight w:val="none"/>
        </w:rPr>
        <w:t>）</w:t>
      </w:r>
      <w:r>
        <w:rPr>
          <w:spacing w:val="-1"/>
          <w:highlight w:val="none"/>
        </w:rPr>
        <w:t>的数量、</w:t>
      </w:r>
      <w:r>
        <w:rPr>
          <w:spacing w:val="-8"/>
          <w:highlight w:val="none"/>
        </w:rPr>
        <w:t>质量或规格与合同不符，或证实货物</w:t>
      </w:r>
      <w:r>
        <w:rPr>
          <w:highlight w:val="none"/>
        </w:rPr>
        <w:t>（</w:t>
      </w:r>
      <w:r>
        <w:rPr>
          <w:spacing w:val="-3"/>
          <w:highlight w:val="none"/>
        </w:rPr>
        <w:t>含软件及相关服务</w:t>
      </w:r>
      <w:r>
        <w:rPr>
          <w:spacing w:val="-32"/>
          <w:highlight w:val="none"/>
        </w:rPr>
        <w:t>）</w:t>
      </w:r>
      <w:r>
        <w:rPr>
          <w:spacing w:val="-2"/>
          <w:highlight w:val="none"/>
        </w:rPr>
        <w:t>是有缺陷</w:t>
      </w:r>
      <w:r>
        <w:rPr>
          <w:spacing w:val="-11"/>
          <w:highlight w:val="none"/>
        </w:rPr>
        <w:t>的，包括潜在缺陷或使用不符合要求的材料等，甲方应在一个月内以</w:t>
      </w:r>
      <w:r>
        <w:rPr>
          <w:spacing w:val="-7"/>
          <w:highlight w:val="none"/>
        </w:rPr>
        <w:t>书面形式通知乙方，提出索赔。</w:t>
      </w:r>
    </w:p>
    <w:p>
      <w:pPr>
        <w:pStyle w:val="10"/>
        <w:numPr>
          <w:ilvl w:val="1"/>
          <w:numId w:val="42"/>
        </w:numPr>
        <w:tabs>
          <w:tab w:val="left" w:pos="1923"/>
        </w:tabs>
        <w:spacing w:before="0" w:after="0" w:line="356" w:lineRule="exact"/>
        <w:ind w:left="1922" w:right="0" w:hanging="704"/>
        <w:jc w:val="left"/>
        <w:rPr>
          <w:highlight w:val="none"/>
        </w:rPr>
      </w:pPr>
      <w:r>
        <w:rPr>
          <w:highlight w:val="none"/>
        </w:rPr>
        <w:t>乙方在收到通知后三十天内应免费维修或更换有缺陷的货</w:t>
      </w:r>
    </w:p>
    <w:p>
      <w:pPr>
        <w:spacing w:after="0" w:line="356" w:lineRule="exact"/>
        <w:jc w:val="left"/>
        <w:rPr>
          <w:highlight w:val="none"/>
        </w:rPr>
        <w:sectPr>
          <w:pgSz w:w="11900" w:h="16840"/>
          <w:pgMar w:top="1400" w:right="520" w:bottom="1380" w:left="1140" w:header="0" w:footer="1197" w:gutter="0"/>
          <w:pgNumType w:fmt="decimal"/>
          <w:cols w:space="720" w:num="1"/>
        </w:sectPr>
      </w:pPr>
    </w:p>
    <w:p>
      <w:pPr>
        <w:pStyle w:val="10"/>
        <w:spacing w:before="38"/>
        <w:rPr>
          <w:highlight w:val="none"/>
        </w:rPr>
      </w:pPr>
      <w:r>
        <w:rPr>
          <w:highlight w:val="none"/>
        </w:rPr>
        <w:t>物（含软件及相关服务）或部件，并无偿为甲方提供替代产品。</w:t>
      </w:r>
    </w:p>
    <w:p>
      <w:pPr>
        <w:pStyle w:val="10"/>
        <w:numPr>
          <w:ilvl w:val="1"/>
          <w:numId w:val="42"/>
        </w:numPr>
        <w:tabs>
          <w:tab w:val="left" w:pos="1923"/>
        </w:tabs>
        <w:spacing w:before="186" w:after="0" w:line="364" w:lineRule="auto"/>
        <w:ind w:left="660" w:right="1266" w:firstLine="559"/>
        <w:jc w:val="both"/>
        <w:rPr>
          <w:highlight w:val="none"/>
        </w:rPr>
      </w:pPr>
      <w:r>
        <w:rPr>
          <w:highlight w:val="none"/>
        </w:rPr>
        <w:t>如果乙方在收到通知后三十天内没有弥补缺陷，甲方可采</w:t>
      </w:r>
      <w:r>
        <w:rPr>
          <w:spacing w:val="-3"/>
          <w:highlight w:val="none"/>
        </w:rPr>
        <w:t>取必要的补救措施，但风险和费用将由乙方承担。</w:t>
      </w:r>
    </w:p>
    <w:p>
      <w:pPr>
        <w:pStyle w:val="10"/>
        <w:numPr>
          <w:ilvl w:val="1"/>
          <w:numId w:val="42"/>
        </w:numPr>
        <w:tabs>
          <w:tab w:val="left" w:pos="1923"/>
        </w:tabs>
        <w:spacing w:before="0" w:after="0" w:line="364" w:lineRule="auto"/>
        <w:ind w:left="660" w:right="1266" w:firstLine="559"/>
        <w:jc w:val="both"/>
        <w:rPr>
          <w:highlight w:val="none"/>
        </w:rPr>
      </w:pPr>
      <w:r>
        <w:rPr>
          <w:highlight w:val="none"/>
        </w:rPr>
        <w:t>除合同专用条款规定外，合同项下货物（含软件及相关服</w:t>
      </w:r>
      <w:r>
        <w:rPr>
          <w:spacing w:val="7"/>
          <w:highlight w:val="none"/>
        </w:rPr>
        <w:t>务</w:t>
      </w:r>
      <w:r>
        <w:rPr>
          <w:spacing w:val="4"/>
          <w:highlight w:val="none"/>
        </w:rPr>
        <w:t>）的质量保证期为自货物</w:t>
      </w:r>
      <w:r>
        <w:rPr>
          <w:spacing w:val="7"/>
          <w:highlight w:val="none"/>
        </w:rPr>
        <w:t>（</w:t>
      </w:r>
      <w:r>
        <w:rPr>
          <w:spacing w:val="4"/>
          <w:highlight w:val="none"/>
        </w:rPr>
        <w:t>含软件及相关服务）</w:t>
      </w:r>
      <w:r>
        <w:rPr>
          <w:spacing w:val="3"/>
          <w:highlight w:val="none"/>
        </w:rPr>
        <w:t>通过最终验收起12</w:t>
      </w:r>
      <w:r>
        <w:rPr>
          <w:spacing w:val="-19"/>
          <w:highlight w:val="none"/>
        </w:rPr>
        <w:t xml:space="preserve"> 个月。</w:t>
      </w:r>
    </w:p>
    <w:p>
      <w:pPr>
        <w:pStyle w:val="5"/>
        <w:spacing w:before="12"/>
        <w:rPr>
          <w:sz w:val="21"/>
          <w:highlight w:val="none"/>
        </w:rPr>
      </w:pPr>
    </w:p>
    <w:p>
      <w:pPr>
        <w:pStyle w:val="10"/>
        <w:numPr>
          <w:ilvl w:val="0"/>
          <w:numId w:val="41"/>
        </w:numPr>
        <w:tabs>
          <w:tab w:val="left" w:pos="1088"/>
        </w:tabs>
        <w:spacing w:before="0" w:after="0" w:line="240" w:lineRule="auto"/>
        <w:ind w:left="1087" w:right="0" w:hanging="426"/>
        <w:jc w:val="left"/>
        <w:rPr>
          <w:highlight w:val="none"/>
        </w:rPr>
      </w:pPr>
      <w:r>
        <w:rPr>
          <w:highlight w:val="none"/>
        </w:rPr>
        <w:t>检验及安装</w:t>
      </w:r>
    </w:p>
    <w:p>
      <w:pPr>
        <w:pStyle w:val="5"/>
        <w:rPr>
          <w:sz w:val="36"/>
          <w:highlight w:val="none"/>
        </w:rPr>
      </w:pPr>
    </w:p>
    <w:p>
      <w:pPr>
        <w:pStyle w:val="10"/>
        <w:numPr>
          <w:ilvl w:val="1"/>
          <w:numId w:val="41"/>
        </w:numPr>
        <w:tabs>
          <w:tab w:val="left" w:pos="1920"/>
        </w:tabs>
        <w:spacing w:before="1" w:after="0" w:line="364" w:lineRule="auto"/>
        <w:ind w:left="660" w:right="1132" w:firstLine="559"/>
        <w:jc w:val="left"/>
        <w:rPr>
          <w:highlight w:val="none"/>
        </w:rPr>
      </w:pPr>
      <w:r>
        <w:rPr>
          <w:spacing w:val="-10"/>
          <w:highlight w:val="none"/>
        </w:rPr>
        <w:t>在交货前，制造商应对货物</w:t>
      </w:r>
      <w:r>
        <w:rPr>
          <w:spacing w:val="-3"/>
          <w:highlight w:val="none"/>
        </w:rPr>
        <w:t>（含软件及相关服务</w:t>
      </w:r>
      <w:r>
        <w:rPr>
          <w:spacing w:val="-34"/>
          <w:highlight w:val="none"/>
        </w:rPr>
        <w:t>）</w:t>
      </w:r>
      <w:r>
        <w:rPr>
          <w:spacing w:val="-1"/>
          <w:highlight w:val="none"/>
        </w:rPr>
        <w:t>的质量、</w:t>
      </w:r>
      <w:r>
        <w:rPr>
          <w:spacing w:val="-11"/>
          <w:highlight w:val="none"/>
        </w:rPr>
        <w:t>规格、性能、数量和重量等进行详细而全面的检验，并出具一份证明</w:t>
      </w:r>
      <w:r>
        <w:rPr>
          <w:spacing w:val="-30"/>
          <w:highlight w:val="none"/>
        </w:rPr>
        <w:t>货物</w:t>
      </w:r>
      <w:r>
        <w:rPr>
          <w:highlight w:val="none"/>
        </w:rPr>
        <w:t>（</w:t>
      </w:r>
      <w:r>
        <w:rPr>
          <w:spacing w:val="-3"/>
          <w:highlight w:val="none"/>
        </w:rPr>
        <w:t>含软件及相关服务</w:t>
      </w:r>
      <w:r>
        <w:rPr>
          <w:spacing w:val="-48"/>
          <w:highlight w:val="none"/>
        </w:rPr>
        <w:t>）</w:t>
      </w:r>
      <w:r>
        <w:rPr>
          <w:spacing w:val="-3"/>
          <w:highlight w:val="none"/>
        </w:rPr>
        <w:t>符合经国家消防装备质量监督检验中心认</w:t>
      </w:r>
      <w:r>
        <w:rPr>
          <w:spacing w:val="-10"/>
          <w:highlight w:val="none"/>
        </w:rPr>
        <w:t>证或合同规定的证书。该证书将作为申请付款单据的一部分，但有关</w:t>
      </w:r>
      <w:r>
        <w:rPr>
          <w:spacing w:val="-12"/>
          <w:highlight w:val="none"/>
        </w:rPr>
        <w:t>质量、规格、性能、数量或重量的检验不应视为最终检验，最终检验</w:t>
      </w:r>
      <w:r>
        <w:rPr>
          <w:spacing w:val="-7"/>
          <w:highlight w:val="none"/>
        </w:rPr>
        <w:t>由国家消防装备质量检测中心检测或相关机构出具的检验报告为准。</w:t>
      </w:r>
      <w:r>
        <w:rPr>
          <w:spacing w:val="-5"/>
          <w:highlight w:val="none"/>
        </w:rPr>
        <w:t>制造商检验的结果和细节应在证书中加以说明。</w:t>
      </w:r>
    </w:p>
    <w:p>
      <w:pPr>
        <w:pStyle w:val="10"/>
        <w:numPr>
          <w:ilvl w:val="1"/>
          <w:numId w:val="41"/>
        </w:numPr>
        <w:tabs>
          <w:tab w:val="left" w:pos="1920"/>
        </w:tabs>
        <w:spacing w:before="0" w:after="0" w:line="364" w:lineRule="auto"/>
        <w:ind w:left="660" w:right="1132" w:firstLine="559"/>
        <w:jc w:val="left"/>
        <w:rPr>
          <w:highlight w:val="none"/>
        </w:rPr>
      </w:pPr>
      <w:r>
        <w:rPr>
          <w:spacing w:val="-30"/>
          <w:highlight w:val="none"/>
        </w:rPr>
        <w:t>货物</w:t>
      </w:r>
      <w:r>
        <w:rPr>
          <w:highlight w:val="none"/>
        </w:rPr>
        <w:t>（</w:t>
      </w:r>
      <w:r>
        <w:rPr>
          <w:spacing w:val="-3"/>
          <w:highlight w:val="none"/>
        </w:rPr>
        <w:t>含软件及相关服务</w:t>
      </w:r>
      <w:r>
        <w:rPr>
          <w:spacing w:val="-60"/>
          <w:highlight w:val="none"/>
        </w:rPr>
        <w:t>）</w:t>
      </w:r>
      <w:r>
        <w:rPr>
          <w:spacing w:val="-14"/>
          <w:highlight w:val="none"/>
        </w:rPr>
        <w:t>运抵现场后，甲方将对货物</w:t>
      </w:r>
      <w:r>
        <w:rPr>
          <w:spacing w:val="-3"/>
          <w:highlight w:val="none"/>
        </w:rPr>
        <w:t>（</w:t>
      </w:r>
      <w:r>
        <w:rPr>
          <w:highlight w:val="none"/>
        </w:rPr>
        <w:t>含</w:t>
      </w:r>
      <w:r>
        <w:rPr>
          <w:spacing w:val="-1"/>
          <w:highlight w:val="none"/>
        </w:rPr>
        <w:t>软件及相关服务</w:t>
      </w:r>
      <w:r>
        <w:rPr>
          <w:spacing w:val="-27"/>
          <w:highlight w:val="none"/>
        </w:rPr>
        <w:t>）</w:t>
      </w:r>
      <w:r>
        <w:rPr>
          <w:spacing w:val="-9"/>
          <w:highlight w:val="none"/>
        </w:rPr>
        <w:t>的质量、规格、数量和重量进行检验，并出具验收</w:t>
      </w:r>
      <w:r>
        <w:rPr>
          <w:spacing w:val="-13"/>
          <w:highlight w:val="none"/>
        </w:rPr>
        <w:t>意见。如发现货物</w:t>
      </w:r>
      <w:r>
        <w:rPr>
          <w:highlight w:val="none"/>
        </w:rPr>
        <w:t>（</w:t>
      </w:r>
      <w:r>
        <w:rPr>
          <w:spacing w:val="-3"/>
          <w:highlight w:val="none"/>
        </w:rPr>
        <w:t>含软件及相关服务</w:t>
      </w:r>
      <w:r>
        <w:rPr>
          <w:spacing w:val="-32"/>
          <w:highlight w:val="none"/>
        </w:rPr>
        <w:t>）</w:t>
      </w:r>
      <w:r>
        <w:rPr>
          <w:spacing w:val="-3"/>
          <w:highlight w:val="none"/>
        </w:rPr>
        <w:t>的规格或数量或两者都与合</w:t>
      </w:r>
      <w:r>
        <w:rPr>
          <w:spacing w:val="-11"/>
          <w:highlight w:val="none"/>
        </w:rPr>
        <w:t>同不符，甲方有权在货物</w:t>
      </w:r>
      <w:r>
        <w:rPr>
          <w:spacing w:val="-3"/>
          <w:highlight w:val="none"/>
        </w:rPr>
        <w:t>（含软件及相关服务</w:t>
      </w:r>
      <w:r>
        <w:rPr>
          <w:spacing w:val="-32"/>
          <w:highlight w:val="none"/>
        </w:rPr>
        <w:t>）</w:t>
      </w:r>
      <w:r>
        <w:rPr>
          <w:spacing w:val="-14"/>
          <w:highlight w:val="none"/>
        </w:rPr>
        <w:t xml:space="preserve">运抵现场后 </w:t>
      </w:r>
      <w:r>
        <w:rPr>
          <w:highlight w:val="none"/>
        </w:rPr>
        <w:t>90</w:t>
      </w:r>
      <w:r>
        <w:rPr>
          <w:spacing w:val="-17"/>
          <w:highlight w:val="none"/>
        </w:rPr>
        <w:t xml:space="preserve"> 天内， </w:t>
      </w:r>
      <w:r>
        <w:rPr>
          <w:spacing w:val="3"/>
          <w:highlight w:val="none"/>
        </w:rPr>
        <w:t>根据甲方按检验标准自己检验的结果或当地商检部门出具的检验证</w:t>
      </w:r>
      <w:r>
        <w:rPr>
          <w:spacing w:val="-10"/>
          <w:highlight w:val="none"/>
        </w:rPr>
        <w:t>书向乙方提出索赔，检测费用由投标人负责，除责任由保险公司或运</w:t>
      </w:r>
      <w:r>
        <w:rPr>
          <w:spacing w:val="-7"/>
          <w:highlight w:val="none"/>
        </w:rPr>
        <w:t>输部门承担的之外，同时甲方有权单方终止执行合同。</w:t>
      </w:r>
    </w:p>
    <w:p>
      <w:pPr>
        <w:pStyle w:val="10"/>
        <w:numPr>
          <w:ilvl w:val="1"/>
          <w:numId w:val="41"/>
        </w:numPr>
        <w:tabs>
          <w:tab w:val="left" w:pos="1920"/>
        </w:tabs>
        <w:spacing w:before="0" w:after="0" w:line="364" w:lineRule="auto"/>
        <w:ind w:left="660" w:right="1132" w:firstLine="559"/>
        <w:jc w:val="left"/>
        <w:rPr>
          <w:highlight w:val="none"/>
        </w:rPr>
      </w:pPr>
      <w:r>
        <w:rPr>
          <w:spacing w:val="-13"/>
          <w:highlight w:val="none"/>
        </w:rPr>
        <w:t>如果货物</w:t>
      </w:r>
      <w:r>
        <w:rPr>
          <w:highlight w:val="none"/>
        </w:rPr>
        <w:t>（</w:t>
      </w:r>
      <w:r>
        <w:rPr>
          <w:spacing w:val="-3"/>
          <w:highlight w:val="none"/>
        </w:rPr>
        <w:t>含软件及相关服务</w:t>
      </w:r>
      <w:r>
        <w:rPr>
          <w:spacing w:val="-51"/>
          <w:highlight w:val="none"/>
        </w:rPr>
        <w:t>）</w:t>
      </w:r>
      <w:r>
        <w:rPr>
          <w:spacing w:val="-3"/>
          <w:highlight w:val="none"/>
        </w:rPr>
        <w:t xml:space="preserve">的质量和规格与合同不符， </w:t>
      </w:r>
      <w:r>
        <w:rPr>
          <w:spacing w:val="-14"/>
          <w:highlight w:val="none"/>
        </w:rPr>
        <w:t xml:space="preserve">或在第 </w:t>
      </w:r>
      <w:r>
        <w:rPr>
          <w:highlight w:val="none"/>
        </w:rPr>
        <w:t>11</w:t>
      </w:r>
      <w:r>
        <w:rPr>
          <w:spacing w:val="-8"/>
          <w:highlight w:val="none"/>
        </w:rPr>
        <w:t xml:space="preserve"> 条规定的质量保证期内证实货物</w:t>
      </w:r>
      <w:r>
        <w:rPr>
          <w:highlight w:val="none"/>
        </w:rPr>
        <w:t>（</w:t>
      </w:r>
      <w:r>
        <w:rPr>
          <w:spacing w:val="-3"/>
          <w:highlight w:val="none"/>
        </w:rPr>
        <w:t>含软件及相关服务）</w:t>
      </w:r>
      <w:r>
        <w:rPr>
          <w:highlight w:val="none"/>
        </w:rPr>
        <w:t>是</w:t>
      </w:r>
      <w:r>
        <w:rPr>
          <w:spacing w:val="-10"/>
          <w:highlight w:val="none"/>
        </w:rPr>
        <w:t>有缺陷的，包括潜在的缺陷或使用不符合要求的材料，甲方将有权向</w:t>
      </w:r>
    </w:p>
    <w:p>
      <w:pPr>
        <w:spacing w:after="0" w:line="364" w:lineRule="auto"/>
        <w:jc w:val="left"/>
        <w:rPr>
          <w:highlight w:val="none"/>
        </w:rPr>
        <w:sectPr>
          <w:pgSz w:w="11900" w:h="16840"/>
          <w:pgMar w:top="1400" w:right="520" w:bottom="1380" w:left="1140" w:header="0" w:footer="1197" w:gutter="0"/>
          <w:pgNumType w:fmt="decimal"/>
          <w:cols w:space="720" w:num="1"/>
        </w:sectPr>
      </w:pPr>
    </w:p>
    <w:p>
      <w:pPr>
        <w:pStyle w:val="10"/>
        <w:spacing w:before="38"/>
        <w:rPr>
          <w:highlight w:val="none"/>
        </w:rPr>
      </w:pPr>
      <w:r>
        <w:rPr>
          <w:highlight w:val="none"/>
        </w:rPr>
        <w:t>乙方提出索赔。</w:t>
      </w:r>
    </w:p>
    <w:p>
      <w:pPr>
        <w:pStyle w:val="10"/>
        <w:numPr>
          <w:ilvl w:val="1"/>
          <w:numId w:val="41"/>
        </w:numPr>
        <w:tabs>
          <w:tab w:val="left" w:pos="1923"/>
        </w:tabs>
        <w:spacing w:before="186" w:after="0" w:line="364" w:lineRule="auto"/>
        <w:ind w:left="660" w:right="1266" w:firstLine="559"/>
        <w:jc w:val="both"/>
        <w:rPr>
          <w:highlight w:val="none"/>
        </w:rPr>
      </w:pPr>
      <w:r>
        <w:rPr>
          <w:highlight w:val="none"/>
        </w:rPr>
        <w:t>甲方有权提出在货物（含软件及相关服务）制造过程中派</w:t>
      </w:r>
      <w:r>
        <w:rPr>
          <w:spacing w:val="-3"/>
          <w:highlight w:val="none"/>
        </w:rPr>
        <w:t>人到制造厂进行监造，乙方有义务为甲方监造人员提乙方便。</w:t>
      </w:r>
    </w:p>
    <w:p>
      <w:pPr>
        <w:pStyle w:val="10"/>
        <w:numPr>
          <w:ilvl w:val="1"/>
          <w:numId w:val="41"/>
        </w:numPr>
        <w:tabs>
          <w:tab w:val="left" w:pos="1923"/>
        </w:tabs>
        <w:spacing w:before="0" w:after="0" w:line="364" w:lineRule="auto"/>
        <w:ind w:left="660" w:right="1266" w:firstLine="559"/>
        <w:jc w:val="both"/>
        <w:rPr>
          <w:highlight w:val="none"/>
        </w:rPr>
      </w:pPr>
      <w:r>
        <w:rPr>
          <w:highlight w:val="none"/>
        </w:rPr>
        <w:t>制造厂对所供货物（含软件及相关服务）进行机械运转试</w:t>
      </w:r>
      <w:r>
        <w:rPr>
          <w:spacing w:val="-3"/>
          <w:highlight w:val="none"/>
        </w:rPr>
        <w:t>验和性能试验时，必须提前通知甲方。</w:t>
      </w:r>
    </w:p>
    <w:p>
      <w:pPr>
        <w:pStyle w:val="10"/>
        <w:numPr>
          <w:ilvl w:val="1"/>
          <w:numId w:val="41"/>
        </w:numPr>
        <w:tabs>
          <w:tab w:val="left" w:pos="1920"/>
        </w:tabs>
        <w:spacing w:before="0" w:after="0" w:line="554" w:lineRule="auto"/>
        <w:ind w:left="662" w:right="1132" w:firstLine="556"/>
        <w:jc w:val="both"/>
        <w:rPr>
          <w:highlight w:val="none"/>
        </w:rPr>
      </w:pPr>
      <w:r>
        <w:rPr>
          <w:spacing w:val="-24"/>
          <w:highlight w:val="none"/>
        </w:rPr>
        <w:t>货物</w:t>
      </w:r>
      <w:r>
        <w:rPr>
          <w:highlight w:val="none"/>
        </w:rPr>
        <w:t>（</w:t>
      </w:r>
      <w:r>
        <w:rPr>
          <w:spacing w:val="-3"/>
          <w:highlight w:val="none"/>
        </w:rPr>
        <w:t>含软件及相关服务</w:t>
      </w:r>
      <w:r>
        <w:rPr>
          <w:spacing w:val="-48"/>
          <w:highlight w:val="none"/>
        </w:rPr>
        <w:t>）</w:t>
      </w:r>
      <w:r>
        <w:rPr>
          <w:spacing w:val="-3"/>
          <w:highlight w:val="none"/>
        </w:rPr>
        <w:t>的安装按招标文件的要求进行。13．索赔</w:t>
      </w:r>
    </w:p>
    <w:p>
      <w:pPr>
        <w:pStyle w:val="10"/>
        <w:numPr>
          <w:ilvl w:val="1"/>
          <w:numId w:val="43"/>
        </w:numPr>
        <w:tabs>
          <w:tab w:val="left" w:pos="1923"/>
        </w:tabs>
        <w:spacing w:before="0" w:after="0" w:line="364" w:lineRule="auto"/>
        <w:ind w:left="660" w:right="1266" w:firstLine="559"/>
        <w:jc w:val="both"/>
        <w:rPr>
          <w:highlight w:val="none"/>
        </w:rPr>
      </w:pPr>
      <w:r>
        <w:rPr>
          <w:highlight w:val="none"/>
        </w:rPr>
        <w:t>除责任应由保险公司或运输部门承担的之外，甲方有权根</w:t>
      </w:r>
      <w:r>
        <w:rPr>
          <w:spacing w:val="3"/>
          <w:highlight w:val="none"/>
        </w:rPr>
        <w:t>据甲方按检验标准自己检验的结果或当地商检部门出具的商检证书</w:t>
      </w:r>
      <w:r>
        <w:rPr>
          <w:spacing w:val="-1"/>
          <w:highlight w:val="none"/>
        </w:rPr>
        <w:t>向乙方提出索赔。</w:t>
      </w:r>
    </w:p>
    <w:p>
      <w:pPr>
        <w:pStyle w:val="10"/>
        <w:numPr>
          <w:ilvl w:val="1"/>
          <w:numId w:val="43"/>
        </w:numPr>
        <w:tabs>
          <w:tab w:val="left" w:pos="1920"/>
        </w:tabs>
        <w:spacing w:before="0" w:after="0" w:line="364" w:lineRule="auto"/>
        <w:ind w:left="660" w:right="1269" w:firstLine="559"/>
        <w:jc w:val="both"/>
        <w:rPr>
          <w:highlight w:val="none"/>
        </w:rPr>
      </w:pPr>
      <w:r>
        <w:rPr>
          <w:highlight w:val="none"/>
        </w:rPr>
        <w:t>在第 11</w:t>
      </w:r>
      <w:r>
        <w:rPr>
          <w:spacing w:val="-14"/>
          <w:highlight w:val="none"/>
        </w:rPr>
        <w:t xml:space="preserve"> 条和第 </w:t>
      </w:r>
      <w:r>
        <w:rPr>
          <w:highlight w:val="none"/>
        </w:rPr>
        <w:t>12</w:t>
      </w:r>
      <w:r>
        <w:rPr>
          <w:spacing w:val="-15"/>
          <w:highlight w:val="none"/>
        </w:rPr>
        <w:t xml:space="preserve"> 条规定的检验期和质量保证期内，如果</w:t>
      </w:r>
      <w:r>
        <w:rPr>
          <w:spacing w:val="-13"/>
          <w:highlight w:val="none"/>
        </w:rPr>
        <w:t>乙方对甲方提出的索赔和差异负有责任，乙方应按照甲方同意的下列</w:t>
      </w:r>
      <w:r>
        <w:rPr>
          <w:spacing w:val="-8"/>
          <w:highlight w:val="none"/>
        </w:rPr>
        <w:t>一种或多种方式解决索赔事宜：</w:t>
      </w:r>
    </w:p>
    <w:p>
      <w:pPr>
        <w:pStyle w:val="10"/>
        <w:numPr>
          <w:ilvl w:val="0"/>
          <w:numId w:val="44"/>
        </w:numPr>
        <w:tabs>
          <w:tab w:val="left" w:pos="1926"/>
        </w:tabs>
        <w:spacing w:before="0" w:after="0" w:line="364" w:lineRule="auto"/>
        <w:ind w:left="660" w:right="1269" w:firstLine="559"/>
        <w:jc w:val="both"/>
        <w:rPr>
          <w:highlight w:val="none"/>
        </w:rPr>
      </w:pPr>
      <w:r>
        <w:rPr>
          <w:highlight w:val="none"/>
        </w:rPr>
        <w:t>乙方同意退货，并按合同规定的同种货币将货款退还给甲</w:t>
      </w:r>
      <w:r>
        <w:rPr>
          <w:spacing w:val="-9"/>
          <w:highlight w:val="none"/>
        </w:rPr>
        <w:t>方，并承担由此发生的一切损失和费用，包括利息、银行手续费、运</w:t>
      </w:r>
      <w:r>
        <w:rPr>
          <w:spacing w:val="-12"/>
          <w:highlight w:val="none"/>
        </w:rPr>
        <w:t>费、保险费、检验费、仓储费、装卸费以及为保护退回货物</w:t>
      </w:r>
      <w:r>
        <w:rPr>
          <w:highlight w:val="none"/>
        </w:rPr>
        <w:t>（</w:t>
      </w:r>
      <w:r>
        <w:rPr>
          <w:spacing w:val="-2"/>
          <w:highlight w:val="none"/>
        </w:rPr>
        <w:t>含软件</w:t>
      </w:r>
      <w:r>
        <w:rPr>
          <w:spacing w:val="-3"/>
          <w:highlight w:val="none"/>
        </w:rPr>
        <w:t>及相关服务</w:t>
      </w:r>
      <w:r>
        <w:rPr>
          <w:highlight w:val="none"/>
        </w:rPr>
        <w:t>）</w:t>
      </w:r>
      <w:r>
        <w:rPr>
          <w:spacing w:val="-3"/>
          <w:highlight w:val="none"/>
        </w:rPr>
        <w:t>所需的其它必要费用。</w:t>
      </w:r>
    </w:p>
    <w:p>
      <w:pPr>
        <w:pStyle w:val="10"/>
        <w:numPr>
          <w:ilvl w:val="0"/>
          <w:numId w:val="44"/>
        </w:numPr>
        <w:tabs>
          <w:tab w:val="left" w:pos="1926"/>
        </w:tabs>
        <w:spacing w:before="0" w:after="0" w:line="364" w:lineRule="auto"/>
        <w:ind w:left="660" w:right="1269" w:firstLine="559"/>
        <w:jc w:val="both"/>
        <w:rPr>
          <w:highlight w:val="none"/>
        </w:rPr>
      </w:pPr>
      <w:r>
        <w:rPr>
          <w:highlight w:val="none"/>
        </w:rPr>
        <w:t>根据货物（含软件及相关服务）的低劣程度、损坏程度以</w:t>
      </w:r>
      <w:r>
        <w:rPr>
          <w:spacing w:val="-10"/>
          <w:highlight w:val="none"/>
        </w:rPr>
        <w:t>及甲方遭受损失的数额，经买卖双方商定降低货物</w:t>
      </w:r>
      <w:r>
        <w:rPr>
          <w:highlight w:val="none"/>
        </w:rPr>
        <w:t>（</w:t>
      </w:r>
      <w:r>
        <w:rPr>
          <w:spacing w:val="-3"/>
          <w:highlight w:val="none"/>
        </w:rPr>
        <w:t>含软件及相关服务）</w:t>
      </w:r>
      <w:r>
        <w:rPr>
          <w:spacing w:val="-2"/>
          <w:highlight w:val="none"/>
        </w:rPr>
        <w:t>的价格。</w:t>
      </w:r>
    </w:p>
    <w:p>
      <w:pPr>
        <w:pStyle w:val="10"/>
        <w:numPr>
          <w:ilvl w:val="0"/>
          <w:numId w:val="44"/>
        </w:numPr>
        <w:tabs>
          <w:tab w:val="left" w:pos="1926"/>
        </w:tabs>
        <w:spacing w:before="0" w:after="0" w:line="364" w:lineRule="auto"/>
        <w:ind w:left="660" w:right="1271" w:firstLine="559"/>
        <w:jc w:val="both"/>
        <w:rPr>
          <w:highlight w:val="none"/>
        </w:rPr>
      </w:pPr>
      <w:r>
        <w:rPr>
          <w:highlight w:val="none"/>
        </w:rPr>
        <w:t>用符合规格、质量和性能要求的新零件、部件或货物（含</w:t>
      </w:r>
      <w:r>
        <w:rPr>
          <w:spacing w:val="-1"/>
          <w:highlight w:val="none"/>
        </w:rPr>
        <w:t>软件及相关服务</w:t>
      </w:r>
      <w:r>
        <w:rPr>
          <w:spacing w:val="-51"/>
          <w:highlight w:val="none"/>
        </w:rPr>
        <w:t>）</w:t>
      </w:r>
      <w:r>
        <w:rPr>
          <w:spacing w:val="-6"/>
          <w:highlight w:val="none"/>
        </w:rPr>
        <w:t>来更换有缺陷的部分或修补缺陷部分，乙方应承担</w:t>
      </w:r>
      <w:r>
        <w:rPr>
          <w:spacing w:val="-9"/>
          <w:highlight w:val="none"/>
        </w:rPr>
        <w:t>一切费用和风险并负担甲方所发生的一切直接费用。同时，乙方应按</w:t>
      </w:r>
      <w:r>
        <w:rPr>
          <w:spacing w:val="-18"/>
          <w:highlight w:val="none"/>
        </w:rPr>
        <w:t xml:space="preserve">合同第 </w:t>
      </w:r>
      <w:r>
        <w:rPr>
          <w:highlight w:val="none"/>
        </w:rPr>
        <w:t>11</w:t>
      </w:r>
      <w:r>
        <w:rPr>
          <w:spacing w:val="-7"/>
          <w:highlight w:val="none"/>
        </w:rPr>
        <w:t xml:space="preserve"> 条规定，相应延长修补或被更换部件或货物</w:t>
      </w:r>
      <w:r>
        <w:rPr>
          <w:spacing w:val="-3"/>
          <w:highlight w:val="none"/>
        </w:rPr>
        <w:t>（</w:t>
      </w:r>
      <w:r>
        <w:rPr>
          <w:spacing w:val="-1"/>
          <w:highlight w:val="none"/>
        </w:rPr>
        <w:t>含软件及相</w:t>
      </w:r>
    </w:p>
    <w:p>
      <w:pPr>
        <w:spacing w:after="0" w:line="364" w:lineRule="auto"/>
        <w:jc w:val="both"/>
        <w:rPr>
          <w:highlight w:val="none"/>
        </w:rPr>
        <w:sectPr>
          <w:pgSz w:w="11900" w:h="16840"/>
          <w:pgMar w:top="1400" w:right="520" w:bottom="1380" w:left="1140" w:header="0" w:footer="1197" w:gutter="0"/>
          <w:pgNumType w:fmt="decimal"/>
          <w:cols w:space="720" w:num="1"/>
        </w:sectPr>
      </w:pPr>
    </w:p>
    <w:p>
      <w:pPr>
        <w:pStyle w:val="10"/>
        <w:spacing w:before="38"/>
        <w:rPr>
          <w:highlight w:val="none"/>
        </w:rPr>
      </w:pPr>
      <w:r>
        <w:rPr>
          <w:highlight w:val="none"/>
        </w:rPr>
        <w:t>关服务）的质量保证期。</w:t>
      </w:r>
    </w:p>
    <w:p>
      <w:pPr>
        <w:pStyle w:val="10"/>
        <w:numPr>
          <w:ilvl w:val="1"/>
          <w:numId w:val="43"/>
        </w:numPr>
        <w:tabs>
          <w:tab w:val="left" w:pos="1920"/>
        </w:tabs>
        <w:spacing w:before="186" w:after="0" w:line="364" w:lineRule="auto"/>
        <w:ind w:left="660" w:right="1269" w:firstLine="559"/>
        <w:jc w:val="both"/>
        <w:rPr>
          <w:highlight w:val="none"/>
        </w:rPr>
      </w:pPr>
      <w:r>
        <w:rPr>
          <w:spacing w:val="-3"/>
          <w:highlight w:val="none"/>
        </w:rPr>
        <w:t xml:space="preserve">如果在甲方发出索赔通知后 </w:t>
      </w:r>
      <w:r>
        <w:rPr>
          <w:highlight w:val="none"/>
        </w:rPr>
        <w:t>3</w:t>
      </w:r>
      <w:r>
        <w:rPr>
          <w:spacing w:val="-19"/>
          <w:highlight w:val="none"/>
        </w:rPr>
        <w:t xml:space="preserve"> </w:t>
      </w:r>
      <w:r>
        <w:rPr>
          <w:highlight w:val="none"/>
        </w:rPr>
        <w:t>0</w:t>
      </w:r>
      <w:r>
        <w:rPr>
          <w:spacing w:val="-10"/>
          <w:highlight w:val="none"/>
        </w:rPr>
        <w:t xml:space="preserve"> 天内，乙方未能答复，上</w:t>
      </w:r>
      <w:r>
        <w:rPr>
          <w:spacing w:val="-9"/>
          <w:highlight w:val="none"/>
        </w:rPr>
        <w:t xml:space="preserve">达索赔应视为已被乙方接受。若乙方未能在甲方提出索赔通知后 </w:t>
      </w:r>
      <w:r>
        <w:rPr>
          <w:highlight w:val="none"/>
        </w:rPr>
        <w:t xml:space="preserve">30 </w:t>
      </w:r>
      <w:r>
        <w:rPr>
          <w:spacing w:val="-11"/>
          <w:highlight w:val="none"/>
        </w:rPr>
        <w:t xml:space="preserve">天内或甲方同意的更长时间内，按照第 </w:t>
      </w:r>
      <w:r>
        <w:rPr>
          <w:spacing w:val="-13"/>
          <w:highlight w:val="none"/>
        </w:rPr>
        <w:t>13．2</w:t>
      </w:r>
      <w:r>
        <w:rPr>
          <w:spacing w:val="-10"/>
          <w:highlight w:val="none"/>
        </w:rPr>
        <w:t xml:space="preserve"> 条规定的任何一种方法</w:t>
      </w:r>
      <w:r>
        <w:rPr>
          <w:spacing w:val="-13"/>
          <w:highlight w:val="none"/>
        </w:rPr>
        <w:t>解决索赔事宜，甲方将从已付款或从乙方开具的履约保证金中扣回索</w:t>
      </w:r>
      <w:r>
        <w:rPr>
          <w:spacing w:val="-12"/>
          <w:highlight w:val="none"/>
        </w:rPr>
        <w:t>赔金颔。如果这些金额不足以补偿索赔金额，甲方有权向乙方提出不</w:t>
      </w:r>
      <w:r>
        <w:rPr>
          <w:spacing w:val="-6"/>
          <w:highlight w:val="none"/>
        </w:rPr>
        <w:t>足部分的补偿。</w:t>
      </w:r>
    </w:p>
    <w:p>
      <w:pPr>
        <w:pStyle w:val="5"/>
        <w:spacing w:before="11"/>
        <w:rPr>
          <w:sz w:val="21"/>
          <w:highlight w:val="none"/>
        </w:rPr>
      </w:pPr>
    </w:p>
    <w:p>
      <w:pPr>
        <w:pStyle w:val="10"/>
        <w:numPr>
          <w:ilvl w:val="0"/>
          <w:numId w:val="45"/>
        </w:numPr>
        <w:tabs>
          <w:tab w:val="left" w:pos="1228"/>
        </w:tabs>
        <w:spacing w:before="0" w:after="0" w:line="240" w:lineRule="auto"/>
        <w:ind w:left="1227" w:right="0" w:hanging="566"/>
        <w:jc w:val="left"/>
        <w:rPr>
          <w:highlight w:val="none"/>
        </w:rPr>
      </w:pPr>
      <w:r>
        <w:rPr>
          <w:highlight w:val="none"/>
        </w:rPr>
        <w:t>拖延交货</w:t>
      </w:r>
    </w:p>
    <w:p>
      <w:pPr>
        <w:pStyle w:val="5"/>
        <w:spacing w:before="1"/>
        <w:rPr>
          <w:sz w:val="36"/>
          <w:highlight w:val="none"/>
        </w:rPr>
      </w:pPr>
    </w:p>
    <w:p>
      <w:pPr>
        <w:pStyle w:val="10"/>
        <w:numPr>
          <w:ilvl w:val="1"/>
          <w:numId w:val="45"/>
        </w:numPr>
        <w:tabs>
          <w:tab w:val="left" w:pos="1935"/>
        </w:tabs>
        <w:spacing w:before="0" w:after="0" w:line="364" w:lineRule="auto"/>
        <w:ind w:left="660" w:right="1269" w:firstLine="559"/>
        <w:jc w:val="both"/>
        <w:rPr>
          <w:highlight w:val="none"/>
        </w:rPr>
      </w:pPr>
      <w:r>
        <w:rPr>
          <w:spacing w:val="11"/>
          <w:highlight w:val="none"/>
        </w:rPr>
        <w:t>乙方应按照合同专用条款中规定的交货期交货和提供服务。</w:t>
      </w:r>
    </w:p>
    <w:p>
      <w:pPr>
        <w:pStyle w:val="10"/>
        <w:numPr>
          <w:ilvl w:val="1"/>
          <w:numId w:val="46"/>
        </w:numPr>
        <w:tabs>
          <w:tab w:val="left" w:pos="1920"/>
        </w:tabs>
        <w:spacing w:before="0" w:after="0" w:line="364" w:lineRule="auto"/>
        <w:ind w:left="660" w:right="1269" w:firstLine="559"/>
        <w:jc w:val="both"/>
        <w:rPr>
          <w:highlight w:val="none"/>
        </w:rPr>
      </w:pPr>
      <w:r>
        <w:rPr>
          <w:spacing w:val="-6"/>
          <w:highlight w:val="none"/>
        </w:rPr>
        <w:t xml:space="preserve">如果乙方毫无理由地拖延交货达 </w:t>
      </w:r>
      <w:r>
        <w:rPr>
          <w:highlight w:val="none"/>
        </w:rPr>
        <w:t>1</w:t>
      </w:r>
      <w:r>
        <w:rPr>
          <w:spacing w:val="-8"/>
          <w:highlight w:val="none"/>
        </w:rPr>
        <w:t xml:space="preserve"> 个月以上的，将受到以</w:t>
      </w:r>
      <w:r>
        <w:rPr>
          <w:spacing w:val="-5"/>
          <w:highlight w:val="none"/>
        </w:rPr>
        <w:t>下制裁：没收履约保证金，加收违约损失赔偿和／或终止合同。</w:t>
      </w:r>
    </w:p>
    <w:p>
      <w:pPr>
        <w:pStyle w:val="10"/>
        <w:numPr>
          <w:ilvl w:val="1"/>
          <w:numId w:val="46"/>
        </w:numPr>
        <w:tabs>
          <w:tab w:val="left" w:pos="1923"/>
        </w:tabs>
        <w:spacing w:before="0" w:after="0" w:line="364" w:lineRule="auto"/>
        <w:ind w:left="660" w:right="1266" w:firstLine="559"/>
        <w:jc w:val="both"/>
        <w:rPr>
          <w:highlight w:val="none"/>
        </w:rPr>
      </w:pPr>
      <w:r>
        <w:rPr>
          <w:highlight w:val="none"/>
        </w:rPr>
        <w:t>在履行合同过程中，如果乙方遇到不能按时交货和提供服</w:t>
      </w:r>
      <w:r>
        <w:rPr>
          <w:spacing w:val="-10"/>
          <w:highlight w:val="none"/>
        </w:rPr>
        <w:t>务的情况，应及时以书面形式将不能按时交货的理由、延误时间通知</w:t>
      </w:r>
      <w:r>
        <w:rPr>
          <w:spacing w:val="-12"/>
          <w:highlight w:val="none"/>
        </w:rPr>
        <w:t>甲方。甲方在收到乙方通知后，应进行分析，可通过修改合同，酌情</w:t>
      </w:r>
      <w:r>
        <w:rPr>
          <w:spacing w:val="-6"/>
          <w:highlight w:val="none"/>
        </w:rPr>
        <w:t>延长交货时间。</w:t>
      </w:r>
    </w:p>
    <w:p>
      <w:pPr>
        <w:pStyle w:val="5"/>
        <w:spacing w:before="10"/>
        <w:rPr>
          <w:sz w:val="21"/>
          <w:highlight w:val="none"/>
        </w:rPr>
      </w:pPr>
    </w:p>
    <w:p>
      <w:pPr>
        <w:pStyle w:val="10"/>
        <w:numPr>
          <w:ilvl w:val="0"/>
          <w:numId w:val="45"/>
        </w:numPr>
        <w:tabs>
          <w:tab w:val="left" w:pos="1228"/>
        </w:tabs>
        <w:spacing w:before="0" w:after="0" w:line="240" w:lineRule="auto"/>
        <w:ind w:left="1227" w:right="0" w:hanging="566"/>
        <w:jc w:val="left"/>
        <w:rPr>
          <w:highlight w:val="none"/>
        </w:rPr>
      </w:pPr>
      <w:r>
        <w:rPr>
          <w:highlight w:val="none"/>
        </w:rPr>
        <w:t>违约赔偿</w:t>
      </w:r>
    </w:p>
    <w:p>
      <w:pPr>
        <w:pStyle w:val="5"/>
        <w:spacing w:before="1"/>
        <w:rPr>
          <w:sz w:val="36"/>
          <w:highlight w:val="none"/>
        </w:rPr>
      </w:pPr>
    </w:p>
    <w:p>
      <w:pPr>
        <w:pStyle w:val="10"/>
        <w:spacing w:line="364" w:lineRule="auto"/>
        <w:ind w:right="1130" w:firstLine="559"/>
        <w:rPr>
          <w:highlight w:val="none"/>
        </w:rPr>
      </w:pPr>
      <w:r>
        <w:rPr>
          <w:spacing w:val="-15"/>
          <w:highlight w:val="none"/>
        </w:rPr>
        <w:t xml:space="preserve">除第 </w:t>
      </w:r>
      <w:r>
        <w:rPr>
          <w:highlight w:val="none"/>
        </w:rPr>
        <w:t>16</w:t>
      </w:r>
      <w:r>
        <w:rPr>
          <w:spacing w:val="-7"/>
          <w:highlight w:val="none"/>
        </w:rPr>
        <w:t xml:space="preserve"> 条规定的不可抗力外，如果乙方没有按照合同规定的时</w:t>
      </w:r>
      <w:r>
        <w:rPr>
          <w:spacing w:val="-11"/>
          <w:highlight w:val="none"/>
        </w:rPr>
        <w:t>间交货和提供服务，甲方可从货款中扣除违约赔偿费，赔偿费应按每</w:t>
      </w:r>
      <w:r>
        <w:rPr>
          <w:spacing w:val="-8"/>
          <w:highlight w:val="none"/>
        </w:rPr>
        <w:t>周迟交货物</w:t>
      </w:r>
      <w:r>
        <w:rPr>
          <w:highlight w:val="none"/>
        </w:rPr>
        <w:t>（</w:t>
      </w:r>
      <w:r>
        <w:rPr>
          <w:spacing w:val="-3"/>
          <w:highlight w:val="none"/>
        </w:rPr>
        <w:t>含软件及相关服务）</w:t>
      </w:r>
      <w:r>
        <w:rPr>
          <w:spacing w:val="-9"/>
          <w:highlight w:val="none"/>
        </w:rPr>
        <w:t xml:space="preserve">或未提供服务交货价的 </w:t>
      </w:r>
      <w:r>
        <w:rPr>
          <w:highlight w:val="none"/>
        </w:rPr>
        <w:t>1</w:t>
      </w:r>
      <w:r>
        <w:rPr>
          <w:spacing w:val="-2"/>
          <w:highlight w:val="none"/>
        </w:rPr>
        <w:t>％计收。</w:t>
      </w:r>
      <w:r>
        <w:rPr>
          <w:spacing w:val="-6"/>
          <w:highlight w:val="none"/>
        </w:rPr>
        <w:t>但违约损失赔偿费的最高限额为迟交货物</w:t>
      </w:r>
      <w:r>
        <w:rPr>
          <w:highlight w:val="none"/>
        </w:rPr>
        <w:t>（</w:t>
      </w:r>
      <w:r>
        <w:rPr>
          <w:spacing w:val="-3"/>
          <w:highlight w:val="none"/>
        </w:rPr>
        <w:t>含软件及相关服务</w:t>
      </w:r>
      <w:r>
        <w:rPr>
          <w:spacing w:val="-48"/>
          <w:highlight w:val="none"/>
        </w:rPr>
        <w:t>）</w:t>
      </w:r>
      <w:r>
        <w:rPr>
          <w:spacing w:val="-2"/>
          <w:highlight w:val="none"/>
        </w:rPr>
        <w:t>或没</w:t>
      </w:r>
      <w:r>
        <w:rPr>
          <w:spacing w:val="-9"/>
          <w:highlight w:val="none"/>
        </w:rPr>
        <w:t xml:space="preserve">有提供服务的合同价的 </w:t>
      </w:r>
      <w:r>
        <w:rPr>
          <w:highlight w:val="none"/>
        </w:rPr>
        <w:t>5</w:t>
      </w:r>
      <w:r>
        <w:rPr>
          <w:spacing w:val="-27"/>
          <w:highlight w:val="none"/>
        </w:rPr>
        <w:t xml:space="preserve">％。一周按 </w:t>
      </w:r>
      <w:r>
        <w:rPr>
          <w:highlight w:val="none"/>
        </w:rPr>
        <w:t>7</w:t>
      </w:r>
      <w:r>
        <w:rPr>
          <w:spacing w:val="-30"/>
          <w:highlight w:val="none"/>
        </w:rPr>
        <w:t xml:space="preserve"> 天计算，不足 </w:t>
      </w:r>
      <w:r>
        <w:rPr>
          <w:highlight w:val="none"/>
        </w:rPr>
        <w:t>7</w:t>
      </w:r>
      <w:r>
        <w:rPr>
          <w:spacing w:val="-12"/>
          <w:highlight w:val="none"/>
        </w:rPr>
        <w:t xml:space="preserve"> 天按一周计算。</w:t>
      </w:r>
      <w:r>
        <w:rPr>
          <w:spacing w:val="-7"/>
          <w:highlight w:val="none"/>
        </w:rPr>
        <w:t>甲方有权终止合同，并按合同约定及法律规定追究乙方的违约责任。</w:t>
      </w:r>
    </w:p>
    <w:p>
      <w:pPr>
        <w:spacing w:after="0" w:line="364" w:lineRule="auto"/>
        <w:rPr>
          <w:highlight w:val="none"/>
        </w:rPr>
        <w:sectPr>
          <w:pgSz w:w="11900" w:h="16840"/>
          <w:pgMar w:top="1400" w:right="520" w:bottom="1380" w:left="1140" w:header="0" w:footer="1197" w:gutter="0"/>
          <w:pgNumType w:fmt="decimal"/>
          <w:cols w:space="720" w:num="1"/>
        </w:sectPr>
      </w:pPr>
    </w:p>
    <w:p>
      <w:pPr>
        <w:pStyle w:val="10"/>
        <w:numPr>
          <w:ilvl w:val="0"/>
          <w:numId w:val="45"/>
        </w:numPr>
        <w:tabs>
          <w:tab w:val="left" w:pos="1228"/>
        </w:tabs>
        <w:spacing w:before="40" w:after="0" w:line="240" w:lineRule="auto"/>
        <w:ind w:left="1227" w:right="0" w:hanging="566"/>
        <w:jc w:val="left"/>
        <w:rPr>
          <w:highlight w:val="none"/>
        </w:rPr>
      </w:pPr>
      <w:r>
        <w:rPr>
          <w:highlight w:val="none"/>
        </w:rPr>
        <w:t>不可抗力</w:t>
      </w:r>
    </w:p>
    <w:p>
      <w:pPr>
        <w:pStyle w:val="5"/>
        <w:spacing w:before="3"/>
        <w:rPr>
          <w:sz w:val="36"/>
          <w:highlight w:val="none"/>
        </w:rPr>
      </w:pPr>
    </w:p>
    <w:p>
      <w:pPr>
        <w:pStyle w:val="10"/>
        <w:numPr>
          <w:ilvl w:val="1"/>
          <w:numId w:val="45"/>
        </w:numPr>
        <w:tabs>
          <w:tab w:val="left" w:pos="1923"/>
        </w:tabs>
        <w:spacing w:before="1" w:after="0" w:line="364" w:lineRule="auto"/>
        <w:ind w:left="660" w:right="1266" w:firstLine="559"/>
        <w:jc w:val="both"/>
        <w:rPr>
          <w:highlight w:val="none"/>
        </w:rPr>
      </w:pPr>
      <w:r>
        <w:rPr>
          <w:highlight w:val="none"/>
        </w:rPr>
        <w:t>如果双方中任何一方由于战争、严重火灾、水灾、台风和</w:t>
      </w:r>
      <w:r>
        <w:rPr>
          <w:spacing w:val="3"/>
          <w:highlight w:val="none"/>
        </w:rPr>
        <w:t>地震以及其它经双方同意属于不可抗力的事故，致使合同履行受阻</w:t>
      </w:r>
      <w:r>
        <w:rPr>
          <w:spacing w:val="-11"/>
          <w:highlight w:val="none"/>
        </w:rPr>
        <w:t>时，履行合同的期限应予以延长，延长的期限应相当于事故所影响的时间。</w:t>
      </w:r>
    </w:p>
    <w:p>
      <w:pPr>
        <w:pStyle w:val="10"/>
        <w:spacing w:line="364" w:lineRule="auto"/>
        <w:ind w:right="1266" w:firstLine="559"/>
        <w:jc w:val="both"/>
        <w:rPr>
          <w:highlight w:val="none"/>
        </w:rPr>
      </w:pPr>
      <w:r>
        <w:rPr>
          <w:highlight w:val="none"/>
        </w:rPr>
        <w:t>16.2 受事故影响的一方应在不可抗力事故发生后尽快以电报、</w:t>
      </w:r>
      <w:r>
        <w:rPr>
          <w:spacing w:val="-5"/>
          <w:highlight w:val="none"/>
        </w:rPr>
        <w:t xml:space="preserve">传真或电传通知另一方，并在事故发生后 </w:t>
      </w:r>
      <w:r>
        <w:rPr>
          <w:highlight w:val="none"/>
        </w:rPr>
        <w:t>14</w:t>
      </w:r>
      <w:r>
        <w:rPr>
          <w:spacing w:val="-7"/>
          <w:highlight w:val="none"/>
        </w:rPr>
        <w:t xml:space="preserve"> 天内，将有关部门出具</w:t>
      </w:r>
      <w:r>
        <w:rPr>
          <w:spacing w:val="-10"/>
          <w:highlight w:val="none"/>
        </w:rPr>
        <w:t>的证明文件用特快专递寄给或送给另一方。如果不可抗力影响时间延</w:t>
      </w:r>
      <w:r>
        <w:rPr>
          <w:spacing w:val="-37"/>
          <w:highlight w:val="none"/>
        </w:rPr>
        <w:t xml:space="preserve">续 </w:t>
      </w:r>
      <w:r>
        <w:rPr>
          <w:highlight w:val="none"/>
        </w:rPr>
        <w:t>120</w:t>
      </w:r>
      <w:r>
        <w:rPr>
          <w:spacing w:val="-15"/>
          <w:highlight w:val="none"/>
        </w:rPr>
        <w:t xml:space="preserve"> 天以上，双方应通过友好协商在合理的时间内达成进一步履行</w:t>
      </w:r>
      <w:r>
        <w:rPr>
          <w:spacing w:val="-9"/>
          <w:highlight w:val="none"/>
        </w:rPr>
        <w:t>合同的协议。</w:t>
      </w:r>
    </w:p>
    <w:p>
      <w:pPr>
        <w:pStyle w:val="5"/>
        <w:spacing w:before="7"/>
        <w:rPr>
          <w:sz w:val="21"/>
          <w:highlight w:val="none"/>
        </w:rPr>
      </w:pPr>
    </w:p>
    <w:p>
      <w:pPr>
        <w:pStyle w:val="10"/>
        <w:numPr>
          <w:ilvl w:val="0"/>
          <w:numId w:val="45"/>
        </w:numPr>
        <w:tabs>
          <w:tab w:val="left" w:pos="1228"/>
        </w:tabs>
        <w:spacing w:before="0" w:after="0" w:line="240" w:lineRule="auto"/>
        <w:ind w:left="1227" w:right="0" w:hanging="566"/>
        <w:jc w:val="left"/>
        <w:rPr>
          <w:highlight w:val="none"/>
        </w:rPr>
      </w:pPr>
      <w:r>
        <w:rPr>
          <w:highlight w:val="none"/>
        </w:rPr>
        <w:t>税费</w:t>
      </w:r>
    </w:p>
    <w:p>
      <w:pPr>
        <w:pStyle w:val="5"/>
        <w:spacing w:before="1"/>
        <w:rPr>
          <w:sz w:val="36"/>
          <w:highlight w:val="none"/>
        </w:rPr>
      </w:pPr>
    </w:p>
    <w:p>
      <w:pPr>
        <w:pStyle w:val="10"/>
        <w:numPr>
          <w:ilvl w:val="1"/>
          <w:numId w:val="45"/>
        </w:numPr>
        <w:tabs>
          <w:tab w:val="left" w:pos="1923"/>
        </w:tabs>
        <w:spacing w:before="0" w:after="0" w:line="364" w:lineRule="auto"/>
        <w:ind w:left="660" w:right="1266" w:firstLine="559"/>
        <w:jc w:val="left"/>
        <w:rPr>
          <w:highlight w:val="none"/>
        </w:rPr>
      </w:pPr>
      <w:r>
        <w:rPr>
          <w:highlight w:val="none"/>
        </w:rPr>
        <w:t>中国政府根据现行税法对甲方征收的与本合同有关的一切</w:t>
      </w:r>
      <w:r>
        <w:rPr>
          <w:spacing w:val="-3"/>
          <w:highlight w:val="none"/>
        </w:rPr>
        <w:t>税费均由甲方承担。</w:t>
      </w:r>
    </w:p>
    <w:p>
      <w:pPr>
        <w:pStyle w:val="10"/>
        <w:numPr>
          <w:ilvl w:val="1"/>
          <w:numId w:val="47"/>
        </w:numPr>
        <w:tabs>
          <w:tab w:val="left" w:pos="1923"/>
        </w:tabs>
        <w:spacing w:before="0" w:after="0" w:line="364" w:lineRule="auto"/>
        <w:ind w:left="660" w:right="1266" w:firstLine="559"/>
        <w:jc w:val="left"/>
        <w:rPr>
          <w:highlight w:val="none"/>
        </w:rPr>
      </w:pPr>
      <w:r>
        <w:rPr>
          <w:highlight w:val="none"/>
        </w:rPr>
        <w:t>中国政府根据现行税法对乙方征收的与本合同有关的一切</w:t>
      </w:r>
      <w:r>
        <w:rPr>
          <w:spacing w:val="-3"/>
          <w:highlight w:val="none"/>
        </w:rPr>
        <w:t>税费均由乙方承担。</w:t>
      </w:r>
    </w:p>
    <w:p>
      <w:pPr>
        <w:pStyle w:val="10"/>
        <w:numPr>
          <w:ilvl w:val="1"/>
          <w:numId w:val="47"/>
        </w:numPr>
        <w:tabs>
          <w:tab w:val="left" w:pos="1923"/>
        </w:tabs>
        <w:spacing w:before="0" w:after="0" w:line="364" w:lineRule="auto"/>
        <w:ind w:left="660" w:right="1266" w:firstLine="559"/>
        <w:jc w:val="left"/>
        <w:rPr>
          <w:highlight w:val="none"/>
        </w:rPr>
      </w:pPr>
      <w:r>
        <w:rPr>
          <w:highlight w:val="none"/>
        </w:rPr>
        <w:t>在中国境外发生的与执行本合同有关的一切税费均由乙方承担。</w:t>
      </w:r>
    </w:p>
    <w:p>
      <w:pPr>
        <w:pStyle w:val="5"/>
        <w:spacing w:before="11"/>
        <w:rPr>
          <w:sz w:val="21"/>
          <w:highlight w:val="none"/>
        </w:rPr>
      </w:pPr>
    </w:p>
    <w:p>
      <w:pPr>
        <w:pStyle w:val="10"/>
        <w:numPr>
          <w:ilvl w:val="0"/>
          <w:numId w:val="45"/>
        </w:numPr>
        <w:tabs>
          <w:tab w:val="left" w:pos="1228"/>
        </w:tabs>
        <w:spacing w:before="0" w:after="0" w:line="240" w:lineRule="auto"/>
        <w:ind w:left="1227" w:right="0" w:hanging="566"/>
        <w:jc w:val="left"/>
        <w:rPr>
          <w:highlight w:val="none"/>
        </w:rPr>
      </w:pPr>
      <w:r>
        <w:rPr>
          <w:highlight w:val="none"/>
        </w:rPr>
        <w:t>仲裁</w:t>
      </w:r>
    </w:p>
    <w:p>
      <w:pPr>
        <w:pStyle w:val="5"/>
        <w:rPr>
          <w:sz w:val="36"/>
          <w:highlight w:val="none"/>
        </w:rPr>
      </w:pPr>
    </w:p>
    <w:p>
      <w:pPr>
        <w:pStyle w:val="10"/>
        <w:numPr>
          <w:ilvl w:val="1"/>
          <w:numId w:val="45"/>
        </w:numPr>
        <w:tabs>
          <w:tab w:val="left" w:pos="1923"/>
        </w:tabs>
        <w:spacing w:before="1" w:after="0" w:line="364" w:lineRule="auto"/>
        <w:ind w:left="660" w:right="1266" w:firstLine="559"/>
        <w:jc w:val="both"/>
        <w:rPr>
          <w:highlight w:val="none"/>
        </w:rPr>
      </w:pPr>
      <w:r>
        <w:rPr>
          <w:highlight w:val="none"/>
        </w:rPr>
        <w:t>买卖双方应通过友好协商，解决在执行本合同中所发生的</w:t>
      </w:r>
      <w:r>
        <w:rPr>
          <w:spacing w:val="-9"/>
          <w:highlight w:val="none"/>
        </w:rPr>
        <w:t>或与本合同有关的一切争端，如果协商仍得不到解决，任何一方均可</w:t>
      </w:r>
      <w:r>
        <w:rPr>
          <w:spacing w:val="-6"/>
          <w:highlight w:val="none"/>
        </w:rPr>
        <w:t>按“中华人民共和国合同法”规定提交调解和仲裁。</w:t>
      </w:r>
    </w:p>
    <w:p>
      <w:pPr>
        <w:pStyle w:val="10"/>
        <w:numPr>
          <w:ilvl w:val="1"/>
          <w:numId w:val="48"/>
        </w:numPr>
        <w:tabs>
          <w:tab w:val="left" w:pos="1920"/>
        </w:tabs>
        <w:spacing w:before="0" w:after="0" w:line="357" w:lineRule="exact"/>
        <w:ind w:left="1920" w:right="0" w:hanging="701"/>
        <w:jc w:val="both"/>
        <w:rPr>
          <w:highlight w:val="none"/>
        </w:rPr>
      </w:pPr>
      <w:r>
        <w:rPr>
          <w:spacing w:val="-3"/>
          <w:highlight w:val="none"/>
        </w:rPr>
        <w:t>仲裁裁决应为终局裁决，对双方均具有约束力。</w:t>
      </w:r>
    </w:p>
    <w:p>
      <w:pPr>
        <w:pStyle w:val="10"/>
        <w:numPr>
          <w:ilvl w:val="1"/>
          <w:numId w:val="48"/>
        </w:numPr>
        <w:tabs>
          <w:tab w:val="left" w:pos="1920"/>
        </w:tabs>
        <w:spacing w:before="186" w:after="0" w:line="240" w:lineRule="auto"/>
        <w:ind w:left="1920" w:right="0" w:hanging="701"/>
        <w:jc w:val="both"/>
        <w:rPr>
          <w:highlight w:val="none"/>
        </w:rPr>
      </w:pPr>
      <w:r>
        <w:rPr>
          <w:spacing w:val="-3"/>
          <w:highlight w:val="none"/>
        </w:rPr>
        <w:t>仲裁费除仲裁机构另有裁决外应由败诉方负担。</w:t>
      </w:r>
    </w:p>
    <w:p>
      <w:pPr>
        <w:spacing w:after="0" w:line="240" w:lineRule="auto"/>
        <w:jc w:val="both"/>
        <w:rPr>
          <w:highlight w:val="none"/>
        </w:rPr>
        <w:sectPr>
          <w:pgSz w:w="11900" w:h="16840"/>
          <w:pgMar w:top="1400" w:right="520" w:bottom="1380" w:left="1140" w:header="0" w:footer="1197" w:gutter="0"/>
          <w:pgNumType w:fmt="decimal"/>
          <w:cols w:space="720" w:num="1"/>
        </w:sectPr>
      </w:pPr>
    </w:p>
    <w:p>
      <w:pPr>
        <w:pStyle w:val="10"/>
        <w:numPr>
          <w:ilvl w:val="1"/>
          <w:numId w:val="48"/>
        </w:numPr>
        <w:tabs>
          <w:tab w:val="left" w:pos="1923"/>
        </w:tabs>
        <w:spacing w:before="38" w:after="0" w:line="364" w:lineRule="auto"/>
        <w:ind w:left="660" w:right="1266" w:firstLine="559"/>
        <w:jc w:val="both"/>
        <w:rPr>
          <w:highlight w:val="none"/>
        </w:rPr>
      </w:pPr>
      <w:r>
        <w:rPr>
          <w:highlight w:val="none"/>
        </w:rPr>
        <w:t>在仲裁期间，除正在进行仲裁的部分外，合同其它部分继续执行。</w:t>
      </w:r>
    </w:p>
    <w:p>
      <w:pPr>
        <w:pStyle w:val="5"/>
        <w:rPr>
          <w:sz w:val="22"/>
          <w:highlight w:val="none"/>
        </w:rPr>
      </w:pPr>
    </w:p>
    <w:p>
      <w:pPr>
        <w:pStyle w:val="10"/>
        <w:numPr>
          <w:ilvl w:val="0"/>
          <w:numId w:val="45"/>
        </w:numPr>
        <w:tabs>
          <w:tab w:val="left" w:pos="1228"/>
        </w:tabs>
        <w:spacing w:before="0" w:after="0" w:line="240" w:lineRule="auto"/>
        <w:ind w:left="1227" w:right="0" w:hanging="566"/>
        <w:jc w:val="left"/>
        <w:rPr>
          <w:highlight w:val="none"/>
        </w:rPr>
      </w:pPr>
      <w:r>
        <w:rPr>
          <w:highlight w:val="none"/>
        </w:rPr>
        <w:t>违约终止合同</w:t>
      </w:r>
    </w:p>
    <w:p>
      <w:pPr>
        <w:pStyle w:val="5"/>
        <w:spacing w:before="1"/>
        <w:rPr>
          <w:sz w:val="36"/>
          <w:highlight w:val="none"/>
        </w:rPr>
      </w:pPr>
    </w:p>
    <w:p>
      <w:pPr>
        <w:pStyle w:val="10"/>
        <w:numPr>
          <w:ilvl w:val="1"/>
          <w:numId w:val="45"/>
        </w:numPr>
        <w:tabs>
          <w:tab w:val="left" w:pos="1923"/>
        </w:tabs>
        <w:spacing w:before="0" w:after="0" w:line="364" w:lineRule="auto"/>
        <w:ind w:left="660" w:right="1266" w:firstLine="559"/>
        <w:jc w:val="both"/>
        <w:rPr>
          <w:highlight w:val="none"/>
        </w:rPr>
      </w:pPr>
      <w:r>
        <w:rPr>
          <w:highlight w:val="none"/>
        </w:rPr>
        <w:t>乙方有下列违约情况之一，并在收到甲方违约通知后的合</w:t>
      </w:r>
      <w:r>
        <w:rPr>
          <w:spacing w:val="-10"/>
          <w:highlight w:val="none"/>
        </w:rPr>
        <w:t>理时间内，或经甲方书面认可延长的时间内未能纠正其过失，甲方可</w:t>
      </w:r>
      <w:r>
        <w:rPr>
          <w:spacing w:val="-13"/>
          <w:highlight w:val="none"/>
        </w:rPr>
        <w:t>向乙方发出书面通知，终止部分或全部合同。在这种情况下，并不影</w:t>
      </w:r>
      <w:r>
        <w:rPr>
          <w:spacing w:val="-8"/>
          <w:highlight w:val="none"/>
        </w:rPr>
        <w:t>响甲方向乙方提出索赔。</w:t>
      </w:r>
    </w:p>
    <w:p>
      <w:pPr>
        <w:pStyle w:val="10"/>
        <w:spacing w:line="364" w:lineRule="auto"/>
        <w:ind w:right="1271" w:firstLine="559"/>
        <w:rPr>
          <w:highlight w:val="none"/>
        </w:rPr>
      </w:pPr>
      <w:r>
        <w:rPr>
          <w:highlight w:val="none"/>
        </w:rPr>
        <w:t>（l）如果乙方未能在合同规定的期限或甲方同意延期的限期内提供全部或部分货物（含软件及相关服务）；</w:t>
      </w:r>
    </w:p>
    <w:p>
      <w:pPr>
        <w:pStyle w:val="10"/>
        <w:spacing w:line="358" w:lineRule="exact"/>
        <w:ind w:left="1219"/>
        <w:rPr>
          <w:highlight w:val="none"/>
        </w:rPr>
      </w:pPr>
      <w:r>
        <w:rPr>
          <w:highlight w:val="none"/>
        </w:rPr>
        <w:t>（2）如果乙方未能履行合同规定的其它义务。</w:t>
      </w:r>
    </w:p>
    <w:p>
      <w:pPr>
        <w:pStyle w:val="10"/>
        <w:spacing w:before="184" w:line="364" w:lineRule="auto"/>
        <w:ind w:right="1178" w:firstLine="559"/>
        <w:rPr>
          <w:highlight w:val="none"/>
        </w:rPr>
      </w:pPr>
      <w:r>
        <w:rPr>
          <w:highlight w:val="none"/>
        </w:rPr>
        <w:t>19.2</w:t>
      </w:r>
      <w:r>
        <w:rPr>
          <w:spacing w:val="-9"/>
          <w:highlight w:val="none"/>
        </w:rPr>
        <w:t xml:space="preserve"> 在甲方根据第 </w:t>
      </w:r>
      <w:r>
        <w:rPr>
          <w:highlight w:val="none"/>
        </w:rPr>
        <w:t>20</w:t>
      </w:r>
      <w:r>
        <w:rPr>
          <w:spacing w:val="-16"/>
          <w:highlight w:val="none"/>
        </w:rPr>
        <w:t xml:space="preserve"> 条规定，终止了全部或部分合同，甲方可</w:t>
      </w:r>
      <w:r>
        <w:rPr>
          <w:spacing w:val="-8"/>
          <w:highlight w:val="none"/>
        </w:rPr>
        <w:t>以依其认为适当的条件和方式购买与未交货物</w:t>
      </w:r>
      <w:r>
        <w:rPr>
          <w:highlight w:val="none"/>
        </w:rPr>
        <w:t>（</w:t>
      </w:r>
      <w:r>
        <w:rPr>
          <w:spacing w:val="-3"/>
          <w:highlight w:val="none"/>
        </w:rPr>
        <w:t>含软件及相关服务</w:t>
      </w:r>
      <w:r>
        <w:rPr>
          <w:highlight w:val="none"/>
        </w:rPr>
        <w:t xml:space="preserve">） </w:t>
      </w:r>
      <w:r>
        <w:rPr>
          <w:spacing w:val="-6"/>
          <w:highlight w:val="none"/>
        </w:rPr>
        <w:t>类似的货物</w:t>
      </w:r>
      <w:r>
        <w:rPr>
          <w:highlight w:val="none"/>
        </w:rPr>
        <w:t>（</w:t>
      </w:r>
      <w:r>
        <w:rPr>
          <w:spacing w:val="-3"/>
          <w:highlight w:val="none"/>
        </w:rPr>
        <w:t>含软件及相关服务</w:t>
      </w:r>
      <w:r>
        <w:rPr>
          <w:spacing w:val="-26"/>
          <w:highlight w:val="none"/>
        </w:rPr>
        <w:t>）</w:t>
      </w:r>
      <w:r>
        <w:rPr>
          <w:spacing w:val="-8"/>
          <w:highlight w:val="none"/>
        </w:rPr>
        <w:t>，乙方应对购买类似货物</w:t>
      </w:r>
      <w:r>
        <w:rPr>
          <w:highlight w:val="none"/>
        </w:rPr>
        <w:t>（</w:t>
      </w:r>
      <w:r>
        <w:rPr>
          <w:spacing w:val="-2"/>
          <w:highlight w:val="none"/>
        </w:rPr>
        <w:t>含软件</w:t>
      </w:r>
      <w:r>
        <w:rPr>
          <w:spacing w:val="-3"/>
          <w:highlight w:val="none"/>
        </w:rPr>
        <w:t>及相关服务</w:t>
      </w:r>
      <w:r>
        <w:rPr>
          <w:spacing w:val="-48"/>
          <w:highlight w:val="none"/>
        </w:rPr>
        <w:t>）</w:t>
      </w:r>
      <w:r>
        <w:rPr>
          <w:spacing w:val="-8"/>
          <w:highlight w:val="none"/>
        </w:rPr>
        <w:t>所超出的费用负责。而且乙方还应继续执行合同中未终</w:t>
      </w:r>
      <w:r>
        <w:rPr>
          <w:spacing w:val="-6"/>
          <w:highlight w:val="none"/>
        </w:rPr>
        <w:t>止的部分。</w:t>
      </w:r>
    </w:p>
    <w:p>
      <w:pPr>
        <w:pStyle w:val="5"/>
        <w:spacing w:before="12"/>
        <w:rPr>
          <w:sz w:val="21"/>
          <w:highlight w:val="none"/>
        </w:rPr>
      </w:pPr>
    </w:p>
    <w:p>
      <w:pPr>
        <w:pStyle w:val="10"/>
        <w:numPr>
          <w:ilvl w:val="0"/>
          <w:numId w:val="45"/>
        </w:numPr>
        <w:tabs>
          <w:tab w:val="left" w:pos="1228"/>
        </w:tabs>
        <w:spacing w:before="0" w:after="0" w:line="240" w:lineRule="auto"/>
        <w:ind w:left="1227" w:right="0" w:hanging="566"/>
        <w:jc w:val="left"/>
        <w:rPr>
          <w:highlight w:val="none"/>
        </w:rPr>
      </w:pPr>
      <w:r>
        <w:rPr>
          <w:highlight w:val="none"/>
        </w:rPr>
        <w:t>破产终止合同</w:t>
      </w:r>
    </w:p>
    <w:p>
      <w:pPr>
        <w:pStyle w:val="5"/>
        <w:rPr>
          <w:sz w:val="36"/>
          <w:highlight w:val="none"/>
        </w:rPr>
      </w:pPr>
    </w:p>
    <w:p>
      <w:pPr>
        <w:pStyle w:val="10"/>
        <w:spacing w:before="1" w:line="364" w:lineRule="auto"/>
        <w:ind w:right="1271" w:firstLine="559"/>
        <w:jc w:val="both"/>
        <w:rPr>
          <w:highlight w:val="none"/>
        </w:rPr>
      </w:pPr>
      <w:r>
        <w:rPr>
          <w:spacing w:val="-10"/>
          <w:highlight w:val="none"/>
        </w:rPr>
        <w:t>如果乙方破产或无清偿能力，甲方可在任何时候以书面通知乙方</w:t>
      </w:r>
      <w:r>
        <w:rPr>
          <w:spacing w:val="-13"/>
          <w:highlight w:val="none"/>
        </w:rPr>
        <w:t>终止合同，该终止合同以不损害或影响甲方已经采取或将采取补救措</w:t>
      </w:r>
      <w:r>
        <w:rPr>
          <w:spacing w:val="-9"/>
          <w:highlight w:val="none"/>
        </w:rPr>
        <w:t>施的权利。</w:t>
      </w:r>
    </w:p>
    <w:p>
      <w:pPr>
        <w:pStyle w:val="5"/>
        <w:spacing w:before="12"/>
        <w:rPr>
          <w:sz w:val="21"/>
          <w:highlight w:val="none"/>
        </w:rPr>
      </w:pPr>
    </w:p>
    <w:p>
      <w:pPr>
        <w:pStyle w:val="10"/>
        <w:numPr>
          <w:ilvl w:val="0"/>
          <w:numId w:val="45"/>
        </w:numPr>
        <w:tabs>
          <w:tab w:val="left" w:pos="1228"/>
        </w:tabs>
        <w:spacing w:before="0" w:after="0" w:line="240" w:lineRule="auto"/>
        <w:ind w:left="1227" w:right="0" w:hanging="566"/>
        <w:jc w:val="left"/>
        <w:rPr>
          <w:highlight w:val="none"/>
        </w:rPr>
      </w:pPr>
      <w:r>
        <w:rPr>
          <w:highlight w:val="none"/>
        </w:rPr>
        <w:t>转让与分包</w:t>
      </w:r>
    </w:p>
    <w:p>
      <w:pPr>
        <w:pStyle w:val="5"/>
        <w:spacing w:before="1"/>
        <w:rPr>
          <w:sz w:val="36"/>
          <w:highlight w:val="none"/>
        </w:rPr>
      </w:pPr>
    </w:p>
    <w:p>
      <w:pPr>
        <w:pStyle w:val="10"/>
        <w:numPr>
          <w:ilvl w:val="1"/>
          <w:numId w:val="49"/>
        </w:numPr>
        <w:tabs>
          <w:tab w:val="left" w:pos="1923"/>
        </w:tabs>
        <w:spacing w:before="0" w:after="0" w:line="364" w:lineRule="auto"/>
        <w:ind w:left="660" w:right="1266" w:firstLine="559"/>
        <w:jc w:val="left"/>
        <w:rPr>
          <w:highlight w:val="none"/>
        </w:rPr>
      </w:pPr>
      <w:r>
        <w:rPr>
          <w:highlight w:val="none"/>
        </w:rPr>
        <w:t>未经甲方事先书面同意，乙方不得部分转让或全部转让其</w:t>
      </w:r>
      <w:r>
        <w:rPr>
          <w:spacing w:val="-3"/>
          <w:highlight w:val="none"/>
        </w:rPr>
        <w:t>应履行的合同义务。</w:t>
      </w:r>
    </w:p>
    <w:p>
      <w:pPr>
        <w:spacing w:after="0" w:line="364" w:lineRule="auto"/>
        <w:jc w:val="left"/>
        <w:rPr>
          <w:highlight w:val="none"/>
        </w:rPr>
        <w:sectPr>
          <w:pgSz w:w="11900" w:h="16840"/>
          <w:pgMar w:top="1400" w:right="520" w:bottom="1380" w:left="1140" w:header="0" w:footer="1197" w:gutter="0"/>
          <w:pgNumType w:fmt="decimal"/>
          <w:cols w:space="720" w:num="1"/>
        </w:sectPr>
      </w:pPr>
    </w:p>
    <w:p>
      <w:pPr>
        <w:pStyle w:val="10"/>
        <w:numPr>
          <w:ilvl w:val="1"/>
          <w:numId w:val="49"/>
        </w:numPr>
        <w:tabs>
          <w:tab w:val="left" w:pos="1923"/>
        </w:tabs>
        <w:spacing w:before="38" w:after="0" w:line="364" w:lineRule="auto"/>
        <w:ind w:left="660" w:right="1266" w:firstLine="559"/>
        <w:jc w:val="both"/>
        <w:rPr>
          <w:highlight w:val="none"/>
        </w:rPr>
      </w:pPr>
      <w:r>
        <w:rPr>
          <w:highlight w:val="none"/>
        </w:rPr>
        <w:t>对投标中没有明确分包的合同，乙方应书面通知甲方本合同中将分包的全部分包合同，在原投标</w:t>
      </w:r>
      <w:r>
        <w:rPr>
          <w:spacing w:val="3"/>
          <w:highlight w:val="none"/>
        </w:rPr>
        <w:t>/</w:t>
      </w:r>
      <w:r>
        <w:rPr>
          <w:highlight w:val="none"/>
        </w:rPr>
        <w:t>响应文件中或后来发出的分</w:t>
      </w:r>
      <w:r>
        <w:rPr>
          <w:spacing w:val="-3"/>
          <w:highlight w:val="none"/>
        </w:rPr>
        <w:t>包通知均不能解除乙方履行本合同的义务。</w:t>
      </w:r>
    </w:p>
    <w:p>
      <w:pPr>
        <w:pStyle w:val="5"/>
        <w:rPr>
          <w:sz w:val="22"/>
          <w:highlight w:val="none"/>
        </w:rPr>
      </w:pPr>
    </w:p>
    <w:p>
      <w:pPr>
        <w:pStyle w:val="10"/>
        <w:numPr>
          <w:ilvl w:val="0"/>
          <w:numId w:val="45"/>
        </w:numPr>
        <w:tabs>
          <w:tab w:val="left" w:pos="1228"/>
        </w:tabs>
        <w:spacing w:before="0" w:after="0" w:line="240" w:lineRule="auto"/>
        <w:ind w:left="1227" w:right="0" w:hanging="566"/>
        <w:jc w:val="left"/>
        <w:rPr>
          <w:highlight w:val="none"/>
        </w:rPr>
      </w:pPr>
      <w:r>
        <w:rPr>
          <w:highlight w:val="none"/>
        </w:rPr>
        <w:t>适用法律</w:t>
      </w:r>
    </w:p>
    <w:p>
      <w:pPr>
        <w:pStyle w:val="5"/>
        <w:spacing w:before="1"/>
        <w:rPr>
          <w:sz w:val="36"/>
          <w:highlight w:val="none"/>
        </w:rPr>
      </w:pPr>
    </w:p>
    <w:p>
      <w:pPr>
        <w:pStyle w:val="10"/>
        <w:spacing w:line="554" w:lineRule="auto"/>
        <w:ind w:left="662" w:right="3417" w:firstLine="556"/>
        <w:rPr>
          <w:highlight w:val="none"/>
        </w:rPr>
      </w:pPr>
      <w:r>
        <w:rPr>
          <w:highlight w:val="none"/>
        </w:rPr>
        <w:t>本合同应按中华人民共和国的法律进行解释。23．合同生效及其它</w:t>
      </w:r>
    </w:p>
    <w:p>
      <w:pPr>
        <w:pStyle w:val="10"/>
        <w:numPr>
          <w:ilvl w:val="1"/>
          <w:numId w:val="50"/>
        </w:numPr>
        <w:tabs>
          <w:tab w:val="left" w:pos="1920"/>
        </w:tabs>
        <w:spacing w:before="0" w:after="0" w:line="350" w:lineRule="exact"/>
        <w:ind w:left="1920" w:right="0" w:hanging="701"/>
        <w:jc w:val="left"/>
        <w:rPr>
          <w:highlight w:val="none"/>
        </w:rPr>
      </w:pPr>
      <w:r>
        <w:rPr>
          <w:spacing w:val="-3"/>
          <w:highlight w:val="none"/>
        </w:rPr>
        <w:t>合同在双方签字盖章后生效。</w:t>
      </w:r>
    </w:p>
    <w:p>
      <w:pPr>
        <w:pStyle w:val="10"/>
        <w:numPr>
          <w:ilvl w:val="1"/>
          <w:numId w:val="50"/>
        </w:numPr>
        <w:tabs>
          <w:tab w:val="left" w:pos="1923"/>
        </w:tabs>
        <w:spacing w:before="186" w:after="0" w:line="364" w:lineRule="auto"/>
        <w:ind w:left="660" w:right="1178" w:firstLine="559"/>
        <w:jc w:val="both"/>
        <w:rPr>
          <w:highlight w:val="none"/>
        </w:rPr>
      </w:pPr>
      <w:r>
        <w:rPr>
          <w:highlight w:val="none"/>
        </w:rPr>
        <w:t>如需修改或补充合同内容，经协商，双方应签署书面修改</w:t>
      </w:r>
      <w:r>
        <w:rPr>
          <w:spacing w:val="-3"/>
          <w:highlight w:val="none"/>
        </w:rPr>
        <w:t>或补充协议并经招标人鉴证，该协议将作为本合同的一个组成部分。</w:t>
      </w:r>
    </w:p>
    <w:p>
      <w:pPr>
        <w:pStyle w:val="5"/>
        <w:rPr>
          <w:sz w:val="28"/>
          <w:highlight w:val="none"/>
        </w:rPr>
      </w:pPr>
    </w:p>
    <w:p>
      <w:pPr>
        <w:pStyle w:val="10"/>
        <w:spacing w:before="187"/>
        <w:ind w:left="662"/>
        <w:rPr>
          <w:highlight w:val="none"/>
        </w:rPr>
      </w:pPr>
      <w:r>
        <w:rPr>
          <w:highlight w:val="none"/>
        </w:rPr>
        <w:t>备注：合同通用条款与合同专用条款不一致的，以合同专用条款为准。</w:t>
      </w:r>
    </w:p>
    <w:p>
      <w:pPr>
        <w:spacing w:after="0"/>
        <w:rPr>
          <w:highlight w:val="none"/>
        </w:rPr>
        <w:sectPr>
          <w:pgSz w:w="11900" w:h="16840"/>
          <w:pgMar w:top="1400" w:right="520" w:bottom="1380" w:left="1140" w:header="0" w:footer="1197" w:gutter="0"/>
          <w:pgNumType w:fmt="decimal"/>
          <w:cols w:space="720" w:num="1"/>
        </w:sectPr>
      </w:pPr>
    </w:p>
    <w:p>
      <w:pPr>
        <w:pStyle w:val="6"/>
        <w:ind w:right="388"/>
        <w:rPr>
          <w:highlight w:val="none"/>
        </w:rPr>
      </w:pPr>
      <w:bookmarkStart w:id="5" w:name="_TOC_250000"/>
      <w:bookmarkEnd w:id="5"/>
      <w:r>
        <w:rPr>
          <w:highlight w:val="none"/>
        </w:rPr>
        <w:t>第六章 投标文件格式要求</w:t>
      </w:r>
    </w:p>
    <w:p>
      <w:pPr>
        <w:pStyle w:val="5"/>
        <w:rPr>
          <w:sz w:val="20"/>
          <w:highlight w:val="none"/>
        </w:rPr>
      </w:pPr>
    </w:p>
    <w:p>
      <w:pPr>
        <w:pStyle w:val="5"/>
        <w:rPr>
          <w:sz w:val="20"/>
          <w:highlight w:val="none"/>
        </w:rPr>
      </w:pPr>
    </w:p>
    <w:p>
      <w:pPr>
        <w:pStyle w:val="5"/>
        <w:rPr>
          <w:sz w:val="20"/>
          <w:highlight w:val="none"/>
        </w:rPr>
      </w:pPr>
    </w:p>
    <w:p>
      <w:pPr>
        <w:pStyle w:val="5"/>
        <w:rPr>
          <w:sz w:val="20"/>
          <w:highlight w:val="none"/>
        </w:rPr>
      </w:pPr>
    </w:p>
    <w:p>
      <w:pPr>
        <w:pStyle w:val="5"/>
        <w:rPr>
          <w:sz w:val="20"/>
          <w:highlight w:val="none"/>
        </w:rPr>
      </w:pPr>
    </w:p>
    <w:p>
      <w:pPr>
        <w:pStyle w:val="5"/>
        <w:spacing w:before="11"/>
        <w:rPr>
          <w:sz w:val="20"/>
          <w:highlight w:val="none"/>
        </w:rPr>
      </w:pPr>
    </w:p>
    <w:p>
      <w:pPr>
        <w:pStyle w:val="7"/>
        <w:tabs>
          <w:tab w:val="left" w:pos="1629"/>
        </w:tabs>
        <w:spacing w:before="61"/>
        <w:ind w:right="611"/>
        <w:rPr>
          <w:highlight w:val="none"/>
        </w:rPr>
      </w:pPr>
      <w:r>
        <w:rPr>
          <w:rFonts w:ascii="Times New Roman" w:eastAsia="Times New Roman"/>
          <w:w w:val="99"/>
          <w:highlight w:val="none"/>
          <w:u w:val="single"/>
        </w:rPr>
        <w:t xml:space="preserve"> </w:t>
      </w:r>
      <w:r>
        <w:rPr>
          <w:rFonts w:ascii="Times New Roman" w:eastAsia="Times New Roman"/>
          <w:highlight w:val="none"/>
          <w:u w:val="single"/>
        </w:rPr>
        <w:tab/>
      </w:r>
      <w:r>
        <w:rPr>
          <w:highlight w:val="none"/>
        </w:rPr>
        <w:t>项目名称</w:t>
      </w:r>
    </w:p>
    <w:p>
      <w:pPr>
        <w:pStyle w:val="5"/>
        <w:rPr>
          <w:sz w:val="40"/>
          <w:highlight w:val="none"/>
        </w:rPr>
      </w:pPr>
    </w:p>
    <w:p>
      <w:pPr>
        <w:pStyle w:val="5"/>
        <w:spacing w:before="12"/>
        <w:rPr>
          <w:sz w:val="44"/>
          <w:highlight w:val="none"/>
        </w:rPr>
      </w:pPr>
    </w:p>
    <w:p>
      <w:pPr>
        <w:pStyle w:val="8"/>
        <w:tabs>
          <w:tab w:val="left" w:pos="3306"/>
        </w:tabs>
        <w:ind w:left="545"/>
        <w:jc w:val="center"/>
        <w:rPr>
          <w:rFonts w:ascii="Times New Roman" w:eastAsia="Times New Roman"/>
          <w:highlight w:val="none"/>
        </w:rPr>
      </w:pPr>
      <w:r>
        <w:rPr>
          <w:w w:val="95"/>
          <w:highlight w:val="none"/>
        </w:rPr>
        <w:t>项目编号：</w:t>
      </w:r>
      <w:r>
        <w:rPr>
          <w:rFonts w:ascii="Times New Roman" w:eastAsia="Times New Roman"/>
          <w:w w:val="95"/>
          <w:highlight w:val="none"/>
          <w:u w:val="single"/>
        </w:rPr>
        <w:t xml:space="preserve"> </w:t>
      </w:r>
      <w:r>
        <w:rPr>
          <w:rFonts w:ascii="Times New Roman" w:eastAsia="Times New Roman"/>
          <w:highlight w:val="none"/>
          <w:u w:val="single"/>
        </w:rPr>
        <w:tab/>
      </w:r>
    </w:p>
    <w:p>
      <w:pPr>
        <w:pStyle w:val="5"/>
        <w:rPr>
          <w:rFonts w:ascii="Times New Roman"/>
          <w:sz w:val="20"/>
          <w:highlight w:val="none"/>
        </w:rPr>
      </w:pPr>
    </w:p>
    <w:p>
      <w:pPr>
        <w:pStyle w:val="5"/>
        <w:rPr>
          <w:rFonts w:ascii="Times New Roman"/>
          <w:sz w:val="20"/>
          <w:highlight w:val="none"/>
        </w:rPr>
      </w:pPr>
    </w:p>
    <w:p>
      <w:pPr>
        <w:pStyle w:val="5"/>
        <w:rPr>
          <w:rFonts w:ascii="Times New Roman"/>
          <w:sz w:val="20"/>
          <w:highlight w:val="none"/>
        </w:rPr>
      </w:pPr>
    </w:p>
    <w:p>
      <w:pPr>
        <w:pStyle w:val="5"/>
        <w:rPr>
          <w:rFonts w:ascii="Times New Roman"/>
          <w:sz w:val="20"/>
          <w:highlight w:val="none"/>
        </w:rPr>
      </w:pPr>
    </w:p>
    <w:p>
      <w:pPr>
        <w:pStyle w:val="5"/>
        <w:rPr>
          <w:rFonts w:ascii="Times New Roman"/>
          <w:sz w:val="20"/>
          <w:highlight w:val="none"/>
        </w:rPr>
      </w:pPr>
    </w:p>
    <w:p>
      <w:pPr>
        <w:pStyle w:val="5"/>
        <w:rPr>
          <w:rFonts w:ascii="Times New Roman"/>
          <w:sz w:val="20"/>
          <w:highlight w:val="none"/>
        </w:rPr>
      </w:pPr>
    </w:p>
    <w:p>
      <w:pPr>
        <w:pStyle w:val="5"/>
        <w:rPr>
          <w:rFonts w:ascii="Times New Roman"/>
          <w:sz w:val="20"/>
          <w:highlight w:val="none"/>
        </w:rPr>
      </w:pPr>
    </w:p>
    <w:p>
      <w:pPr>
        <w:pStyle w:val="5"/>
        <w:spacing w:before="6"/>
        <w:rPr>
          <w:rFonts w:ascii="Times New Roman"/>
          <w:sz w:val="21"/>
          <w:highlight w:val="none"/>
        </w:rPr>
      </w:pPr>
    </w:p>
    <w:p>
      <w:pPr>
        <w:spacing w:before="32"/>
        <w:ind w:left="0" w:right="607" w:firstLine="0"/>
        <w:jc w:val="center"/>
        <w:rPr>
          <w:sz w:val="48"/>
          <w:highlight w:val="none"/>
        </w:rPr>
      </w:pPr>
      <w:r>
        <w:rPr>
          <w:sz w:val="48"/>
          <w:highlight w:val="none"/>
        </w:rPr>
        <w:t>投标文件</w:t>
      </w:r>
    </w:p>
    <w:p>
      <w:pPr>
        <w:pStyle w:val="5"/>
        <w:rPr>
          <w:sz w:val="48"/>
          <w:highlight w:val="none"/>
        </w:rPr>
      </w:pPr>
    </w:p>
    <w:p>
      <w:pPr>
        <w:pStyle w:val="5"/>
        <w:rPr>
          <w:sz w:val="48"/>
          <w:highlight w:val="none"/>
        </w:rPr>
      </w:pPr>
    </w:p>
    <w:p>
      <w:pPr>
        <w:pStyle w:val="5"/>
        <w:rPr>
          <w:sz w:val="48"/>
          <w:highlight w:val="none"/>
        </w:rPr>
      </w:pPr>
    </w:p>
    <w:p>
      <w:pPr>
        <w:pStyle w:val="5"/>
        <w:rPr>
          <w:sz w:val="48"/>
          <w:highlight w:val="none"/>
        </w:rPr>
      </w:pPr>
    </w:p>
    <w:p>
      <w:pPr>
        <w:pStyle w:val="8"/>
        <w:tabs>
          <w:tab w:val="left" w:pos="7632"/>
        </w:tabs>
        <w:spacing w:before="361"/>
        <w:ind w:left="660"/>
        <w:rPr>
          <w:rFonts w:ascii="Times New Roman" w:eastAsia="Times New Roman"/>
          <w:highlight w:val="none"/>
        </w:rPr>
      </w:pPr>
      <w:r>
        <w:rPr>
          <w:w w:val="95"/>
          <w:highlight w:val="none"/>
        </w:rPr>
        <w:t>投标人（盖章）：</w:t>
      </w:r>
      <w:r>
        <w:rPr>
          <w:rFonts w:ascii="Times New Roman" w:eastAsia="Times New Roman"/>
          <w:w w:val="95"/>
          <w:highlight w:val="none"/>
          <w:u w:val="single"/>
        </w:rPr>
        <w:t xml:space="preserve"> </w:t>
      </w:r>
      <w:r>
        <w:rPr>
          <w:rFonts w:ascii="Times New Roman" w:eastAsia="Times New Roman"/>
          <w:highlight w:val="none"/>
          <w:u w:val="single"/>
        </w:rPr>
        <w:tab/>
      </w:r>
    </w:p>
    <w:p>
      <w:pPr>
        <w:pStyle w:val="5"/>
        <w:rPr>
          <w:rFonts w:ascii="Times New Roman"/>
          <w:sz w:val="20"/>
          <w:highlight w:val="none"/>
        </w:rPr>
      </w:pPr>
    </w:p>
    <w:p>
      <w:pPr>
        <w:pStyle w:val="5"/>
        <w:spacing w:before="5"/>
        <w:rPr>
          <w:rFonts w:ascii="Times New Roman"/>
          <w:sz w:val="17"/>
          <w:highlight w:val="none"/>
        </w:rPr>
      </w:pPr>
    </w:p>
    <w:p>
      <w:pPr>
        <w:pStyle w:val="8"/>
        <w:tabs>
          <w:tab w:val="left" w:pos="7932"/>
        </w:tabs>
        <w:spacing w:before="65"/>
        <w:ind w:left="660"/>
        <w:rPr>
          <w:rFonts w:ascii="Times New Roman" w:eastAsia="Times New Roman"/>
          <w:highlight w:val="none"/>
        </w:rPr>
      </w:pPr>
      <w:r>
        <w:rPr>
          <w:w w:val="95"/>
          <w:highlight w:val="none"/>
        </w:rPr>
        <w:t>法定代表人或授权委托代理人（签字或盖章）：</w:t>
      </w:r>
      <w:r>
        <w:rPr>
          <w:rFonts w:ascii="Times New Roman" w:eastAsia="Times New Roman"/>
          <w:w w:val="95"/>
          <w:highlight w:val="none"/>
          <w:u w:val="single"/>
        </w:rPr>
        <w:t xml:space="preserve"> </w:t>
      </w:r>
      <w:r>
        <w:rPr>
          <w:rFonts w:ascii="Times New Roman" w:eastAsia="Times New Roman"/>
          <w:highlight w:val="none"/>
          <w:u w:val="single"/>
        </w:rPr>
        <w:tab/>
      </w:r>
    </w:p>
    <w:p>
      <w:pPr>
        <w:pStyle w:val="5"/>
        <w:rPr>
          <w:rFonts w:ascii="Times New Roman"/>
          <w:sz w:val="20"/>
          <w:highlight w:val="none"/>
        </w:rPr>
      </w:pPr>
    </w:p>
    <w:p>
      <w:pPr>
        <w:pStyle w:val="5"/>
        <w:spacing w:before="1"/>
        <w:rPr>
          <w:rFonts w:ascii="Times New Roman"/>
          <w:sz w:val="18"/>
          <w:highlight w:val="none"/>
        </w:rPr>
      </w:pPr>
    </w:p>
    <w:p>
      <w:pPr>
        <w:pStyle w:val="8"/>
        <w:spacing w:before="54"/>
        <w:ind w:left="660"/>
        <w:rPr>
          <w:highlight w:val="none"/>
        </w:rPr>
      </w:pPr>
      <w:r>
        <w:rPr>
          <w:highlight w:val="none"/>
        </w:rPr>
        <w:t>日期： 年 月 日</w:t>
      </w:r>
    </w:p>
    <w:p>
      <w:pPr>
        <w:spacing w:after="0"/>
        <w:rPr>
          <w:highlight w:val="none"/>
        </w:rPr>
        <w:sectPr>
          <w:pgSz w:w="11900" w:h="16840"/>
          <w:pgMar w:top="1460" w:right="520" w:bottom="1380" w:left="1140" w:header="0" w:footer="1197" w:gutter="0"/>
          <w:pgNumType w:fmt="decimal"/>
          <w:cols w:space="720" w:num="1"/>
        </w:sectPr>
      </w:pPr>
    </w:p>
    <w:p>
      <w:pPr>
        <w:pStyle w:val="7"/>
        <w:spacing w:before="24"/>
        <w:ind w:right="608"/>
        <w:rPr>
          <w:highlight w:val="none"/>
        </w:rPr>
      </w:pPr>
      <w:r>
        <w:rPr>
          <w:highlight w:val="none"/>
        </w:rPr>
        <w:t>目录</w:t>
      </w:r>
    </w:p>
    <w:p>
      <w:pPr>
        <w:pStyle w:val="5"/>
        <w:spacing w:before="11"/>
        <w:rPr>
          <w:sz w:val="53"/>
          <w:highlight w:val="none"/>
        </w:rPr>
      </w:pPr>
    </w:p>
    <w:p>
      <w:pPr>
        <w:pStyle w:val="5"/>
        <w:ind w:left="1197"/>
        <w:rPr>
          <w:highlight w:val="none"/>
        </w:rPr>
      </w:pPr>
      <w:r>
        <w:rPr>
          <w:highlight w:val="none"/>
        </w:rPr>
        <w:t>一、资格性证明材料</w:t>
      </w:r>
    </w:p>
    <w:p>
      <w:pPr>
        <w:pStyle w:val="20"/>
        <w:numPr>
          <w:ilvl w:val="1"/>
          <w:numId w:val="51"/>
        </w:numPr>
        <w:tabs>
          <w:tab w:val="left" w:pos="1560"/>
          <w:tab w:val="left" w:leader="dot" w:pos="7799"/>
        </w:tabs>
        <w:spacing w:before="173" w:after="0" w:line="240" w:lineRule="auto"/>
        <w:ind w:left="1560" w:right="0" w:hanging="420"/>
        <w:jc w:val="left"/>
        <w:rPr>
          <w:sz w:val="24"/>
          <w:highlight w:val="none"/>
        </w:rPr>
      </w:pPr>
      <w:r>
        <w:rPr>
          <w:sz w:val="24"/>
          <w:highlight w:val="none"/>
        </w:rPr>
        <w:t>具有独立承担民事责任的能力证明文件</w:t>
      </w:r>
      <w:r>
        <w:rPr>
          <w:sz w:val="24"/>
          <w:highlight w:val="none"/>
        </w:rPr>
        <w:tab/>
      </w:r>
      <w:r>
        <w:rPr>
          <w:w w:val="95"/>
          <w:sz w:val="24"/>
          <w:highlight w:val="none"/>
        </w:rPr>
        <w:t>所在页码</w:t>
      </w:r>
    </w:p>
    <w:p>
      <w:pPr>
        <w:pStyle w:val="20"/>
        <w:numPr>
          <w:ilvl w:val="1"/>
          <w:numId w:val="51"/>
        </w:numPr>
        <w:tabs>
          <w:tab w:val="left" w:pos="1560"/>
          <w:tab w:val="left" w:leader="dot" w:pos="7799"/>
        </w:tabs>
        <w:spacing w:before="172" w:after="0" w:line="240" w:lineRule="auto"/>
        <w:ind w:left="1560" w:right="0" w:hanging="420"/>
        <w:jc w:val="left"/>
        <w:rPr>
          <w:sz w:val="24"/>
          <w:highlight w:val="none"/>
        </w:rPr>
      </w:pPr>
      <w:r>
        <w:rPr>
          <w:sz w:val="24"/>
          <w:highlight w:val="none"/>
        </w:rPr>
        <w:t>具有良好的商业信誉和健全的财务会计制度证明文件</w:t>
      </w:r>
      <w:r>
        <w:rPr>
          <w:sz w:val="24"/>
          <w:highlight w:val="none"/>
        </w:rPr>
        <w:tab/>
      </w:r>
      <w:r>
        <w:rPr>
          <w:w w:val="95"/>
          <w:sz w:val="24"/>
          <w:highlight w:val="none"/>
        </w:rPr>
        <w:t>所在页码</w:t>
      </w:r>
    </w:p>
    <w:p>
      <w:pPr>
        <w:pStyle w:val="20"/>
        <w:numPr>
          <w:ilvl w:val="1"/>
          <w:numId w:val="51"/>
        </w:numPr>
        <w:tabs>
          <w:tab w:val="left" w:pos="1560"/>
          <w:tab w:val="left" w:leader="dot" w:pos="7799"/>
        </w:tabs>
        <w:spacing w:before="173" w:after="0" w:line="240" w:lineRule="auto"/>
        <w:ind w:left="1560" w:right="0" w:hanging="420"/>
        <w:jc w:val="left"/>
        <w:rPr>
          <w:sz w:val="24"/>
          <w:highlight w:val="none"/>
        </w:rPr>
      </w:pPr>
      <w:r>
        <w:rPr>
          <w:sz w:val="24"/>
          <w:highlight w:val="none"/>
        </w:rPr>
        <w:t>有依法缴纳税收和社会保障资金的良好记录证明文件</w:t>
      </w:r>
      <w:r>
        <w:rPr>
          <w:sz w:val="24"/>
          <w:highlight w:val="none"/>
        </w:rPr>
        <w:tab/>
      </w:r>
      <w:r>
        <w:rPr>
          <w:w w:val="95"/>
          <w:sz w:val="24"/>
          <w:highlight w:val="none"/>
        </w:rPr>
        <w:t>所在页码</w:t>
      </w:r>
    </w:p>
    <w:p>
      <w:pPr>
        <w:pStyle w:val="20"/>
        <w:numPr>
          <w:ilvl w:val="1"/>
          <w:numId w:val="51"/>
        </w:numPr>
        <w:tabs>
          <w:tab w:val="left" w:pos="1560"/>
          <w:tab w:val="left" w:leader="dot" w:pos="7799"/>
        </w:tabs>
        <w:spacing w:before="172" w:after="0" w:line="240" w:lineRule="auto"/>
        <w:ind w:left="1560" w:right="0" w:hanging="420"/>
        <w:jc w:val="left"/>
        <w:rPr>
          <w:sz w:val="24"/>
          <w:highlight w:val="none"/>
        </w:rPr>
      </w:pPr>
      <w:r>
        <w:rPr>
          <w:sz w:val="24"/>
          <w:highlight w:val="none"/>
        </w:rPr>
        <w:t>无重大违法记录声明函</w:t>
      </w:r>
      <w:r>
        <w:rPr>
          <w:sz w:val="24"/>
          <w:highlight w:val="none"/>
        </w:rPr>
        <w:tab/>
      </w:r>
      <w:r>
        <w:rPr>
          <w:w w:val="95"/>
          <w:sz w:val="24"/>
          <w:highlight w:val="none"/>
        </w:rPr>
        <w:t>所在页码</w:t>
      </w:r>
    </w:p>
    <w:p>
      <w:pPr>
        <w:pStyle w:val="20"/>
        <w:numPr>
          <w:ilvl w:val="1"/>
          <w:numId w:val="51"/>
        </w:numPr>
        <w:tabs>
          <w:tab w:val="left" w:pos="1560"/>
          <w:tab w:val="left" w:leader="dot" w:pos="7799"/>
        </w:tabs>
        <w:spacing w:before="173" w:after="0" w:line="240" w:lineRule="auto"/>
        <w:ind w:left="1560" w:right="0" w:hanging="420"/>
        <w:jc w:val="left"/>
        <w:rPr>
          <w:sz w:val="24"/>
          <w:highlight w:val="none"/>
        </w:rPr>
      </w:pPr>
      <w:r>
        <w:rPr>
          <w:sz w:val="24"/>
          <w:highlight w:val="none"/>
        </w:rPr>
        <w:t>无环保类行政处罚记录声明函</w:t>
      </w:r>
      <w:r>
        <w:rPr>
          <w:sz w:val="24"/>
          <w:highlight w:val="none"/>
        </w:rPr>
        <w:tab/>
      </w:r>
      <w:r>
        <w:rPr>
          <w:w w:val="95"/>
          <w:sz w:val="24"/>
          <w:highlight w:val="none"/>
        </w:rPr>
        <w:t>所在页码</w:t>
      </w:r>
    </w:p>
    <w:p>
      <w:pPr>
        <w:pStyle w:val="20"/>
        <w:numPr>
          <w:ilvl w:val="1"/>
          <w:numId w:val="51"/>
        </w:numPr>
        <w:tabs>
          <w:tab w:val="left" w:pos="1501"/>
          <w:tab w:val="left" w:leader="dot" w:pos="8003"/>
        </w:tabs>
        <w:spacing w:before="172" w:after="0" w:line="240" w:lineRule="auto"/>
        <w:ind w:left="1500" w:right="0" w:hanging="361"/>
        <w:jc w:val="left"/>
        <w:rPr>
          <w:sz w:val="24"/>
          <w:highlight w:val="none"/>
        </w:rPr>
      </w:pPr>
      <w:r>
        <w:rPr>
          <w:sz w:val="24"/>
          <w:highlight w:val="none"/>
        </w:rPr>
        <w:t>“申请人的资格要求</w:t>
      </w:r>
      <w:r>
        <w:rPr>
          <w:spacing w:val="-48"/>
          <w:sz w:val="24"/>
          <w:highlight w:val="none"/>
        </w:rPr>
        <w:t>”</w:t>
      </w:r>
      <w:r>
        <w:rPr>
          <w:sz w:val="24"/>
          <w:highlight w:val="none"/>
        </w:rPr>
        <w:t>中要求的其他相关文件</w:t>
      </w:r>
      <w:r>
        <w:rPr>
          <w:sz w:val="24"/>
          <w:highlight w:val="none"/>
        </w:rPr>
        <w:tab/>
      </w:r>
      <w:r>
        <w:rPr>
          <w:sz w:val="24"/>
          <w:highlight w:val="none"/>
        </w:rPr>
        <w:t>所在页码</w:t>
      </w:r>
    </w:p>
    <w:p>
      <w:pPr>
        <w:pStyle w:val="20"/>
        <w:numPr>
          <w:ilvl w:val="1"/>
          <w:numId w:val="51"/>
        </w:numPr>
        <w:tabs>
          <w:tab w:val="left" w:pos="1560"/>
          <w:tab w:val="left" w:leader="dot" w:pos="7799"/>
        </w:tabs>
        <w:spacing w:before="173" w:after="0" w:line="240" w:lineRule="auto"/>
        <w:ind w:left="1560" w:right="0" w:hanging="420"/>
        <w:jc w:val="left"/>
        <w:rPr>
          <w:sz w:val="24"/>
          <w:highlight w:val="none"/>
        </w:rPr>
      </w:pPr>
      <w:r>
        <w:rPr>
          <w:sz w:val="24"/>
          <w:highlight w:val="none"/>
        </w:rPr>
        <w:t>资格性审查响应表</w:t>
      </w:r>
      <w:r>
        <w:rPr>
          <w:sz w:val="24"/>
          <w:highlight w:val="none"/>
        </w:rPr>
        <w:tab/>
      </w:r>
      <w:r>
        <w:rPr>
          <w:sz w:val="24"/>
          <w:highlight w:val="none"/>
        </w:rPr>
        <w:t>所在页码</w:t>
      </w:r>
    </w:p>
    <w:p>
      <w:pPr>
        <w:pStyle w:val="5"/>
        <w:spacing w:before="172"/>
        <w:ind w:left="1197"/>
        <w:rPr>
          <w:highlight w:val="none"/>
        </w:rPr>
      </w:pPr>
      <w:r>
        <w:rPr>
          <w:highlight w:val="none"/>
        </w:rPr>
        <w:t>二、符合性证明材料及技术、商务等响应材料</w:t>
      </w:r>
    </w:p>
    <w:p>
      <w:pPr>
        <w:pStyle w:val="20"/>
        <w:numPr>
          <w:ilvl w:val="1"/>
          <w:numId w:val="52"/>
        </w:numPr>
        <w:tabs>
          <w:tab w:val="left" w:pos="1618"/>
          <w:tab w:val="left" w:leader="dot" w:pos="7857"/>
        </w:tabs>
        <w:spacing w:before="173" w:after="0" w:line="240" w:lineRule="auto"/>
        <w:ind w:left="1617" w:right="0" w:hanging="421"/>
        <w:jc w:val="left"/>
        <w:rPr>
          <w:sz w:val="24"/>
          <w:highlight w:val="none"/>
        </w:rPr>
      </w:pPr>
      <w:r>
        <w:rPr>
          <w:sz w:val="24"/>
          <w:highlight w:val="none"/>
        </w:rPr>
        <w:t>法定代表人资格证明书或法定代表人授权委托书</w:t>
      </w:r>
      <w:r>
        <w:rPr>
          <w:sz w:val="24"/>
          <w:highlight w:val="none"/>
        </w:rPr>
        <w:tab/>
      </w:r>
      <w:r>
        <w:rPr>
          <w:sz w:val="24"/>
          <w:highlight w:val="none"/>
        </w:rPr>
        <w:t>所在页码</w:t>
      </w:r>
    </w:p>
    <w:p>
      <w:pPr>
        <w:pStyle w:val="20"/>
        <w:numPr>
          <w:ilvl w:val="1"/>
          <w:numId w:val="52"/>
        </w:numPr>
        <w:tabs>
          <w:tab w:val="left" w:pos="1618"/>
          <w:tab w:val="left" w:leader="dot" w:pos="7857"/>
        </w:tabs>
        <w:spacing w:before="172" w:after="0" w:line="240" w:lineRule="auto"/>
        <w:ind w:left="1617" w:right="0" w:hanging="421"/>
        <w:jc w:val="left"/>
        <w:rPr>
          <w:sz w:val="24"/>
          <w:highlight w:val="none"/>
        </w:rPr>
      </w:pPr>
      <w:r>
        <w:rPr>
          <w:sz w:val="24"/>
          <w:highlight w:val="none"/>
        </w:rPr>
        <w:t>自觉抵制政府采购领域商业贿赂行为承诺书</w:t>
      </w:r>
      <w:r>
        <w:rPr>
          <w:sz w:val="24"/>
          <w:highlight w:val="none"/>
        </w:rPr>
        <w:tab/>
      </w:r>
      <w:r>
        <w:rPr>
          <w:w w:val="95"/>
          <w:sz w:val="24"/>
          <w:highlight w:val="none"/>
        </w:rPr>
        <w:t>所在页码</w:t>
      </w:r>
    </w:p>
    <w:p>
      <w:pPr>
        <w:pStyle w:val="20"/>
        <w:numPr>
          <w:ilvl w:val="1"/>
          <w:numId w:val="52"/>
        </w:numPr>
        <w:tabs>
          <w:tab w:val="left" w:pos="1618"/>
          <w:tab w:val="left" w:leader="dot" w:pos="7857"/>
        </w:tabs>
        <w:spacing w:before="173" w:after="0" w:line="240" w:lineRule="auto"/>
        <w:ind w:left="1617" w:right="0" w:hanging="421"/>
        <w:jc w:val="left"/>
        <w:rPr>
          <w:sz w:val="24"/>
          <w:highlight w:val="none"/>
        </w:rPr>
      </w:pPr>
      <w:r>
        <w:rPr>
          <w:sz w:val="24"/>
          <w:highlight w:val="none"/>
        </w:rPr>
        <w:t>承诺函</w:t>
      </w:r>
      <w:r>
        <w:rPr>
          <w:sz w:val="24"/>
          <w:highlight w:val="none"/>
        </w:rPr>
        <w:tab/>
      </w:r>
      <w:r>
        <w:rPr>
          <w:w w:val="95"/>
          <w:sz w:val="24"/>
          <w:highlight w:val="none"/>
        </w:rPr>
        <w:t>所在页码</w:t>
      </w:r>
    </w:p>
    <w:p>
      <w:pPr>
        <w:pStyle w:val="20"/>
        <w:numPr>
          <w:ilvl w:val="1"/>
          <w:numId w:val="52"/>
        </w:numPr>
        <w:tabs>
          <w:tab w:val="left" w:pos="1618"/>
          <w:tab w:val="left" w:leader="dot" w:pos="7857"/>
        </w:tabs>
        <w:spacing w:before="172" w:after="0" w:line="240" w:lineRule="auto"/>
        <w:ind w:left="1617" w:right="0" w:hanging="421"/>
        <w:jc w:val="left"/>
        <w:rPr>
          <w:sz w:val="24"/>
          <w:highlight w:val="none"/>
        </w:rPr>
      </w:pPr>
      <w:r>
        <w:rPr>
          <w:sz w:val="24"/>
          <w:highlight w:val="none"/>
        </w:rPr>
        <w:t>开标一览表</w:t>
      </w:r>
      <w:r>
        <w:rPr>
          <w:sz w:val="24"/>
          <w:highlight w:val="none"/>
        </w:rPr>
        <w:tab/>
      </w:r>
      <w:r>
        <w:rPr>
          <w:w w:val="95"/>
          <w:sz w:val="24"/>
          <w:highlight w:val="none"/>
        </w:rPr>
        <w:t>所在页码</w:t>
      </w:r>
    </w:p>
    <w:p>
      <w:pPr>
        <w:pStyle w:val="20"/>
        <w:numPr>
          <w:ilvl w:val="1"/>
          <w:numId w:val="52"/>
        </w:numPr>
        <w:tabs>
          <w:tab w:val="left" w:pos="1618"/>
          <w:tab w:val="left" w:leader="dot" w:pos="7857"/>
        </w:tabs>
        <w:spacing w:before="173" w:after="0" w:line="240" w:lineRule="auto"/>
        <w:ind w:left="1617" w:right="0" w:hanging="421"/>
        <w:jc w:val="left"/>
        <w:rPr>
          <w:sz w:val="24"/>
          <w:highlight w:val="none"/>
        </w:rPr>
      </w:pPr>
      <w:r>
        <w:rPr>
          <w:sz w:val="24"/>
          <w:highlight w:val="none"/>
        </w:rPr>
        <w:t>分项报价明细表</w:t>
      </w:r>
      <w:r>
        <w:rPr>
          <w:sz w:val="24"/>
          <w:highlight w:val="none"/>
        </w:rPr>
        <w:tab/>
      </w:r>
      <w:r>
        <w:rPr>
          <w:w w:val="95"/>
          <w:sz w:val="24"/>
          <w:highlight w:val="none"/>
        </w:rPr>
        <w:t>所在页码</w:t>
      </w:r>
    </w:p>
    <w:p>
      <w:pPr>
        <w:pStyle w:val="20"/>
        <w:numPr>
          <w:ilvl w:val="1"/>
          <w:numId w:val="52"/>
        </w:numPr>
        <w:tabs>
          <w:tab w:val="left" w:pos="1618"/>
          <w:tab w:val="left" w:leader="dot" w:pos="7857"/>
        </w:tabs>
        <w:spacing w:before="172" w:after="0" w:line="240" w:lineRule="auto"/>
        <w:ind w:left="1617" w:right="0" w:hanging="421"/>
        <w:jc w:val="left"/>
        <w:rPr>
          <w:sz w:val="24"/>
          <w:highlight w:val="none"/>
        </w:rPr>
      </w:pPr>
      <w:r>
        <w:rPr>
          <w:sz w:val="24"/>
          <w:highlight w:val="none"/>
        </w:rPr>
        <w:t>符合性审查响应表</w:t>
      </w:r>
      <w:r>
        <w:rPr>
          <w:sz w:val="24"/>
          <w:highlight w:val="none"/>
        </w:rPr>
        <w:tab/>
      </w:r>
      <w:r>
        <w:rPr>
          <w:w w:val="95"/>
          <w:sz w:val="24"/>
          <w:highlight w:val="none"/>
        </w:rPr>
        <w:t>所在页码</w:t>
      </w:r>
    </w:p>
    <w:p>
      <w:pPr>
        <w:pStyle w:val="20"/>
        <w:numPr>
          <w:ilvl w:val="1"/>
          <w:numId w:val="52"/>
        </w:numPr>
        <w:tabs>
          <w:tab w:val="left" w:pos="1618"/>
          <w:tab w:val="left" w:leader="dot" w:pos="7857"/>
        </w:tabs>
        <w:spacing w:before="173" w:after="0" w:line="240" w:lineRule="auto"/>
        <w:ind w:left="1617" w:right="0" w:hanging="421"/>
        <w:jc w:val="left"/>
        <w:rPr>
          <w:sz w:val="24"/>
          <w:highlight w:val="none"/>
        </w:rPr>
      </w:pPr>
      <w:r>
        <w:rPr>
          <w:sz w:val="24"/>
          <w:highlight w:val="none"/>
        </w:rPr>
        <w:t>技术、商务响应表</w:t>
      </w:r>
      <w:r>
        <w:rPr>
          <w:sz w:val="24"/>
          <w:highlight w:val="none"/>
        </w:rPr>
        <w:tab/>
      </w:r>
      <w:r>
        <w:rPr>
          <w:w w:val="95"/>
          <w:sz w:val="24"/>
          <w:highlight w:val="none"/>
        </w:rPr>
        <w:t>所在页码</w:t>
      </w:r>
    </w:p>
    <w:p>
      <w:pPr>
        <w:pStyle w:val="20"/>
        <w:numPr>
          <w:ilvl w:val="1"/>
          <w:numId w:val="52"/>
        </w:numPr>
        <w:tabs>
          <w:tab w:val="left" w:pos="1618"/>
          <w:tab w:val="left" w:leader="dot" w:pos="7857"/>
        </w:tabs>
        <w:spacing w:before="172" w:after="0" w:line="240" w:lineRule="auto"/>
        <w:ind w:left="1617" w:right="0" w:hanging="421"/>
        <w:jc w:val="left"/>
        <w:rPr>
          <w:sz w:val="24"/>
          <w:highlight w:val="none"/>
        </w:rPr>
      </w:pPr>
      <w:r>
        <w:rPr>
          <w:sz w:val="24"/>
          <w:highlight w:val="none"/>
        </w:rPr>
        <w:t>技术、商务评分响应表</w:t>
      </w:r>
      <w:r>
        <w:rPr>
          <w:sz w:val="24"/>
          <w:highlight w:val="none"/>
        </w:rPr>
        <w:tab/>
      </w:r>
      <w:r>
        <w:rPr>
          <w:w w:val="95"/>
          <w:sz w:val="24"/>
          <w:highlight w:val="none"/>
        </w:rPr>
        <w:t>所在页码</w:t>
      </w:r>
    </w:p>
    <w:p>
      <w:pPr>
        <w:pStyle w:val="20"/>
        <w:numPr>
          <w:ilvl w:val="1"/>
          <w:numId w:val="52"/>
        </w:numPr>
        <w:tabs>
          <w:tab w:val="left" w:pos="1618"/>
          <w:tab w:val="left" w:leader="dot" w:pos="7857"/>
        </w:tabs>
        <w:spacing w:before="173" w:after="0" w:line="240" w:lineRule="auto"/>
        <w:ind w:left="1617" w:right="0" w:hanging="421"/>
        <w:jc w:val="left"/>
        <w:rPr>
          <w:sz w:val="24"/>
          <w:highlight w:val="none"/>
        </w:rPr>
      </w:pPr>
      <w:r>
        <w:rPr>
          <w:sz w:val="24"/>
          <w:highlight w:val="none"/>
        </w:rPr>
        <w:t>售后服务承诺书</w:t>
      </w:r>
      <w:r>
        <w:rPr>
          <w:sz w:val="24"/>
          <w:highlight w:val="none"/>
        </w:rPr>
        <w:tab/>
      </w:r>
      <w:r>
        <w:rPr>
          <w:w w:val="95"/>
          <w:sz w:val="24"/>
          <w:highlight w:val="none"/>
        </w:rPr>
        <w:t>所在页码</w:t>
      </w:r>
    </w:p>
    <w:p>
      <w:pPr>
        <w:pStyle w:val="5"/>
        <w:spacing w:before="172"/>
        <w:ind w:left="1197"/>
        <w:rPr>
          <w:highlight w:val="none"/>
        </w:rPr>
      </w:pPr>
      <w:r>
        <w:rPr>
          <w:highlight w:val="none"/>
        </w:rPr>
        <w:t>三、其他投标材料</w:t>
      </w:r>
    </w:p>
    <w:p>
      <w:pPr>
        <w:pStyle w:val="20"/>
        <w:numPr>
          <w:ilvl w:val="1"/>
          <w:numId w:val="53"/>
        </w:numPr>
        <w:tabs>
          <w:tab w:val="left" w:pos="1618"/>
          <w:tab w:val="left" w:leader="dot" w:pos="7857"/>
        </w:tabs>
        <w:spacing w:before="173" w:after="0" w:line="240" w:lineRule="auto"/>
        <w:ind w:left="1617" w:right="0" w:hanging="421"/>
        <w:jc w:val="left"/>
        <w:rPr>
          <w:sz w:val="24"/>
          <w:highlight w:val="none"/>
        </w:rPr>
      </w:pPr>
      <w:r>
        <w:rPr>
          <w:sz w:val="24"/>
          <w:highlight w:val="none"/>
        </w:rPr>
        <w:t>中小企业声明函</w:t>
      </w:r>
      <w:r>
        <w:rPr>
          <w:sz w:val="24"/>
          <w:highlight w:val="none"/>
        </w:rPr>
        <w:tab/>
      </w:r>
      <w:r>
        <w:rPr>
          <w:w w:val="95"/>
          <w:sz w:val="24"/>
          <w:highlight w:val="none"/>
        </w:rPr>
        <w:t>所在页码</w:t>
      </w:r>
    </w:p>
    <w:p>
      <w:pPr>
        <w:pStyle w:val="20"/>
        <w:numPr>
          <w:ilvl w:val="1"/>
          <w:numId w:val="53"/>
        </w:numPr>
        <w:tabs>
          <w:tab w:val="left" w:pos="1618"/>
          <w:tab w:val="left" w:leader="dot" w:pos="7857"/>
        </w:tabs>
        <w:spacing w:before="172" w:after="0" w:line="240" w:lineRule="auto"/>
        <w:ind w:left="1617" w:right="0" w:hanging="421"/>
        <w:jc w:val="left"/>
        <w:rPr>
          <w:sz w:val="24"/>
          <w:highlight w:val="none"/>
        </w:rPr>
      </w:pPr>
      <w:r>
        <w:rPr>
          <w:sz w:val="24"/>
          <w:highlight w:val="none"/>
        </w:rPr>
        <w:t>监狱企业的证明文件</w:t>
      </w:r>
      <w:r>
        <w:rPr>
          <w:sz w:val="24"/>
          <w:highlight w:val="none"/>
        </w:rPr>
        <w:tab/>
      </w:r>
      <w:r>
        <w:rPr>
          <w:w w:val="95"/>
          <w:sz w:val="24"/>
          <w:highlight w:val="none"/>
        </w:rPr>
        <w:t>所在页码</w:t>
      </w:r>
    </w:p>
    <w:p>
      <w:pPr>
        <w:pStyle w:val="20"/>
        <w:numPr>
          <w:ilvl w:val="1"/>
          <w:numId w:val="53"/>
        </w:numPr>
        <w:tabs>
          <w:tab w:val="left" w:pos="1618"/>
          <w:tab w:val="left" w:leader="dot" w:pos="7857"/>
        </w:tabs>
        <w:spacing w:before="173" w:after="0" w:line="240" w:lineRule="auto"/>
        <w:ind w:left="1617" w:right="0" w:hanging="421"/>
        <w:jc w:val="left"/>
        <w:rPr>
          <w:sz w:val="24"/>
          <w:highlight w:val="none"/>
        </w:rPr>
      </w:pPr>
      <w:r>
        <w:rPr>
          <w:sz w:val="24"/>
          <w:highlight w:val="none"/>
        </w:rPr>
        <w:t>残疾人福利性单位声明函</w:t>
      </w:r>
      <w:r>
        <w:rPr>
          <w:sz w:val="24"/>
          <w:highlight w:val="none"/>
        </w:rPr>
        <w:tab/>
      </w:r>
      <w:r>
        <w:rPr>
          <w:w w:val="95"/>
          <w:sz w:val="24"/>
          <w:highlight w:val="none"/>
        </w:rPr>
        <w:t>所在页码</w:t>
      </w:r>
    </w:p>
    <w:p>
      <w:pPr>
        <w:pStyle w:val="20"/>
        <w:numPr>
          <w:ilvl w:val="1"/>
          <w:numId w:val="53"/>
        </w:numPr>
        <w:tabs>
          <w:tab w:val="left" w:pos="1618"/>
          <w:tab w:val="left" w:leader="dot" w:pos="7857"/>
        </w:tabs>
        <w:spacing w:before="172" w:after="0" w:line="240" w:lineRule="auto"/>
        <w:ind w:left="1617" w:right="0" w:hanging="421"/>
        <w:jc w:val="left"/>
        <w:rPr>
          <w:sz w:val="24"/>
          <w:highlight w:val="none"/>
        </w:rPr>
      </w:pPr>
      <w:r>
        <w:rPr>
          <w:sz w:val="24"/>
          <w:highlight w:val="none"/>
        </w:rPr>
        <w:t>其他材料</w:t>
      </w:r>
      <w:r>
        <w:rPr>
          <w:sz w:val="24"/>
          <w:highlight w:val="none"/>
        </w:rPr>
        <w:tab/>
      </w:r>
      <w:r>
        <w:rPr>
          <w:w w:val="95"/>
          <w:sz w:val="24"/>
          <w:highlight w:val="none"/>
        </w:rPr>
        <w:t>所在页码</w:t>
      </w:r>
    </w:p>
    <w:p>
      <w:pPr>
        <w:pStyle w:val="5"/>
        <w:rPr>
          <w:sz w:val="26"/>
          <w:highlight w:val="none"/>
        </w:rPr>
      </w:pPr>
    </w:p>
    <w:p>
      <w:pPr>
        <w:pStyle w:val="5"/>
        <w:spacing w:before="6"/>
        <w:rPr>
          <w:sz w:val="27"/>
          <w:highlight w:val="none"/>
        </w:rPr>
      </w:pPr>
    </w:p>
    <w:p>
      <w:pPr>
        <w:spacing w:before="0" w:line="427" w:lineRule="auto"/>
        <w:ind w:left="662" w:right="1266" w:firstLine="472"/>
        <w:jc w:val="left"/>
        <w:rPr>
          <w:b/>
          <w:sz w:val="21"/>
          <w:highlight w:val="none"/>
        </w:rPr>
      </w:pPr>
      <w:r>
        <w:rPr>
          <w:b/>
          <w:sz w:val="21"/>
          <w:highlight w:val="none"/>
        </w:rPr>
        <w:t>注：投标人须在投标文件中正确地填写相对应的页码，不准确可能造成评标委员会无法直观定位应标内容而做出不利判断，投标人需独自承担可能产生的各种不利结果。</w:t>
      </w:r>
    </w:p>
    <w:p>
      <w:pPr>
        <w:spacing w:after="0" w:line="427" w:lineRule="auto"/>
        <w:jc w:val="left"/>
        <w:rPr>
          <w:sz w:val="21"/>
          <w:highlight w:val="none"/>
        </w:rPr>
        <w:sectPr>
          <w:pgSz w:w="11900" w:h="16840"/>
          <w:pgMar w:top="1500" w:right="520" w:bottom="1380" w:left="1140" w:header="0" w:footer="1197" w:gutter="0"/>
          <w:pgNumType w:fmt="decimal"/>
          <w:cols w:space="720" w:num="1"/>
        </w:sectPr>
      </w:pPr>
    </w:p>
    <w:p>
      <w:pPr>
        <w:pStyle w:val="5"/>
        <w:spacing w:before="11"/>
        <w:rPr>
          <w:b/>
          <w:sz w:val="22"/>
          <w:highlight w:val="none"/>
        </w:rPr>
      </w:pPr>
    </w:p>
    <w:p>
      <w:pPr>
        <w:spacing w:before="38"/>
        <w:ind w:left="1060" w:right="0" w:firstLine="0"/>
        <w:jc w:val="left"/>
        <w:rPr>
          <w:sz w:val="44"/>
          <w:highlight w:val="none"/>
        </w:rPr>
      </w:pPr>
      <w:r>
        <w:rPr>
          <w:sz w:val="44"/>
          <w:highlight w:val="none"/>
        </w:rPr>
        <w:t>具备独立承担民事责任能力的证明文件</w:t>
      </w:r>
    </w:p>
    <w:p>
      <w:pPr>
        <w:pStyle w:val="5"/>
        <w:spacing w:before="10"/>
        <w:rPr>
          <w:sz w:val="55"/>
          <w:highlight w:val="none"/>
        </w:rPr>
      </w:pPr>
    </w:p>
    <w:p>
      <w:pPr>
        <w:spacing w:before="0" w:line="374" w:lineRule="auto"/>
        <w:ind w:left="3712" w:right="1215" w:hanging="2912"/>
        <w:jc w:val="left"/>
        <w:rPr>
          <w:sz w:val="28"/>
          <w:highlight w:val="none"/>
        </w:rPr>
      </w:pPr>
      <w:r>
        <w:rPr>
          <w:sz w:val="28"/>
          <w:highlight w:val="none"/>
        </w:rPr>
        <w:t>（1）</w:t>
      </w:r>
      <w:r>
        <w:rPr>
          <w:sz w:val="24"/>
          <w:highlight w:val="none"/>
        </w:rPr>
        <w:t>具有独立承担民事责任的能力</w:t>
      </w:r>
      <w:r>
        <w:rPr>
          <w:sz w:val="28"/>
          <w:highlight w:val="none"/>
        </w:rPr>
        <w:t>。</w:t>
      </w:r>
    </w:p>
    <w:p>
      <w:pPr>
        <w:spacing w:after="0" w:line="374" w:lineRule="auto"/>
        <w:jc w:val="left"/>
        <w:rPr>
          <w:sz w:val="28"/>
          <w:highlight w:val="none"/>
        </w:rPr>
        <w:sectPr>
          <w:pgSz w:w="11900" w:h="16840"/>
          <w:pgMar w:top="1600" w:right="520" w:bottom="1380" w:left="1140" w:header="0" w:footer="1197" w:gutter="0"/>
          <w:pgNumType w:fmt="decimal"/>
          <w:cols w:space="720" w:num="1"/>
        </w:sectPr>
      </w:pPr>
    </w:p>
    <w:p>
      <w:pPr>
        <w:spacing w:before="15" w:line="237" w:lineRule="auto"/>
        <w:ind w:left="1944" w:right="2555" w:firstLine="0"/>
        <w:jc w:val="center"/>
        <w:rPr>
          <w:sz w:val="44"/>
          <w:highlight w:val="none"/>
        </w:rPr>
      </w:pPr>
      <w:r>
        <w:rPr>
          <w:sz w:val="44"/>
          <w:highlight w:val="none"/>
        </w:rPr>
        <w:t>具有良好的商业信誉和健全的财务会计制度证明文件</w:t>
      </w:r>
    </w:p>
    <w:p>
      <w:pPr>
        <w:pStyle w:val="5"/>
        <w:rPr>
          <w:sz w:val="56"/>
          <w:highlight w:val="none"/>
        </w:rPr>
      </w:pPr>
    </w:p>
    <w:p>
      <w:pPr>
        <w:pStyle w:val="10"/>
        <w:spacing w:line="374" w:lineRule="auto"/>
        <w:ind w:right="1269"/>
        <w:jc w:val="center"/>
        <w:rPr>
          <w:highlight w:val="none"/>
        </w:rPr>
      </w:pPr>
      <w:r>
        <w:rPr>
          <w:spacing w:val="-8"/>
          <w:highlight w:val="none"/>
        </w:rPr>
        <w:t>（2）</w:t>
      </w:r>
      <w:r>
        <w:rPr>
          <w:spacing w:val="-3"/>
          <w:highlight w:val="none"/>
        </w:rPr>
        <w:t>具有良好的商业信誉和健全的财务会计制度。</w:t>
      </w:r>
    </w:p>
    <w:p>
      <w:pPr>
        <w:spacing w:after="0" w:line="374" w:lineRule="auto"/>
        <w:jc w:val="center"/>
        <w:rPr>
          <w:highlight w:val="none"/>
        </w:rPr>
        <w:sectPr>
          <w:pgSz w:w="11900" w:h="16840"/>
          <w:pgMar w:top="1440" w:right="520" w:bottom="1380" w:left="1140" w:header="0" w:footer="1197" w:gutter="0"/>
          <w:pgNumType w:fmt="decimal"/>
          <w:cols w:space="720" w:num="1"/>
        </w:sectPr>
      </w:pPr>
    </w:p>
    <w:p>
      <w:pPr>
        <w:spacing w:before="15" w:line="237" w:lineRule="auto"/>
        <w:ind w:left="1502" w:right="2114" w:firstLine="0"/>
        <w:jc w:val="center"/>
        <w:rPr>
          <w:sz w:val="44"/>
          <w:highlight w:val="none"/>
        </w:rPr>
      </w:pPr>
      <w:r>
        <w:rPr>
          <w:sz w:val="44"/>
          <w:highlight w:val="none"/>
        </w:rPr>
        <w:t>有依法缴纳税收和社会保障资金的良好记录证明文件</w:t>
      </w:r>
    </w:p>
    <w:p>
      <w:pPr>
        <w:pStyle w:val="5"/>
        <w:rPr>
          <w:sz w:val="56"/>
          <w:highlight w:val="none"/>
        </w:rPr>
      </w:pPr>
    </w:p>
    <w:p>
      <w:pPr>
        <w:pStyle w:val="10"/>
        <w:spacing w:line="374" w:lineRule="auto"/>
        <w:ind w:right="1269"/>
        <w:jc w:val="center"/>
        <w:rPr>
          <w:highlight w:val="none"/>
        </w:rPr>
      </w:pPr>
      <w:r>
        <w:rPr>
          <w:spacing w:val="-8"/>
          <w:highlight w:val="none"/>
        </w:rPr>
        <w:t>（</w:t>
      </w:r>
      <w:r>
        <w:rPr>
          <w:rFonts w:hint="eastAsia"/>
          <w:spacing w:val="-8"/>
          <w:highlight w:val="none"/>
          <w:lang w:val="en-US" w:eastAsia="zh-CN"/>
        </w:rPr>
        <w:t>3</w:t>
      </w:r>
      <w:r>
        <w:rPr>
          <w:spacing w:val="-8"/>
          <w:highlight w:val="none"/>
        </w:rPr>
        <w:t>）</w:t>
      </w:r>
      <w:r>
        <w:rPr>
          <w:spacing w:val="-3"/>
          <w:highlight w:val="none"/>
        </w:rPr>
        <w:t>有依法缴纳税收和社会保障资金的良好记录。</w:t>
      </w:r>
    </w:p>
    <w:p>
      <w:pPr>
        <w:spacing w:after="0" w:line="374" w:lineRule="auto"/>
        <w:jc w:val="center"/>
        <w:rPr>
          <w:highlight w:val="none"/>
        </w:rPr>
        <w:sectPr>
          <w:pgSz w:w="11900" w:h="16840"/>
          <w:pgMar w:top="1440" w:right="520" w:bottom="1380" w:left="1140" w:header="0" w:footer="1197" w:gutter="0"/>
          <w:pgNumType w:fmt="decimal"/>
          <w:cols w:space="720" w:num="1"/>
        </w:sectPr>
      </w:pPr>
    </w:p>
    <w:p>
      <w:pPr>
        <w:spacing w:before="11"/>
        <w:ind w:left="0" w:right="611" w:firstLine="0"/>
        <w:jc w:val="center"/>
        <w:rPr>
          <w:sz w:val="44"/>
          <w:highlight w:val="none"/>
        </w:rPr>
      </w:pPr>
      <w:r>
        <w:rPr>
          <w:sz w:val="44"/>
          <w:highlight w:val="none"/>
        </w:rPr>
        <w:t>无重大违法记录声明函</w:t>
      </w:r>
    </w:p>
    <w:p>
      <w:pPr>
        <w:pStyle w:val="5"/>
        <w:rPr>
          <w:sz w:val="44"/>
          <w:highlight w:val="none"/>
        </w:rPr>
      </w:pPr>
    </w:p>
    <w:p>
      <w:pPr>
        <w:pStyle w:val="5"/>
        <w:spacing w:before="7"/>
        <w:rPr>
          <w:sz w:val="58"/>
          <w:highlight w:val="none"/>
        </w:rPr>
      </w:pPr>
    </w:p>
    <w:p>
      <w:pPr>
        <w:pStyle w:val="5"/>
        <w:tabs>
          <w:tab w:val="left" w:pos="3883"/>
        </w:tabs>
        <w:spacing w:line="436" w:lineRule="auto"/>
        <w:ind w:left="660" w:right="1271" w:firstLine="539"/>
        <w:rPr>
          <w:highlight w:val="none"/>
        </w:rPr>
      </w:pPr>
      <w:r>
        <w:rPr>
          <w:highlight w:val="none"/>
        </w:rPr>
        <w:t>我公司</w:t>
      </w:r>
      <w:r>
        <w:rPr>
          <w:highlight w:val="none"/>
          <w:u w:val="single"/>
        </w:rPr>
        <w:t xml:space="preserve"> </w:t>
      </w:r>
      <w:r>
        <w:rPr>
          <w:highlight w:val="none"/>
          <w:u w:val="single"/>
        </w:rPr>
        <w:tab/>
      </w:r>
      <w:r>
        <w:rPr>
          <w:highlight w:val="none"/>
        </w:rPr>
        <w:t>（公司名称）在参加政府采购活动前三年内没有重大违法记录。</w:t>
      </w:r>
    </w:p>
    <w:p>
      <w:pPr>
        <w:pStyle w:val="5"/>
        <w:spacing w:before="1"/>
        <w:ind w:left="1200"/>
        <w:rPr>
          <w:highlight w:val="none"/>
        </w:rPr>
      </w:pPr>
      <w:r>
        <w:rPr>
          <w:highlight w:val="none"/>
        </w:rPr>
        <w:t>特此声明。</w:t>
      </w: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spacing w:before="11"/>
        <w:rPr>
          <w:sz w:val="20"/>
          <w:highlight w:val="none"/>
        </w:rPr>
      </w:pPr>
    </w:p>
    <w:p>
      <w:pPr>
        <w:pStyle w:val="5"/>
        <w:tabs>
          <w:tab w:val="left" w:pos="8526"/>
        </w:tabs>
        <w:ind w:left="3535"/>
        <w:rPr>
          <w:rFonts w:ascii="Times New Roman" w:eastAsia="Times New Roman"/>
          <w:highlight w:val="none"/>
        </w:rPr>
      </w:pPr>
      <w:r>
        <w:rPr>
          <w:highlight w:val="none"/>
        </w:rPr>
        <w:t>投标单位（加盖公章）：</w:t>
      </w:r>
      <w:r>
        <w:rPr>
          <w:rFonts w:ascii="Times New Roman" w:eastAsia="Times New Roman"/>
          <w:highlight w:val="none"/>
          <w:u w:val="single"/>
        </w:rPr>
        <w:t xml:space="preserve"> </w:t>
      </w:r>
      <w:r>
        <w:rPr>
          <w:rFonts w:ascii="Times New Roman" w:eastAsia="Times New Roman"/>
          <w:highlight w:val="none"/>
          <w:u w:val="single"/>
        </w:rPr>
        <w:tab/>
      </w:r>
    </w:p>
    <w:p>
      <w:pPr>
        <w:pStyle w:val="5"/>
        <w:spacing w:before="5"/>
        <w:rPr>
          <w:rFonts w:ascii="Times New Roman"/>
          <w:sz w:val="19"/>
          <w:highlight w:val="none"/>
        </w:rPr>
      </w:pPr>
    </w:p>
    <w:p>
      <w:pPr>
        <w:pStyle w:val="5"/>
        <w:tabs>
          <w:tab w:val="left" w:pos="8421"/>
        </w:tabs>
        <w:spacing w:before="67"/>
        <w:ind w:left="5356"/>
        <w:rPr>
          <w:rFonts w:ascii="Times New Roman" w:eastAsia="Times New Roman"/>
          <w:highlight w:val="none"/>
        </w:rPr>
      </w:pPr>
      <w:r>
        <w:rPr>
          <w:highlight w:val="none"/>
        </w:rPr>
        <w:t>日期：</w:t>
      </w:r>
      <w:r>
        <w:rPr>
          <w:rFonts w:ascii="Times New Roman" w:eastAsia="Times New Roman"/>
          <w:highlight w:val="none"/>
          <w:u w:val="single"/>
        </w:rPr>
        <w:t xml:space="preserve"> </w:t>
      </w:r>
      <w:r>
        <w:rPr>
          <w:rFonts w:ascii="Times New Roman" w:eastAsia="Times New Roman"/>
          <w:highlight w:val="none"/>
          <w:u w:val="single"/>
        </w:rPr>
        <w:tab/>
      </w:r>
    </w:p>
    <w:p>
      <w:pPr>
        <w:spacing w:after="0"/>
        <w:rPr>
          <w:rFonts w:ascii="Times New Roman" w:eastAsia="Times New Roman"/>
          <w:highlight w:val="none"/>
        </w:rPr>
        <w:sectPr>
          <w:pgSz w:w="11900" w:h="16840"/>
          <w:pgMar w:top="1440" w:right="520" w:bottom="1380" w:left="1140" w:header="0" w:footer="1197" w:gutter="0"/>
          <w:pgNumType w:fmt="decimal"/>
          <w:cols w:space="720" w:num="1"/>
        </w:sectPr>
      </w:pPr>
    </w:p>
    <w:p>
      <w:pPr>
        <w:spacing w:before="11"/>
        <w:ind w:left="0" w:right="611" w:firstLine="0"/>
        <w:jc w:val="center"/>
        <w:rPr>
          <w:sz w:val="44"/>
          <w:highlight w:val="none"/>
        </w:rPr>
      </w:pPr>
      <w:r>
        <w:rPr>
          <w:sz w:val="44"/>
          <w:highlight w:val="none"/>
        </w:rPr>
        <w:t>无环保类行政处罚记录声明函</w:t>
      </w:r>
    </w:p>
    <w:p>
      <w:pPr>
        <w:pStyle w:val="5"/>
        <w:spacing w:before="11"/>
        <w:rPr>
          <w:sz w:val="58"/>
          <w:highlight w:val="none"/>
        </w:rPr>
      </w:pPr>
    </w:p>
    <w:p>
      <w:pPr>
        <w:pStyle w:val="5"/>
        <w:tabs>
          <w:tab w:val="left" w:pos="3883"/>
        </w:tabs>
        <w:spacing w:line="436" w:lineRule="auto"/>
        <w:ind w:left="660" w:right="1271" w:firstLine="540"/>
        <w:rPr>
          <w:highlight w:val="none"/>
        </w:rPr>
      </w:pPr>
      <w:r>
        <w:rPr>
          <w:highlight w:val="none"/>
        </w:rPr>
        <w:t>我公司</w:t>
      </w:r>
      <w:r>
        <w:rPr>
          <w:highlight w:val="none"/>
          <w:u w:val="single"/>
        </w:rPr>
        <w:t xml:space="preserve"> </w:t>
      </w:r>
      <w:r>
        <w:rPr>
          <w:highlight w:val="none"/>
          <w:u w:val="single"/>
        </w:rPr>
        <w:tab/>
      </w:r>
      <w:r>
        <w:rPr>
          <w:highlight w:val="none"/>
        </w:rPr>
        <w:t>（公司名称）在参加政府采购活动前三年内没有环保类行政处罚记录。</w:t>
      </w:r>
    </w:p>
    <w:p>
      <w:pPr>
        <w:pStyle w:val="5"/>
        <w:spacing w:line="307" w:lineRule="exact"/>
        <w:ind w:left="1200"/>
        <w:rPr>
          <w:highlight w:val="none"/>
        </w:rPr>
      </w:pPr>
      <w:r>
        <w:rPr>
          <w:highlight w:val="none"/>
        </w:rPr>
        <w:t>特此声明。</w:t>
      </w: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spacing w:before="1"/>
        <w:rPr>
          <w:sz w:val="21"/>
          <w:highlight w:val="none"/>
        </w:rPr>
      </w:pPr>
    </w:p>
    <w:p>
      <w:pPr>
        <w:pStyle w:val="5"/>
        <w:tabs>
          <w:tab w:val="left" w:pos="8526"/>
        </w:tabs>
        <w:ind w:left="3535"/>
        <w:rPr>
          <w:rFonts w:ascii="Times New Roman" w:eastAsia="Times New Roman"/>
          <w:highlight w:val="none"/>
        </w:rPr>
      </w:pPr>
      <w:r>
        <w:rPr>
          <w:highlight w:val="none"/>
        </w:rPr>
        <w:t>投标单位（加盖公章）：</w:t>
      </w:r>
      <w:r>
        <w:rPr>
          <w:rFonts w:ascii="Times New Roman" w:eastAsia="Times New Roman"/>
          <w:highlight w:val="none"/>
          <w:u w:val="single"/>
        </w:rPr>
        <w:t xml:space="preserve"> </w:t>
      </w:r>
      <w:r>
        <w:rPr>
          <w:rFonts w:ascii="Times New Roman" w:eastAsia="Times New Roman"/>
          <w:highlight w:val="none"/>
          <w:u w:val="single"/>
        </w:rPr>
        <w:tab/>
      </w:r>
    </w:p>
    <w:p>
      <w:pPr>
        <w:pStyle w:val="5"/>
        <w:spacing w:before="8"/>
        <w:rPr>
          <w:rFonts w:ascii="Times New Roman"/>
          <w:sz w:val="25"/>
          <w:highlight w:val="none"/>
        </w:rPr>
      </w:pPr>
    </w:p>
    <w:p>
      <w:pPr>
        <w:pStyle w:val="5"/>
        <w:tabs>
          <w:tab w:val="left" w:pos="8426"/>
        </w:tabs>
        <w:spacing w:before="66"/>
        <w:ind w:left="5361"/>
        <w:rPr>
          <w:rFonts w:ascii="Times New Roman" w:eastAsia="Times New Roman"/>
          <w:highlight w:val="none"/>
        </w:rPr>
      </w:pPr>
      <w:r>
        <w:rPr>
          <w:highlight w:val="none"/>
        </w:rPr>
        <w:t>日期</w:t>
      </w:r>
      <w:r>
        <w:rPr>
          <w:spacing w:val="-3"/>
          <w:highlight w:val="none"/>
        </w:rPr>
        <w:t>：</w:t>
      </w:r>
      <w:r>
        <w:rPr>
          <w:rFonts w:ascii="Times New Roman" w:eastAsia="Times New Roman"/>
          <w:highlight w:val="none"/>
          <w:u w:val="single"/>
        </w:rPr>
        <w:t xml:space="preserve"> </w:t>
      </w:r>
      <w:r>
        <w:rPr>
          <w:rFonts w:ascii="Times New Roman" w:eastAsia="Times New Roman"/>
          <w:highlight w:val="none"/>
          <w:u w:val="single"/>
        </w:rPr>
        <w:tab/>
      </w:r>
    </w:p>
    <w:p>
      <w:pPr>
        <w:spacing w:after="0"/>
        <w:rPr>
          <w:rFonts w:ascii="Times New Roman" w:eastAsia="Times New Roman"/>
          <w:highlight w:val="none"/>
        </w:rPr>
        <w:sectPr>
          <w:footerReference r:id="rId9" w:type="default"/>
          <w:pgSz w:w="11900" w:h="16840"/>
          <w:pgMar w:top="1440" w:right="520" w:bottom="1380" w:left="1140" w:header="0" w:footer="1199" w:gutter="0"/>
          <w:pgNumType w:fmt="decimal"/>
          <w:cols w:space="720" w:num="1"/>
        </w:sectPr>
      </w:pPr>
    </w:p>
    <w:p>
      <w:pPr>
        <w:pStyle w:val="7"/>
        <w:ind w:right="428"/>
        <w:rPr>
          <w:highlight w:val="none"/>
        </w:rPr>
      </w:pPr>
      <w:r>
        <w:rPr>
          <w:highlight w:val="none"/>
        </w:rPr>
        <w:t>“申请人的资格要求”中要求的其他相关文件</w:t>
      </w:r>
    </w:p>
    <w:p>
      <w:pPr>
        <w:spacing w:after="0"/>
        <w:rPr>
          <w:highlight w:val="none"/>
        </w:rPr>
        <w:sectPr>
          <w:pgSz w:w="11900" w:h="16840"/>
          <w:pgMar w:top="1500" w:right="520" w:bottom="1380" w:left="1140" w:header="0" w:footer="1199" w:gutter="0"/>
          <w:pgNumType w:fmt="decimal"/>
          <w:cols w:space="720" w:num="1"/>
        </w:sectPr>
      </w:pPr>
    </w:p>
    <w:p>
      <w:pPr>
        <w:pStyle w:val="7"/>
        <w:ind w:right="608"/>
        <w:rPr>
          <w:highlight w:val="none"/>
        </w:rPr>
      </w:pPr>
      <w:r>
        <w:rPr>
          <w:highlight w:val="none"/>
        </w:rPr>
        <w:t>资格性审查响应表</w:t>
      </w:r>
    </w:p>
    <w:p>
      <w:pPr>
        <w:pStyle w:val="5"/>
        <w:spacing w:before="3"/>
        <w:rPr>
          <w:sz w:val="43"/>
          <w:highlight w:val="none"/>
        </w:rPr>
      </w:pPr>
    </w:p>
    <w:p>
      <w:pPr>
        <w:pStyle w:val="5"/>
        <w:spacing w:line="364" w:lineRule="auto"/>
        <w:ind w:left="660" w:right="1274" w:firstLine="480"/>
        <w:jc w:val="both"/>
        <w:rPr>
          <w:highlight w:val="none"/>
        </w:rPr>
      </w:pPr>
      <w:r>
        <w:rPr>
          <w:spacing w:val="-10"/>
          <w:highlight w:val="none"/>
        </w:rPr>
        <w:t>说明：供应商必须仔细阅读招标文件中所有资格性审查内容，对所有资格性</w:t>
      </w:r>
      <w:r>
        <w:rPr>
          <w:spacing w:val="-6"/>
          <w:highlight w:val="none"/>
        </w:rPr>
        <w:t>审查条款的响应情况逐项列入下表，并对其响应情况进行说明。未列入下表的视</w:t>
      </w:r>
      <w:r>
        <w:rPr>
          <w:highlight w:val="none"/>
        </w:rPr>
        <w:t>作供应商不响应。</w:t>
      </w:r>
    </w:p>
    <w:p>
      <w:pPr>
        <w:pStyle w:val="5"/>
        <w:rPr>
          <w:sz w:val="20"/>
          <w:highlight w:val="none"/>
        </w:rPr>
      </w:pPr>
    </w:p>
    <w:p>
      <w:pPr>
        <w:pStyle w:val="5"/>
        <w:spacing w:before="6"/>
        <w:rPr>
          <w:sz w:val="10"/>
          <w:highlight w:val="none"/>
        </w:rPr>
      </w:pPr>
    </w:p>
    <w:tbl>
      <w:tblPr>
        <w:tblStyle w:val="17"/>
        <w:tblW w:w="0" w:type="auto"/>
        <w:tblInd w:w="1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6"/>
        <w:gridCol w:w="1214"/>
        <w:gridCol w:w="1728"/>
        <w:gridCol w:w="922"/>
        <w:gridCol w:w="752"/>
        <w:gridCol w:w="2254"/>
        <w:gridCol w:w="1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56" w:type="dxa"/>
          </w:tcPr>
          <w:p>
            <w:pPr>
              <w:pStyle w:val="21"/>
              <w:spacing w:before="176"/>
              <w:ind w:left="147" w:right="136"/>
              <w:jc w:val="center"/>
              <w:rPr>
                <w:b/>
                <w:sz w:val="21"/>
                <w:highlight w:val="none"/>
              </w:rPr>
            </w:pPr>
            <w:r>
              <w:rPr>
                <w:b/>
                <w:sz w:val="21"/>
                <w:highlight w:val="none"/>
              </w:rPr>
              <w:t>序号</w:t>
            </w:r>
          </w:p>
        </w:tc>
        <w:tc>
          <w:tcPr>
            <w:tcW w:w="1214" w:type="dxa"/>
          </w:tcPr>
          <w:p>
            <w:pPr>
              <w:pStyle w:val="21"/>
              <w:spacing w:before="176"/>
              <w:ind w:left="187"/>
              <w:rPr>
                <w:b/>
                <w:sz w:val="21"/>
                <w:highlight w:val="none"/>
              </w:rPr>
            </w:pPr>
            <w:r>
              <w:rPr>
                <w:b/>
                <w:sz w:val="21"/>
                <w:highlight w:val="none"/>
              </w:rPr>
              <w:t>评审因素</w:t>
            </w:r>
          </w:p>
        </w:tc>
        <w:tc>
          <w:tcPr>
            <w:tcW w:w="1728" w:type="dxa"/>
          </w:tcPr>
          <w:p>
            <w:pPr>
              <w:pStyle w:val="21"/>
              <w:spacing w:before="176"/>
              <w:ind w:left="444"/>
              <w:rPr>
                <w:b/>
                <w:sz w:val="21"/>
                <w:highlight w:val="none"/>
              </w:rPr>
            </w:pPr>
            <w:r>
              <w:rPr>
                <w:b/>
                <w:sz w:val="21"/>
                <w:highlight w:val="none"/>
              </w:rPr>
              <w:t>评审标准</w:t>
            </w:r>
          </w:p>
        </w:tc>
        <w:tc>
          <w:tcPr>
            <w:tcW w:w="922" w:type="dxa"/>
          </w:tcPr>
          <w:p>
            <w:pPr>
              <w:pStyle w:val="21"/>
              <w:spacing w:before="176"/>
              <w:ind w:left="252"/>
              <w:rPr>
                <w:b/>
                <w:sz w:val="21"/>
                <w:highlight w:val="none"/>
              </w:rPr>
            </w:pPr>
            <w:r>
              <w:rPr>
                <w:b/>
                <w:sz w:val="21"/>
                <w:highlight w:val="none"/>
              </w:rPr>
              <w:t>起页</w:t>
            </w:r>
          </w:p>
        </w:tc>
        <w:tc>
          <w:tcPr>
            <w:tcW w:w="752" w:type="dxa"/>
          </w:tcPr>
          <w:p>
            <w:pPr>
              <w:pStyle w:val="21"/>
              <w:spacing w:before="176"/>
              <w:ind w:left="165"/>
              <w:rPr>
                <w:b/>
                <w:sz w:val="21"/>
                <w:highlight w:val="none"/>
              </w:rPr>
            </w:pPr>
            <w:r>
              <w:rPr>
                <w:b/>
                <w:sz w:val="21"/>
                <w:highlight w:val="none"/>
              </w:rPr>
              <w:t>止页</w:t>
            </w:r>
          </w:p>
        </w:tc>
        <w:tc>
          <w:tcPr>
            <w:tcW w:w="2254" w:type="dxa"/>
          </w:tcPr>
          <w:p>
            <w:pPr>
              <w:pStyle w:val="21"/>
              <w:spacing w:before="176"/>
              <w:ind w:left="181"/>
              <w:rPr>
                <w:sz w:val="21"/>
                <w:highlight w:val="none"/>
              </w:rPr>
            </w:pPr>
            <w:r>
              <w:rPr>
                <w:b/>
                <w:sz w:val="21"/>
                <w:highlight w:val="none"/>
              </w:rPr>
              <w:t>响应情况</w:t>
            </w:r>
            <w:r>
              <w:rPr>
                <w:sz w:val="21"/>
                <w:highlight w:val="none"/>
              </w:rPr>
              <w:t>（＋/-/=）</w:t>
            </w:r>
          </w:p>
        </w:tc>
        <w:tc>
          <w:tcPr>
            <w:tcW w:w="1140" w:type="dxa"/>
          </w:tcPr>
          <w:p>
            <w:pPr>
              <w:pStyle w:val="21"/>
              <w:spacing w:before="176"/>
              <w:ind w:left="358"/>
              <w:rPr>
                <w:b/>
                <w:sz w:val="21"/>
                <w:highlight w:val="none"/>
              </w:rPr>
            </w:pPr>
            <w:r>
              <w:rPr>
                <w:b/>
                <w:sz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756" w:type="dxa"/>
          </w:tcPr>
          <w:p>
            <w:pPr>
              <w:pStyle w:val="21"/>
              <w:spacing w:before="11"/>
              <w:rPr>
                <w:sz w:val="28"/>
                <w:highlight w:val="none"/>
              </w:rPr>
            </w:pPr>
          </w:p>
          <w:p>
            <w:pPr>
              <w:pStyle w:val="21"/>
              <w:spacing w:before="1"/>
              <w:ind w:left="11"/>
              <w:jc w:val="center"/>
              <w:rPr>
                <w:b/>
                <w:sz w:val="21"/>
                <w:highlight w:val="none"/>
              </w:rPr>
            </w:pPr>
            <w:r>
              <w:rPr>
                <w:b/>
                <w:w w:val="99"/>
                <w:sz w:val="21"/>
                <w:highlight w:val="none"/>
              </w:rPr>
              <w:t>1</w:t>
            </w:r>
          </w:p>
        </w:tc>
        <w:tc>
          <w:tcPr>
            <w:tcW w:w="1214" w:type="dxa"/>
          </w:tcPr>
          <w:p>
            <w:pPr>
              <w:pStyle w:val="21"/>
              <w:rPr>
                <w:rFonts w:ascii="Times New Roman"/>
                <w:sz w:val="22"/>
                <w:highlight w:val="none"/>
              </w:rPr>
            </w:pPr>
          </w:p>
        </w:tc>
        <w:tc>
          <w:tcPr>
            <w:tcW w:w="1728" w:type="dxa"/>
          </w:tcPr>
          <w:p>
            <w:pPr>
              <w:pStyle w:val="21"/>
              <w:rPr>
                <w:rFonts w:ascii="Times New Roman"/>
                <w:sz w:val="22"/>
                <w:highlight w:val="none"/>
              </w:rPr>
            </w:pPr>
          </w:p>
        </w:tc>
        <w:tc>
          <w:tcPr>
            <w:tcW w:w="922" w:type="dxa"/>
          </w:tcPr>
          <w:p>
            <w:pPr>
              <w:pStyle w:val="21"/>
              <w:rPr>
                <w:rFonts w:ascii="Times New Roman"/>
                <w:sz w:val="22"/>
                <w:highlight w:val="none"/>
              </w:rPr>
            </w:pPr>
          </w:p>
        </w:tc>
        <w:tc>
          <w:tcPr>
            <w:tcW w:w="752" w:type="dxa"/>
          </w:tcPr>
          <w:p>
            <w:pPr>
              <w:pStyle w:val="21"/>
              <w:rPr>
                <w:rFonts w:ascii="Times New Roman"/>
                <w:sz w:val="22"/>
                <w:highlight w:val="none"/>
              </w:rPr>
            </w:pPr>
          </w:p>
        </w:tc>
        <w:tc>
          <w:tcPr>
            <w:tcW w:w="2254" w:type="dxa"/>
          </w:tcPr>
          <w:p>
            <w:pPr>
              <w:pStyle w:val="21"/>
              <w:rPr>
                <w:rFonts w:ascii="Times New Roman"/>
                <w:sz w:val="22"/>
                <w:highlight w:val="none"/>
              </w:rPr>
            </w:pPr>
          </w:p>
        </w:tc>
        <w:tc>
          <w:tcPr>
            <w:tcW w:w="1140" w:type="dxa"/>
          </w:tcPr>
          <w:p>
            <w:pPr>
              <w:pStyle w:val="21"/>
              <w:rPr>
                <w:rFonts w:ascii="Times New Roman"/>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756" w:type="dxa"/>
          </w:tcPr>
          <w:p>
            <w:pPr>
              <w:pStyle w:val="21"/>
              <w:spacing w:before="4"/>
              <w:rPr>
                <w:sz w:val="22"/>
                <w:highlight w:val="none"/>
              </w:rPr>
            </w:pPr>
          </w:p>
          <w:p>
            <w:pPr>
              <w:pStyle w:val="21"/>
              <w:ind w:left="11"/>
              <w:jc w:val="center"/>
              <w:rPr>
                <w:b/>
                <w:sz w:val="21"/>
                <w:highlight w:val="none"/>
              </w:rPr>
            </w:pPr>
            <w:r>
              <w:rPr>
                <w:b/>
                <w:w w:val="99"/>
                <w:sz w:val="21"/>
                <w:highlight w:val="none"/>
              </w:rPr>
              <w:t>2</w:t>
            </w:r>
          </w:p>
        </w:tc>
        <w:tc>
          <w:tcPr>
            <w:tcW w:w="1214" w:type="dxa"/>
          </w:tcPr>
          <w:p>
            <w:pPr>
              <w:pStyle w:val="21"/>
              <w:rPr>
                <w:rFonts w:ascii="Times New Roman"/>
                <w:sz w:val="22"/>
                <w:highlight w:val="none"/>
              </w:rPr>
            </w:pPr>
          </w:p>
        </w:tc>
        <w:tc>
          <w:tcPr>
            <w:tcW w:w="1728" w:type="dxa"/>
          </w:tcPr>
          <w:p>
            <w:pPr>
              <w:pStyle w:val="21"/>
              <w:rPr>
                <w:rFonts w:ascii="Times New Roman"/>
                <w:sz w:val="22"/>
                <w:highlight w:val="none"/>
              </w:rPr>
            </w:pPr>
          </w:p>
        </w:tc>
        <w:tc>
          <w:tcPr>
            <w:tcW w:w="922" w:type="dxa"/>
          </w:tcPr>
          <w:p>
            <w:pPr>
              <w:pStyle w:val="21"/>
              <w:rPr>
                <w:rFonts w:ascii="Times New Roman"/>
                <w:sz w:val="22"/>
                <w:highlight w:val="none"/>
              </w:rPr>
            </w:pPr>
          </w:p>
        </w:tc>
        <w:tc>
          <w:tcPr>
            <w:tcW w:w="752" w:type="dxa"/>
          </w:tcPr>
          <w:p>
            <w:pPr>
              <w:pStyle w:val="21"/>
              <w:rPr>
                <w:rFonts w:ascii="Times New Roman"/>
                <w:sz w:val="22"/>
                <w:highlight w:val="none"/>
              </w:rPr>
            </w:pPr>
          </w:p>
        </w:tc>
        <w:tc>
          <w:tcPr>
            <w:tcW w:w="2254" w:type="dxa"/>
          </w:tcPr>
          <w:p>
            <w:pPr>
              <w:pStyle w:val="21"/>
              <w:rPr>
                <w:rFonts w:ascii="Times New Roman"/>
                <w:sz w:val="22"/>
                <w:highlight w:val="none"/>
              </w:rPr>
            </w:pPr>
          </w:p>
        </w:tc>
        <w:tc>
          <w:tcPr>
            <w:tcW w:w="1140" w:type="dxa"/>
          </w:tcPr>
          <w:p>
            <w:pPr>
              <w:pStyle w:val="21"/>
              <w:rPr>
                <w:rFonts w:ascii="Times New Roman"/>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756" w:type="dxa"/>
          </w:tcPr>
          <w:p>
            <w:pPr>
              <w:pStyle w:val="21"/>
              <w:spacing w:before="2"/>
              <w:rPr>
                <w:sz w:val="28"/>
                <w:highlight w:val="none"/>
              </w:rPr>
            </w:pPr>
          </w:p>
          <w:p>
            <w:pPr>
              <w:pStyle w:val="21"/>
              <w:ind w:left="11"/>
              <w:jc w:val="center"/>
              <w:rPr>
                <w:b/>
                <w:sz w:val="21"/>
                <w:highlight w:val="none"/>
              </w:rPr>
            </w:pPr>
            <w:r>
              <w:rPr>
                <w:b/>
                <w:w w:val="99"/>
                <w:sz w:val="21"/>
                <w:highlight w:val="none"/>
              </w:rPr>
              <w:t>3</w:t>
            </w:r>
          </w:p>
        </w:tc>
        <w:tc>
          <w:tcPr>
            <w:tcW w:w="1214" w:type="dxa"/>
          </w:tcPr>
          <w:p>
            <w:pPr>
              <w:pStyle w:val="21"/>
              <w:rPr>
                <w:rFonts w:ascii="Times New Roman"/>
                <w:sz w:val="22"/>
                <w:highlight w:val="none"/>
              </w:rPr>
            </w:pPr>
          </w:p>
        </w:tc>
        <w:tc>
          <w:tcPr>
            <w:tcW w:w="1728" w:type="dxa"/>
          </w:tcPr>
          <w:p>
            <w:pPr>
              <w:pStyle w:val="21"/>
              <w:rPr>
                <w:rFonts w:ascii="Times New Roman"/>
                <w:sz w:val="22"/>
                <w:highlight w:val="none"/>
              </w:rPr>
            </w:pPr>
          </w:p>
        </w:tc>
        <w:tc>
          <w:tcPr>
            <w:tcW w:w="922" w:type="dxa"/>
          </w:tcPr>
          <w:p>
            <w:pPr>
              <w:pStyle w:val="21"/>
              <w:rPr>
                <w:rFonts w:ascii="Times New Roman"/>
                <w:sz w:val="22"/>
                <w:highlight w:val="none"/>
              </w:rPr>
            </w:pPr>
          </w:p>
        </w:tc>
        <w:tc>
          <w:tcPr>
            <w:tcW w:w="752" w:type="dxa"/>
          </w:tcPr>
          <w:p>
            <w:pPr>
              <w:pStyle w:val="21"/>
              <w:rPr>
                <w:rFonts w:ascii="Times New Roman"/>
                <w:sz w:val="22"/>
                <w:highlight w:val="none"/>
              </w:rPr>
            </w:pPr>
          </w:p>
        </w:tc>
        <w:tc>
          <w:tcPr>
            <w:tcW w:w="2254" w:type="dxa"/>
          </w:tcPr>
          <w:p>
            <w:pPr>
              <w:pStyle w:val="21"/>
              <w:rPr>
                <w:rFonts w:ascii="Times New Roman"/>
                <w:sz w:val="22"/>
                <w:highlight w:val="none"/>
              </w:rPr>
            </w:pPr>
          </w:p>
        </w:tc>
        <w:tc>
          <w:tcPr>
            <w:tcW w:w="1140" w:type="dxa"/>
          </w:tcPr>
          <w:p>
            <w:pPr>
              <w:pStyle w:val="21"/>
              <w:rPr>
                <w:rFonts w:ascii="Times New Roman"/>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0" w:hRule="atLeast"/>
        </w:trPr>
        <w:tc>
          <w:tcPr>
            <w:tcW w:w="756" w:type="dxa"/>
          </w:tcPr>
          <w:p>
            <w:pPr>
              <w:pStyle w:val="21"/>
              <w:spacing w:before="49"/>
              <w:ind w:left="167"/>
              <w:rPr>
                <w:b/>
                <w:sz w:val="21"/>
                <w:highlight w:val="none"/>
              </w:rPr>
            </w:pPr>
            <w:r>
              <w:rPr>
                <w:b/>
                <w:sz w:val="21"/>
                <w:highlight w:val="none"/>
              </w:rPr>
              <w:t>....</w:t>
            </w:r>
          </w:p>
          <w:p>
            <w:pPr>
              <w:pStyle w:val="21"/>
              <w:spacing w:before="50" w:line="252" w:lineRule="exact"/>
              <w:ind w:left="167"/>
              <w:rPr>
                <w:b/>
                <w:sz w:val="21"/>
                <w:highlight w:val="none"/>
              </w:rPr>
            </w:pPr>
            <w:r>
              <w:rPr>
                <w:b/>
                <w:sz w:val="21"/>
                <w:highlight w:val="none"/>
              </w:rPr>
              <w:t>....</w:t>
            </w:r>
          </w:p>
        </w:tc>
        <w:tc>
          <w:tcPr>
            <w:tcW w:w="1214" w:type="dxa"/>
          </w:tcPr>
          <w:p>
            <w:pPr>
              <w:pStyle w:val="21"/>
              <w:rPr>
                <w:rFonts w:ascii="Times New Roman"/>
                <w:sz w:val="22"/>
                <w:highlight w:val="none"/>
              </w:rPr>
            </w:pPr>
          </w:p>
        </w:tc>
        <w:tc>
          <w:tcPr>
            <w:tcW w:w="1728" w:type="dxa"/>
          </w:tcPr>
          <w:p>
            <w:pPr>
              <w:pStyle w:val="21"/>
              <w:rPr>
                <w:rFonts w:ascii="Times New Roman"/>
                <w:sz w:val="22"/>
                <w:highlight w:val="none"/>
              </w:rPr>
            </w:pPr>
          </w:p>
        </w:tc>
        <w:tc>
          <w:tcPr>
            <w:tcW w:w="922" w:type="dxa"/>
          </w:tcPr>
          <w:p>
            <w:pPr>
              <w:pStyle w:val="21"/>
              <w:rPr>
                <w:rFonts w:ascii="Times New Roman"/>
                <w:sz w:val="22"/>
                <w:highlight w:val="none"/>
              </w:rPr>
            </w:pPr>
          </w:p>
        </w:tc>
        <w:tc>
          <w:tcPr>
            <w:tcW w:w="752" w:type="dxa"/>
          </w:tcPr>
          <w:p>
            <w:pPr>
              <w:pStyle w:val="21"/>
              <w:rPr>
                <w:rFonts w:ascii="Times New Roman"/>
                <w:sz w:val="22"/>
                <w:highlight w:val="none"/>
              </w:rPr>
            </w:pPr>
          </w:p>
        </w:tc>
        <w:tc>
          <w:tcPr>
            <w:tcW w:w="2254" w:type="dxa"/>
          </w:tcPr>
          <w:p>
            <w:pPr>
              <w:pStyle w:val="21"/>
              <w:rPr>
                <w:rFonts w:ascii="Times New Roman"/>
                <w:sz w:val="22"/>
                <w:highlight w:val="none"/>
              </w:rPr>
            </w:pPr>
          </w:p>
        </w:tc>
        <w:tc>
          <w:tcPr>
            <w:tcW w:w="1140" w:type="dxa"/>
          </w:tcPr>
          <w:p>
            <w:pPr>
              <w:pStyle w:val="21"/>
              <w:rPr>
                <w:rFonts w:ascii="Times New Roman"/>
                <w:sz w:val="22"/>
                <w:highlight w:val="none"/>
              </w:rPr>
            </w:pPr>
          </w:p>
        </w:tc>
      </w:tr>
    </w:tbl>
    <w:p>
      <w:pPr>
        <w:pStyle w:val="5"/>
        <w:spacing w:before="2"/>
        <w:rPr>
          <w:sz w:val="19"/>
          <w:highlight w:val="none"/>
        </w:rPr>
      </w:pPr>
    </w:p>
    <w:p>
      <w:pPr>
        <w:pStyle w:val="5"/>
        <w:spacing w:before="66"/>
        <w:ind w:left="660"/>
        <w:rPr>
          <w:highlight w:val="none"/>
        </w:rPr>
      </w:pPr>
      <w:r>
        <w:rPr>
          <w:highlight w:val="none"/>
        </w:rPr>
        <w:t>投标单位（公章）：</w:t>
      </w:r>
    </w:p>
    <w:p>
      <w:pPr>
        <w:pStyle w:val="5"/>
        <w:spacing w:before="4"/>
        <w:rPr>
          <w:sz w:val="20"/>
          <w:highlight w:val="none"/>
        </w:rPr>
      </w:pPr>
    </w:p>
    <w:p>
      <w:pPr>
        <w:spacing w:before="0" w:line="244" w:lineRule="auto"/>
        <w:ind w:left="660" w:right="1271" w:firstLine="0"/>
        <w:jc w:val="left"/>
        <w:rPr>
          <w:sz w:val="21"/>
          <w:highlight w:val="none"/>
        </w:rPr>
      </w:pPr>
      <w:r>
        <w:rPr>
          <w:spacing w:val="-5"/>
          <w:sz w:val="21"/>
          <w:highlight w:val="none"/>
        </w:rPr>
        <w:t>注：</w:t>
      </w:r>
      <w:r>
        <w:rPr>
          <w:rFonts w:ascii="Calibri" w:eastAsia="Calibri"/>
          <w:spacing w:val="-9"/>
          <w:sz w:val="21"/>
          <w:highlight w:val="none"/>
        </w:rPr>
        <w:t>1.</w:t>
      </w:r>
      <w:r>
        <w:rPr>
          <w:spacing w:val="-7"/>
          <w:sz w:val="21"/>
          <w:highlight w:val="none"/>
        </w:rPr>
        <w:t xml:space="preserve">起止页码需与投标文件的自然页码相对照；若投标文件中没有项，页码可填写 </w:t>
      </w:r>
      <w:r>
        <w:rPr>
          <w:rFonts w:ascii="Calibri" w:eastAsia="Calibri"/>
          <w:sz w:val="21"/>
          <w:highlight w:val="none"/>
        </w:rPr>
        <w:t xml:space="preserve">0 </w:t>
      </w:r>
      <w:r>
        <w:rPr>
          <w:spacing w:val="-14"/>
          <w:sz w:val="21"/>
          <w:highlight w:val="none"/>
        </w:rPr>
        <w:t>；不</w:t>
      </w:r>
      <w:r>
        <w:rPr>
          <w:spacing w:val="-7"/>
          <w:sz w:val="21"/>
          <w:highlight w:val="none"/>
        </w:rPr>
        <w:t>准确可能造成评委无法直观定位应标内容而做出不利判断；</w:t>
      </w:r>
    </w:p>
    <w:p>
      <w:pPr>
        <w:pStyle w:val="20"/>
        <w:numPr>
          <w:ilvl w:val="0"/>
          <w:numId w:val="54"/>
        </w:numPr>
        <w:tabs>
          <w:tab w:val="left" w:pos="1243"/>
        </w:tabs>
        <w:spacing w:before="0" w:after="0" w:line="265" w:lineRule="exact"/>
        <w:ind w:left="1242" w:right="0" w:hanging="163"/>
        <w:jc w:val="left"/>
        <w:rPr>
          <w:sz w:val="21"/>
          <w:highlight w:val="none"/>
        </w:rPr>
      </w:pPr>
      <w:r>
        <w:rPr>
          <w:spacing w:val="-3"/>
          <w:sz w:val="21"/>
          <w:highlight w:val="none"/>
        </w:rPr>
        <w:t>此表为表样，行数可自行添加，但表式不变。</w:t>
      </w:r>
    </w:p>
    <w:p>
      <w:pPr>
        <w:pStyle w:val="20"/>
        <w:numPr>
          <w:ilvl w:val="0"/>
          <w:numId w:val="54"/>
        </w:numPr>
        <w:tabs>
          <w:tab w:val="left" w:pos="1243"/>
        </w:tabs>
        <w:spacing w:before="5" w:after="0" w:line="242" w:lineRule="auto"/>
        <w:ind w:left="660" w:right="1372" w:firstLine="420"/>
        <w:jc w:val="left"/>
        <w:rPr>
          <w:sz w:val="21"/>
          <w:highlight w:val="none"/>
        </w:rPr>
      </w:pPr>
      <w:r>
        <w:rPr>
          <w:spacing w:val="-3"/>
          <w:sz w:val="21"/>
          <w:highlight w:val="none"/>
        </w:rPr>
        <w:t>“响应情况”用符号“</w:t>
      </w:r>
      <w:r>
        <w:rPr>
          <w:rFonts w:ascii="Calibri" w:hAnsi="Calibri" w:eastAsia="Calibri"/>
          <w:spacing w:val="-3"/>
          <w:sz w:val="21"/>
          <w:highlight w:val="none"/>
        </w:rPr>
        <w:t>+</w:t>
      </w:r>
      <w:r>
        <w:rPr>
          <w:sz w:val="21"/>
          <w:highlight w:val="none"/>
        </w:rPr>
        <w:t>、</w:t>
      </w:r>
      <w:r>
        <w:rPr>
          <w:rFonts w:ascii="Calibri" w:hAnsi="Calibri" w:eastAsia="Calibri"/>
          <w:sz w:val="21"/>
          <w:highlight w:val="none"/>
        </w:rPr>
        <w:t>=</w:t>
      </w:r>
      <w:r>
        <w:rPr>
          <w:spacing w:val="-3"/>
          <w:sz w:val="21"/>
          <w:highlight w:val="none"/>
        </w:rPr>
        <w:t>、</w:t>
      </w:r>
      <w:r>
        <w:rPr>
          <w:rFonts w:ascii="Calibri" w:hAnsi="Calibri" w:eastAsia="Calibri"/>
          <w:sz w:val="21"/>
          <w:highlight w:val="none"/>
        </w:rPr>
        <w:t>-</w:t>
      </w:r>
      <w:r>
        <w:rPr>
          <w:spacing w:val="-3"/>
          <w:sz w:val="21"/>
          <w:highlight w:val="none"/>
        </w:rPr>
        <w:t>”分别表示优于、等于、低于</w:t>
      </w:r>
      <w:r>
        <w:rPr>
          <w:sz w:val="21"/>
          <w:highlight w:val="none"/>
        </w:rPr>
        <w:t>（</w:t>
      </w:r>
      <w:r>
        <w:rPr>
          <w:spacing w:val="-2"/>
          <w:sz w:val="21"/>
          <w:highlight w:val="none"/>
        </w:rPr>
        <w:t>偏离</w:t>
      </w:r>
      <w:r>
        <w:rPr>
          <w:spacing w:val="-3"/>
          <w:sz w:val="21"/>
          <w:highlight w:val="none"/>
        </w:rPr>
        <w:t>）招标文件资格性审查条款描述，必须逐项对应响应。</w:t>
      </w:r>
    </w:p>
    <w:p>
      <w:pPr>
        <w:spacing w:after="0" w:line="242" w:lineRule="auto"/>
        <w:jc w:val="left"/>
        <w:rPr>
          <w:sz w:val="21"/>
          <w:highlight w:val="none"/>
        </w:rPr>
        <w:sectPr>
          <w:pgSz w:w="11900" w:h="16840"/>
          <w:pgMar w:top="1500" w:right="520" w:bottom="1380" w:left="1140" w:header="0" w:footer="1199" w:gutter="0"/>
          <w:pgNumType w:fmt="decimal"/>
          <w:cols w:space="720" w:num="1"/>
        </w:sectPr>
      </w:pPr>
    </w:p>
    <w:p>
      <w:pPr>
        <w:spacing w:before="11"/>
        <w:ind w:left="0" w:right="611" w:firstLine="0"/>
        <w:jc w:val="center"/>
        <w:rPr>
          <w:sz w:val="44"/>
          <w:highlight w:val="none"/>
        </w:rPr>
      </w:pPr>
      <w:r>
        <w:rPr>
          <w:sz w:val="44"/>
          <w:highlight w:val="none"/>
        </w:rPr>
        <w:t>法定代表人资格证明书</w:t>
      </w:r>
    </w:p>
    <w:p>
      <w:pPr>
        <w:pStyle w:val="5"/>
        <w:spacing w:before="193"/>
        <w:ind w:right="614"/>
        <w:jc w:val="center"/>
        <w:rPr>
          <w:highlight w:val="none"/>
        </w:rPr>
      </w:pPr>
      <w:r>
        <w:rPr>
          <w:highlight w:val="none"/>
        </w:rPr>
        <w:t>（法定代表人参加投标的，出具此证明书）</w:t>
      </w:r>
    </w:p>
    <w:p>
      <w:pPr>
        <w:pStyle w:val="5"/>
        <w:rPr>
          <w:highlight w:val="none"/>
        </w:rPr>
      </w:pPr>
    </w:p>
    <w:p>
      <w:pPr>
        <w:pStyle w:val="5"/>
        <w:rPr>
          <w:highlight w:val="none"/>
        </w:rPr>
      </w:pPr>
    </w:p>
    <w:p>
      <w:pPr>
        <w:pStyle w:val="5"/>
        <w:spacing w:before="6"/>
        <w:rPr>
          <w:sz w:val="25"/>
          <w:highlight w:val="none"/>
        </w:rPr>
      </w:pPr>
    </w:p>
    <w:p>
      <w:pPr>
        <w:pStyle w:val="10"/>
        <w:ind w:left="662"/>
        <w:rPr>
          <w:rFonts w:hint="eastAsia" w:eastAsia="宋体"/>
          <w:highlight w:val="none"/>
          <w:lang w:eastAsia="zh-CN"/>
        </w:rPr>
      </w:pPr>
      <w:r>
        <w:rPr>
          <w:highlight w:val="none"/>
        </w:rPr>
        <w:t>致：</w:t>
      </w:r>
      <w:r>
        <w:rPr>
          <w:rFonts w:hint="eastAsia"/>
          <w:highlight w:val="none"/>
          <w:lang w:eastAsia="zh-CN"/>
        </w:rPr>
        <w:t>海南诚采项目管理有限公司</w:t>
      </w:r>
    </w:p>
    <w:p>
      <w:pPr>
        <w:pStyle w:val="5"/>
        <w:spacing w:before="1"/>
        <w:rPr>
          <w:sz w:val="38"/>
          <w:highlight w:val="none"/>
        </w:rPr>
      </w:pPr>
    </w:p>
    <w:p>
      <w:pPr>
        <w:pStyle w:val="5"/>
        <w:spacing w:line="364" w:lineRule="auto"/>
        <w:ind w:left="660" w:right="1271" w:firstLine="540"/>
        <w:jc w:val="both"/>
        <w:rPr>
          <w:highlight w:val="none"/>
        </w:rPr>
      </w:pPr>
      <w:r>
        <w:rPr>
          <w:spacing w:val="4"/>
          <w:highlight w:val="none"/>
          <w:u w:val="single"/>
        </w:rPr>
        <w:t xml:space="preserve">法定代表人姓名 </w:t>
      </w:r>
      <w:r>
        <w:rPr>
          <w:spacing w:val="5"/>
          <w:highlight w:val="none"/>
        </w:rPr>
        <w:t>在我公司</w:t>
      </w:r>
      <w:r>
        <w:rPr>
          <w:spacing w:val="7"/>
          <w:highlight w:val="none"/>
        </w:rPr>
        <w:t>/</w:t>
      </w:r>
      <w:r>
        <w:rPr>
          <w:spacing w:val="4"/>
          <w:highlight w:val="none"/>
        </w:rPr>
        <w:t>单位担任</w:t>
      </w:r>
      <w:r>
        <w:rPr>
          <w:spacing w:val="4"/>
          <w:highlight w:val="none"/>
          <w:u w:val="single"/>
        </w:rPr>
        <w:t xml:space="preserve"> 职务名称 </w:t>
      </w:r>
      <w:r>
        <w:rPr>
          <w:spacing w:val="4"/>
          <w:highlight w:val="none"/>
        </w:rPr>
        <w:t>职务，是</w:t>
      </w:r>
      <w:r>
        <w:rPr>
          <w:spacing w:val="20"/>
          <w:highlight w:val="none"/>
          <w:u w:val="single"/>
        </w:rPr>
        <w:t xml:space="preserve">   公司全称</w:t>
      </w:r>
      <w:r>
        <w:rPr>
          <w:highlight w:val="none"/>
        </w:rPr>
        <w:t>的法定代表人，拟将参加你单位组织的</w:t>
      </w:r>
      <w:r>
        <w:rPr>
          <w:highlight w:val="none"/>
          <w:u w:val="single"/>
        </w:rPr>
        <w:t xml:space="preserve">   </w:t>
      </w:r>
      <w:r>
        <w:rPr>
          <w:spacing w:val="-9"/>
          <w:highlight w:val="none"/>
        </w:rPr>
        <w:t>采购项目</w:t>
      </w:r>
      <w:r>
        <w:rPr>
          <w:highlight w:val="none"/>
        </w:rPr>
        <w:t>（项目编号:</w:t>
      </w:r>
      <w:r>
        <w:rPr>
          <w:highlight w:val="none"/>
          <w:u w:val="single"/>
        </w:rPr>
        <w:t xml:space="preserve">   </w:t>
      </w:r>
      <w:r>
        <w:rPr>
          <w:spacing w:val="-34"/>
          <w:highlight w:val="none"/>
        </w:rPr>
        <w:t>）</w:t>
      </w:r>
      <w:r>
        <w:rPr>
          <w:highlight w:val="none"/>
        </w:rPr>
        <w:t>第</w:t>
      </w:r>
      <w:r>
        <w:rPr>
          <w:spacing w:val="120"/>
          <w:highlight w:val="none"/>
          <w:u w:val="single"/>
        </w:rPr>
        <w:t xml:space="preserve"> </w:t>
      </w:r>
      <w:r>
        <w:rPr>
          <w:spacing w:val="-6"/>
          <w:highlight w:val="none"/>
        </w:rPr>
        <w:t>包的</w:t>
      </w:r>
      <w:r>
        <w:rPr>
          <w:highlight w:val="none"/>
        </w:rPr>
        <w:t>投标活动并签署相关文件。</w:t>
      </w:r>
    </w:p>
    <w:p>
      <w:pPr>
        <w:pStyle w:val="5"/>
        <w:rPr>
          <w:sz w:val="22"/>
          <w:highlight w:val="none"/>
        </w:rPr>
      </w:pPr>
    </w:p>
    <w:p>
      <w:pPr>
        <w:pStyle w:val="5"/>
        <w:ind w:left="1140"/>
        <w:rPr>
          <w:highlight w:val="none"/>
        </w:rPr>
      </w:pPr>
      <w:r>
        <w:rPr>
          <w:highlight w:val="none"/>
        </w:rPr>
        <w:t>特此证明。</w:t>
      </w:r>
    </w:p>
    <w:p>
      <w:pPr>
        <w:pStyle w:val="5"/>
        <w:rPr>
          <w:sz w:val="20"/>
          <w:highlight w:val="none"/>
        </w:rPr>
      </w:pPr>
    </w:p>
    <w:p>
      <w:pPr>
        <w:pStyle w:val="5"/>
        <w:rPr>
          <w:sz w:val="20"/>
          <w:highlight w:val="none"/>
        </w:rPr>
      </w:pPr>
    </w:p>
    <w:p>
      <w:pPr>
        <w:pStyle w:val="5"/>
        <w:spacing w:before="2"/>
        <w:rPr>
          <w:sz w:val="21"/>
          <w:highlight w:val="none"/>
        </w:rPr>
      </w:pPr>
      <w:r>
        <w:rPr>
          <w:highlight w:val="none"/>
        </w:rPr>
        <mc:AlternateContent>
          <mc:Choice Requires="wpg">
            <w:drawing>
              <wp:anchor distT="0" distB="0" distL="114300" distR="114300" simplePos="0" relativeHeight="251668480" behindDoc="1" locked="0" layoutInCell="1" allowOverlap="1">
                <wp:simplePos x="0" y="0"/>
                <wp:positionH relativeFrom="page">
                  <wp:posOffset>1590675</wp:posOffset>
                </wp:positionH>
                <wp:positionV relativeFrom="paragraph">
                  <wp:posOffset>196850</wp:posOffset>
                </wp:positionV>
                <wp:extent cx="4909820" cy="3024505"/>
                <wp:effectExtent l="0" t="635" r="5080" b="3810"/>
                <wp:wrapTopAndBottom/>
                <wp:docPr id="8" name="组合 4"/>
                <wp:cNvGraphicFramePr/>
                <a:graphic xmlns:a="http://schemas.openxmlformats.org/drawingml/2006/main">
                  <a:graphicData uri="http://schemas.microsoft.com/office/word/2010/wordprocessingGroup">
                    <wpg:wgp>
                      <wpg:cNvGrpSpPr/>
                      <wpg:grpSpPr>
                        <a:xfrm>
                          <a:off x="0" y="0"/>
                          <a:ext cx="4909820" cy="3024505"/>
                          <a:chOff x="2505" y="311"/>
                          <a:chExt cx="7732" cy="4763"/>
                        </a:xfrm>
                      </wpg:grpSpPr>
                      <wps:wsp>
                        <wps:cNvPr id="6" name="任意多边形 5"/>
                        <wps:cNvSpPr/>
                        <wps:spPr>
                          <a:xfrm>
                            <a:off x="2515" y="320"/>
                            <a:ext cx="7712" cy="4743"/>
                          </a:xfrm>
                          <a:custGeom>
                            <a:avLst/>
                            <a:gdLst/>
                            <a:ahLst/>
                            <a:cxnLst/>
                            <a:pathLst>
                              <a:path w="7712" h="4743">
                                <a:moveTo>
                                  <a:pt x="792" y="0"/>
                                </a:moveTo>
                                <a:lnTo>
                                  <a:pt x="716" y="3"/>
                                </a:lnTo>
                                <a:lnTo>
                                  <a:pt x="642" y="14"/>
                                </a:lnTo>
                                <a:lnTo>
                                  <a:pt x="570" y="31"/>
                                </a:lnTo>
                                <a:lnTo>
                                  <a:pt x="501" y="55"/>
                                </a:lnTo>
                                <a:lnTo>
                                  <a:pt x="435" y="85"/>
                                </a:lnTo>
                                <a:lnTo>
                                  <a:pt x="372" y="120"/>
                                </a:lnTo>
                                <a:lnTo>
                                  <a:pt x="313" y="161"/>
                                </a:lnTo>
                                <a:lnTo>
                                  <a:pt x="258" y="207"/>
                                </a:lnTo>
                                <a:lnTo>
                                  <a:pt x="208" y="258"/>
                                </a:lnTo>
                                <a:lnTo>
                                  <a:pt x="162" y="313"/>
                                </a:lnTo>
                                <a:lnTo>
                                  <a:pt x="121" y="372"/>
                                </a:lnTo>
                                <a:lnTo>
                                  <a:pt x="85" y="434"/>
                                </a:lnTo>
                                <a:lnTo>
                                  <a:pt x="56" y="501"/>
                                </a:lnTo>
                                <a:lnTo>
                                  <a:pt x="32" y="570"/>
                                </a:lnTo>
                                <a:lnTo>
                                  <a:pt x="15" y="641"/>
                                </a:lnTo>
                                <a:lnTo>
                                  <a:pt x="4" y="716"/>
                                </a:lnTo>
                                <a:lnTo>
                                  <a:pt x="0" y="792"/>
                                </a:lnTo>
                                <a:lnTo>
                                  <a:pt x="0" y="3953"/>
                                </a:lnTo>
                                <a:lnTo>
                                  <a:pt x="4" y="4029"/>
                                </a:lnTo>
                                <a:lnTo>
                                  <a:pt x="15" y="4103"/>
                                </a:lnTo>
                                <a:lnTo>
                                  <a:pt x="32" y="4174"/>
                                </a:lnTo>
                                <a:lnTo>
                                  <a:pt x="56" y="4243"/>
                                </a:lnTo>
                                <a:lnTo>
                                  <a:pt x="85" y="4309"/>
                                </a:lnTo>
                                <a:lnTo>
                                  <a:pt x="121" y="4372"/>
                                </a:lnTo>
                                <a:lnTo>
                                  <a:pt x="162" y="4431"/>
                                </a:lnTo>
                                <a:lnTo>
                                  <a:pt x="208" y="4485"/>
                                </a:lnTo>
                                <a:lnTo>
                                  <a:pt x="258" y="4536"/>
                                </a:lnTo>
                                <a:lnTo>
                                  <a:pt x="313" y="4581"/>
                                </a:lnTo>
                                <a:lnTo>
                                  <a:pt x="372" y="4622"/>
                                </a:lnTo>
                                <a:lnTo>
                                  <a:pt x="435" y="4657"/>
                                </a:lnTo>
                                <a:lnTo>
                                  <a:pt x="501" y="4687"/>
                                </a:lnTo>
                                <a:lnTo>
                                  <a:pt x="570" y="4711"/>
                                </a:lnTo>
                                <a:lnTo>
                                  <a:pt x="642" y="4728"/>
                                </a:lnTo>
                                <a:lnTo>
                                  <a:pt x="716" y="4739"/>
                                </a:lnTo>
                                <a:lnTo>
                                  <a:pt x="792" y="4742"/>
                                </a:lnTo>
                                <a:lnTo>
                                  <a:pt x="6919" y="4742"/>
                                </a:lnTo>
                                <a:lnTo>
                                  <a:pt x="6996" y="4739"/>
                                </a:lnTo>
                                <a:lnTo>
                                  <a:pt x="7070" y="4728"/>
                                </a:lnTo>
                                <a:lnTo>
                                  <a:pt x="7142" y="4711"/>
                                </a:lnTo>
                                <a:lnTo>
                                  <a:pt x="7211" y="4687"/>
                                </a:lnTo>
                                <a:lnTo>
                                  <a:pt x="7277" y="4657"/>
                                </a:lnTo>
                                <a:lnTo>
                                  <a:pt x="7339" y="4622"/>
                                </a:lnTo>
                                <a:lnTo>
                                  <a:pt x="7398" y="4581"/>
                                </a:lnTo>
                                <a:lnTo>
                                  <a:pt x="7453" y="4536"/>
                                </a:lnTo>
                                <a:lnTo>
                                  <a:pt x="7504" y="4485"/>
                                </a:lnTo>
                                <a:lnTo>
                                  <a:pt x="7550" y="4431"/>
                                </a:lnTo>
                                <a:lnTo>
                                  <a:pt x="7591" y="4372"/>
                                </a:lnTo>
                                <a:lnTo>
                                  <a:pt x="7626" y="4309"/>
                                </a:lnTo>
                                <a:lnTo>
                                  <a:pt x="7656" y="4243"/>
                                </a:lnTo>
                                <a:lnTo>
                                  <a:pt x="7680" y="4174"/>
                                </a:lnTo>
                                <a:lnTo>
                                  <a:pt x="7697" y="4103"/>
                                </a:lnTo>
                                <a:lnTo>
                                  <a:pt x="7708" y="4029"/>
                                </a:lnTo>
                                <a:lnTo>
                                  <a:pt x="7711" y="3953"/>
                                </a:lnTo>
                                <a:lnTo>
                                  <a:pt x="7711" y="792"/>
                                </a:lnTo>
                                <a:lnTo>
                                  <a:pt x="7708" y="716"/>
                                </a:lnTo>
                                <a:lnTo>
                                  <a:pt x="7697" y="641"/>
                                </a:lnTo>
                                <a:lnTo>
                                  <a:pt x="7680" y="570"/>
                                </a:lnTo>
                                <a:lnTo>
                                  <a:pt x="7656" y="501"/>
                                </a:lnTo>
                                <a:lnTo>
                                  <a:pt x="7626" y="434"/>
                                </a:lnTo>
                                <a:lnTo>
                                  <a:pt x="7591" y="372"/>
                                </a:lnTo>
                                <a:lnTo>
                                  <a:pt x="7550" y="313"/>
                                </a:lnTo>
                                <a:lnTo>
                                  <a:pt x="7504" y="258"/>
                                </a:lnTo>
                                <a:lnTo>
                                  <a:pt x="7453" y="207"/>
                                </a:lnTo>
                                <a:lnTo>
                                  <a:pt x="7398" y="161"/>
                                </a:lnTo>
                                <a:lnTo>
                                  <a:pt x="7339" y="120"/>
                                </a:lnTo>
                                <a:lnTo>
                                  <a:pt x="7277" y="85"/>
                                </a:lnTo>
                                <a:lnTo>
                                  <a:pt x="7211" y="55"/>
                                </a:lnTo>
                                <a:lnTo>
                                  <a:pt x="7142" y="31"/>
                                </a:lnTo>
                                <a:lnTo>
                                  <a:pt x="7070" y="14"/>
                                </a:lnTo>
                                <a:lnTo>
                                  <a:pt x="6996" y="3"/>
                                </a:lnTo>
                                <a:lnTo>
                                  <a:pt x="6919" y="0"/>
                                </a:lnTo>
                                <a:lnTo>
                                  <a:pt x="792" y="0"/>
                                </a:lnTo>
                                <a:close/>
                              </a:path>
                            </a:pathLst>
                          </a:custGeom>
                          <a:noFill/>
                          <a:ln w="12700" cap="flat" cmpd="sng">
                            <a:solidFill>
                              <a:srgbClr val="000000"/>
                            </a:solidFill>
                            <a:prstDash val="lgDash"/>
                            <a:headEnd type="none" w="med" len="med"/>
                            <a:tailEnd type="none" w="med" len="med"/>
                          </a:ln>
                        </wps:spPr>
                        <wps:bodyPr upright="1"/>
                      </wps:wsp>
                      <wps:wsp>
                        <wps:cNvPr id="7" name="文本框 6"/>
                        <wps:cNvSpPr txBox="1"/>
                        <wps:spPr>
                          <a:xfrm>
                            <a:off x="3936" y="1303"/>
                            <a:ext cx="4896" cy="232"/>
                          </a:xfrm>
                          <a:prstGeom prst="rect">
                            <a:avLst/>
                          </a:prstGeom>
                          <a:noFill/>
                          <a:ln>
                            <a:noFill/>
                          </a:ln>
                        </wps:spPr>
                        <wps:txbx>
                          <w:txbxContent>
                            <w:p>
                              <w:pPr>
                                <w:spacing w:before="0" w:line="232" w:lineRule="exact"/>
                                <w:ind w:left="0" w:right="0" w:firstLine="0"/>
                                <w:jc w:val="left"/>
                                <w:rPr>
                                  <w:rFonts w:ascii="Calibri" w:eastAsia="Calibri"/>
                                  <w:b/>
                                  <w:sz w:val="21"/>
                                </w:rPr>
                              </w:pPr>
                              <w:r>
                                <w:rPr>
                                  <w:rFonts w:ascii="Calibri" w:eastAsia="Calibri"/>
                                  <w:b/>
                                  <w:sz w:val="21"/>
                                </w:rPr>
                                <w:t>(*</w:t>
                              </w:r>
                              <w:r>
                                <w:rPr>
                                  <w:b/>
                                  <w:sz w:val="21"/>
                                </w:rPr>
                                <w:t>此处粘贴法定代表人的身份证正反面图像或复印件</w:t>
                              </w:r>
                              <w:r>
                                <w:rPr>
                                  <w:rFonts w:ascii="Calibri" w:eastAsia="Calibri"/>
                                  <w:b/>
                                  <w:sz w:val="21"/>
                                </w:rPr>
                                <w:t>)</w:t>
                              </w:r>
                            </w:p>
                          </w:txbxContent>
                        </wps:txbx>
                        <wps:bodyPr lIns="0" tIns="0" rIns="0" bIns="0" upright="1"/>
                      </wps:wsp>
                    </wpg:wgp>
                  </a:graphicData>
                </a:graphic>
              </wp:anchor>
            </w:drawing>
          </mc:Choice>
          <mc:Fallback>
            <w:pict>
              <v:group id="组合 4" o:spid="_x0000_s1026" o:spt="203" style="position:absolute;left:0pt;margin-left:125.25pt;margin-top:15.5pt;height:238.15pt;width:386.6pt;mso-position-horizontal-relative:page;mso-wrap-distance-bottom:0pt;mso-wrap-distance-top:0pt;z-index:-251648000;mso-width-relative:page;mso-height-relative:page;" coordorigin="2505,311" coordsize="7732,4763" o:gfxdata="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">
                <o:lock v:ext="edit" aspectratio="f"/>
                <v:shape id="任意多边形 5" o:spid="_x0000_s1026" o:spt="100" style="position:absolute;left:2515;top:320;height:4743;width:7712;" filled="f" stroked="t" coordsize="7712,4743" o:gfxdata="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Rwaf7sAAADa&#10;AAAADwAAAAAAAAABACAAAAAiAAAAZHJzL2Rvd25yZXYueG1sUEsBAhQAFAAAAAgAh07iQDMvBZ47&#10;AAAAOQAAABAAAAAAAAAAAQAgAAAACgEAAGRycy9zaGFwZXhtbC54bWxQSwUGAAAAAAYABgBbAQAA&#10;tAMAAAAA&#10;" path="m792,0l716,3,642,14,570,31,501,55,435,85,372,120,313,161,258,207,208,258,162,313,121,372,85,434,56,501,32,570,15,641,4,716,0,792,0,3953,4,4029,15,4103,32,4174,56,4243,85,4309,121,4372,162,4431,208,4485,258,4536,313,4581,372,4622,435,4657,501,4687,570,4711,642,4728,716,4739,792,4742,6919,4742,6996,4739,7070,4728,7142,4711,7211,4687,7277,4657,7339,4622,7398,4581,7453,4536,7504,4485,7550,4431,7591,4372,7626,4309,7656,4243,7680,4174,7697,4103,7708,4029,7711,3953,7711,792,7708,716,7697,641,7680,570,7656,501,7626,434,7591,372,7550,313,7504,258,7453,207,7398,161,7339,120,7277,85,7211,55,7142,31,7070,14,6996,3,6919,0,792,0xe">
                  <v:fill on="f" focussize="0,0"/>
                  <v:stroke weight="1pt" color="#000000" joinstyle="round" dashstyle="longDash"/>
                  <v:imagedata o:title=""/>
                  <o:lock v:ext="edit" aspectratio="f"/>
                </v:shape>
                <v:shape id="文本框 6" o:spid="_x0000_s1026" o:spt="202" type="#_x0000_t202" style="position:absolute;left:3936;top:1303;height:232;width:4896;"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2" w:lineRule="exact"/>
                          <w:ind w:left="0" w:right="0" w:firstLine="0"/>
                          <w:jc w:val="left"/>
                          <w:rPr>
                            <w:rFonts w:ascii="Calibri" w:eastAsia="Calibri"/>
                            <w:b/>
                            <w:sz w:val="21"/>
                          </w:rPr>
                        </w:pPr>
                        <w:r>
                          <w:rPr>
                            <w:rFonts w:ascii="Calibri" w:eastAsia="Calibri"/>
                            <w:b/>
                            <w:sz w:val="21"/>
                          </w:rPr>
                          <w:t>(*</w:t>
                        </w:r>
                        <w:r>
                          <w:rPr>
                            <w:b/>
                            <w:sz w:val="21"/>
                          </w:rPr>
                          <w:t>此处粘贴法定代表人的身份证正反面图像或复印件</w:t>
                        </w:r>
                        <w:r>
                          <w:rPr>
                            <w:rFonts w:ascii="Calibri" w:eastAsia="Calibri"/>
                            <w:b/>
                            <w:sz w:val="21"/>
                          </w:rPr>
                          <w:t>)</w:t>
                        </w:r>
                      </w:p>
                    </w:txbxContent>
                  </v:textbox>
                </v:shape>
                <w10:wrap type="topAndBottom"/>
              </v:group>
            </w:pict>
          </mc:Fallback>
        </mc:AlternateContent>
      </w:r>
    </w:p>
    <w:p>
      <w:pPr>
        <w:pStyle w:val="5"/>
        <w:rPr>
          <w:highlight w:val="none"/>
        </w:rPr>
      </w:pPr>
    </w:p>
    <w:p>
      <w:pPr>
        <w:pStyle w:val="5"/>
        <w:rPr>
          <w:highlight w:val="none"/>
        </w:rPr>
      </w:pPr>
    </w:p>
    <w:p>
      <w:pPr>
        <w:pStyle w:val="5"/>
        <w:rPr>
          <w:highlight w:val="none"/>
        </w:rPr>
      </w:pPr>
    </w:p>
    <w:p>
      <w:pPr>
        <w:pStyle w:val="5"/>
        <w:spacing w:before="7"/>
        <w:rPr>
          <w:sz w:val="22"/>
          <w:highlight w:val="none"/>
        </w:rPr>
      </w:pPr>
    </w:p>
    <w:p>
      <w:pPr>
        <w:pStyle w:val="5"/>
        <w:tabs>
          <w:tab w:val="left" w:pos="3233"/>
          <w:tab w:val="left" w:pos="3475"/>
          <w:tab w:val="left" w:pos="6780"/>
        </w:tabs>
        <w:ind w:left="463"/>
        <w:jc w:val="center"/>
        <w:rPr>
          <w:rFonts w:ascii="Times New Roman" w:eastAsia="Times New Roman"/>
          <w:highlight w:val="none"/>
        </w:rPr>
      </w:pPr>
      <w:r>
        <w:rPr>
          <w:highlight w:val="none"/>
        </w:rPr>
        <w:t>法定代表人：</w:t>
      </w:r>
      <w:r>
        <w:rPr>
          <w:highlight w:val="none"/>
          <w:u w:val="single"/>
        </w:rPr>
        <w:t>(签名)</w:t>
      </w:r>
      <w:r>
        <w:rPr>
          <w:highlight w:val="none"/>
          <w:u w:val="single"/>
        </w:rPr>
        <w:tab/>
      </w:r>
      <w:r>
        <w:rPr>
          <w:highlight w:val="none"/>
        </w:rPr>
        <w:tab/>
      </w:r>
      <w:r>
        <w:rPr>
          <w:highlight w:val="none"/>
        </w:rPr>
        <w:t>签署日期</w:t>
      </w:r>
      <w:r>
        <w:rPr>
          <w:spacing w:val="-3"/>
          <w:highlight w:val="none"/>
        </w:rPr>
        <w:t>：</w:t>
      </w:r>
      <w:r>
        <w:rPr>
          <w:rFonts w:ascii="Times New Roman" w:eastAsia="Times New Roman"/>
          <w:highlight w:val="none"/>
          <w:u w:val="single"/>
        </w:rPr>
        <w:t xml:space="preserve"> </w:t>
      </w:r>
      <w:r>
        <w:rPr>
          <w:rFonts w:ascii="Times New Roman" w:eastAsia="Times New Roman"/>
          <w:highlight w:val="none"/>
          <w:u w:val="single"/>
        </w:rPr>
        <w:tab/>
      </w:r>
    </w:p>
    <w:p>
      <w:pPr>
        <w:pStyle w:val="5"/>
        <w:rPr>
          <w:rFonts w:ascii="Times New Roman"/>
          <w:sz w:val="20"/>
          <w:highlight w:val="none"/>
        </w:rPr>
      </w:pPr>
    </w:p>
    <w:p>
      <w:pPr>
        <w:pStyle w:val="5"/>
        <w:tabs>
          <w:tab w:val="left" w:pos="8937"/>
        </w:tabs>
        <w:spacing w:before="211"/>
        <w:ind w:left="2193"/>
        <w:rPr>
          <w:highlight w:val="none"/>
        </w:rPr>
      </w:pPr>
      <w:r>
        <w:rPr>
          <w:highlight w:val="none"/>
        </w:rPr>
        <w:t>投标单位：</w:t>
      </w:r>
      <w:r>
        <w:rPr>
          <w:highlight w:val="none"/>
          <w:u w:val="single"/>
        </w:rPr>
        <w:t>（加盖公章）</w:t>
      </w:r>
      <w:r>
        <w:rPr>
          <w:highlight w:val="none"/>
          <w:u w:val="single"/>
        </w:rPr>
        <w:tab/>
      </w:r>
    </w:p>
    <w:p>
      <w:pPr>
        <w:spacing w:after="0"/>
        <w:rPr>
          <w:highlight w:val="none"/>
        </w:rPr>
        <w:sectPr>
          <w:pgSz w:w="11900" w:h="16840"/>
          <w:pgMar w:top="1440" w:right="520" w:bottom="1380" w:left="1140" w:header="0" w:footer="1199" w:gutter="0"/>
          <w:pgNumType w:fmt="decimal"/>
          <w:cols w:space="720" w:num="1"/>
        </w:sectPr>
      </w:pPr>
    </w:p>
    <w:p>
      <w:pPr>
        <w:spacing w:before="10"/>
        <w:ind w:left="0" w:right="611" w:firstLine="0"/>
        <w:jc w:val="center"/>
        <w:rPr>
          <w:sz w:val="44"/>
          <w:highlight w:val="none"/>
        </w:rPr>
      </w:pPr>
      <w:r>
        <w:rPr>
          <w:sz w:val="44"/>
          <w:highlight w:val="none"/>
        </w:rPr>
        <w:t>法定代表人授权委托书</w:t>
      </w:r>
    </w:p>
    <w:p>
      <w:pPr>
        <w:pStyle w:val="5"/>
        <w:spacing w:before="109"/>
        <w:ind w:left="2172"/>
        <w:rPr>
          <w:highlight w:val="none"/>
        </w:rPr>
      </w:pPr>
      <w:r>
        <w:rPr>
          <w:highlight w:val="none"/>
        </w:rPr>
        <w:t>（非法定代表人参加投标的，出具此授权委托书）</w:t>
      </w:r>
    </w:p>
    <w:p>
      <w:pPr>
        <w:pStyle w:val="5"/>
        <w:rPr>
          <w:highlight w:val="none"/>
        </w:rPr>
      </w:pPr>
    </w:p>
    <w:p>
      <w:pPr>
        <w:pStyle w:val="5"/>
        <w:spacing w:before="3"/>
        <w:rPr>
          <w:sz w:val="25"/>
          <w:highlight w:val="none"/>
        </w:rPr>
      </w:pPr>
    </w:p>
    <w:p>
      <w:pPr>
        <w:pStyle w:val="5"/>
        <w:ind w:left="662"/>
        <w:rPr>
          <w:rFonts w:hint="eastAsia" w:eastAsia="宋体"/>
          <w:highlight w:val="none"/>
          <w:lang w:eastAsia="zh-CN"/>
        </w:rPr>
      </w:pPr>
      <w:r>
        <w:rPr>
          <w:highlight w:val="none"/>
        </w:rPr>
        <w:t>致：</w:t>
      </w:r>
      <w:r>
        <w:rPr>
          <w:rFonts w:hint="eastAsia"/>
          <w:highlight w:val="none"/>
          <w:lang w:eastAsia="zh-CN"/>
        </w:rPr>
        <w:t>海南诚采项目管理有限公司</w:t>
      </w:r>
    </w:p>
    <w:p>
      <w:pPr>
        <w:pStyle w:val="5"/>
        <w:spacing w:before="7"/>
        <w:rPr>
          <w:highlight w:val="none"/>
        </w:rPr>
      </w:pPr>
    </w:p>
    <w:p>
      <w:pPr>
        <w:pStyle w:val="5"/>
        <w:spacing w:line="364" w:lineRule="auto"/>
        <w:ind w:left="659" w:right="1271" w:firstLine="600"/>
        <w:jc w:val="both"/>
        <w:rPr>
          <w:highlight w:val="none"/>
        </w:rPr>
      </w:pPr>
      <w:r>
        <w:rPr>
          <w:spacing w:val="8"/>
          <w:highlight w:val="none"/>
        </w:rPr>
        <w:t xml:space="preserve">本授权书宣告： </w:t>
      </w:r>
      <w:r>
        <w:rPr>
          <w:spacing w:val="13"/>
          <w:highlight w:val="none"/>
          <w:u w:val="single"/>
        </w:rPr>
        <w:t xml:space="preserve">投标人公司全称  </w:t>
      </w:r>
      <w:r>
        <w:rPr>
          <w:highlight w:val="none"/>
        </w:rPr>
        <w:t>之</w:t>
      </w:r>
      <w:r>
        <w:rPr>
          <w:spacing w:val="8"/>
          <w:highlight w:val="none"/>
          <w:u w:val="single"/>
        </w:rPr>
        <w:t xml:space="preserve"> 法定代表人姓名 (职务</w:t>
      </w:r>
      <w:r>
        <w:rPr>
          <w:highlight w:val="none"/>
          <w:u w:val="single"/>
        </w:rPr>
        <w:t>）</w:t>
      </w:r>
      <w:r>
        <w:rPr>
          <w:spacing w:val="-20"/>
          <w:highlight w:val="none"/>
        </w:rPr>
        <w:t xml:space="preserve"> 合法</w:t>
      </w:r>
      <w:r>
        <w:rPr>
          <w:spacing w:val="-4"/>
          <w:highlight w:val="none"/>
        </w:rPr>
        <w:t>地代表我公司，授权</w:t>
      </w:r>
      <w:r>
        <w:rPr>
          <w:spacing w:val="10"/>
          <w:highlight w:val="none"/>
          <w:u w:val="single"/>
        </w:rPr>
        <w:t xml:space="preserve"> 被授权人姓名 </w:t>
      </w:r>
      <w:r>
        <w:rPr>
          <w:highlight w:val="none"/>
          <w:u w:val="single"/>
        </w:rPr>
        <w:t>（职务）</w:t>
      </w:r>
      <w:r>
        <w:rPr>
          <w:spacing w:val="-7"/>
          <w:highlight w:val="none"/>
        </w:rPr>
        <w:t xml:space="preserve"> 为我公司的投标代理人，该代理人有权在</w:t>
      </w:r>
      <w:r>
        <w:rPr>
          <w:spacing w:val="-5"/>
          <w:highlight w:val="none"/>
          <w:u w:val="single"/>
        </w:rPr>
        <w:t xml:space="preserve">    </w:t>
      </w:r>
      <w:r>
        <w:rPr>
          <w:spacing w:val="-9"/>
          <w:highlight w:val="none"/>
        </w:rPr>
        <w:t>采购项目</w:t>
      </w:r>
      <w:r>
        <w:rPr>
          <w:highlight w:val="none"/>
        </w:rPr>
        <w:t>（项目编号:</w:t>
      </w:r>
      <w:r>
        <w:rPr>
          <w:highlight w:val="none"/>
          <w:u w:val="single"/>
        </w:rPr>
        <w:t xml:space="preserve">    </w:t>
      </w:r>
      <w:r>
        <w:rPr>
          <w:spacing w:val="-34"/>
          <w:highlight w:val="none"/>
        </w:rPr>
        <w:t>）</w:t>
      </w:r>
      <w:r>
        <w:rPr>
          <w:highlight w:val="none"/>
        </w:rPr>
        <w:t>第</w:t>
      </w:r>
      <w:r>
        <w:rPr>
          <w:highlight w:val="none"/>
          <w:u w:val="single"/>
        </w:rPr>
        <w:t xml:space="preserve">  </w:t>
      </w:r>
      <w:r>
        <w:rPr>
          <w:spacing w:val="-5"/>
          <w:highlight w:val="none"/>
        </w:rPr>
        <w:t>包的投标活动中，以我公司的名</w:t>
      </w:r>
      <w:r>
        <w:rPr>
          <w:spacing w:val="-11"/>
          <w:highlight w:val="none"/>
        </w:rPr>
        <w:t>义签署投标文件、签订合同协议书等一切与此活动相关的文件，及处理投标过程中其他相关事项。</w:t>
      </w:r>
    </w:p>
    <w:p>
      <w:pPr>
        <w:pStyle w:val="5"/>
        <w:spacing w:before="2"/>
        <w:rPr>
          <w:sz w:val="22"/>
          <w:highlight w:val="none"/>
        </w:rPr>
      </w:pPr>
    </w:p>
    <w:p>
      <w:pPr>
        <w:pStyle w:val="5"/>
        <w:ind w:left="1140"/>
        <w:rPr>
          <w:highlight w:val="none"/>
        </w:rPr>
      </w:pPr>
      <w:r>
        <w:rPr>
          <w:highlight w:val="none"/>
        </w:rPr>
        <w:t>本授权书无转授权，并于签字盖章日生效，特此声明。</w:t>
      </w:r>
    </w:p>
    <w:p>
      <w:pPr>
        <w:pStyle w:val="5"/>
        <w:rPr>
          <w:sz w:val="20"/>
          <w:highlight w:val="none"/>
        </w:rPr>
      </w:pPr>
    </w:p>
    <w:p>
      <w:pPr>
        <w:pStyle w:val="5"/>
        <w:spacing w:before="11"/>
        <w:rPr>
          <w:highlight w:val="none"/>
        </w:rPr>
      </w:pPr>
      <w:r>
        <w:rPr>
          <w:highlight w:val="none"/>
        </w:rPr>
        <mc:AlternateContent>
          <mc:Choice Requires="wpg">
            <w:drawing>
              <wp:anchor distT="0" distB="0" distL="114300" distR="114300" simplePos="0" relativeHeight="251669504" behindDoc="1" locked="0" layoutInCell="1" allowOverlap="1">
                <wp:simplePos x="0" y="0"/>
                <wp:positionH relativeFrom="page">
                  <wp:posOffset>1207770</wp:posOffset>
                </wp:positionH>
                <wp:positionV relativeFrom="paragraph">
                  <wp:posOffset>227965</wp:posOffset>
                </wp:positionV>
                <wp:extent cx="2783840" cy="2349500"/>
                <wp:effectExtent l="635" t="635" r="15875" b="12065"/>
                <wp:wrapTopAndBottom/>
                <wp:docPr id="11" name="组合 7"/>
                <wp:cNvGraphicFramePr/>
                <a:graphic xmlns:a="http://schemas.openxmlformats.org/drawingml/2006/main">
                  <a:graphicData uri="http://schemas.microsoft.com/office/word/2010/wordprocessingGroup">
                    <wpg:wgp>
                      <wpg:cNvGrpSpPr/>
                      <wpg:grpSpPr>
                        <a:xfrm>
                          <a:off x="0" y="0"/>
                          <a:ext cx="2783840" cy="2349500"/>
                          <a:chOff x="1903" y="360"/>
                          <a:chExt cx="4384" cy="3700"/>
                        </a:xfrm>
                      </wpg:grpSpPr>
                      <wps:wsp>
                        <wps:cNvPr id="9" name="任意多边形 8"/>
                        <wps:cNvSpPr/>
                        <wps:spPr>
                          <a:xfrm>
                            <a:off x="1912" y="369"/>
                            <a:ext cx="4364" cy="3680"/>
                          </a:xfrm>
                          <a:custGeom>
                            <a:avLst/>
                            <a:gdLst/>
                            <a:ahLst/>
                            <a:cxnLst/>
                            <a:pathLst>
                              <a:path w="4364" h="3680">
                                <a:moveTo>
                                  <a:pt x="612" y="0"/>
                                </a:moveTo>
                                <a:lnTo>
                                  <a:pt x="535" y="5"/>
                                </a:lnTo>
                                <a:lnTo>
                                  <a:pt x="461" y="19"/>
                                </a:lnTo>
                                <a:lnTo>
                                  <a:pt x="390" y="41"/>
                                </a:lnTo>
                                <a:lnTo>
                                  <a:pt x="324" y="72"/>
                                </a:lnTo>
                                <a:lnTo>
                                  <a:pt x="262" y="109"/>
                                </a:lnTo>
                                <a:lnTo>
                                  <a:pt x="205" y="154"/>
                                </a:lnTo>
                                <a:lnTo>
                                  <a:pt x="154" y="205"/>
                                </a:lnTo>
                                <a:lnTo>
                                  <a:pt x="109" y="262"/>
                                </a:lnTo>
                                <a:lnTo>
                                  <a:pt x="71" y="324"/>
                                </a:lnTo>
                                <a:lnTo>
                                  <a:pt x="41" y="391"/>
                                </a:lnTo>
                                <a:lnTo>
                                  <a:pt x="18" y="461"/>
                                </a:lnTo>
                                <a:lnTo>
                                  <a:pt x="5" y="535"/>
                                </a:lnTo>
                                <a:lnTo>
                                  <a:pt x="0" y="612"/>
                                </a:lnTo>
                                <a:lnTo>
                                  <a:pt x="0" y="3065"/>
                                </a:lnTo>
                                <a:lnTo>
                                  <a:pt x="5" y="3142"/>
                                </a:lnTo>
                                <a:lnTo>
                                  <a:pt x="18" y="3216"/>
                                </a:lnTo>
                                <a:lnTo>
                                  <a:pt x="41" y="3287"/>
                                </a:lnTo>
                                <a:lnTo>
                                  <a:pt x="71" y="3354"/>
                                </a:lnTo>
                                <a:lnTo>
                                  <a:pt x="109" y="3416"/>
                                </a:lnTo>
                                <a:lnTo>
                                  <a:pt x="154" y="3473"/>
                                </a:lnTo>
                                <a:lnTo>
                                  <a:pt x="205" y="3525"/>
                                </a:lnTo>
                                <a:lnTo>
                                  <a:pt x="262" y="3569"/>
                                </a:lnTo>
                                <a:lnTo>
                                  <a:pt x="324" y="3607"/>
                                </a:lnTo>
                                <a:lnTo>
                                  <a:pt x="390" y="3638"/>
                                </a:lnTo>
                                <a:lnTo>
                                  <a:pt x="461" y="3660"/>
                                </a:lnTo>
                                <a:lnTo>
                                  <a:pt x="535" y="3674"/>
                                </a:lnTo>
                                <a:lnTo>
                                  <a:pt x="612" y="3679"/>
                                </a:lnTo>
                                <a:lnTo>
                                  <a:pt x="3751" y="3679"/>
                                </a:lnTo>
                                <a:lnTo>
                                  <a:pt x="3828" y="3674"/>
                                </a:lnTo>
                                <a:lnTo>
                                  <a:pt x="3902" y="3660"/>
                                </a:lnTo>
                                <a:lnTo>
                                  <a:pt x="3972" y="3638"/>
                                </a:lnTo>
                                <a:lnTo>
                                  <a:pt x="4039" y="3607"/>
                                </a:lnTo>
                                <a:lnTo>
                                  <a:pt x="4101" y="3569"/>
                                </a:lnTo>
                                <a:lnTo>
                                  <a:pt x="4158" y="3525"/>
                                </a:lnTo>
                                <a:lnTo>
                                  <a:pt x="4209" y="3473"/>
                                </a:lnTo>
                                <a:lnTo>
                                  <a:pt x="4253" y="3416"/>
                                </a:lnTo>
                                <a:lnTo>
                                  <a:pt x="4291" y="3354"/>
                                </a:lnTo>
                                <a:lnTo>
                                  <a:pt x="4322" y="3287"/>
                                </a:lnTo>
                                <a:lnTo>
                                  <a:pt x="4344" y="3216"/>
                                </a:lnTo>
                                <a:lnTo>
                                  <a:pt x="4358" y="3142"/>
                                </a:lnTo>
                                <a:lnTo>
                                  <a:pt x="4363" y="3065"/>
                                </a:lnTo>
                                <a:lnTo>
                                  <a:pt x="4363" y="612"/>
                                </a:lnTo>
                                <a:lnTo>
                                  <a:pt x="4358" y="535"/>
                                </a:lnTo>
                                <a:lnTo>
                                  <a:pt x="4344" y="461"/>
                                </a:lnTo>
                                <a:lnTo>
                                  <a:pt x="4322" y="391"/>
                                </a:lnTo>
                                <a:lnTo>
                                  <a:pt x="4291" y="324"/>
                                </a:lnTo>
                                <a:lnTo>
                                  <a:pt x="4253" y="262"/>
                                </a:lnTo>
                                <a:lnTo>
                                  <a:pt x="4209" y="205"/>
                                </a:lnTo>
                                <a:lnTo>
                                  <a:pt x="4158" y="154"/>
                                </a:lnTo>
                                <a:lnTo>
                                  <a:pt x="4101" y="109"/>
                                </a:lnTo>
                                <a:lnTo>
                                  <a:pt x="4039" y="72"/>
                                </a:lnTo>
                                <a:lnTo>
                                  <a:pt x="3972" y="41"/>
                                </a:lnTo>
                                <a:lnTo>
                                  <a:pt x="3902" y="19"/>
                                </a:lnTo>
                                <a:lnTo>
                                  <a:pt x="3828" y="5"/>
                                </a:lnTo>
                                <a:lnTo>
                                  <a:pt x="3751" y="0"/>
                                </a:lnTo>
                                <a:lnTo>
                                  <a:pt x="612" y="0"/>
                                </a:lnTo>
                                <a:close/>
                              </a:path>
                            </a:pathLst>
                          </a:custGeom>
                          <a:noFill/>
                          <a:ln w="12700" cap="flat" cmpd="sng">
                            <a:solidFill>
                              <a:srgbClr val="000000"/>
                            </a:solidFill>
                            <a:prstDash val="lgDash"/>
                            <a:headEnd type="none" w="med" len="med"/>
                            <a:tailEnd type="none" w="med" len="med"/>
                          </a:ln>
                        </wps:spPr>
                        <wps:bodyPr upright="1"/>
                      </wps:wsp>
                      <wps:wsp>
                        <wps:cNvPr id="10" name="文本框 9"/>
                        <wps:cNvSpPr txBox="1"/>
                        <wps:spPr>
                          <a:xfrm>
                            <a:off x="1902" y="359"/>
                            <a:ext cx="4384" cy="3700"/>
                          </a:xfrm>
                          <a:prstGeom prst="rect">
                            <a:avLst/>
                          </a:prstGeom>
                          <a:noFill/>
                          <a:ln>
                            <a:noFill/>
                          </a:ln>
                        </wps:spPr>
                        <wps:txbx>
                          <w:txbxContent>
                            <w:p>
                              <w:pPr>
                                <w:spacing w:before="0" w:line="240" w:lineRule="auto"/>
                                <w:rPr>
                                  <w:sz w:val="22"/>
                                </w:rPr>
                              </w:pPr>
                            </w:p>
                            <w:p>
                              <w:pPr>
                                <w:spacing w:before="0" w:line="240" w:lineRule="auto"/>
                                <w:rPr>
                                  <w:sz w:val="22"/>
                                </w:rPr>
                              </w:pPr>
                            </w:p>
                            <w:p>
                              <w:pPr>
                                <w:spacing w:before="3" w:line="240" w:lineRule="auto"/>
                                <w:rPr>
                                  <w:sz w:val="27"/>
                                </w:rPr>
                              </w:pPr>
                            </w:p>
                            <w:p>
                              <w:pPr>
                                <w:spacing w:before="1" w:line="278" w:lineRule="auto"/>
                                <w:ind w:left="1526" w:right="416" w:hanging="1109"/>
                                <w:jc w:val="left"/>
                                <w:rPr>
                                  <w:rFonts w:ascii="Calibri" w:eastAsia="Calibri"/>
                                  <w:b/>
                                  <w:sz w:val="21"/>
                                </w:rPr>
                              </w:pPr>
                              <w:r>
                                <w:rPr>
                                  <w:rFonts w:ascii="Calibri" w:eastAsia="Calibri"/>
                                  <w:b/>
                                  <w:sz w:val="21"/>
                                </w:rPr>
                                <w:t>(*</w:t>
                              </w:r>
                              <w:r>
                                <w:rPr>
                                  <w:b/>
                                  <w:sz w:val="21"/>
                                </w:rPr>
                                <w:t>此处粘贴法定代表人的身份证正反面图像或复印件</w:t>
                              </w:r>
                              <w:r>
                                <w:rPr>
                                  <w:rFonts w:ascii="Calibri" w:eastAsia="Calibri"/>
                                  <w:b/>
                                  <w:sz w:val="21"/>
                                </w:rPr>
                                <w:t>)</w:t>
                              </w:r>
                            </w:p>
                          </w:txbxContent>
                        </wps:txbx>
                        <wps:bodyPr lIns="0" tIns="0" rIns="0" bIns="0" upright="1"/>
                      </wps:wsp>
                    </wpg:wgp>
                  </a:graphicData>
                </a:graphic>
              </wp:anchor>
            </w:drawing>
          </mc:Choice>
          <mc:Fallback>
            <w:pict>
              <v:group id="组合 7" o:spid="_x0000_s1026" o:spt="203" style="position:absolute;left:0pt;margin-left:95.1pt;margin-top:17.95pt;height:185pt;width:219.2pt;mso-position-horizontal-relative:page;mso-wrap-distance-bottom:0pt;mso-wrap-distance-top:0pt;z-index:-251646976;mso-width-relative:page;mso-height-relative:page;" coordorigin="1903,360" coordsize="4384,3700" o:gfxdata="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">
                <o:lock v:ext="edit" aspectratio="f"/>
                <v:shape id="任意多边形 8" o:spid="_x0000_s1026" o:spt="100" style="position:absolute;left:1912;top:369;height:3680;width:4364;" filled="f" stroked="t" coordsize="4364,3680" o:gfxdata="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0l8u2AAAA2gAAAA8A&#10;AAAAAAAAAQAgAAAAIgAAAGRycy9kb3ducmV2LnhtbFBLAQIUABQAAAAIAIdO4kAzLwWeOwAAADkA&#10;AAAQAAAAAAAAAAEAIAAAAAUBAABkcnMvc2hhcGV4bWwueG1sUEsFBgAAAAAGAAYAWwEAAK8DAAAA&#10;AA==&#10;" path="m612,0l535,5,461,19,390,41,324,72,262,109,205,154,154,205,109,262,71,324,41,391,18,461,5,535,0,612,0,3065,5,3142,18,3216,41,3287,71,3354,109,3416,154,3473,205,3525,262,3569,324,3607,390,3638,461,3660,535,3674,612,3679,3751,3679,3828,3674,3902,3660,3972,3638,4039,3607,4101,3569,4158,3525,4209,3473,4253,3416,4291,3354,4322,3287,4344,3216,4358,3142,4363,3065,4363,612,4358,535,4344,461,4322,391,4291,324,4253,262,4209,205,4158,154,4101,109,4039,72,3972,41,3902,19,3828,5,3751,0,612,0xe">
                  <v:fill on="f" focussize="0,0"/>
                  <v:stroke weight="1pt" color="#000000" joinstyle="round" dashstyle="longDash"/>
                  <v:imagedata o:title=""/>
                  <o:lock v:ext="edit" aspectratio="f"/>
                </v:shape>
                <v:shape id="文本框 9" o:spid="_x0000_s1026" o:spt="202" type="#_x0000_t202" style="position:absolute;left:1902;top:359;height:3700;width:4384;"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40" w:lineRule="auto"/>
                          <w:rPr>
                            <w:sz w:val="22"/>
                          </w:rPr>
                        </w:pPr>
                      </w:p>
                      <w:p>
                        <w:pPr>
                          <w:spacing w:before="0" w:line="240" w:lineRule="auto"/>
                          <w:rPr>
                            <w:sz w:val="22"/>
                          </w:rPr>
                        </w:pPr>
                      </w:p>
                      <w:p>
                        <w:pPr>
                          <w:spacing w:before="3" w:line="240" w:lineRule="auto"/>
                          <w:rPr>
                            <w:sz w:val="27"/>
                          </w:rPr>
                        </w:pPr>
                      </w:p>
                      <w:p>
                        <w:pPr>
                          <w:spacing w:before="1" w:line="278" w:lineRule="auto"/>
                          <w:ind w:left="1526" w:right="416" w:hanging="1109"/>
                          <w:jc w:val="left"/>
                          <w:rPr>
                            <w:rFonts w:ascii="Calibri" w:eastAsia="Calibri"/>
                            <w:b/>
                            <w:sz w:val="21"/>
                          </w:rPr>
                        </w:pPr>
                        <w:r>
                          <w:rPr>
                            <w:rFonts w:ascii="Calibri" w:eastAsia="Calibri"/>
                            <w:b/>
                            <w:sz w:val="21"/>
                          </w:rPr>
                          <w:t>(*</w:t>
                        </w:r>
                        <w:r>
                          <w:rPr>
                            <w:b/>
                            <w:sz w:val="21"/>
                          </w:rPr>
                          <w:t>此处粘贴法定代表人的身份证正反面图像或复印件</w:t>
                        </w:r>
                        <w:r>
                          <w:rPr>
                            <w:rFonts w:ascii="Calibri" w:eastAsia="Calibri"/>
                            <w:b/>
                            <w:sz w:val="21"/>
                          </w:rPr>
                          <w:t>)</w:t>
                        </w:r>
                      </w:p>
                    </w:txbxContent>
                  </v:textbox>
                </v:shape>
                <w10:wrap type="topAndBottom"/>
              </v:group>
            </w:pict>
          </mc:Fallback>
        </mc:AlternateContent>
      </w:r>
      <w:r>
        <w:rPr>
          <w:highlight w:val="none"/>
        </w:rPr>
        <mc:AlternateContent>
          <mc:Choice Requires="wpg">
            <w:drawing>
              <wp:anchor distT="0" distB="0" distL="114300" distR="114300" simplePos="0" relativeHeight="251670528" behindDoc="1" locked="0" layoutInCell="1" allowOverlap="1">
                <wp:simplePos x="0" y="0"/>
                <wp:positionH relativeFrom="page">
                  <wp:posOffset>4406900</wp:posOffset>
                </wp:positionH>
                <wp:positionV relativeFrom="paragraph">
                  <wp:posOffset>226695</wp:posOffset>
                </wp:positionV>
                <wp:extent cx="2745740" cy="2326640"/>
                <wp:effectExtent l="0" t="635" r="16510" b="15875"/>
                <wp:wrapTopAndBottom/>
                <wp:docPr id="14" name="组合 10"/>
                <wp:cNvGraphicFramePr/>
                <a:graphic xmlns:a="http://schemas.openxmlformats.org/drawingml/2006/main">
                  <a:graphicData uri="http://schemas.microsoft.com/office/word/2010/wordprocessingGroup">
                    <wpg:wgp>
                      <wpg:cNvGrpSpPr/>
                      <wpg:grpSpPr>
                        <a:xfrm>
                          <a:off x="0" y="0"/>
                          <a:ext cx="2745740" cy="2326640"/>
                          <a:chOff x="6940" y="358"/>
                          <a:chExt cx="4324" cy="3664"/>
                        </a:xfrm>
                      </wpg:grpSpPr>
                      <wps:wsp>
                        <wps:cNvPr id="12" name="任意多边形 11"/>
                        <wps:cNvSpPr/>
                        <wps:spPr>
                          <a:xfrm>
                            <a:off x="6950" y="367"/>
                            <a:ext cx="4304" cy="3644"/>
                          </a:xfrm>
                          <a:custGeom>
                            <a:avLst/>
                            <a:gdLst/>
                            <a:ahLst/>
                            <a:cxnLst/>
                            <a:pathLst>
                              <a:path w="4304" h="3644">
                                <a:moveTo>
                                  <a:pt x="608" y="0"/>
                                </a:moveTo>
                                <a:lnTo>
                                  <a:pt x="531" y="4"/>
                                </a:lnTo>
                                <a:lnTo>
                                  <a:pt x="458" y="18"/>
                                </a:lnTo>
                                <a:lnTo>
                                  <a:pt x="388" y="40"/>
                                </a:lnTo>
                                <a:lnTo>
                                  <a:pt x="322" y="71"/>
                                </a:lnTo>
                                <a:lnTo>
                                  <a:pt x="260" y="108"/>
                                </a:lnTo>
                                <a:lnTo>
                                  <a:pt x="204" y="153"/>
                                </a:lnTo>
                                <a:lnTo>
                                  <a:pt x="153" y="203"/>
                                </a:lnTo>
                                <a:lnTo>
                                  <a:pt x="109" y="260"/>
                                </a:lnTo>
                                <a:lnTo>
                                  <a:pt x="71" y="321"/>
                                </a:lnTo>
                                <a:lnTo>
                                  <a:pt x="41" y="387"/>
                                </a:lnTo>
                                <a:lnTo>
                                  <a:pt x="19" y="457"/>
                                </a:lnTo>
                                <a:lnTo>
                                  <a:pt x="5" y="530"/>
                                </a:lnTo>
                                <a:lnTo>
                                  <a:pt x="0" y="607"/>
                                </a:lnTo>
                                <a:lnTo>
                                  <a:pt x="0" y="3036"/>
                                </a:lnTo>
                                <a:lnTo>
                                  <a:pt x="5" y="3112"/>
                                </a:lnTo>
                                <a:lnTo>
                                  <a:pt x="19" y="3185"/>
                                </a:lnTo>
                                <a:lnTo>
                                  <a:pt x="41" y="3255"/>
                                </a:lnTo>
                                <a:lnTo>
                                  <a:pt x="71" y="3321"/>
                                </a:lnTo>
                                <a:lnTo>
                                  <a:pt x="109" y="3383"/>
                                </a:lnTo>
                                <a:lnTo>
                                  <a:pt x="153" y="3439"/>
                                </a:lnTo>
                                <a:lnTo>
                                  <a:pt x="204" y="3490"/>
                                </a:lnTo>
                                <a:lnTo>
                                  <a:pt x="260" y="3534"/>
                                </a:lnTo>
                                <a:lnTo>
                                  <a:pt x="322" y="3572"/>
                                </a:lnTo>
                                <a:lnTo>
                                  <a:pt x="388" y="3602"/>
                                </a:lnTo>
                                <a:lnTo>
                                  <a:pt x="458" y="3624"/>
                                </a:lnTo>
                                <a:lnTo>
                                  <a:pt x="531" y="3638"/>
                                </a:lnTo>
                                <a:lnTo>
                                  <a:pt x="608" y="3643"/>
                                </a:lnTo>
                                <a:lnTo>
                                  <a:pt x="3696" y="3643"/>
                                </a:lnTo>
                                <a:lnTo>
                                  <a:pt x="3772" y="3638"/>
                                </a:lnTo>
                                <a:lnTo>
                                  <a:pt x="3845" y="3624"/>
                                </a:lnTo>
                                <a:lnTo>
                                  <a:pt x="3915" y="3602"/>
                                </a:lnTo>
                                <a:lnTo>
                                  <a:pt x="3981" y="3572"/>
                                </a:lnTo>
                                <a:lnTo>
                                  <a:pt x="4043" y="3534"/>
                                </a:lnTo>
                                <a:lnTo>
                                  <a:pt x="4099" y="3490"/>
                                </a:lnTo>
                                <a:lnTo>
                                  <a:pt x="4150" y="3439"/>
                                </a:lnTo>
                                <a:lnTo>
                                  <a:pt x="4194" y="3383"/>
                                </a:lnTo>
                                <a:lnTo>
                                  <a:pt x="4232" y="3321"/>
                                </a:lnTo>
                                <a:lnTo>
                                  <a:pt x="4263" y="3255"/>
                                </a:lnTo>
                                <a:lnTo>
                                  <a:pt x="4285" y="3185"/>
                                </a:lnTo>
                                <a:lnTo>
                                  <a:pt x="4299" y="3112"/>
                                </a:lnTo>
                                <a:lnTo>
                                  <a:pt x="4304" y="3036"/>
                                </a:lnTo>
                                <a:lnTo>
                                  <a:pt x="4304" y="607"/>
                                </a:lnTo>
                                <a:lnTo>
                                  <a:pt x="4299" y="530"/>
                                </a:lnTo>
                                <a:lnTo>
                                  <a:pt x="4285" y="457"/>
                                </a:lnTo>
                                <a:lnTo>
                                  <a:pt x="4263" y="387"/>
                                </a:lnTo>
                                <a:lnTo>
                                  <a:pt x="4232" y="321"/>
                                </a:lnTo>
                                <a:lnTo>
                                  <a:pt x="4194" y="260"/>
                                </a:lnTo>
                                <a:lnTo>
                                  <a:pt x="4150" y="203"/>
                                </a:lnTo>
                                <a:lnTo>
                                  <a:pt x="4099" y="153"/>
                                </a:lnTo>
                                <a:lnTo>
                                  <a:pt x="4043" y="108"/>
                                </a:lnTo>
                                <a:lnTo>
                                  <a:pt x="3981" y="71"/>
                                </a:lnTo>
                                <a:lnTo>
                                  <a:pt x="3915" y="40"/>
                                </a:lnTo>
                                <a:lnTo>
                                  <a:pt x="3845" y="18"/>
                                </a:lnTo>
                                <a:lnTo>
                                  <a:pt x="3772" y="4"/>
                                </a:lnTo>
                                <a:lnTo>
                                  <a:pt x="3696" y="0"/>
                                </a:lnTo>
                                <a:lnTo>
                                  <a:pt x="608" y="0"/>
                                </a:lnTo>
                                <a:close/>
                              </a:path>
                            </a:pathLst>
                          </a:custGeom>
                          <a:noFill/>
                          <a:ln w="12700" cap="flat" cmpd="sng">
                            <a:solidFill>
                              <a:srgbClr val="000000"/>
                            </a:solidFill>
                            <a:prstDash val="lgDash"/>
                            <a:headEnd type="none" w="med" len="med"/>
                            <a:tailEnd type="none" w="med" len="med"/>
                          </a:ln>
                        </wps:spPr>
                        <wps:bodyPr upright="1"/>
                      </wps:wsp>
                      <wps:wsp>
                        <wps:cNvPr id="13" name="文本框 12"/>
                        <wps:cNvSpPr txBox="1"/>
                        <wps:spPr>
                          <a:xfrm>
                            <a:off x="6940" y="357"/>
                            <a:ext cx="4324" cy="3664"/>
                          </a:xfrm>
                          <a:prstGeom prst="rect">
                            <a:avLst/>
                          </a:prstGeom>
                          <a:noFill/>
                          <a:ln>
                            <a:noFill/>
                          </a:ln>
                        </wps:spPr>
                        <wps:txbx>
                          <w:txbxContent>
                            <w:p>
                              <w:pPr>
                                <w:spacing w:before="0" w:line="240" w:lineRule="auto"/>
                                <w:rPr>
                                  <w:sz w:val="22"/>
                                </w:rPr>
                              </w:pPr>
                            </w:p>
                            <w:p>
                              <w:pPr>
                                <w:spacing w:before="0" w:line="240" w:lineRule="auto"/>
                                <w:rPr>
                                  <w:sz w:val="22"/>
                                </w:rPr>
                              </w:pPr>
                            </w:p>
                            <w:p>
                              <w:pPr>
                                <w:spacing w:before="1" w:line="240" w:lineRule="auto"/>
                                <w:rPr>
                                  <w:sz w:val="27"/>
                                </w:rPr>
                              </w:pPr>
                            </w:p>
                            <w:p>
                              <w:pPr>
                                <w:spacing w:before="0" w:line="278" w:lineRule="auto"/>
                                <w:ind w:left="1603" w:right="384" w:hanging="1215"/>
                                <w:jc w:val="left"/>
                                <w:rPr>
                                  <w:rFonts w:ascii="Calibri" w:eastAsia="Calibri"/>
                                  <w:b/>
                                  <w:sz w:val="21"/>
                                </w:rPr>
                              </w:pPr>
                              <w:r>
                                <w:rPr>
                                  <w:rFonts w:ascii="Calibri" w:eastAsia="Calibri"/>
                                  <w:b/>
                                  <w:sz w:val="21"/>
                                </w:rPr>
                                <w:t>(*</w:t>
                              </w:r>
                              <w:r>
                                <w:rPr>
                                  <w:b/>
                                  <w:sz w:val="21"/>
                                </w:rPr>
                                <w:t>此处粘贴被授权人的身份证正反面图像或复印件</w:t>
                              </w:r>
                              <w:r>
                                <w:rPr>
                                  <w:rFonts w:ascii="Calibri" w:eastAsia="Calibri"/>
                                  <w:b/>
                                  <w:sz w:val="21"/>
                                </w:rPr>
                                <w:t>)</w:t>
                              </w:r>
                            </w:p>
                          </w:txbxContent>
                        </wps:txbx>
                        <wps:bodyPr lIns="0" tIns="0" rIns="0" bIns="0" upright="1"/>
                      </wps:wsp>
                    </wpg:wgp>
                  </a:graphicData>
                </a:graphic>
              </wp:anchor>
            </w:drawing>
          </mc:Choice>
          <mc:Fallback>
            <w:pict>
              <v:group id="组合 10" o:spid="_x0000_s1026" o:spt="203" style="position:absolute;left:0pt;margin-left:347pt;margin-top:17.85pt;height:183.2pt;width:216.2pt;mso-position-horizontal-relative:page;mso-wrap-distance-bottom:0pt;mso-wrap-distance-top:0pt;z-index:-251645952;mso-width-relative:page;mso-height-relative:page;" coordorigin="6940,358" coordsize="4324,3664" o:gfxdata="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">
                <o:lock v:ext="edit" aspectratio="f"/>
                <v:shape id="任意多边形 11" o:spid="_x0000_s1026" o:spt="100" style="position:absolute;left:6950;top:367;height:3644;width:4304;" filled="f" stroked="t" coordsize="4304,3644" o:gfxdata="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QYGm8AAAA&#10;2wAAAA8AAAAAAAAAAQAgAAAAIgAAAGRycy9kb3ducmV2LnhtbFBLAQIUABQAAAAIAIdO4kAzLwWe&#10;OwAAADkAAAAQAAAAAAAAAAEAIAAAAAsBAABkcnMvc2hhcGV4bWwueG1sUEsFBgAAAAAGAAYAWwEA&#10;ALUDAAAAAA==&#10;" path="m608,0l531,4,458,18,388,40,322,71,260,108,204,153,153,203,109,260,71,321,41,387,19,457,5,530,0,607,0,3036,5,3112,19,3185,41,3255,71,3321,109,3383,153,3439,204,3490,260,3534,322,3572,388,3602,458,3624,531,3638,608,3643,3696,3643,3772,3638,3845,3624,3915,3602,3981,3572,4043,3534,4099,3490,4150,3439,4194,3383,4232,3321,4263,3255,4285,3185,4299,3112,4304,3036,4304,607,4299,530,4285,457,4263,387,4232,321,4194,260,4150,203,4099,153,4043,108,3981,71,3915,40,3845,18,3772,4,3696,0,608,0xe">
                  <v:fill on="f" focussize="0,0"/>
                  <v:stroke weight="1pt" color="#000000" joinstyle="round" dashstyle="longDash"/>
                  <v:imagedata o:title=""/>
                  <o:lock v:ext="edit" aspectratio="f"/>
                </v:shape>
                <v:shape id="文本框 12" o:spid="_x0000_s1026" o:spt="202" type="#_x0000_t202" style="position:absolute;left:6940;top:357;height:3664;width:4324;"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40" w:lineRule="auto"/>
                          <w:rPr>
                            <w:sz w:val="22"/>
                          </w:rPr>
                        </w:pPr>
                      </w:p>
                      <w:p>
                        <w:pPr>
                          <w:spacing w:before="0" w:line="240" w:lineRule="auto"/>
                          <w:rPr>
                            <w:sz w:val="22"/>
                          </w:rPr>
                        </w:pPr>
                      </w:p>
                      <w:p>
                        <w:pPr>
                          <w:spacing w:before="1" w:line="240" w:lineRule="auto"/>
                          <w:rPr>
                            <w:sz w:val="27"/>
                          </w:rPr>
                        </w:pPr>
                      </w:p>
                      <w:p>
                        <w:pPr>
                          <w:spacing w:before="0" w:line="278" w:lineRule="auto"/>
                          <w:ind w:left="1603" w:right="384" w:hanging="1215"/>
                          <w:jc w:val="left"/>
                          <w:rPr>
                            <w:rFonts w:ascii="Calibri" w:eastAsia="Calibri"/>
                            <w:b/>
                            <w:sz w:val="21"/>
                          </w:rPr>
                        </w:pPr>
                        <w:r>
                          <w:rPr>
                            <w:rFonts w:ascii="Calibri" w:eastAsia="Calibri"/>
                            <w:b/>
                            <w:sz w:val="21"/>
                          </w:rPr>
                          <w:t>(*</w:t>
                        </w:r>
                        <w:r>
                          <w:rPr>
                            <w:b/>
                            <w:sz w:val="21"/>
                          </w:rPr>
                          <w:t>此处粘贴被授权人的身份证正反面图像或复印件</w:t>
                        </w:r>
                        <w:r>
                          <w:rPr>
                            <w:rFonts w:ascii="Calibri" w:eastAsia="Calibri"/>
                            <w:b/>
                            <w:sz w:val="21"/>
                          </w:rPr>
                          <w:t>)</w:t>
                        </w:r>
                      </w:p>
                    </w:txbxContent>
                  </v:textbox>
                </v:shape>
                <w10:wrap type="topAndBottom"/>
              </v:group>
            </w:pict>
          </mc:Fallback>
        </mc:AlternateContent>
      </w: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spacing w:before="8"/>
        <w:rPr>
          <w:sz w:val="20"/>
          <w:highlight w:val="none"/>
        </w:rPr>
      </w:pPr>
    </w:p>
    <w:p>
      <w:pPr>
        <w:pStyle w:val="5"/>
        <w:tabs>
          <w:tab w:val="left" w:pos="5323"/>
          <w:tab w:val="left" w:pos="5567"/>
          <w:tab w:val="left" w:pos="8872"/>
        </w:tabs>
        <w:ind w:left="2193"/>
        <w:rPr>
          <w:rFonts w:ascii="Times New Roman" w:eastAsia="Times New Roman"/>
          <w:highlight w:val="none"/>
        </w:rPr>
      </w:pPr>
      <w:r>
        <w:rPr>
          <w:highlight w:val="none"/>
        </w:rPr>
        <w:t>被授权人：</w:t>
      </w:r>
      <w:r>
        <w:rPr>
          <w:highlight w:val="none"/>
          <w:u w:val="single"/>
        </w:rPr>
        <w:t>(签名)</w:t>
      </w:r>
      <w:r>
        <w:rPr>
          <w:highlight w:val="none"/>
          <w:u w:val="single"/>
        </w:rPr>
        <w:tab/>
      </w:r>
      <w:r>
        <w:rPr>
          <w:highlight w:val="none"/>
        </w:rPr>
        <w:tab/>
      </w:r>
      <w:r>
        <w:rPr>
          <w:highlight w:val="none"/>
        </w:rPr>
        <w:t>联系电话</w:t>
      </w:r>
      <w:r>
        <w:rPr>
          <w:spacing w:val="-3"/>
          <w:highlight w:val="none"/>
        </w:rPr>
        <w:t>：</w:t>
      </w:r>
      <w:r>
        <w:rPr>
          <w:rFonts w:ascii="Times New Roman" w:eastAsia="Times New Roman"/>
          <w:highlight w:val="none"/>
          <w:u w:val="single"/>
        </w:rPr>
        <w:t xml:space="preserve"> </w:t>
      </w:r>
      <w:r>
        <w:rPr>
          <w:rFonts w:ascii="Times New Roman" w:eastAsia="Times New Roman"/>
          <w:highlight w:val="none"/>
          <w:u w:val="single"/>
        </w:rPr>
        <w:tab/>
      </w:r>
    </w:p>
    <w:p>
      <w:pPr>
        <w:pStyle w:val="5"/>
        <w:rPr>
          <w:rFonts w:ascii="Times New Roman"/>
          <w:sz w:val="20"/>
          <w:highlight w:val="none"/>
        </w:rPr>
      </w:pPr>
    </w:p>
    <w:p>
      <w:pPr>
        <w:pStyle w:val="5"/>
        <w:tabs>
          <w:tab w:val="left" w:pos="3233"/>
          <w:tab w:val="left" w:pos="3475"/>
          <w:tab w:val="left" w:pos="6780"/>
        </w:tabs>
        <w:spacing w:before="211"/>
        <w:ind w:left="463"/>
        <w:jc w:val="center"/>
        <w:rPr>
          <w:rFonts w:ascii="Times New Roman" w:eastAsia="Times New Roman"/>
          <w:highlight w:val="none"/>
        </w:rPr>
      </w:pPr>
      <w:r>
        <w:rPr>
          <w:highlight w:val="none"/>
        </w:rPr>
        <w:t>法定代表人：</w:t>
      </w:r>
      <w:r>
        <w:rPr>
          <w:highlight w:val="none"/>
          <w:u w:val="single"/>
        </w:rPr>
        <w:t>(签名)</w:t>
      </w:r>
      <w:r>
        <w:rPr>
          <w:highlight w:val="none"/>
          <w:u w:val="single"/>
        </w:rPr>
        <w:tab/>
      </w:r>
      <w:r>
        <w:rPr>
          <w:highlight w:val="none"/>
        </w:rPr>
        <w:tab/>
      </w:r>
      <w:r>
        <w:rPr>
          <w:highlight w:val="none"/>
        </w:rPr>
        <w:t>签署日期</w:t>
      </w:r>
      <w:r>
        <w:rPr>
          <w:spacing w:val="-3"/>
          <w:highlight w:val="none"/>
        </w:rPr>
        <w:t>：</w:t>
      </w:r>
      <w:r>
        <w:rPr>
          <w:rFonts w:ascii="Times New Roman" w:eastAsia="Times New Roman"/>
          <w:highlight w:val="none"/>
          <w:u w:val="single"/>
        </w:rPr>
        <w:t xml:space="preserve"> </w:t>
      </w:r>
      <w:r>
        <w:rPr>
          <w:rFonts w:ascii="Times New Roman" w:eastAsia="Times New Roman"/>
          <w:highlight w:val="none"/>
          <w:u w:val="single"/>
        </w:rPr>
        <w:tab/>
      </w:r>
    </w:p>
    <w:p>
      <w:pPr>
        <w:pStyle w:val="5"/>
        <w:rPr>
          <w:rFonts w:ascii="Times New Roman"/>
          <w:sz w:val="20"/>
          <w:highlight w:val="none"/>
        </w:rPr>
      </w:pPr>
    </w:p>
    <w:p>
      <w:pPr>
        <w:pStyle w:val="5"/>
        <w:tabs>
          <w:tab w:val="left" w:pos="8937"/>
        </w:tabs>
        <w:spacing w:before="209"/>
        <w:ind w:left="2193"/>
        <w:rPr>
          <w:highlight w:val="none"/>
        </w:rPr>
      </w:pPr>
      <w:r>
        <w:rPr>
          <w:highlight w:val="none"/>
        </w:rPr>
        <w:t>投标单位：</w:t>
      </w:r>
      <w:r>
        <w:rPr>
          <w:highlight w:val="none"/>
          <w:u w:val="single"/>
        </w:rPr>
        <w:t>（加盖公章）</w:t>
      </w:r>
      <w:r>
        <w:rPr>
          <w:highlight w:val="none"/>
          <w:u w:val="single"/>
        </w:rPr>
        <w:tab/>
      </w:r>
    </w:p>
    <w:p>
      <w:pPr>
        <w:spacing w:after="0"/>
        <w:rPr>
          <w:highlight w:val="none"/>
        </w:rPr>
        <w:sectPr>
          <w:pgSz w:w="11900" w:h="16840"/>
          <w:pgMar w:top="1460" w:right="520" w:bottom="1380" w:left="1140" w:header="0" w:footer="1199" w:gutter="0"/>
          <w:pgNumType w:fmt="decimal"/>
          <w:cols w:space="720" w:num="1"/>
        </w:sectPr>
      </w:pPr>
    </w:p>
    <w:p>
      <w:pPr>
        <w:spacing w:before="26" w:line="266" w:lineRule="auto"/>
        <w:ind w:left="2827" w:right="2555" w:hanging="884"/>
        <w:jc w:val="left"/>
        <w:rPr>
          <w:sz w:val="44"/>
          <w:highlight w:val="none"/>
        </w:rPr>
      </w:pPr>
      <w:r>
        <w:rPr>
          <w:sz w:val="44"/>
          <w:highlight w:val="none"/>
        </w:rPr>
        <w:t>投标人自觉抵制政府采购领域商业贿赂行为承诺书</w:t>
      </w:r>
    </w:p>
    <w:p>
      <w:pPr>
        <w:pStyle w:val="5"/>
        <w:spacing w:before="329"/>
        <w:ind w:left="662"/>
        <w:rPr>
          <w:highlight w:val="none"/>
        </w:rPr>
      </w:pPr>
      <w:r>
        <w:rPr>
          <w:rFonts w:hint="eastAsia"/>
          <w:highlight w:val="none"/>
          <w:lang w:eastAsia="zh-CN"/>
        </w:rPr>
        <w:t>海南诚采项目管理有限公司</w:t>
      </w:r>
      <w:r>
        <w:rPr>
          <w:highlight w:val="none"/>
        </w:rPr>
        <w:t>：</w:t>
      </w:r>
    </w:p>
    <w:p>
      <w:pPr>
        <w:pStyle w:val="5"/>
        <w:spacing w:before="8"/>
        <w:rPr>
          <w:sz w:val="19"/>
          <w:highlight w:val="none"/>
        </w:rPr>
      </w:pPr>
    </w:p>
    <w:p>
      <w:pPr>
        <w:pStyle w:val="5"/>
        <w:spacing w:line="316" w:lineRule="auto"/>
        <w:ind w:left="659" w:right="1271" w:firstLine="480"/>
        <w:jc w:val="both"/>
        <w:rPr>
          <w:highlight w:val="none"/>
        </w:rPr>
      </w:pPr>
      <w:r>
        <w:rPr>
          <w:spacing w:val="-6"/>
          <w:highlight w:val="none"/>
        </w:rPr>
        <w:t>开展治理政府采购领域商业贿赂专项工作，是中央确定的治理商业贿赂六个</w:t>
      </w:r>
      <w:r>
        <w:rPr>
          <w:spacing w:val="-8"/>
          <w:highlight w:val="none"/>
        </w:rPr>
        <w:t>重点领域之一，它既是完善市场经济、构建社会主义和谐社会的客观需要，又是</w:t>
      </w:r>
      <w:r>
        <w:rPr>
          <w:spacing w:val="-13"/>
          <w:highlight w:val="none"/>
        </w:rPr>
        <w:t>从源头上抑制腐败的有力措施，意义重大、影响深远。为深入贯彻落实中央和省</w:t>
      </w:r>
      <w:r>
        <w:rPr>
          <w:spacing w:val="-10"/>
          <w:highlight w:val="none"/>
        </w:rPr>
        <w:t>委、省政府的有关部署及要求，进一步规范政府采购行为，营造公平竞争的政府</w:t>
      </w:r>
      <w:r>
        <w:rPr>
          <w:spacing w:val="-13"/>
          <w:highlight w:val="none"/>
        </w:rPr>
        <w:t>采购市场环境，维护政府采购制度良好声誉，在参与采购代理机构组织的政府采购活动中，我方庄重承诺：</w:t>
      </w:r>
    </w:p>
    <w:p>
      <w:pPr>
        <w:pStyle w:val="5"/>
        <w:spacing w:line="306" w:lineRule="exact"/>
        <w:ind w:left="1139"/>
        <w:rPr>
          <w:highlight w:val="none"/>
        </w:rPr>
      </w:pPr>
      <w:r>
        <w:rPr>
          <w:highlight w:val="none"/>
        </w:rPr>
        <w:t>一、依法参与政府采购活动，遵纪守法，诚信经营，公平竞争。</w:t>
      </w:r>
    </w:p>
    <w:p>
      <w:pPr>
        <w:pStyle w:val="5"/>
        <w:spacing w:before="98" w:line="316" w:lineRule="auto"/>
        <w:ind w:left="659" w:right="1271" w:firstLine="480"/>
        <w:jc w:val="both"/>
        <w:rPr>
          <w:highlight w:val="none"/>
        </w:rPr>
      </w:pPr>
      <w:r>
        <w:rPr>
          <w:spacing w:val="-11"/>
          <w:highlight w:val="none"/>
        </w:rPr>
        <w:t>二、不向采购单位、采购代理机构和政府采购评审专家提供任何形式的商业</w:t>
      </w:r>
      <w:r>
        <w:rPr>
          <w:spacing w:val="-10"/>
          <w:highlight w:val="none"/>
        </w:rPr>
        <w:t>贿赂；对索取或接受商业贿赂的单位和个人，及时向政府采购监督管理部门和纪检监察机关举报。</w:t>
      </w:r>
    </w:p>
    <w:p>
      <w:pPr>
        <w:pStyle w:val="5"/>
        <w:spacing w:line="307" w:lineRule="exact"/>
        <w:ind w:left="1139"/>
        <w:rPr>
          <w:highlight w:val="none"/>
        </w:rPr>
      </w:pPr>
      <w:r>
        <w:rPr>
          <w:highlight w:val="none"/>
        </w:rPr>
        <w:t>三、不以提供虚假资质文件等形式参与政府采购活动，不以虚假材料谋取中</w:t>
      </w:r>
    </w:p>
    <w:p>
      <w:pPr>
        <w:pStyle w:val="5"/>
        <w:spacing w:before="98"/>
        <w:ind w:left="659"/>
        <w:rPr>
          <w:highlight w:val="none"/>
        </w:rPr>
      </w:pPr>
      <w:r>
        <w:rPr>
          <w:highlight w:val="none"/>
        </w:rPr>
        <w:t>标。</w:t>
      </w:r>
    </w:p>
    <w:p>
      <w:pPr>
        <w:pStyle w:val="5"/>
        <w:spacing w:before="98"/>
        <w:ind w:left="1139"/>
        <w:rPr>
          <w:highlight w:val="none"/>
        </w:rPr>
      </w:pPr>
      <w:r>
        <w:rPr>
          <w:highlight w:val="none"/>
        </w:rPr>
        <w:t>四、不采取不正当手段诋毁、排挤其它投标人，与其它参与政府采购活动投</w:t>
      </w:r>
    </w:p>
    <w:p>
      <w:pPr>
        <w:pStyle w:val="5"/>
        <w:spacing w:before="98"/>
        <w:ind w:left="659"/>
        <w:rPr>
          <w:highlight w:val="none"/>
        </w:rPr>
      </w:pPr>
      <w:r>
        <w:rPr>
          <w:highlight w:val="none"/>
        </w:rPr>
        <w:t>标人保持良性的竞争关系。</w:t>
      </w:r>
    </w:p>
    <w:p>
      <w:pPr>
        <w:pStyle w:val="5"/>
        <w:spacing w:before="98" w:line="316" w:lineRule="auto"/>
        <w:ind w:left="659" w:right="1271" w:firstLine="480"/>
        <w:rPr>
          <w:highlight w:val="none"/>
        </w:rPr>
      </w:pPr>
      <w:r>
        <w:rPr>
          <w:spacing w:val="-10"/>
          <w:highlight w:val="none"/>
        </w:rPr>
        <w:t>五、不与采购单位、采购代理机构和政府采购评审专家恶意串通，自觉维护政府采购公平竞争的市场秩序。</w:t>
      </w:r>
    </w:p>
    <w:p>
      <w:pPr>
        <w:pStyle w:val="5"/>
        <w:spacing w:line="316" w:lineRule="auto"/>
        <w:ind w:left="659" w:right="1271" w:firstLine="480"/>
        <w:rPr>
          <w:highlight w:val="none"/>
        </w:rPr>
      </w:pPr>
      <w:r>
        <w:rPr>
          <w:spacing w:val="-9"/>
          <w:highlight w:val="none"/>
        </w:rPr>
        <w:t>六、不与其它投标人串通采取围标、陪标等商业欺诈手段谋取中标，积极维护国家利益、社会公共利益和采购单位的合法权益。</w:t>
      </w:r>
    </w:p>
    <w:p>
      <w:pPr>
        <w:pStyle w:val="5"/>
        <w:spacing w:line="316" w:lineRule="auto"/>
        <w:ind w:left="659" w:right="1271" w:firstLine="480"/>
        <w:jc w:val="both"/>
        <w:rPr>
          <w:highlight w:val="none"/>
        </w:rPr>
      </w:pPr>
      <w:r>
        <w:rPr>
          <w:spacing w:val="-10"/>
          <w:highlight w:val="none"/>
        </w:rPr>
        <w:t>七、严格履行政府采购合同约定义务，不在政府采购合同执行过程中采取降</w:t>
      </w:r>
      <w:r>
        <w:rPr>
          <w:spacing w:val="-13"/>
          <w:highlight w:val="none"/>
        </w:rPr>
        <w:t>低质量或标准、减少数量、拖延交付时间等方式损害采购单位的利益，并自觉承担违约责任。</w:t>
      </w:r>
    </w:p>
    <w:p>
      <w:pPr>
        <w:pStyle w:val="5"/>
        <w:spacing w:line="316" w:lineRule="auto"/>
        <w:ind w:left="659" w:right="1271" w:firstLine="480"/>
        <w:rPr>
          <w:highlight w:val="none"/>
        </w:rPr>
      </w:pPr>
      <w:r>
        <w:rPr>
          <w:spacing w:val="-12"/>
          <w:highlight w:val="none"/>
        </w:rPr>
        <w:t>八、自觉接受并积极配合政府采购监督管理部门和纪检监察机关依法实施的</w:t>
      </w:r>
      <w:r>
        <w:rPr>
          <w:highlight w:val="none"/>
        </w:rPr>
        <w:t>监督检查，如实反映情况，及时提供有关证明材料。</w:t>
      </w:r>
    </w:p>
    <w:p>
      <w:pPr>
        <w:pStyle w:val="5"/>
        <w:rPr>
          <w:highlight w:val="none"/>
        </w:rPr>
      </w:pPr>
    </w:p>
    <w:p>
      <w:pPr>
        <w:pStyle w:val="5"/>
        <w:rPr>
          <w:sz w:val="32"/>
          <w:highlight w:val="none"/>
        </w:rPr>
      </w:pPr>
    </w:p>
    <w:p>
      <w:pPr>
        <w:pStyle w:val="5"/>
        <w:tabs>
          <w:tab w:val="left" w:pos="8418"/>
        </w:tabs>
        <w:ind w:left="3427"/>
        <w:rPr>
          <w:rFonts w:ascii="Times New Roman" w:eastAsia="Times New Roman"/>
          <w:highlight w:val="none"/>
        </w:rPr>
      </w:pPr>
      <w:r>
        <w:rPr>
          <w:highlight w:val="none"/>
        </w:rPr>
        <w:t>投标单位（加盖公章）：</w:t>
      </w:r>
      <w:r>
        <w:rPr>
          <w:rFonts w:ascii="Times New Roman" w:eastAsia="Times New Roman"/>
          <w:highlight w:val="none"/>
          <w:u w:val="single"/>
        </w:rPr>
        <w:t xml:space="preserve"> </w:t>
      </w:r>
      <w:r>
        <w:rPr>
          <w:rFonts w:ascii="Times New Roman" w:eastAsia="Times New Roman"/>
          <w:highlight w:val="none"/>
          <w:u w:val="single"/>
        </w:rPr>
        <w:tab/>
      </w:r>
    </w:p>
    <w:p>
      <w:pPr>
        <w:pStyle w:val="5"/>
        <w:rPr>
          <w:rFonts w:ascii="Times New Roman"/>
          <w:sz w:val="20"/>
          <w:highlight w:val="none"/>
        </w:rPr>
      </w:pPr>
    </w:p>
    <w:p>
      <w:pPr>
        <w:pStyle w:val="5"/>
        <w:tabs>
          <w:tab w:val="left" w:pos="8409"/>
        </w:tabs>
        <w:spacing w:before="209"/>
        <w:ind w:left="3900"/>
        <w:rPr>
          <w:rFonts w:ascii="Times New Roman" w:eastAsia="Times New Roman"/>
          <w:highlight w:val="none"/>
        </w:rPr>
      </w:pPr>
      <w:r>
        <w:rPr>
          <w:highlight w:val="none"/>
        </w:rPr>
        <w:t>签署日期</w:t>
      </w:r>
      <w:r>
        <w:rPr>
          <w:spacing w:val="-3"/>
          <w:highlight w:val="none"/>
        </w:rPr>
        <w:t>：</w:t>
      </w:r>
      <w:r>
        <w:rPr>
          <w:rFonts w:ascii="Times New Roman" w:eastAsia="Times New Roman"/>
          <w:highlight w:val="none"/>
          <w:u w:val="single"/>
        </w:rPr>
        <w:t xml:space="preserve"> </w:t>
      </w:r>
      <w:r>
        <w:rPr>
          <w:rFonts w:ascii="Times New Roman" w:eastAsia="Times New Roman"/>
          <w:highlight w:val="none"/>
          <w:u w:val="single"/>
        </w:rPr>
        <w:tab/>
      </w:r>
    </w:p>
    <w:p>
      <w:pPr>
        <w:spacing w:after="0"/>
        <w:rPr>
          <w:rFonts w:ascii="Times New Roman" w:eastAsia="Times New Roman"/>
          <w:highlight w:val="none"/>
        </w:rPr>
        <w:sectPr>
          <w:pgSz w:w="11900" w:h="16840"/>
          <w:pgMar w:top="1600" w:right="520" w:bottom="1380" w:left="1140" w:header="0" w:footer="1199" w:gutter="0"/>
          <w:pgNumType w:fmt="decimal"/>
          <w:cols w:space="720" w:num="1"/>
        </w:sectPr>
      </w:pPr>
    </w:p>
    <w:p>
      <w:pPr>
        <w:spacing w:before="10"/>
        <w:ind w:left="0" w:right="611" w:firstLine="0"/>
        <w:jc w:val="center"/>
        <w:rPr>
          <w:sz w:val="44"/>
          <w:highlight w:val="none"/>
        </w:rPr>
      </w:pPr>
      <w:r>
        <w:rPr>
          <w:sz w:val="44"/>
          <w:highlight w:val="none"/>
        </w:rPr>
        <w:t>承诺函</w:t>
      </w:r>
    </w:p>
    <w:p>
      <w:pPr>
        <w:pStyle w:val="5"/>
        <w:spacing w:before="1"/>
        <w:rPr>
          <w:sz w:val="33"/>
          <w:highlight w:val="none"/>
        </w:rPr>
      </w:pPr>
    </w:p>
    <w:p>
      <w:pPr>
        <w:pStyle w:val="5"/>
        <w:ind w:left="662"/>
        <w:rPr>
          <w:highlight w:val="none"/>
        </w:rPr>
      </w:pPr>
      <w:r>
        <w:rPr>
          <w:rFonts w:hint="eastAsia"/>
          <w:highlight w:val="none"/>
          <w:lang w:eastAsia="zh-CN"/>
        </w:rPr>
        <w:t>海南诚采项目管理有限公司</w:t>
      </w:r>
      <w:r>
        <w:rPr>
          <w:highlight w:val="none"/>
        </w:rPr>
        <w:t>：</w:t>
      </w:r>
    </w:p>
    <w:p>
      <w:pPr>
        <w:pStyle w:val="5"/>
        <w:spacing w:before="1"/>
        <w:rPr>
          <w:sz w:val="22"/>
          <w:highlight w:val="none"/>
        </w:rPr>
      </w:pPr>
    </w:p>
    <w:p>
      <w:pPr>
        <w:pStyle w:val="5"/>
        <w:ind w:left="1139"/>
        <w:rPr>
          <w:highlight w:val="none"/>
        </w:rPr>
      </w:pPr>
      <w:r>
        <w:rPr>
          <w:highlight w:val="none"/>
          <w:u w:val="single"/>
        </w:rPr>
        <w:t xml:space="preserve">投标人名称 </w:t>
      </w:r>
      <w:r>
        <w:rPr>
          <w:highlight w:val="none"/>
        </w:rPr>
        <w:t>授权</w:t>
      </w:r>
      <w:r>
        <w:rPr>
          <w:highlight w:val="none"/>
          <w:u w:val="single"/>
        </w:rPr>
        <w:t xml:space="preserve"> 投标人代表姓名、职务 </w:t>
      </w:r>
      <w:r>
        <w:rPr>
          <w:highlight w:val="none"/>
        </w:rPr>
        <w:t>为我方代表，参加你单位组织的</w:t>
      </w:r>
    </w:p>
    <w:p>
      <w:pPr>
        <w:pStyle w:val="5"/>
        <w:tabs>
          <w:tab w:val="left" w:pos="3664"/>
          <w:tab w:val="left" w:pos="4504"/>
        </w:tabs>
        <w:spacing w:before="100" w:line="314" w:lineRule="auto"/>
        <w:ind w:left="660" w:right="1151"/>
        <w:rPr>
          <w:highlight w:val="none"/>
        </w:rPr>
      </w:pPr>
      <w:r>
        <w:rPr>
          <w:rFonts w:ascii="Times New Roman" w:eastAsia="Times New Roman"/>
          <w:w w:val="99"/>
          <w:highlight w:val="none"/>
          <w:u w:val="single"/>
        </w:rPr>
        <w:t xml:space="preserve"> </w:t>
      </w:r>
      <w:r>
        <w:rPr>
          <w:rFonts w:ascii="Times New Roman" w:eastAsia="Times New Roman"/>
          <w:spacing w:val="2"/>
          <w:highlight w:val="none"/>
          <w:u w:val="single"/>
        </w:rPr>
        <w:t xml:space="preserve"> </w:t>
      </w:r>
      <w:r>
        <w:rPr>
          <w:highlight w:val="none"/>
          <w:u w:val="single"/>
        </w:rPr>
        <w:t>项目名称</w:t>
      </w:r>
      <w:r>
        <w:rPr>
          <w:spacing w:val="1"/>
          <w:highlight w:val="none"/>
          <w:u w:val="single"/>
        </w:rPr>
        <w:t xml:space="preserve"> </w:t>
      </w:r>
      <w:r>
        <w:rPr>
          <w:highlight w:val="none"/>
          <w:u w:val="single"/>
        </w:rPr>
        <w:t>(项目编号:</w:t>
      </w:r>
      <w:r>
        <w:rPr>
          <w:highlight w:val="none"/>
          <w:u w:val="single"/>
        </w:rPr>
        <w:tab/>
      </w:r>
      <w:r>
        <w:rPr>
          <w:highlight w:val="none"/>
          <w:u w:val="single"/>
        </w:rPr>
        <w:t>)第</w:t>
      </w:r>
      <w:r>
        <w:rPr>
          <w:highlight w:val="none"/>
          <w:u w:val="single"/>
        </w:rPr>
        <w:tab/>
      </w:r>
      <w:r>
        <w:rPr>
          <w:highlight w:val="none"/>
          <w:u w:val="single"/>
        </w:rPr>
        <w:t>包</w:t>
      </w:r>
      <w:r>
        <w:rPr>
          <w:spacing w:val="-2"/>
          <w:highlight w:val="none"/>
          <w:u w:val="single"/>
        </w:rPr>
        <w:t xml:space="preserve"> </w:t>
      </w:r>
      <w:r>
        <w:rPr>
          <w:highlight w:val="none"/>
        </w:rPr>
        <w:t>的采购活动</w:t>
      </w:r>
      <w:r>
        <w:rPr>
          <w:spacing w:val="-99"/>
          <w:highlight w:val="none"/>
        </w:rPr>
        <w:t>。</w:t>
      </w:r>
      <w:r>
        <w:rPr>
          <w:highlight w:val="none"/>
        </w:rPr>
        <w:t>我方接受招标文件及澄清</w:t>
      </w:r>
      <w:r>
        <w:rPr>
          <w:spacing w:val="-14"/>
          <w:highlight w:val="none"/>
        </w:rPr>
        <w:t>、</w:t>
      </w:r>
      <w:r>
        <w:rPr>
          <w:highlight w:val="none"/>
        </w:rPr>
        <w:t>修改部</w:t>
      </w:r>
      <w:r>
        <w:rPr>
          <w:spacing w:val="-72"/>
          <w:highlight w:val="none"/>
        </w:rPr>
        <w:t>分</w:t>
      </w:r>
      <w:r>
        <w:rPr>
          <w:highlight w:val="none"/>
        </w:rPr>
        <w:t>（如有</w:t>
      </w:r>
      <w:r>
        <w:rPr>
          <w:spacing w:val="-72"/>
          <w:highlight w:val="none"/>
        </w:rPr>
        <w:t>）</w:t>
      </w:r>
      <w:r>
        <w:rPr>
          <w:highlight w:val="none"/>
        </w:rPr>
        <w:t>的全部条款且无任何异议</w:t>
      </w:r>
      <w:r>
        <w:rPr>
          <w:spacing w:val="-72"/>
          <w:highlight w:val="none"/>
        </w:rPr>
        <w:t>，</w:t>
      </w:r>
      <w:r>
        <w:rPr>
          <w:highlight w:val="none"/>
        </w:rPr>
        <w:t>现向贵单位递交投标文件参与投标</w:t>
      </w:r>
      <w:r>
        <w:rPr>
          <w:spacing w:val="-12"/>
          <w:highlight w:val="none"/>
        </w:rPr>
        <w:t>。</w:t>
      </w:r>
    </w:p>
    <w:p>
      <w:pPr>
        <w:pStyle w:val="5"/>
        <w:spacing w:before="6" w:line="314" w:lineRule="auto"/>
        <w:ind w:left="659" w:right="1271" w:firstLine="480"/>
        <w:rPr>
          <w:highlight w:val="none"/>
        </w:rPr>
      </w:pPr>
      <w:r>
        <w:rPr>
          <w:spacing w:val="-9"/>
          <w:highlight w:val="none"/>
        </w:rPr>
        <w:t>一、我方已按招标文件要求递交了电子投标文件、纸质投标文件，其中所有响应内容一致、真实有效，并已足额缴纳了投标保证金。</w:t>
      </w:r>
    </w:p>
    <w:p>
      <w:pPr>
        <w:pStyle w:val="5"/>
        <w:spacing w:before="3" w:line="316" w:lineRule="auto"/>
        <w:ind w:left="659" w:right="1271" w:firstLine="480"/>
        <w:rPr>
          <w:highlight w:val="none"/>
        </w:rPr>
      </w:pPr>
      <w:r>
        <w:rPr>
          <w:spacing w:val="-9"/>
          <w:highlight w:val="none"/>
        </w:rPr>
        <w:t>二、我方保证遵守招标文件的规定，如果本公司违反招标文件要求，我方的投标保证金可以被你单位没收。</w:t>
      </w:r>
    </w:p>
    <w:p>
      <w:pPr>
        <w:pStyle w:val="5"/>
        <w:spacing w:line="316" w:lineRule="auto"/>
        <w:ind w:left="659" w:right="1178" w:firstLine="480"/>
        <w:jc w:val="both"/>
        <w:rPr>
          <w:highlight w:val="none"/>
        </w:rPr>
      </w:pPr>
      <w:r>
        <w:rPr>
          <w:spacing w:val="-11"/>
          <w:highlight w:val="none"/>
        </w:rPr>
        <w:t>三、我方承诺已经具备招标文件中规定的参加政府采购活动的投标人应当具</w:t>
      </w:r>
      <w:r>
        <w:rPr>
          <w:spacing w:val="-12"/>
          <w:highlight w:val="none"/>
        </w:rPr>
        <w:t>备的条件。我方愿意向你单位提供任何与本采购项目招投标有关的数据、情况和</w:t>
      </w:r>
      <w:r>
        <w:rPr>
          <w:spacing w:val="-13"/>
          <w:w w:val="95"/>
          <w:highlight w:val="none"/>
        </w:rPr>
        <w:t>技术资料，并根据需要提供一切承诺的证明材料，并保证其真实、合法、有效。</w:t>
      </w:r>
    </w:p>
    <w:p>
      <w:pPr>
        <w:pStyle w:val="5"/>
        <w:spacing w:line="261" w:lineRule="exact"/>
        <w:ind w:left="1144"/>
        <w:rPr>
          <w:highlight w:val="none"/>
        </w:rPr>
      </w:pPr>
      <w:r>
        <w:rPr>
          <w:highlight w:val="none"/>
        </w:rPr>
        <w:t>四、如果我方中标，我方承诺在领取中标通知书的同时按招标文件规定的</w:t>
      </w:r>
    </w:p>
    <w:p>
      <w:pPr>
        <w:pStyle w:val="5"/>
        <w:spacing w:before="4"/>
        <w:ind w:left="662"/>
        <w:rPr>
          <w:highlight w:val="none"/>
        </w:rPr>
      </w:pPr>
      <w:r>
        <w:rPr>
          <w:highlight w:val="none"/>
        </w:rPr>
        <w:t>形式，向贵单位一次性支付中标服务费。</w:t>
      </w:r>
    </w:p>
    <w:p>
      <w:pPr>
        <w:pStyle w:val="5"/>
        <w:spacing w:before="52" w:line="316" w:lineRule="auto"/>
        <w:ind w:left="662" w:right="1149" w:firstLine="482"/>
        <w:rPr>
          <w:highlight w:val="none"/>
        </w:rPr>
      </w:pPr>
      <w:r>
        <w:rPr>
          <w:highlight w:val="none"/>
        </w:rPr>
        <w:t>五、我方承诺接受招标文件中政府采购合同条款的全部条款且无任何异议。如果我方中标，我们将按招标文件的规定，保证忠实地履行双方所签订的政府采购合同，并承担政府采购合同规定的责任和义务。</w:t>
      </w:r>
    </w:p>
    <w:p>
      <w:pPr>
        <w:pStyle w:val="5"/>
        <w:spacing w:line="316" w:lineRule="auto"/>
        <w:ind w:left="659" w:right="1269" w:firstLine="480"/>
        <w:jc w:val="both"/>
        <w:rPr>
          <w:highlight w:val="none"/>
        </w:rPr>
      </w:pPr>
      <w:r>
        <w:rPr>
          <w:spacing w:val="3"/>
          <w:highlight w:val="none"/>
        </w:rPr>
        <w:t>六、我方承诺采购单位若需追加采购本项目招标文件所列货物及相关服务</w:t>
      </w:r>
      <w:r>
        <w:rPr>
          <w:spacing w:val="-9"/>
          <w:highlight w:val="none"/>
        </w:rPr>
        <w:t>的，在不改变政府采购合同其它实质性条款的前提下，按相同或更优惠的价格保证供货和服务。</w:t>
      </w:r>
    </w:p>
    <w:p>
      <w:pPr>
        <w:pStyle w:val="5"/>
        <w:spacing w:line="316" w:lineRule="auto"/>
        <w:ind w:left="659" w:right="1151" w:firstLine="480"/>
        <w:jc w:val="both"/>
        <w:rPr>
          <w:highlight w:val="none"/>
        </w:rPr>
      </w:pPr>
      <w:r>
        <w:rPr>
          <w:spacing w:val="-10"/>
          <w:highlight w:val="none"/>
        </w:rPr>
        <w:t>七、我方将严格遵守《中华人民共和国政府采购法》的有关规定，若有下列</w:t>
      </w:r>
      <w:r>
        <w:rPr>
          <w:spacing w:val="-12"/>
          <w:highlight w:val="none"/>
        </w:rPr>
        <w:t xml:space="preserve">情形之一的，接受你单位及政府采购监督管理部门对我方施以采购金额 </w:t>
      </w:r>
      <w:r>
        <w:rPr>
          <w:highlight w:val="none"/>
        </w:rPr>
        <w:t>5‰以上10‰</w:t>
      </w:r>
      <w:r>
        <w:rPr>
          <w:spacing w:val="-12"/>
          <w:highlight w:val="none"/>
        </w:rPr>
        <w:t xml:space="preserve">以下的违约处罚，列入不良行为记录名单，在 </w:t>
      </w:r>
      <w:r>
        <w:rPr>
          <w:highlight w:val="none"/>
        </w:rPr>
        <w:t>1</w:t>
      </w:r>
      <w:r>
        <w:rPr>
          <w:spacing w:val="-41"/>
          <w:highlight w:val="none"/>
        </w:rPr>
        <w:t xml:space="preserve"> 至 </w:t>
      </w:r>
      <w:r>
        <w:rPr>
          <w:highlight w:val="none"/>
        </w:rPr>
        <w:t>3</w:t>
      </w:r>
      <w:r>
        <w:rPr>
          <w:spacing w:val="-8"/>
          <w:highlight w:val="none"/>
        </w:rPr>
        <w:t xml:space="preserve"> 年内禁止参加政府采购</w:t>
      </w:r>
      <w:r>
        <w:rPr>
          <w:spacing w:val="-11"/>
          <w:highlight w:val="none"/>
        </w:rPr>
        <w:t>活动；有违法所得的，提请政府有关行政部门没收违法所得；情节严重的，提请</w:t>
      </w:r>
      <w:r>
        <w:rPr>
          <w:spacing w:val="-21"/>
          <w:highlight w:val="none"/>
        </w:rPr>
        <w:t>工商行政管理机关吊销营业执照；构成犯罪的，提请司法部门依法追究刑事责任：</w:t>
      </w:r>
    </w:p>
    <w:p>
      <w:pPr>
        <w:pStyle w:val="20"/>
        <w:numPr>
          <w:ilvl w:val="0"/>
          <w:numId w:val="55"/>
        </w:numPr>
        <w:tabs>
          <w:tab w:val="left" w:pos="1741"/>
        </w:tabs>
        <w:spacing w:before="0" w:after="0" w:line="306" w:lineRule="exact"/>
        <w:ind w:left="1740" w:right="0" w:hanging="601"/>
        <w:jc w:val="left"/>
        <w:rPr>
          <w:sz w:val="24"/>
          <w:highlight w:val="none"/>
        </w:rPr>
      </w:pPr>
      <w:r>
        <w:rPr>
          <w:sz w:val="24"/>
          <w:highlight w:val="none"/>
        </w:rPr>
        <w:t>提供虚假材料谋取中标的；</w:t>
      </w:r>
    </w:p>
    <w:p>
      <w:pPr>
        <w:pStyle w:val="20"/>
        <w:numPr>
          <w:ilvl w:val="0"/>
          <w:numId w:val="55"/>
        </w:numPr>
        <w:tabs>
          <w:tab w:val="left" w:pos="1741"/>
        </w:tabs>
        <w:spacing w:before="94" w:after="0" w:line="240" w:lineRule="auto"/>
        <w:ind w:left="1740" w:right="0" w:hanging="601"/>
        <w:jc w:val="left"/>
        <w:rPr>
          <w:sz w:val="24"/>
          <w:highlight w:val="none"/>
        </w:rPr>
      </w:pPr>
      <w:r>
        <w:rPr>
          <w:sz w:val="24"/>
          <w:highlight w:val="none"/>
        </w:rPr>
        <w:t>向采购单位、采购代理机构行贿或者提供其它不正当利益的；</w:t>
      </w:r>
    </w:p>
    <w:p>
      <w:pPr>
        <w:pStyle w:val="20"/>
        <w:numPr>
          <w:ilvl w:val="0"/>
          <w:numId w:val="55"/>
        </w:numPr>
        <w:tabs>
          <w:tab w:val="left" w:pos="1741"/>
        </w:tabs>
        <w:spacing w:before="98" w:after="0" w:line="240" w:lineRule="auto"/>
        <w:ind w:left="1740" w:right="0" w:hanging="601"/>
        <w:jc w:val="left"/>
        <w:rPr>
          <w:sz w:val="24"/>
          <w:highlight w:val="none"/>
        </w:rPr>
      </w:pPr>
      <w:r>
        <w:rPr>
          <w:sz w:val="24"/>
          <w:highlight w:val="none"/>
        </w:rPr>
        <w:t>拒绝有关部门监督检查或提供虚假情况的。</w:t>
      </w:r>
    </w:p>
    <w:p>
      <w:pPr>
        <w:pStyle w:val="5"/>
        <w:spacing w:before="3"/>
        <w:rPr>
          <w:sz w:val="32"/>
          <w:highlight w:val="none"/>
        </w:rPr>
      </w:pPr>
    </w:p>
    <w:p>
      <w:pPr>
        <w:pStyle w:val="5"/>
        <w:tabs>
          <w:tab w:val="left" w:pos="8536"/>
        </w:tabs>
        <w:ind w:left="3544"/>
        <w:rPr>
          <w:rFonts w:ascii="Times New Roman" w:eastAsia="Times New Roman"/>
          <w:highlight w:val="none"/>
        </w:rPr>
      </w:pPr>
      <w:r>
        <w:rPr>
          <w:highlight w:val="none"/>
        </w:rPr>
        <w:t>投标单位（加盖公章）：</w:t>
      </w:r>
      <w:r>
        <w:rPr>
          <w:rFonts w:ascii="Times New Roman" w:eastAsia="Times New Roman"/>
          <w:highlight w:val="none"/>
          <w:u w:val="single"/>
        </w:rPr>
        <w:t xml:space="preserve"> </w:t>
      </w:r>
      <w:r>
        <w:rPr>
          <w:rFonts w:ascii="Times New Roman" w:eastAsia="Times New Roman"/>
          <w:highlight w:val="none"/>
          <w:u w:val="single"/>
        </w:rPr>
        <w:tab/>
      </w:r>
    </w:p>
    <w:p>
      <w:pPr>
        <w:pStyle w:val="5"/>
        <w:rPr>
          <w:rFonts w:ascii="Times New Roman"/>
          <w:sz w:val="20"/>
          <w:highlight w:val="none"/>
        </w:rPr>
      </w:pPr>
    </w:p>
    <w:p>
      <w:pPr>
        <w:pStyle w:val="5"/>
        <w:tabs>
          <w:tab w:val="left" w:pos="7439"/>
        </w:tabs>
        <w:spacing w:before="211"/>
        <w:ind w:left="4135"/>
        <w:rPr>
          <w:rFonts w:ascii="Times New Roman" w:eastAsia="Times New Roman"/>
          <w:highlight w:val="none"/>
        </w:rPr>
      </w:pPr>
      <w:r>
        <w:rPr>
          <w:highlight w:val="none"/>
        </w:rPr>
        <w:t>签署日期</w:t>
      </w:r>
      <w:r>
        <w:rPr>
          <w:spacing w:val="-3"/>
          <w:highlight w:val="none"/>
        </w:rPr>
        <w:t>：</w:t>
      </w:r>
      <w:r>
        <w:rPr>
          <w:rFonts w:ascii="Times New Roman" w:eastAsia="Times New Roman"/>
          <w:highlight w:val="none"/>
          <w:u w:val="single"/>
        </w:rPr>
        <w:t xml:space="preserve"> </w:t>
      </w:r>
      <w:r>
        <w:rPr>
          <w:rFonts w:ascii="Times New Roman" w:eastAsia="Times New Roman"/>
          <w:highlight w:val="none"/>
          <w:u w:val="single"/>
        </w:rPr>
        <w:tab/>
      </w:r>
    </w:p>
    <w:p>
      <w:pPr>
        <w:spacing w:after="0"/>
        <w:rPr>
          <w:rFonts w:ascii="Times New Roman" w:eastAsia="Times New Roman"/>
          <w:highlight w:val="none"/>
        </w:rPr>
        <w:sectPr>
          <w:pgSz w:w="11900" w:h="16840"/>
          <w:pgMar w:top="1460" w:right="520" w:bottom="1380" w:left="1140" w:header="0" w:footer="1199" w:gutter="0"/>
          <w:pgNumType w:fmt="decimal"/>
          <w:cols w:space="720" w:num="1"/>
        </w:sectPr>
      </w:pPr>
    </w:p>
    <w:p>
      <w:pPr>
        <w:spacing w:before="11"/>
        <w:ind w:left="0" w:right="611" w:firstLine="0"/>
        <w:jc w:val="center"/>
        <w:rPr>
          <w:sz w:val="44"/>
          <w:highlight w:val="none"/>
        </w:rPr>
      </w:pPr>
      <w:r>
        <w:rPr>
          <w:sz w:val="44"/>
          <w:highlight w:val="none"/>
        </w:rPr>
        <w:t>开标一览表</w:t>
      </w:r>
    </w:p>
    <w:p>
      <w:pPr>
        <w:pStyle w:val="5"/>
        <w:spacing w:before="7"/>
        <w:rPr>
          <w:sz w:val="42"/>
          <w:highlight w:val="none"/>
        </w:rPr>
      </w:pPr>
    </w:p>
    <w:p>
      <w:pPr>
        <w:pStyle w:val="5"/>
        <w:tabs>
          <w:tab w:val="left" w:pos="3834"/>
        </w:tabs>
        <w:spacing w:before="1"/>
        <w:ind w:left="660"/>
        <w:rPr>
          <w:rFonts w:ascii="Times New Roman" w:eastAsia="Times New Roman"/>
          <w:highlight w:val="none"/>
        </w:rPr>
      </w:pPr>
      <w:r>
        <w:rPr>
          <w:w w:val="95"/>
          <w:highlight w:val="none"/>
        </w:rPr>
        <w:t>项目名称：</w:t>
      </w:r>
      <w:r>
        <w:rPr>
          <w:rFonts w:ascii="Times New Roman" w:eastAsia="Times New Roman"/>
          <w:w w:val="95"/>
          <w:highlight w:val="none"/>
          <w:u w:val="single"/>
        </w:rPr>
        <w:t xml:space="preserve"> </w:t>
      </w:r>
      <w:r>
        <w:rPr>
          <w:rFonts w:ascii="Times New Roman" w:eastAsia="Times New Roman"/>
          <w:highlight w:val="none"/>
          <w:u w:val="single"/>
        </w:rPr>
        <w:tab/>
      </w:r>
    </w:p>
    <w:p>
      <w:pPr>
        <w:pStyle w:val="5"/>
        <w:tabs>
          <w:tab w:val="left" w:pos="3834"/>
          <w:tab w:val="left" w:pos="5459"/>
          <w:tab w:val="left" w:pos="8154"/>
        </w:tabs>
        <w:spacing w:before="4"/>
        <w:ind w:left="660"/>
        <w:rPr>
          <w:rFonts w:ascii="Times New Roman" w:eastAsia="Times New Roman"/>
          <w:highlight w:val="none"/>
        </w:rPr>
      </w:pPr>
      <w:r>
        <w:rPr>
          <w:highlight w:val="none"/>
        </w:rPr>
        <w:t>项目编号：</w:t>
      </w:r>
      <w:r>
        <w:rPr>
          <w:highlight w:val="none"/>
          <w:u w:val="single"/>
        </w:rPr>
        <w:t xml:space="preserve"> </w:t>
      </w:r>
      <w:r>
        <w:rPr>
          <w:highlight w:val="none"/>
          <w:u w:val="single"/>
        </w:rPr>
        <w:tab/>
      </w:r>
      <w:r>
        <w:rPr>
          <w:highlight w:val="none"/>
        </w:rPr>
        <w:tab/>
      </w:r>
      <w:r>
        <w:rPr>
          <w:w w:val="95"/>
          <w:highlight w:val="none"/>
        </w:rPr>
        <w:t>包号：</w:t>
      </w:r>
      <w:r>
        <w:rPr>
          <w:rFonts w:ascii="Times New Roman" w:eastAsia="Times New Roman"/>
          <w:w w:val="95"/>
          <w:highlight w:val="none"/>
          <w:u w:val="single"/>
        </w:rPr>
        <w:t xml:space="preserve"> </w:t>
      </w:r>
      <w:r>
        <w:rPr>
          <w:rFonts w:ascii="Times New Roman" w:eastAsia="Times New Roman"/>
          <w:highlight w:val="none"/>
          <w:u w:val="single"/>
        </w:rPr>
        <w:tab/>
      </w:r>
    </w:p>
    <w:p>
      <w:pPr>
        <w:pStyle w:val="5"/>
        <w:spacing w:before="9"/>
        <w:rPr>
          <w:rFonts w:ascii="Times New Roman"/>
          <w:sz w:val="21"/>
          <w:highlight w:val="none"/>
        </w:rPr>
      </w:pPr>
    </w:p>
    <w:p>
      <w:pPr>
        <w:pStyle w:val="5"/>
        <w:spacing w:before="66" w:after="5"/>
        <w:ind w:right="1271"/>
        <w:jc w:val="right"/>
        <w:rPr>
          <w:highlight w:val="none"/>
        </w:rPr>
      </w:pPr>
      <w:r>
        <w:rPr>
          <w:w w:val="95"/>
          <w:highlight w:val="none"/>
        </w:rPr>
        <w:t>单位：元</w:t>
      </w:r>
    </w:p>
    <w:tbl>
      <w:tblPr>
        <w:tblStyle w:val="17"/>
        <w:tblW w:w="0" w:type="auto"/>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0"/>
        <w:gridCol w:w="42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4260" w:type="dxa"/>
          </w:tcPr>
          <w:p>
            <w:pPr>
              <w:pStyle w:val="21"/>
              <w:spacing w:before="151"/>
              <w:ind w:left="107"/>
              <w:rPr>
                <w:sz w:val="24"/>
                <w:highlight w:val="none"/>
              </w:rPr>
            </w:pPr>
            <w:r>
              <w:rPr>
                <w:sz w:val="24"/>
                <w:highlight w:val="none"/>
              </w:rPr>
              <w:t>列名称</w:t>
            </w:r>
          </w:p>
        </w:tc>
        <w:tc>
          <w:tcPr>
            <w:tcW w:w="4262" w:type="dxa"/>
          </w:tcPr>
          <w:p>
            <w:pPr>
              <w:pStyle w:val="21"/>
              <w:spacing w:before="151"/>
              <w:ind w:left="107"/>
              <w:rPr>
                <w:sz w:val="24"/>
                <w:highlight w:val="none"/>
              </w:rPr>
            </w:pPr>
            <w:r>
              <w:rPr>
                <w:sz w:val="24"/>
                <w:highlight w:val="none"/>
              </w:rPr>
              <w:t>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260" w:type="dxa"/>
          </w:tcPr>
          <w:p>
            <w:pPr>
              <w:pStyle w:val="21"/>
              <w:spacing w:line="292" w:lineRule="exact"/>
              <w:ind w:left="107"/>
              <w:rPr>
                <w:sz w:val="24"/>
                <w:highlight w:val="none"/>
              </w:rPr>
            </w:pPr>
            <w:r>
              <w:rPr>
                <w:sz w:val="24"/>
                <w:highlight w:val="none"/>
              </w:rPr>
              <w:t>投标单位名称</w:t>
            </w:r>
          </w:p>
        </w:tc>
        <w:tc>
          <w:tcPr>
            <w:tcW w:w="4262" w:type="dxa"/>
          </w:tcPr>
          <w:p>
            <w:pPr>
              <w:pStyle w:val="21"/>
              <w:rPr>
                <w:rFonts w:ascii="Times New Roman"/>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260" w:type="dxa"/>
          </w:tcPr>
          <w:p>
            <w:pPr>
              <w:pStyle w:val="21"/>
              <w:spacing w:line="292" w:lineRule="exact"/>
              <w:ind w:left="107"/>
              <w:rPr>
                <w:sz w:val="24"/>
                <w:highlight w:val="none"/>
              </w:rPr>
            </w:pPr>
            <w:r>
              <w:rPr>
                <w:sz w:val="24"/>
                <w:highlight w:val="none"/>
              </w:rPr>
              <w:t>投标报价(小写)</w:t>
            </w:r>
          </w:p>
        </w:tc>
        <w:tc>
          <w:tcPr>
            <w:tcW w:w="4262" w:type="dxa"/>
          </w:tcPr>
          <w:p>
            <w:pPr>
              <w:pStyle w:val="21"/>
              <w:rPr>
                <w:rFonts w:ascii="Times New Roman"/>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260" w:type="dxa"/>
          </w:tcPr>
          <w:p>
            <w:pPr>
              <w:pStyle w:val="21"/>
              <w:spacing w:line="292" w:lineRule="exact"/>
              <w:ind w:left="107"/>
              <w:rPr>
                <w:sz w:val="24"/>
                <w:highlight w:val="none"/>
              </w:rPr>
            </w:pPr>
            <w:r>
              <w:rPr>
                <w:sz w:val="24"/>
                <w:highlight w:val="none"/>
              </w:rPr>
              <w:t>投标报价(大写)</w:t>
            </w:r>
          </w:p>
        </w:tc>
        <w:tc>
          <w:tcPr>
            <w:tcW w:w="4262" w:type="dxa"/>
          </w:tcPr>
          <w:p>
            <w:pPr>
              <w:pStyle w:val="21"/>
              <w:rPr>
                <w:rFonts w:ascii="Times New Roman"/>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4260" w:type="dxa"/>
          </w:tcPr>
          <w:p>
            <w:pPr>
              <w:pStyle w:val="21"/>
              <w:spacing w:before="2" w:line="292" w:lineRule="exact"/>
              <w:ind w:left="107"/>
              <w:rPr>
                <w:sz w:val="24"/>
                <w:highlight w:val="none"/>
              </w:rPr>
            </w:pPr>
            <w:r>
              <w:rPr>
                <w:sz w:val="24"/>
                <w:highlight w:val="none"/>
              </w:rPr>
              <w:t>合同履行期限（交付期）</w:t>
            </w:r>
          </w:p>
        </w:tc>
        <w:tc>
          <w:tcPr>
            <w:tcW w:w="4262" w:type="dxa"/>
          </w:tcPr>
          <w:p>
            <w:pPr>
              <w:pStyle w:val="21"/>
              <w:rPr>
                <w:rFonts w:ascii="Times New Roman"/>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260" w:type="dxa"/>
          </w:tcPr>
          <w:p>
            <w:pPr>
              <w:pStyle w:val="21"/>
              <w:spacing w:line="292" w:lineRule="exact"/>
              <w:ind w:left="107"/>
              <w:rPr>
                <w:sz w:val="24"/>
                <w:highlight w:val="none"/>
              </w:rPr>
            </w:pPr>
            <w:r>
              <w:rPr>
                <w:sz w:val="24"/>
                <w:highlight w:val="none"/>
              </w:rPr>
              <w:t>投标有效期</w:t>
            </w:r>
          </w:p>
        </w:tc>
        <w:tc>
          <w:tcPr>
            <w:tcW w:w="4262" w:type="dxa"/>
          </w:tcPr>
          <w:p>
            <w:pPr>
              <w:pStyle w:val="21"/>
              <w:rPr>
                <w:rFonts w:ascii="Times New Roman"/>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260" w:type="dxa"/>
          </w:tcPr>
          <w:p>
            <w:pPr>
              <w:pStyle w:val="21"/>
              <w:spacing w:line="292" w:lineRule="exact"/>
              <w:ind w:left="107"/>
              <w:rPr>
                <w:sz w:val="24"/>
                <w:highlight w:val="none"/>
              </w:rPr>
            </w:pPr>
            <w:r>
              <w:rPr>
                <w:sz w:val="24"/>
                <w:highlight w:val="none"/>
              </w:rPr>
              <w:t>交货地点</w:t>
            </w:r>
          </w:p>
        </w:tc>
        <w:tc>
          <w:tcPr>
            <w:tcW w:w="4262" w:type="dxa"/>
          </w:tcPr>
          <w:p>
            <w:pPr>
              <w:pStyle w:val="21"/>
              <w:rPr>
                <w:rFonts w:ascii="Times New Roman"/>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260" w:type="dxa"/>
          </w:tcPr>
          <w:p>
            <w:pPr>
              <w:pStyle w:val="21"/>
              <w:spacing w:line="292" w:lineRule="exact"/>
              <w:ind w:left="107"/>
              <w:rPr>
                <w:sz w:val="24"/>
                <w:highlight w:val="none"/>
              </w:rPr>
            </w:pPr>
            <w:r>
              <w:rPr>
                <w:sz w:val="24"/>
                <w:highlight w:val="none"/>
              </w:rPr>
              <w:t>备注</w:t>
            </w:r>
          </w:p>
        </w:tc>
        <w:tc>
          <w:tcPr>
            <w:tcW w:w="4262" w:type="dxa"/>
          </w:tcPr>
          <w:p>
            <w:pPr>
              <w:pStyle w:val="21"/>
              <w:rPr>
                <w:rFonts w:ascii="Times New Roman"/>
                <w:sz w:val="22"/>
                <w:highlight w:val="none"/>
              </w:rPr>
            </w:pPr>
          </w:p>
        </w:tc>
      </w:tr>
    </w:tbl>
    <w:p>
      <w:pPr>
        <w:pStyle w:val="5"/>
        <w:rPr>
          <w:highlight w:val="none"/>
        </w:rPr>
      </w:pPr>
    </w:p>
    <w:p>
      <w:pPr>
        <w:pStyle w:val="5"/>
        <w:spacing w:before="1"/>
        <w:rPr>
          <w:sz w:val="19"/>
          <w:highlight w:val="none"/>
        </w:rPr>
      </w:pPr>
    </w:p>
    <w:p>
      <w:pPr>
        <w:pStyle w:val="5"/>
        <w:tabs>
          <w:tab w:val="left" w:pos="3779"/>
        </w:tabs>
        <w:ind w:left="660"/>
        <w:rPr>
          <w:highlight w:val="none"/>
        </w:rPr>
      </w:pPr>
      <w:r>
        <w:rPr>
          <w:highlight w:val="none"/>
        </w:rPr>
        <w:t>投标单位：</w:t>
      </w:r>
      <w:r>
        <w:rPr>
          <w:highlight w:val="none"/>
          <w:u w:val="single"/>
        </w:rPr>
        <w:t xml:space="preserve"> </w:t>
      </w:r>
      <w:r>
        <w:rPr>
          <w:highlight w:val="none"/>
          <w:u w:val="single"/>
        </w:rPr>
        <w:tab/>
      </w:r>
      <w:r>
        <w:rPr>
          <w:highlight w:val="none"/>
        </w:rPr>
        <w:t>（公章）</w:t>
      </w:r>
    </w:p>
    <w:p>
      <w:pPr>
        <w:pStyle w:val="5"/>
        <w:spacing w:before="9"/>
        <w:rPr>
          <w:highlight w:val="none"/>
        </w:rPr>
      </w:pPr>
    </w:p>
    <w:p>
      <w:pPr>
        <w:pStyle w:val="5"/>
        <w:tabs>
          <w:tab w:val="left" w:pos="5099"/>
          <w:tab w:val="left" w:pos="7019"/>
        </w:tabs>
        <w:ind w:left="660"/>
        <w:rPr>
          <w:highlight w:val="none"/>
        </w:rPr>
      </w:pPr>
      <w:r>
        <w:rPr>
          <w:highlight w:val="none"/>
        </w:rPr>
        <w:t>法定代表人（或授权代理人）：</w:t>
      </w:r>
      <w:r>
        <w:rPr>
          <w:highlight w:val="none"/>
          <w:u w:val="single"/>
        </w:rPr>
        <w:t xml:space="preserve"> </w:t>
      </w:r>
      <w:r>
        <w:rPr>
          <w:highlight w:val="none"/>
          <w:u w:val="single"/>
        </w:rPr>
        <w:tab/>
      </w:r>
      <w:r>
        <w:rPr>
          <w:w w:val="95"/>
          <w:highlight w:val="none"/>
          <w:u w:val="single"/>
        </w:rPr>
        <w:t>（签字或盖章）</w:t>
      </w:r>
      <w:r>
        <w:rPr>
          <w:highlight w:val="none"/>
          <w:u w:val="single"/>
        </w:rPr>
        <w:tab/>
      </w:r>
    </w:p>
    <w:p>
      <w:pPr>
        <w:pStyle w:val="5"/>
        <w:spacing w:before="12"/>
        <w:rPr>
          <w:sz w:val="18"/>
          <w:highlight w:val="none"/>
        </w:rPr>
      </w:pPr>
    </w:p>
    <w:p>
      <w:pPr>
        <w:pStyle w:val="5"/>
        <w:tabs>
          <w:tab w:val="left" w:pos="3354"/>
        </w:tabs>
        <w:spacing w:before="74"/>
        <w:ind w:left="660"/>
        <w:rPr>
          <w:rFonts w:ascii="Times New Roman" w:eastAsia="Times New Roman"/>
          <w:highlight w:val="none"/>
        </w:rPr>
      </w:pPr>
      <w:r>
        <w:rPr>
          <w:w w:val="95"/>
          <w:highlight w:val="none"/>
        </w:rPr>
        <w:t>日期：</w:t>
      </w:r>
      <w:r>
        <w:rPr>
          <w:rFonts w:ascii="Times New Roman" w:eastAsia="Times New Roman"/>
          <w:w w:val="95"/>
          <w:highlight w:val="none"/>
          <w:u w:val="single"/>
        </w:rPr>
        <w:t xml:space="preserve"> </w:t>
      </w:r>
      <w:r>
        <w:rPr>
          <w:rFonts w:ascii="Times New Roman" w:eastAsia="Times New Roman"/>
          <w:highlight w:val="none"/>
          <w:u w:val="single"/>
        </w:rPr>
        <w:tab/>
      </w:r>
    </w:p>
    <w:p>
      <w:pPr>
        <w:pStyle w:val="5"/>
        <w:spacing w:before="8"/>
        <w:rPr>
          <w:rFonts w:ascii="Times New Roman"/>
          <w:sz w:val="21"/>
          <w:highlight w:val="none"/>
        </w:rPr>
      </w:pPr>
    </w:p>
    <w:p>
      <w:pPr>
        <w:pStyle w:val="5"/>
        <w:spacing w:before="67" w:line="242" w:lineRule="auto"/>
        <w:ind w:left="660" w:right="1271" w:firstLine="480"/>
        <w:jc w:val="both"/>
        <w:rPr>
          <w:highlight w:val="none"/>
        </w:rPr>
      </w:pPr>
      <w:r>
        <w:rPr>
          <w:spacing w:val="-6"/>
          <w:highlight w:val="none"/>
        </w:rPr>
        <w:t>注:① 投标报价应包括招标文件所规定的招标范围的全部内容；投标总金额包括本招标书中要求的所有货物和服务的费用，包含运输、保险、税收等相关费</w:t>
      </w:r>
      <w:r>
        <w:rPr>
          <w:highlight w:val="none"/>
        </w:rPr>
        <w:t>用，招标方不再进行二次投入，请投标方注意</w:t>
      </w:r>
    </w:p>
    <w:p>
      <w:pPr>
        <w:pStyle w:val="5"/>
        <w:spacing w:before="4"/>
        <w:ind w:left="1140"/>
        <w:jc w:val="both"/>
        <w:rPr>
          <w:highlight w:val="none"/>
        </w:rPr>
      </w:pPr>
      <w:r>
        <w:rPr>
          <w:highlight w:val="none"/>
        </w:rPr>
        <w:t>② 本项目投标总报价超过采购预算或最高限价的将视为无效投标。</w:t>
      </w:r>
    </w:p>
    <w:p>
      <w:pPr>
        <w:spacing w:after="0"/>
        <w:jc w:val="both"/>
        <w:rPr>
          <w:highlight w:val="none"/>
        </w:rPr>
        <w:sectPr>
          <w:footerReference r:id="rId10" w:type="default"/>
          <w:pgSz w:w="11900" w:h="16840"/>
          <w:pgMar w:top="1440" w:right="520" w:bottom="1160" w:left="1140" w:header="0" w:footer="978" w:gutter="0"/>
          <w:pgNumType w:fmt="decimal"/>
          <w:cols w:space="720" w:num="1"/>
        </w:sectPr>
      </w:pPr>
    </w:p>
    <w:p>
      <w:pPr>
        <w:spacing w:before="24"/>
        <w:ind w:left="0" w:right="611" w:firstLine="0"/>
        <w:jc w:val="center"/>
        <w:rPr>
          <w:sz w:val="44"/>
          <w:highlight w:val="none"/>
        </w:rPr>
      </w:pPr>
      <w:r>
        <w:rPr>
          <w:sz w:val="44"/>
          <w:highlight w:val="none"/>
        </w:rPr>
        <w:t>分项报价明细表</w:t>
      </w:r>
    </w:p>
    <w:p>
      <w:pPr>
        <w:pStyle w:val="5"/>
        <w:rPr>
          <w:sz w:val="44"/>
          <w:highlight w:val="none"/>
        </w:rPr>
      </w:pPr>
    </w:p>
    <w:p>
      <w:pPr>
        <w:pStyle w:val="5"/>
        <w:spacing w:before="12"/>
        <w:rPr>
          <w:sz w:val="58"/>
          <w:highlight w:val="none"/>
        </w:rPr>
      </w:pPr>
    </w:p>
    <w:p>
      <w:pPr>
        <w:pStyle w:val="10"/>
        <w:tabs>
          <w:tab w:val="left" w:pos="3878"/>
          <w:tab w:val="left" w:pos="7379"/>
          <w:tab w:val="left" w:pos="8500"/>
        </w:tabs>
        <w:rPr>
          <w:highlight w:val="none"/>
        </w:rPr>
      </w:pPr>
      <w:r>
        <w:rPr>
          <w:highlight w:val="none"/>
        </w:rPr>
        <w:t>项目名</w:t>
      </w:r>
      <w:r>
        <w:rPr>
          <w:spacing w:val="-3"/>
          <w:highlight w:val="none"/>
        </w:rPr>
        <w:t>称</w:t>
      </w:r>
      <w:r>
        <w:rPr>
          <w:highlight w:val="none"/>
        </w:rPr>
        <w:t>：</w:t>
      </w:r>
      <w:r>
        <w:rPr>
          <w:highlight w:val="none"/>
        </w:rPr>
        <w:tab/>
      </w:r>
      <w:r>
        <w:rPr>
          <w:highlight w:val="none"/>
        </w:rPr>
        <w:t>项目编号：</w:t>
      </w:r>
      <w:r>
        <w:rPr>
          <w:highlight w:val="none"/>
        </w:rPr>
        <w:tab/>
      </w:r>
      <w:r>
        <w:rPr>
          <w:highlight w:val="none"/>
        </w:rPr>
        <w:t>包号：</w:t>
      </w:r>
      <w:r>
        <w:rPr>
          <w:highlight w:val="none"/>
        </w:rPr>
        <w:tab/>
      </w:r>
      <w:r>
        <w:rPr>
          <w:highlight w:val="none"/>
        </w:rPr>
        <w:t>包</w:t>
      </w:r>
    </w:p>
    <w:p>
      <w:pPr>
        <w:spacing w:before="156" w:after="20"/>
        <w:ind w:left="0" w:right="1454" w:firstLine="0"/>
        <w:jc w:val="right"/>
        <w:rPr>
          <w:sz w:val="21"/>
          <w:highlight w:val="none"/>
        </w:rPr>
      </w:pPr>
      <w:r>
        <w:rPr>
          <w:spacing w:val="-1"/>
          <w:sz w:val="21"/>
          <w:highlight w:val="none"/>
        </w:rPr>
        <w:t>单位：元</w:t>
      </w:r>
    </w:p>
    <w:tbl>
      <w:tblPr>
        <w:tblStyle w:val="17"/>
        <w:tblW w:w="0" w:type="auto"/>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
        <w:gridCol w:w="1066"/>
        <w:gridCol w:w="1064"/>
        <w:gridCol w:w="1066"/>
        <w:gridCol w:w="1246"/>
        <w:gridCol w:w="886"/>
        <w:gridCol w:w="1066"/>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066" w:type="dxa"/>
          </w:tcPr>
          <w:p>
            <w:pPr>
              <w:pStyle w:val="21"/>
              <w:spacing w:before="132"/>
              <w:ind w:left="107"/>
              <w:rPr>
                <w:sz w:val="28"/>
                <w:highlight w:val="none"/>
              </w:rPr>
            </w:pPr>
            <w:r>
              <w:rPr>
                <w:sz w:val="28"/>
                <w:highlight w:val="none"/>
              </w:rPr>
              <w:t>序号</w:t>
            </w:r>
          </w:p>
        </w:tc>
        <w:tc>
          <w:tcPr>
            <w:tcW w:w="1066" w:type="dxa"/>
          </w:tcPr>
          <w:p>
            <w:pPr>
              <w:pStyle w:val="21"/>
              <w:spacing w:before="132"/>
              <w:ind w:left="107"/>
              <w:rPr>
                <w:sz w:val="28"/>
                <w:highlight w:val="none"/>
              </w:rPr>
            </w:pPr>
            <w:r>
              <w:rPr>
                <w:sz w:val="28"/>
                <w:highlight w:val="none"/>
              </w:rPr>
              <w:t>品名名</w:t>
            </w:r>
          </w:p>
          <w:p>
            <w:pPr>
              <w:pStyle w:val="21"/>
              <w:spacing w:before="9"/>
              <w:rPr>
                <w:sz w:val="20"/>
                <w:highlight w:val="none"/>
              </w:rPr>
            </w:pPr>
          </w:p>
          <w:p>
            <w:pPr>
              <w:pStyle w:val="21"/>
              <w:ind w:left="107"/>
              <w:rPr>
                <w:sz w:val="28"/>
                <w:highlight w:val="none"/>
              </w:rPr>
            </w:pPr>
            <w:r>
              <w:rPr>
                <w:w w:val="100"/>
                <w:sz w:val="28"/>
                <w:highlight w:val="none"/>
              </w:rPr>
              <w:t>称</w:t>
            </w:r>
          </w:p>
        </w:tc>
        <w:tc>
          <w:tcPr>
            <w:tcW w:w="1064" w:type="dxa"/>
          </w:tcPr>
          <w:p>
            <w:pPr>
              <w:pStyle w:val="21"/>
              <w:spacing w:before="132"/>
              <w:ind w:left="107"/>
              <w:rPr>
                <w:sz w:val="28"/>
                <w:highlight w:val="none"/>
              </w:rPr>
            </w:pPr>
            <w:r>
              <w:rPr>
                <w:sz w:val="28"/>
                <w:highlight w:val="none"/>
              </w:rPr>
              <w:t>厂商</w:t>
            </w:r>
          </w:p>
        </w:tc>
        <w:tc>
          <w:tcPr>
            <w:tcW w:w="1066" w:type="dxa"/>
          </w:tcPr>
          <w:p>
            <w:pPr>
              <w:pStyle w:val="21"/>
              <w:spacing w:before="132"/>
              <w:ind w:left="106"/>
              <w:rPr>
                <w:sz w:val="28"/>
                <w:highlight w:val="none"/>
              </w:rPr>
            </w:pPr>
            <w:r>
              <w:rPr>
                <w:spacing w:val="2"/>
                <w:sz w:val="28"/>
                <w:highlight w:val="none"/>
              </w:rPr>
              <w:t>品牌规</w:t>
            </w:r>
          </w:p>
          <w:p>
            <w:pPr>
              <w:pStyle w:val="21"/>
              <w:spacing w:before="9"/>
              <w:rPr>
                <w:sz w:val="20"/>
                <w:highlight w:val="none"/>
              </w:rPr>
            </w:pPr>
          </w:p>
          <w:p>
            <w:pPr>
              <w:pStyle w:val="21"/>
              <w:ind w:left="106"/>
              <w:rPr>
                <w:sz w:val="28"/>
                <w:highlight w:val="none"/>
              </w:rPr>
            </w:pPr>
            <w:r>
              <w:rPr>
                <w:sz w:val="28"/>
                <w:highlight w:val="none"/>
              </w:rPr>
              <w:t>格型号</w:t>
            </w:r>
          </w:p>
        </w:tc>
        <w:tc>
          <w:tcPr>
            <w:tcW w:w="1246" w:type="dxa"/>
          </w:tcPr>
          <w:p>
            <w:pPr>
              <w:pStyle w:val="21"/>
              <w:spacing w:before="132"/>
              <w:ind w:left="105"/>
              <w:rPr>
                <w:sz w:val="28"/>
                <w:highlight w:val="none"/>
              </w:rPr>
            </w:pPr>
            <w:r>
              <w:rPr>
                <w:sz w:val="28"/>
                <w:highlight w:val="none"/>
              </w:rPr>
              <w:t>数量</w:t>
            </w:r>
            <w:r>
              <w:rPr>
                <w:rFonts w:ascii="Calibri" w:eastAsia="Calibri"/>
                <w:sz w:val="28"/>
                <w:highlight w:val="none"/>
              </w:rPr>
              <w:t xml:space="preserve">/ </w:t>
            </w:r>
            <w:r>
              <w:rPr>
                <w:sz w:val="28"/>
                <w:highlight w:val="none"/>
              </w:rPr>
              <w:t>单</w:t>
            </w:r>
          </w:p>
          <w:p>
            <w:pPr>
              <w:pStyle w:val="21"/>
              <w:spacing w:before="266"/>
              <w:ind w:left="105"/>
              <w:rPr>
                <w:sz w:val="28"/>
                <w:highlight w:val="none"/>
              </w:rPr>
            </w:pPr>
            <w:r>
              <w:rPr>
                <w:w w:val="100"/>
                <w:sz w:val="28"/>
                <w:highlight w:val="none"/>
              </w:rPr>
              <w:t>位</w:t>
            </w:r>
          </w:p>
        </w:tc>
        <w:tc>
          <w:tcPr>
            <w:tcW w:w="886" w:type="dxa"/>
          </w:tcPr>
          <w:p>
            <w:pPr>
              <w:pStyle w:val="21"/>
              <w:spacing w:before="132"/>
              <w:ind w:left="105"/>
              <w:rPr>
                <w:sz w:val="28"/>
                <w:highlight w:val="none"/>
              </w:rPr>
            </w:pPr>
            <w:r>
              <w:rPr>
                <w:sz w:val="28"/>
                <w:highlight w:val="none"/>
              </w:rPr>
              <w:t>单价</w:t>
            </w:r>
          </w:p>
        </w:tc>
        <w:tc>
          <w:tcPr>
            <w:tcW w:w="1066" w:type="dxa"/>
          </w:tcPr>
          <w:p>
            <w:pPr>
              <w:pStyle w:val="21"/>
              <w:spacing w:before="132"/>
              <w:ind w:left="105"/>
              <w:rPr>
                <w:sz w:val="28"/>
                <w:highlight w:val="none"/>
              </w:rPr>
            </w:pPr>
            <w:r>
              <w:rPr>
                <w:sz w:val="28"/>
                <w:highlight w:val="none"/>
              </w:rPr>
              <w:t>单项总</w:t>
            </w:r>
          </w:p>
          <w:p>
            <w:pPr>
              <w:pStyle w:val="21"/>
              <w:spacing w:before="9"/>
              <w:rPr>
                <w:sz w:val="20"/>
                <w:highlight w:val="none"/>
              </w:rPr>
            </w:pPr>
          </w:p>
          <w:p>
            <w:pPr>
              <w:pStyle w:val="21"/>
              <w:ind w:left="105"/>
              <w:rPr>
                <w:sz w:val="28"/>
                <w:highlight w:val="none"/>
              </w:rPr>
            </w:pPr>
            <w:r>
              <w:rPr>
                <w:w w:val="100"/>
                <w:sz w:val="28"/>
                <w:highlight w:val="none"/>
              </w:rPr>
              <w:t>价</w:t>
            </w:r>
          </w:p>
        </w:tc>
        <w:tc>
          <w:tcPr>
            <w:tcW w:w="1066" w:type="dxa"/>
          </w:tcPr>
          <w:p>
            <w:pPr>
              <w:pStyle w:val="21"/>
              <w:spacing w:before="132"/>
              <w:ind w:left="104"/>
              <w:rPr>
                <w:sz w:val="28"/>
                <w:highlight w:val="none"/>
              </w:rPr>
            </w:pPr>
            <w:r>
              <w:rPr>
                <w:sz w:val="28"/>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66" w:type="dxa"/>
          </w:tcPr>
          <w:p>
            <w:pPr>
              <w:pStyle w:val="21"/>
              <w:rPr>
                <w:rFonts w:ascii="Times New Roman"/>
                <w:sz w:val="28"/>
                <w:highlight w:val="none"/>
              </w:rPr>
            </w:pPr>
          </w:p>
        </w:tc>
        <w:tc>
          <w:tcPr>
            <w:tcW w:w="1066" w:type="dxa"/>
          </w:tcPr>
          <w:p>
            <w:pPr>
              <w:pStyle w:val="21"/>
              <w:rPr>
                <w:rFonts w:ascii="Times New Roman"/>
                <w:sz w:val="28"/>
                <w:highlight w:val="none"/>
              </w:rPr>
            </w:pPr>
          </w:p>
        </w:tc>
        <w:tc>
          <w:tcPr>
            <w:tcW w:w="1064" w:type="dxa"/>
          </w:tcPr>
          <w:p>
            <w:pPr>
              <w:pStyle w:val="21"/>
              <w:rPr>
                <w:rFonts w:ascii="Times New Roman"/>
                <w:sz w:val="28"/>
                <w:highlight w:val="none"/>
              </w:rPr>
            </w:pPr>
          </w:p>
        </w:tc>
        <w:tc>
          <w:tcPr>
            <w:tcW w:w="1066" w:type="dxa"/>
          </w:tcPr>
          <w:p>
            <w:pPr>
              <w:pStyle w:val="21"/>
              <w:rPr>
                <w:rFonts w:ascii="Times New Roman"/>
                <w:sz w:val="28"/>
                <w:highlight w:val="none"/>
              </w:rPr>
            </w:pPr>
          </w:p>
        </w:tc>
        <w:tc>
          <w:tcPr>
            <w:tcW w:w="1246" w:type="dxa"/>
          </w:tcPr>
          <w:p>
            <w:pPr>
              <w:pStyle w:val="21"/>
              <w:rPr>
                <w:rFonts w:ascii="Times New Roman"/>
                <w:sz w:val="28"/>
                <w:highlight w:val="none"/>
              </w:rPr>
            </w:pPr>
          </w:p>
        </w:tc>
        <w:tc>
          <w:tcPr>
            <w:tcW w:w="886" w:type="dxa"/>
          </w:tcPr>
          <w:p>
            <w:pPr>
              <w:pStyle w:val="21"/>
              <w:rPr>
                <w:rFonts w:ascii="Times New Roman"/>
                <w:sz w:val="28"/>
                <w:highlight w:val="none"/>
              </w:rPr>
            </w:pPr>
          </w:p>
        </w:tc>
        <w:tc>
          <w:tcPr>
            <w:tcW w:w="1066" w:type="dxa"/>
          </w:tcPr>
          <w:p>
            <w:pPr>
              <w:pStyle w:val="21"/>
              <w:rPr>
                <w:rFonts w:ascii="Times New Roman"/>
                <w:sz w:val="28"/>
                <w:highlight w:val="none"/>
              </w:rPr>
            </w:pPr>
          </w:p>
        </w:tc>
        <w:tc>
          <w:tcPr>
            <w:tcW w:w="1066" w:type="dxa"/>
          </w:tcPr>
          <w:p>
            <w:pPr>
              <w:pStyle w:val="21"/>
              <w:rPr>
                <w:rFonts w:ascii="Times New Roman"/>
                <w:sz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066" w:type="dxa"/>
          </w:tcPr>
          <w:p>
            <w:pPr>
              <w:pStyle w:val="21"/>
              <w:spacing w:before="143"/>
              <w:ind w:left="107"/>
              <w:rPr>
                <w:rFonts w:ascii="Calibri"/>
                <w:sz w:val="28"/>
                <w:highlight w:val="none"/>
              </w:rPr>
            </w:pPr>
            <w:r>
              <w:rPr>
                <w:rFonts w:ascii="Calibri"/>
                <w:sz w:val="28"/>
                <w:highlight w:val="none"/>
              </w:rPr>
              <w:t>.........</w:t>
            </w:r>
          </w:p>
        </w:tc>
        <w:tc>
          <w:tcPr>
            <w:tcW w:w="1066" w:type="dxa"/>
          </w:tcPr>
          <w:p>
            <w:pPr>
              <w:pStyle w:val="21"/>
              <w:rPr>
                <w:rFonts w:ascii="Times New Roman"/>
                <w:sz w:val="28"/>
                <w:highlight w:val="none"/>
              </w:rPr>
            </w:pPr>
          </w:p>
        </w:tc>
        <w:tc>
          <w:tcPr>
            <w:tcW w:w="1064" w:type="dxa"/>
          </w:tcPr>
          <w:p>
            <w:pPr>
              <w:pStyle w:val="21"/>
              <w:rPr>
                <w:rFonts w:ascii="Times New Roman"/>
                <w:sz w:val="28"/>
                <w:highlight w:val="none"/>
              </w:rPr>
            </w:pPr>
          </w:p>
        </w:tc>
        <w:tc>
          <w:tcPr>
            <w:tcW w:w="1066" w:type="dxa"/>
          </w:tcPr>
          <w:p>
            <w:pPr>
              <w:pStyle w:val="21"/>
              <w:rPr>
                <w:rFonts w:ascii="Times New Roman"/>
                <w:sz w:val="28"/>
                <w:highlight w:val="none"/>
              </w:rPr>
            </w:pPr>
          </w:p>
        </w:tc>
        <w:tc>
          <w:tcPr>
            <w:tcW w:w="1246" w:type="dxa"/>
          </w:tcPr>
          <w:p>
            <w:pPr>
              <w:pStyle w:val="21"/>
              <w:rPr>
                <w:rFonts w:ascii="Times New Roman"/>
                <w:sz w:val="28"/>
                <w:highlight w:val="none"/>
              </w:rPr>
            </w:pPr>
          </w:p>
        </w:tc>
        <w:tc>
          <w:tcPr>
            <w:tcW w:w="886" w:type="dxa"/>
          </w:tcPr>
          <w:p>
            <w:pPr>
              <w:pStyle w:val="21"/>
              <w:rPr>
                <w:rFonts w:ascii="Times New Roman"/>
                <w:sz w:val="28"/>
                <w:highlight w:val="none"/>
              </w:rPr>
            </w:pPr>
          </w:p>
        </w:tc>
        <w:tc>
          <w:tcPr>
            <w:tcW w:w="1066" w:type="dxa"/>
          </w:tcPr>
          <w:p>
            <w:pPr>
              <w:pStyle w:val="21"/>
              <w:rPr>
                <w:rFonts w:ascii="Times New Roman"/>
                <w:sz w:val="28"/>
                <w:highlight w:val="none"/>
              </w:rPr>
            </w:pPr>
          </w:p>
        </w:tc>
        <w:tc>
          <w:tcPr>
            <w:tcW w:w="1066" w:type="dxa"/>
          </w:tcPr>
          <w:p>
            <w:pPr>
              <w:pStyle w:val="21"/>
              <w:rPr>
                <w:rFonts w:ascii="Times New Roman"/>
                <w:sz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66" w:type="dxa"/>
          </w:tcPr>
          <w:p>
            <w:pPr>
              <w:pStyle w:val="21"/>
              <w:rPr>
                <w:rFonts w:ascii="Times New Roman"/>
                <w:sz w:val="28"/>
                <w:highlight w:val="none"/>
              </w:rPr>
            </w:pPr>
          </w:p>
        </w:tc>
        <w:tc>
          <w:tcPr>
            <w:tcW w:w="5328" w:type="dxa"/>
            <w:gridSpan w:val="5"/>
          </w:tcPr>
          <w:p>
            <w:pPr>
              <w:pStyle w:val="21"/>
              <w:spacing w:before="132"/>
              <w:ind w:left="2363" w:right="2355"/>
              <w:jc w:val="center"/>
              <w:rPr>
                <w:sz w:val="28"/>
                <w:highlight w:val="none"/>
              </w:rPr>
            </w:pPr>
            <w:r>
              <w:rPr>
                <w:sz w:val="28"/>
                <w:highlight w:val="none"/>
              </w:rPr>
              <w:t>总价</w:t>
            </w:r>
          </w:p>
        </w:tc>
        <w:tc>
          <w:tcPr>
            <w:tcW w:w="1066" w:type="dxa"/>
          </w:tcPr>
          <w:p>
            <w:pPr>
              <w:pStyle w:val="21"/>
              <w:rPr>
                <w:rFonts w:ascii="Times New Roman"/>
                <w:sz w:val="28"/>
                <w:highlight w:val="none"/>
              </w:rPr>
            </w:pPr>
          </w:p>
        </w:tc>
        <w:tc>
          <w:tcPr>
            <w:tcW w:w="1066" w:type="dxa"/>
          </w:tcPr>
          <w:p>
            <w:pPr>
              <w:pStyle w:val="21"/>
              <w:rPr>
                <w:rFonts w:ascii="Times New Roman"/>
                <w:sz w:val="28"/>
                <w:highlight w:val="none"/>
              </w:rPr>
            </w:pPr>
          </w:p>
        </w:tc>
      </w:tr>
    </w:tbl>
    <w:p>
      <w:pPr>
        <w:pStyle w:val="5"/>
        <w:rPr>
          <w:sz w:val="20"/>
          <w:highlight w:val="none"/>
        </w:rPr>
      </w:pPr>
    </w:p>
    <w:p>
      <w:pPr>
        <w:pStyle w:val="5"/>
        <w:rPr>
          <w:sz w:val="20"/>
          <w:highlight w:val="none"/>
        </w:rPr>
      </w:pPr>
    </w:p>
    <w:p>
      <w:pPr>
        <w:pStyle w:val="5"/>
        <w:rPr>
          <w:sz w:val="19"/>
          <w:highlight w:val="none"/>
        </w:rPr>
      </w:pPr>
    </w:p>
    <w:p>
      <w:pPr>
        <w:pStyle w:val="10"/>
        <w:spacing w:before="1" w:line="417" w:lineRule="auto"/>
        <w:ind w:right="6916"/>
        <w:rPr>
          <w:highlight w:val="none"/>
        </w:rPr>
      </w:pPr>
      <w:r>
        <w:rPr>
          <w:highlight w:val="none"/>
        </w:rPr>
        <w:t>投标单位： （公章） 日期： 年 月 日</w:t>
      </w:r>
    </w:p>
    <w:p>
      <w:pPr>
        <w:pStyle w:val="5"/>
        <w:rPr>
          <w:sz w:val="28"/>
          <w:highlight w:val="none"/>
        </w:rPr>
      </w:pPr>
    </w:p>
    <w:p>
      <w:pPr>
        <w:pStyle w:val="5"/>
        <w:spacing w:before="8"/>
        <w:rPr>
          <w:sz w:val="20"/>
          <w:highlight w:val="none"/>
        </w:rPr>
      </w:pPr>
    </w:p>
    <w:p>
      <w:pPr>
        <w:pStyle w:val="10"/>
        <w:spacing w:line="417" w:lineRule="auto"/>
        <w:ind w:right="1271"/>
        <w:rPr>
          <w:highlight w:val="none"/>
        </w:rPr>
      </w:pPr>
      <w:r>
        <w:rPr>
          <w:highlight w:val="none"/>
        </w:rPr>
        <w:t>注</w:t>
      </w:r>
      <w:r>
        <w:rPr>
          <w:rFonts w:ascii="Calibri" w:hAnsi="Calibri" w:eastAsia="Calibri"/>
          <w:highlight w:val="none"/>
        </w:rPr>
        <w:t>: ①</w:t>
      </w:r>
      <w:r>
        <w:rPr>
          <w:highlight w:val="none"/>
        </w:rPr>
        <w:t>投标人必须按</w:t>
      </w:r>
      <w:r>
        <w:rPr>
          <w:rFonts w:ascii="Calibri" w:hAnsi="Calibri" w:eastAsia="Calibri"/>
          <w:highlight w:val="none"/>
        </w:rPr>
        <w:t>“</w:t>
      </w:r>
      <w:r>
        <w:rPr>
          <w:highlight w:val="none"/>
        </w:rPr>
        <w:t>分项报价明细表</w:t>
      </w:r>
      <w:r>
        <w:rPr>
          <w:rFonts w:ascii="Calibri" w:hAnsi="Calibri" w:eastAsia="Calibri"/>
          <w:highlight w:val="none"/>
        </w:rPr>
        <w:t>”</w:t>
      </w:r>
      <w:r>
        <w:rPr>
          <w:highlight w:val="none"/>
        </w:rPr>
        <w:t>的格式详细报出投标总价的各个组成部分的报价，否则作无效投标处理。</w:t>
      </w:r>
    </w:p>
    <w:p>
      <w:pPr>
        <w:pStyle w:val="10"/>
        <w:spacing w:line="417" w:lineRule="auto"/>
        <w:ind w:right="1271" w:hanging="1"/>
        <w:rPr>
          <w:highlight w:val="none"/>
        </w:rPr>
      </w:pPr>
      <w:r>
        <w:rPr>
          <w:rFonts w:ascii="Calibri" w:hAnsi="Calibri" w:eastAsia="Calibri"/>
          <w:highlight w:val="none"/>
        </w:rPr>
        <w:t>②“</w:t>
      </w:r>
      <w:r>
        <w:rPr>
          <w:highlight w:val="none"/>
        </w:rPr>
        <w:t>分项报价明细表</w:t>
      </w:r>
      <w:r>
        <w:rPr>
          <w:rFonts w:ascii="Calibri" w:hAnsi="Calibri" w:eastAsia="Calibri"/>
          <w:highlight w:val="none"/>
        </w:rPr>
        <w:t>”</w:t>
      </w:r>
      <w:r>
        <w:rPr>
          <w:highlight w:val="none"/>
        </w:rPr>
        <w:t>各分项报价合计应当与</w:t>
      </w:r>
      <w:r>
        <w:rPr>
          <w:rFonts w:ascii="Calibri" w:hAnsi="Calibri" w:eastAsia="Calibri"/>
          <w:highlight w:val="none"/>
        </w:rPr>
        <w:t>“</w:t>
      </w:r>
      <w:r>
        <w:rPr>
          <w:highlight w:val="none"/>
        </w:rPr>
        <w:t>开标一览表</w:t>
      </w:r>
      <w:r>
        <w:rPr>
          <w:rFonts w:ascii="Calibri" w:hAnsi="Calibri" w:eastAsia="Calibri"/>
          <w:highlight w:val="none"/>
        </w:rPr>
        <w:t>”</w:t>
      </w:r>
      <w:r>
        <w:rPr>
          <w:highlight w:val="none"/>
        </w:rPr>
        <w:t>报价合计相等。</w:t>
      </w:r>
    </w:p>
    <w:p>
      <w:pPr>
        <w:pStyle w:val="10"/>
        <w:spacing w:line="358" w:lineRule="exact"/>
        <w:rPr>
          <w:highlight w:val="none"/>
        </w:rPr>
      </w:pPr>
      <w:r>
        <w:rPr>
          <w:highlight w:val="none"/>
        </w:rPr>
        <w:t>③</w:t>
      </w:r>
      <w:r>
        <w:rPr>
          <w:rFonts w:ascii="Calibri" w:hAnsi="Calibri" w:eastAsia="Calibri"/>
          <w:highlight w:val="none"/>
        </w:rPr>
        <w:t>“</w:t>
      </w:r>
      <w:r>
        <w:rPr>
          <w:highlight w:val="none"/>
        </w:rPr>
        <w:t>分项报价明细表</w:t>
      </w:r>
      <w:r>
        <w:rPr>
          <w:rFonts w:ascii="Calibri" w:hAnsi="Calibri" w:eastAsia="Calibri"/>
          <w:highlight w:val="none"/>
        </w:rPr>
        <w:t>”</w:t>
      </w:r>
      <w:r>
        <w:rPr>
          <w:highlight w:val="none"/>
        </w:rPr>
        <w:t>行数可自行添加，但表式不变。</w:t>
      </w:r>
    </w:p>
    <w:p>
      <w:pPr>
        <w:spacing w:after="0" w:line="358" w:lineRule="exact"/>
        <w:rPr>
          <w:highlight w:val="none"/>
        </w:rPr>
        <w:sectPr>
          <w:footerReference r:id="rId11" w:type="default"/>
          <w:pgSz w:w="11900" w:h="16840"/>
          <w:pgMar w:top="1420" w:right="520" w:bottom="1380" w:left="1140" w:header="0" w:footer="1199" w:gutter="0"/>
          <w:pgNumType w:fmt="decimal"/>
          <w:cols w:space="720" w:num="1"/>
        </w:sectPr>
      </w:pPr>
    </w:p>
    <w:p>
      <w:pPr>
        <w:pStyle w:val="7"/>
        <w:ind w:right="608"/>
        <w:rPr>
          <w:highlight w:val="none"/>
        </w:rPr>
      </w:pPr>
      <w:r>
        <w:rPr>
          <w:highlight w:val="none"/>
        </w:rPr>
        <w:t>符合性审查响应表</w:t>
      </w:r>
    </w:p>
    <w:p>
      <w:pPr>
        <w:pStyle w:val="5"/>
        <w:spacing w:before="3"/>
        <w:rPr>
          <w:sz w:val="43"/>
          <w:highlight w:val="none"/>
        </w:rPr>
      </w:pPr>
    </w:p>
    <w:p>
      <w:pPr>
        <w:pStyle w:val="5"/>
        <w:spacing w:line="364" w:lineRule="auto"/>
        <w:ind w:left="660" w:right="1274" w:firstLine="480"/>
        <w:jc w:val="both"/>
        <w:rPr>
          <w:highlight w:val="none"/>
        </w:rPr>
      </w:pPr>
      <w:r>
        <w:rPr>
          <w:spacing w:val="-10"/>
          <w:highlight w:val="none"/>
        </w:rPr>
        <w:t>说明：供应商必须仔细阅读招标文件中所有符合性审查内容，对所有符合性</w:t>
      </w:r>
      <w:r>
        <w:rPr>
          <w:spacing w:val="-6"/>
          <w:highlight w:val="none"/>
        </w:rPr>
        <w:t>审查条款的响应情况逐项列入下表，并对其响应情况进行说明。未列入下表的视</w:t>
      </w:r>
      <w:r>
        <w:rPr>
          <w:highlight w:val="none"/>
        </w:rPr>
        <w:t>作供应商不响应。</w:t>
      </w:r>
    </w:p>
    <w:p>
      <w:pPr>
        <w:pStyle w:val="5"/>
        <w:rPr>
          <w:sz w:val="20"/>
          <w:highlight w:val="none"/>
        </w:rPr>
      </w:pPr>
    </w:p>
    <w:p>
      <w:pPr>
        <w:pStyle w:val="5"/>
        <w:spacing w:before="6"/>
        <w:rPr>
          <w:sz w:val="10"/>
          <w:highlight w:val="none"/>
        </w:rPr>
      </w:pPr>
    </w:p>
    <w:tbl>
      <w:tblPr>
        <w:tblStyle w:val="17"/>
        <w:tblW w:w="0" w:type="auto"/>
        <w:tblInd w:w="1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6"/>
        <w:gridCol w:w="1214"/>
        <w:gridCol w:w="1728"/>
        <w:gridCol w:w="922"/>
        <w:gridCol w:w="752"/>
        <w:gridCol w:w="2254"/>
        <w:gridCol w:w="1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56" w:type="dxa"/>
          </w:tcPr>
          <w:p>
            <w:pPr>
              <w:pStyle w:val="21"/>
              <w:spacing w:before="176"/>
              <w:ind w:left="147" w:right="136"/>
              <w:jc w:val="center"/>
              <w:rPr>
                <w:b/>
                <w:sz w:val="21"/>
                <w:highlight w:val="none"/>
              </w:rPr>
            </w:pPr>
            <w:r>
              <w:rPr>
                <w:b/>
                <w:sz w:val="21"/>
                <w:highlight w:val="none"/>
              </w:rPr>
              <w:t>序号</w:t>
            </w:r>
          </w:p>
        </w:tc>
        <w:tc>
          <w:tcPr>
            <w:tcW w:w="1214" w:type="dxa"/>
          </w:tcPr>
          <w:p>
            <w:pPr>
              <w:pStyle w:val="21"/>
              <w:spacing w:before="176"/>
              <w:ind w:left="187"/>
              <w:rPr>
                <w:b/>
                <w:sz w:val="21"/>
                <w:highlight w:val="none"/>
              </w:rPr>
            </w:pPr>
            <w:r>
              <w:rPr>
                <w:b/>
                <w:sz w:val="21"/>
                <w:highlight w:val="none"/>
              </w:rPr>
              <w:t>评审因素</w:t>
            </w:r>
          </w:p>
        </w:tc>
        <w:tc>
          <w:tcPr>
            <w:tcW w:w="1728" w:type="dxa"/>
          </w:tcPr>
          <w:p>
            <w:pPr>
              <w:pStyle w:val="21"/>
              <w:spacing w:before="176"/>
              <w:ind w:left="444"/>
              <w:rPr>
                <w:b/>
                <w:sz w:val="21"/>
                <w:highlight w:val="none"/>
              </w:rPr>
            </w:pPr>
            <w:r>
              <w:rPr>
                <w:b/>
                <w:sz w:val="21"/>
                <w:highlight w:val="none"/>
              </w:rPr>
              <w:t>评审标准</w:t>
            </w:r>
          </w:p>
        </w:tc>
        <w:tc>
          <w:tcPr>
            <w:tcW w:w="922" w:type="dxa"/>
          </w:tcPr>
          <w:p>
            <w:pPr>
              <w:pStyle w:val="21"/>
              <w:spacing w:before="176"/>
              <w:ind w:left="252"/>
              <w:rPr>
                <w:b/>
                <w:sz w:val="21"/>
                <w:highlight w:val="none"/>
              </w:rPr>
            </w:pPr>
            <w:r>
              <w:rPr>
                <w:b/>
                <w:sz w:val="21"/>
                <w:highlight w:val="none"/>
              </w:rPr>
              <w:t>起页</w:t>
            </w:r>
          </w:p>
        </w:tc>
        <w:tc>
          <w:tcPr>
            <w:tcW w:w="752" w:type="dxa"/>
          </w:tcPr>
          <w:p>
            <w:pPr>
              <w:pStyle w:val="21"/>
              <w:spacing w:before="176"/>
              <w:ind w:left="165"/>
              <w:rPr>
                <w:b/>
                <w:sz w:val="21"/>
                <w:highlight w:val="none"/>
              </w:rPr>
            </w:pPr>
            <w:r>
              <w:rPr>
                <w:b/>
                <w:sz w:val="21"/>
                <w:highlight w:val="none"/>
              </w:rPr>
              <w:t>止页</w:t>
            </w:r>
          </w:p>
        </w:tc>
        <w:tc>
          <w:tcPr>
            <w:tcW w:w="2254" w:type="dxa"/>
          </w:tcPr>
          <w:p>
            <w:pPr>
              <w:pStyle w:val="21"/>
              <w:spacing w:before="176"/>
              <w:ind w:left="181"/>
              <w:rPr>
                <w:sz w:val="21"/>
                <w:highlight w:val="none"/>
              </w:rPr>
            </w:pPr>
            <w:r>
              <w:rPr>
                <w:b/>
                <w:sz w:val="21"/>
                <w:highlight w:val="none"/>
              </w:rPr>
              <w:t>响应情况</w:t>
            </w:r>
            <w:r>
              <w:rPr>
                <w:sz w:val="21"/>
                <w:highlight w:val="none"/>
              </w:rPr>
              <w:t>（＋/-/=）</w:t>
            </w:r>
          </w:p>
        </w:tc>
        <w:tc>
          <w:tcPr>
            <w:tcW w:w="1140" w:type="dxa"/>
          </w:tcPr>
          <w:p>
            <w:pPr>
              <w:pStyle w:val="21"/>
              <w:spacing w:before="176"/>
              <w:ind w:left="358"/>
              <w:rPr>
                <w:b/>
                <w:sz w:val="21"/>
                <w:highlight w:val="none"/>
              </w:rPr>
            </w:pPr>
            <w:r>
              <w:rPr>
                <w:b/>
                <w:sz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756" w:type="dxa"/>
          </w:tcPr>
          <w:p>
            <w:pPr>
              <w:pStyle w:val="21"/>
              <w:spacing w:before="11"/>
              <w:rPr>
                <w:sz w:val="28"/>
                <w:highlight w:val="none"/>
              </w:rPr>
            </w:pPr>
          </w:p>
          <w:p>
            <w:pPr>
              <w:pStyle w:val="21"/>
              <w:spacing w:before="1"/>
              <w:ind w:left="11"/>
              <w:jc w:val="center"/>
              <w:rPr>
                <w:b/>
                <w:sz w:val="21"/>
                <w:highlight w:val="none"/>
              </w:rPr>
            </w:pPr>
            <w:r>
              <w:rPr>
                <w:b/>
                <w:w w:val="99"/>
                <w:sz w:val="21"/>
                <w:highlight w:val="none"/>
              </w:rPr>
              <w:t>1</w:t>
            </w:r>
          </w:p>
        </w:tc>
        <w:tc>
          <w:tcPr>
            <w:tcW w:w="1214" w:type="dxa"/>
          </w:tcPr>
          <w:p>
            <w:pPr>
              <w:pStyle w:val="21"/>
              <w:rPr>
                <w:rFonts w:ascii="Times New Roman"/>
                <w:sz w:val="22"/>
                <w:highlight w:val="none"/>
              </w:rPr>
            </w:pPr>
          </w:p>
        </w:tc>
        <w:tc>
          <w:tcPr>
            <w:tcW w:w="1728" w:type="dxa"/>
          </w:tcPr>
          <w:p>
            <w:pPr>
              <w:pStyle w:val="21"/>
              <w:rPr>
                <w:rFonts w:ascii="Times New Roman"/>
                <w:sz w:val="22"/>
                <w:highlight w:val="none"/>
              </w:rPr>
            </w:pPr>
          </w:p>
        </w:tc>
        <w:tc>
          <w:tcPr>
            <w:tcW w:w="922" w:type="dxa"/>
          </w:tcPr>
          <w:p>
            <w:pPr>
              <w:pStyle w:val="21"/>
              <w:rPr>
                <w:rFonts w:ascii="Times New Roman"/>
                <w:sz w:val="22"/>
                <w:highlight w:val="none"/>
              </w:rPr>
            </w:pPr>
          </w:p>
        </w:tc>
        <w:tc>
          <w:tcPr>
            <w:tcW w:w="752" w:type="dxa"/>
          </w:tcPr>
          <w:p>
            <w:pPr>
              <w:pStyle w:val="21"/>
              <w:rPr>
                <w:rFonts w:ascii="Times New Roman"/>
                <w:sz w:val="22"/>
                <w:highlight w:val="none"/>
              </w:rPr>
            </w:pPr>
          </w:p>
        </w:tc>
        <w:tc>
          <w:tcPr>
            <w:tcW w:w="2254" w:type="dxa"/>
          </w:tcPr>
          <w:p>
            <w:pPr>
              <w:pStyle w:val="21"/>
              <w:rPr>
                <w:rFonts w:ascii="Times New Roman"/>
                <w:sz w:val="22"/>
                <w:highlight w:val="none"/>
              </w:rPr>
            </w:pPr>
          </w:p>
        </w:tc>
        <w:tc>
          <w:tcPr>
            <w:tcW w:w="1140" w:type="dxa"/>
          </w:tcPr>
          <w:p>
            <w:pPr>
              <w:pStyle w:val="21"/>
              <w:rPr>
                <w:rFonts w:ascii="Times New Roman"/>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756" w:type="dxa"/>
          </w:tcPr>
          <w:p>
            <w:pPr>
              <w:pStyle w:val="21"/>
              <w:spacing w:before="4"/>
              <w:rPr>
                <w:sz w:val="22"/>
                <w:highlight w:val="none"/>
              </w:rPr>
            </w:pPr>
          </w:p>
          <w:p>
            <w:pPr>
              <w:pStyle w:val="21"/>
              <w:ind w:left="11"/>
              <w:jc w:val="center"/>
              <w:rPr>
                <w:b/>
                <w:sz w:val="21"/>
                <w:highlight w:val="none"/>
              </w:rPr>
            </w:pPr>
            <w:r>
              <w:rPr>
                <w:b/>
                <w:w w:val="99"/>
                <w:sz w:val="21"/>
                <w:highlight w:val="none"/>
              </w:rPr>
              <w:t>2</w:t>
            </w:r>
          </w:p>
        </w:tc>
        <w:tc>
          <w:tcPr>
            <w:tcW w:w="1214" w:type="dxa"/>
          </w:tcPr>
          <w:p>
            <w:pPr>
              <w:pStyle w:val="21"/>
              <w:rPr>
                <w:rFonts w:ascii="Times New Roman"/>
                <w:sz w:val="22"/>
                <w:highlight w:val="none"/>
              </w:rPr>
            </w:pPr>
          </w:p>
        </w:tc>
        <w:tc>
          <w:tcPr>
            <w:tcW w:w="1728" w:type="dxa"/>
          </w:tcPr>
          <w:p>
            <w:pPr>
              <w:pStyle w:val="21"/>
              <w:rPr>
                <w:rFonts w:ascii="Times New Roman"/>
                <w:sz w:val="22"/>
                <w:highlight w:val="none"/>
              </w:rPr>
            </w:pPr>
          </w:p>
        </w:tc>
        <w:tc>
          <w:tcPr>
            <w:tcW w:w="922" w:type="dxa"/>
          </w:tcPr>
          <w:p>
            <w:pPr>
              <w:pStyle w:val="21"/>
              <w:rPr>
                <w:rFonts w:ascii="Times New Roman"/>
                <w:sz w:val="22"/>
                <w:highlight w:val="none"/>
              </w:rPr>
            </w:pPr>
          </w:p>
        </w:tc>
        <w:tc>
          <w:tcPr>
            <w:tcW w:w="752" w:type="dxa"/>
          </w:tcPr>
          <w:p>
            <w:pPr>
              <w:pStyle w:val="21"/>
              <w:rPr>
                <w:rFonts w:ascii="Times New Roman"/>
                <w:sz w:val="22"/>
                <w:highlight w:val="none"/>
              </w:rPr>
            </w:pPr>
          </w:p>
        </w:tc>
        <w:tc>
          <w:tcPr>
            <w:tcW w:w="2254" w:type="dxa"/>
          </w:tcPr>
          <w:p>
            <w:pPr>
              <w:pStyle w:val="21"/>
              <w:rPr>
                <w:rFonts w:ascii="Times New Roman"/>
                <w:sz w:val="22"/>
                <w:highlight w:val="none"/>
              </w:rPr>
            </w:pPr>
          </w:p>
        </w:tc>
        <w:tc>
          <w:tcPr>
            <w:tcW w:w="1140" w:type="dxa"/>
          </w:tcPr>
          <w:p>
            <w:pPr>
              <w:pStyle w:val="21"/>
              <w:rPr>
                <w:rFonts w:ascii="Times New Roman"/>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756" w:type="dxa"/>
          </w:tcPr>
          <w:p>
            <w:pPr>
              <w:pStyle w:val="21"/>
              <w:spacing w:before="2"/>
              <w:rPr>
                <w:sz w:val="28"/>
                <w:highlight w:val="none"/>
              </w:rPr>
            </w:pPr>
          </w:p>
          <w:p>
            <w:pPr>
              <w:pStyle w:val="21"/>
              <w:ind w:left="11"/>
              <w:jc w:val="center"/>
              <w:rPr>
                <w:b/>
                <w:sz w:val="21"/>
                <w:highlight w:val="none"/>
              </w:rPr>
            </w:pPr>
            <w:r>
              <w:rPr>
                <w:b/>
                <w:w w:val="99"/>
                <w:sz w:val="21"/>
                <w:highlight w:val="none"/>
              </w:rPr>
              <w:t>3</w:t>
            </w:r>
          </w:p>
        </w:tc>
        <w:tc>
          <w:tcPr>
            <w:tcW w:w="1214" w:type="dxa"/>
          </w:tcPr>
          <w:p>
            <w:pPr>
              <w:pStyle w:val="21"/>
              <w:rPr>
                <w:rFonts w:ascii="Times New Roman"/>
                <w:sz w:val="22"/>
                <w:highlight w:val="none"/>
              </w:rPr>
            </w:pPr>
          </w:p>
        </w:tc>
        <w:tc>
          <w:tcPr>
            <w:tcW w:w="1728" w:type="dxa"/>
          </w:tcPr>
          <w:p>
            <w:pPr>
              <w:pStyle w:val="21"/>
              <w:rPr>
                <w:rFonts w:ascii="Times New Roman"/>
                <w:sz w:val="22"/>
                <w:highlight w:val="none"/>
              </w:rPr>
            </w:pPr>
          </w:p>
        </w:tc>
        <w:tc>
          <w:tcPr>
            <w:tcW w:w="922" w:type="dxa"/>
          </w:tcPr>
          <w:p>
            <w:pPr>
              <w:pStyle w:val="21"/>
              <w:rPr>
                <w:rFonts w:ascii="Times New Roman"/>
                <w:sz w:val="22"/>
                <w:highlight w:val="none"/>
              </w:rPr>
            </w:pPr>
          </w:p>
        </w:tc>
        <w:tc>
          <w:tcPr>
            <w:tcW w:w="752" w:type="dxa"/>
          </w:tcPr>
          <w:p>
            <w:pPr>
              <w:pStyle w:val="21"/>
              <w:rPr>
                <w:rFonts w:ascii="Times New Roman"/>
                <w:sz w:val="22"/>
                <w:highlight w:val="none"/>
              </w:rPr>
            </w:pPr>
          </w:p>
        </w:tc>
        <w:tc>
          <w:tcPr>
            <w:tcW w:w="2254" w:type="dxa"/>
          </w:tcPr>
          <w:p>
            <w:pPr>
              <w:pStyle w:val="21"/>
              <w:rPr>
                <w:rFonts w:ascii="Times New Roman"/>
                <w:sz w:val="22"/>
                <w:highlight w:val="none"/>
              </w:rPr>
            </w:pPr>
          </w:p>
        </w:tc>
        <w:tc>
          <w:tcPr>
            <w:tcW w:w="1140" w:type="dxa"/>
          </w:tcPr>
          <w:p>
            <w:pPr>
              <w:pStyle w:val="21"/>
              <w:rPr>
                <w:rFonts w:ascii="Times New Roman"/>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756" w:type="dxa"/>
          </w:tcPr>
          <w:p>
            <w:pPr>
              <w:pStyle w:val="21"/>
              <w:spacing w:before="49"/>
              <w:ind w:left="167"/>
              <w:rPr>
                <w:b/>
                <w:sz w:val="21"/>
                <w:highlight w:val="none"/>
              </w:rPr>
            </w:pPr>
            <w:r>
              <w:rPr>
                <w:b/>
                <w:sz w:val="21"/>
                <w:highlight w:val="none"/>
              </w:rPr>
              <w:t>....</w:t>
            </w:r>
          </w:p>
          <w:p>
            <w:pPr>
              <w:pStyle w:val="21"/>
              <w:spacing w:before="50" w:line="252" w:lineRule="exact"/>
              <w:ind w:left="167"/>
              <w:rPr>
                <w:b/>
                <w:sz w:val="21"/>
                <w:highlight w:val="none"/>
              </w:rPr>
            </w:pPr>
            <w:r>
              <w:rPr>
                <w:b/>
                <w:sz w:val="21"/>
                <w:highlight w:val="none"/>
              </w:rPr>
              <w:t>....</w:t>
            </w:r>
          </w:p>
        </w:tc>
        <w:tc>
          <w:tcPr>
            <w:tcW w:w="1214" w:type="dxa"/>
          </w:tcPr>
          <w:p>
            <w:pPr>
              <w:pStyle w:val="21"/>
              <w:rPr>
                <w:rFonts w:ascii="Times New Roman"/>
                <w:sz w:val="22"/>
                <w:highlight w:val="none"/>
              </w:rPr>
            </w:pPr>
          </w:p>
        </w:tc>
        <w:tc>
          <w:tcPr>
            <w:tcW w:w="1728" w:type="dxa"/>
          </w:tcPr>
          <w:p>
            <w:pPr>
              <w:pStyle w:val="21"/>
              <w:rPr>
                <w:rFonts w:ascii="Times New Roman"/>
                <w:sz w:val="22"/>
                <w:highlight w:val="none"/>
              </w:rPr>
            </w:pPr>
          </w:p>
        </w:tc>
        <w:tc>
          <w:tcPr>
            <w:tcW w:w="922" w:type="dxa"/>
          </w:tcPr>
          <w:p>
            <w:pPr>
              <w:pStyle w:val="21"/>
              <w:rPr>
                <w:rFonts w:ascii="Times New Roman"/>
                <w:sz w:val="22"/>
                <w:highlight w:val="none"/>
              </w:rPr>
            </w:pPr>
          </w:p>
        </w:tc>
        <w:tc>
          <w:tcPr>
            <w:tcW w:w="752" w:type="dxa"/>
          </w:tcPr>
          <w:p>
            <w:pPr>
              <w:pStyle w:val="21"/>
              <w:rPr>
                <w:rFonts w:ascii="Times New Roman"/>
                <w:sz w:val="22"/>
                <w:highlight w:val="none"/>
              </w:rPr>
            </w:pPr>
          </w:p>
        </w:tc>
        <w:tc>
          <w:tcPr>
            <w:tcW w:w="2254" w:type="dxa"/>
          </w:tcPr>
          <w:p>
            <w:pPr>
              <w:pStyle w:val="21"/>
              <w:rPr>
                <w:rFonts w:ascii="Times New Roman"/>
                <w:sz w:val="22"/>
                <w:highlight w:val="none"/>
              </w:rPr>
            </w:pPr>
          </w:p>
        </w:tc>
        <w:tc>
          <w:tcPr>
            <w:tcW w:w="1140" w:type="dxa"/>
          </w:tcPr>
          <w:p>
            <w:pPr>
              <w:pStyle w:val="21"/>
              <w:rPr>
                <w:rFonts w:ascii="Times New Roman"/>
                <w:sz w:val="22"/>
                <w:highlight w:val="none"/>
              </w:rPr>
            </w:pPr>
          </w:p>
        </w:tc>
      </w:tr>
    </w:tbl>
    <w:p>
      <w:pPr>
        <w:pStyle w:val="5"/>
        <w:spacing w:before="2"/>
        <w:rPr>
          <w:sz w:val="19"/>
          <w:highlight w:val="none"/>
        </w:rPr>
      </w:pPr>
    </w:p>
    <w:p>
      <w:pPr>
        <w:pStyle w:val="5"/>
        <w:spacing w:before="66"/>
        <w:ind w:left="660"/>
        <w:rPr>
          <w:highlight w:val="none"/>
        </w:rPr>
      </w:pPr>
      <w:r>
        <w:rPr>
          <w:highlight w:val="none"/>
        </w:rPr>
        <w:t>投标单位（公章）：</w:t>
      </w:r>
    </w:p>
    <w:p>
      <w:pPr>
        <w:pStyle w:val="5"/>
        <w:spacing w:before="10"/>
        <w:rPr>
          <w:highlight w:val="none"/>
        </w:rPr>
      </w:pPr>
    </w:p>
    <w:p>
      <w:pPr>
        <w:spacing w:before="0" w:line="242" w:lineRule="auto"/>
        <w:ind w:left="660" w:right="1271" w:firstLine="0"/>
        <w:jc w:val="left"/>
        <w:rPr>
          <w:sz w:val="21"/>
          <w:highlight w:val="none"/>
        </w:rPr>
      </w:pPr>
      <w:r>
        <w:rPr>
          <w:spacing w:val="-5"/>
          <w:sz w:val="21"/>
          <w:highlight w:val="none"/>
        </w:rPr>
        <w:t>注：</w:t>
      </w:r>
      <w:r>
        <w:rPr>
          <w:rFonts w:ascii="Calibri" w:eastAsia="Calibri"/>
          <w:spacing w:val="-9"/>
          <w:sz w:val="21"/>
          <w:highlight w:val="none"/>
        </w:rPr>
        <w:t>1.</w:t>
      </w:r>
      <w:r>
        <w:rPr>
          <w:spacing w:val="-7"/>
          <w:sz w:val="21"/>
          <w:highlight w:val="none"/>
        </w:rPr>
        <w:t xml:space="preserve">起止页码需与投标文件的自然页码相对照；若投标文件中没有项，页码可填写 </w:t>
      </w:r>
      <w:r>
        <w:rPr>
          <w:rFonts w:ascii="Calibri" w:eastAsia="Calibri"/>
          <w:sz w:val="21"/>
          <w:highlight w:val="none"/>
        </w:rPr>
        <w:t xml:space="preserve">0 </w:t>
      </w:r>
      <w:r>
        <w:rPr>
          <w:spacing w:val="-14"/>
          <w:sz w:val="21"/>
          <w:highlight w:val="none"/>
        </w:rPr>
        <w:t>；不</w:t>
      </w:r>
      <w:r>
        <w:rPr>
          <w:spacing w:val="-7"/>
          <w:sz w:val="21"/>
          <w:highlight w:val="none"/>
        </w:rPr>
        <w:t>准确可能造成评委无法直观定位应标内容而做出不利判断；</w:t>
      </w:r>
    </w:p>
    <w:p>
      <w:pPr>
        <w:pStyle w:val="20"/>
        <w:numPr>
          <w:ilvl w:val="0"/>
          <w:numId w:val="56"/>
        </w:numPr>
        <w:tabs>
          <w:tab w:val="left" w:pos="1243"/>
        </w:tabs>
        <w:spacing w:before="2" w:after="0" w:line="240" w:lineRule="auto"/>
        <w:ind w:left="1242" w:right="0" w:hanging="163"/>
        <w:jc w:val="left"/>
        <w:rPr>
          <w:sz w:val="21"/>
          <w:highlight w:val="none"/>
        </w:rPr>
      </w:pPr>
      <w:r>
        <w:rPr>
          <w:spacing w:val="-3"/>
          <w:sz w:val="21"/>
          <w:highlight w:val="none"/>
        </w:rPr>
        <w:t>此表为表样，行数可自行添加，但表式不变。</w:t>
      </w:r>
    </w:p>
    <w:p>
      <w:pPr>
        <w:pStyle w:val="20"/>
        <w:numPr>
          <w:ilvl w:val="0"/>
          <w:numId w:val="56"/>
        </w:numPr>
        <w:tabs>
          <w:tab w:val="left" w:pos="1243"/>
        </w:tabs>
        <w:spacing w:before="2" w:after="0" w:line="242" w:lineRule="auto"/>
        <w:ind w:left="660" w:right="1372" w:firstLine="420"/>
        <w:jc w:val="left"/>
        <w:rPr>
          <w:sz w:val="21"/>
          <w:highlight w:val="none"/>
        </w:rPr>
      </w:pPr>
      <w:r>
        <w:rPr>
          <w:spacing w:val="-3"/>
          <w:sz w:val="21"/>
          <w:highlight w:val="none"/>
        </w:rPr>
        <w:t>“响应情况”用符号“</w:t>
      </w:r>
      <w:r>
        <w:rPr>
          <w:rFonts w:ascii="Calibri" w:hAnsi="Calibri" w:eastAsia="Calibri"/>
          <w:spacing w:val="-3"/>
          <w:sz w:val="21"/>
          <w:highlight w:val="none"/>
        </w:rPr>
        <w:t>+</w:t>
      </w:r>
      <w:r>
        <w:rPr>
          <w:sz w:val="21"/>
          <w:highlight w:val="none"/>
        </w:rPr>
        <w:t>、</w:t>
      </w:r>
      <w:r>
        <w:rPr>
          <w:rFonts w:ascii="Calibri" w:hAnsi="Calibri" w:eastAsia="Calibri"/>
          <w:sz w:val="21"/>
          <w:highlight w:val="none"/>
        </w:rPr>
        <w:t>=</w:t>
      </w:r>
      <w:r>
        <w:rPr>
          <w:spacing w:val="-3"/>
          <w:sz w:val="21"/>
          <w:highlight w:val="none"/>
        </w:rPr>
        <w:t>、</w:t>
      </w:r>
      <w:r>
        <w:rPr>
          <w:rFonts w:ascii="Calibri" w:hAnsi="Calibri" w:eastAsia="Calibri"/>
          <w:sz w:val="21"/>
          <w:highlight w:val="none"/>
        </w:rPr>
        <w:t>-</w:t>
      </w:r>
      <w:r>
        <w:rPr>
          <w:spacing w:val="-3"/>
          <w:sz w:val="21"/>
          <w:highlight w:val="none"/>
        </w:rPr>
        <w:t>”分别表示优于、等于、低于</w:t>
      </w:r>
      <w:r>
        <w:rPr>
          <w:sz w:val="21"/>
          <w:highlight w:val="none"/>
        </w:rPr>
        <w:t>（</w:t>
      </w:r>
      <w:r>
        <w:rPr>
          <w:spacing w:val="-2"/>
          <w:sz w:val="21"/>
          <w:highlight w:val="none"/>
        </w:rPr>
        <w:t>偏离</w:t>
      </w:r>
      <w:r>
        <w:rPr>
          <w:spacing w:val="-3"/>
          <w:sz w:val="21"/>
          <w:highlight w:val="none"/>
        </w:rPr>
        <w:t>）招标文件符合性审查条款描述，必须逐项对应响应。</w:t>
      </w:r>
    </w:p>
    <w:p>
      <w:pPr>
        <w:spacing w:after="0" w:line="242" w:lineRule="auto"/>
        <w:jc w:val="left"/>
        <w:rPr>
          <w:sz w:val="21"/>
          <w:highlight w:val="none"/>
        </w:rPr>
        <w:sectPr>
          <w:pgSz w:w="11900" w:h="16840"/>
          <w:pgMar w:top="1500" w:right="520" w:bottom="1380" w:left="1140" w:header="0" w:footer="1199" w:gutter="0"/>
          <w:pgNumType w:fmt="decimal"/>
          <w:cols w:space="720" w:num="1"/>
        </w:sectPr>
      </w:pPr>
    </w:p>
    <w:p>
      <w:pPr>
        <w:spacing w:before="24"/>
        <w:ind w:left="0" w:right="611" w:firstLine="0"/>
        <w:jc w:val="center"/>
        <w:rPr>
          <w:sz w:val="44"/>
          <w:highlight w:val="none"/>
        </w:rPr>
      </w:pPr>
      <w:r>
        <w:rPr>
          <w:sz w:val="44"/>
          <w:highlight w:val="none"/>
        </w:rPr>
        <w:t>技术、商务响应表</w:t>
      </w:r>
    </w:p>
    <w:p>
      <w:pPr>
        <w:pStyle w:val="5"/>
        <w:spacing w:before="10"/>
        <w:rPr>
          <w:sz w:val="36"/>
          <w:highlight w:val="none"/>
        </w:rPr>
      </w:pPr>
    </w:p>
    <w:p>
      <w:pPr>
        <w:pStyle w:val="5"/>
        <w:spacing w:line="364" w:lineRule="auto"/>
        <w:ind w:left="660" w:right="1178" w:firstLine="480"/>
        <w:rPr>
          <w:highlight w:val="none"/>
        </w:rPr>
      </w:pPr>
      <w:r>
        <w:rPr>
          <w:highlight w:val="none"/>
        </w:rPr>
        <mc:AlternateContent>
          <mc:Choice Requires="wps">
            <w:drawing>
              <wp:anchor distT="0" distB="0" distL="114300" distR="114300" simplePos="0" relativeHeight="251671552" behindDoc="0" locked="0" layoutInCell="1" allowOverlap="1">
                <wp:simplePos x="0" y="0"/>
                <wp:positionH relativeFrom="page">
                  <wp:posOffset>1071245</wp:posOffset>
                </wp:positionH>
                <wp:positionV relativeFrom="paragraph">
                  <wp:posOffset>1435100</wp:posOffset>
                </wp:positionV>
                <wp:extent cx="5465445" cy="2668905"/>
                <wp:effectExtent l="0" t="0" r="0" b="0"/>
                <wp:wrapNone/>
                <wp:docPr id="15" name="文本框 13"/>
                <wp:cNvGraphicFramePr/>
                <a:graphic xmlns:a="http://schemas.openxmlformats.org/drawingml/2006/main">
                  <a:graphicData uri="http://schemas.microsoft.com/office/word/2010/wordprocessingShape">
                    <wps:wsp>
                      <wps:cNvSpPr txBox="1"/>
                      <wps:spPr>
                        <a:xfrm>
                          <a:off x="0" y="0"/>
                          <a:ext cx="5465445" cy="2668905"/>
                        </a:xfrm>
                        <a:prstGeom prst="rect">
                          <a:avLst/>
                        </a:prstGeom>
                        <a:noFill/>
                        <a:ln>
                          <a:noFill/>
                        </a:ln>
                      </wps:spPr>
                      <wps:txbx>
                        <w:txbxContent>
                          <w:tbl>
                            <w:tblPr>
                              <w:tblStyle w:val="1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8"/>
                              <w:gridCol w:w="1010"/>
                              <w:gridCol w:w="2251"/>
                              <w:gridCol w:w="1901"/>
                              <w:gridCol w:w="1289"/>
                              <w:gridCol w:w="16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348" w:type="dxa"/>
                                  <w:shd w:val="clear" w:color="auto" w:fill="D9D9D9"/>
                                </w:tcPr>
                                <w:p>
                                  <w:pPr>
                                    <w:pStyle w:val="21"/>
                                    <w:spacing w:before="1"/>
                                    <w:ind w:left="107"/>
                                    <w:rPr>
                                      <w:sz w:val="21"/>
                                    </w:rPr>
                                  </w:pPr>
                                  <w:r>
                                    <w:rPr>
                                      <w:w w:val="100"/>
                                      <w:sz w:val="21"/>
                                    </w:rPr>
                                    <w:t>序</w:t>
                                  </w:r>
                                </w:p>
                                <w:p>
                                  <w:pPr>
                                    <w:pStyle w:val="21"/>
                                    <w:spacing w:before="2" w:line="252" w:lineRule="exact"/>
                                    <w:ind w:left="107"/>
                                    <w:rPr>
                                      <w:sz w:val="21"/>
                                    </w:rPr>
                                  </w:pPr>
                                  <w:r>
                                    <w:rPr>
                                      <w:w w:val="100"/>
                                      <w:sz w:val="21"/>
                                    </w:rPr>
                                    <w:t>号</w:t>
                                  </w:r>
                                </w:p>
                              </w:tc>
                              <w:tc>
                                <w:tcPr>
                                  <w:tcW w:w="1010" w:type="dxa"/>
                                  <w:shd w:val="clear" w:color="auto" w:fill="D9D9D9"/>
                                </w:tcPr>
                                <w:p>
                                  <w:pPr>
                                    <w:pStyle w:val="21"/>
                                    <w:spacing w:before="1"/>
                                    <w:ind w:left="171" w:right="159"/>
                                    <w:jc w:val="center"/>
                                    <w:rPr>
                                      <w:sz w:val="21"/>
                                    </w:rPr>
                                  </w:pPr>
                                  <w:r>
                                    <w:rPr>
                                      <w:sz w:val="21"/>
                                    </w:rPr>
                                    <w:t>货物名</w:t>
                                  </w:r>
                                </w:p>
                                <w:p>
                                  <w:pPr>
                                    <w:pStyle w:val="21"/>
                                    <w:spacing w:before="2" w:line="252" w:lineRule="exact"/>
                                    <w:ind w:left="7"/>
                                    <w:jc w:val="center"/>
                                    <w:rPr>
                                      <w:sz w:val="21"/>
                                    </w:rPr>
                                  </w:pPr>
                                  <w:r>
                                    <w:rPr>
                                      <w:w w:val="100"/>
                                      <w:sz w:val="21"/>
                                    </w:rPr>
                                    <w:t>称</w:t>
                                  </w:r>
                                </w:p>
                              </w:tc>
                              <w:tc>
                                <w:tcPr>
                                  <w:tcW w:w="2251" w:type="dxa"/>
                                  <w:shd w:val="clear" w:color="auto" w:fill="D9D9D9"/>
                                </w:tcPr>
                                <w:p>
                                  <w:pPr>
                                    <w:pStyle w:val="21"/>
                                    <w:spacing w:before="1"/>
                                    <w:ind w:left="56" w:right="44"/>
                                    <w:jc w:val="center"/>
                                    <w:rPr>
                                      <w:sz w:val="21"/>
                                    </w:rPr>
                                  </w:pPr>
                                  <w:r>
                                    <w:rPr>
                                      <w:sz w:val="21"/>
                                    </w:rPr>
                                    <w:t>招标文件技术、商务主</w:t>
                                  </w:r>
                                </w:p>
                                <w:p>
                                  <w:pPr>
                                    <w:pStyle w:val="21"/>
                                    <w:spacing w:before="2" w:line="252" w:lineRule="exact"/>
                                    <w:ind w:left="56" w:right="44"/>
                                    <w:jc w:val="center"/>
                                    <w:rPr>
                                      <w:sz w:val="21"/>
                                    </w:rPr>
                                  </w:pPr>
                                  <w:r>
                                    <w:rPr>
                                      <w:sz w:val="21"/>
                                    </w:rPr>
                                    <w:t>要条款描述</w:t>
                                  </w:r>
                                </w:p>
                              </w:tc>
                              <w:tc>
                                <w:tcPr>
                                  <w:tcW w:w="1901" w:type="dxa"/>
                                  <w:shd w:val="clear" w:color="auto" w:fill="D9D9D9"/>
                                </w:tcPr>
                                <w:p>
                                  <w:pPr>
                                    <w:pStyle w:val="21"/>
                                    <w:spacing w:before="1"/>
                                    <w:ind w:left="91" w:right="79"/>
                                    <w:jc w:val="center"/>
                                    <w:rPr>
                                      <w:sz w:val="21"/>
                                    </w:rPr>
                                  </w:pPr>
                                  <w:r>
                                    <w:rPr>
                                      <w:sz w:val="21"/>
                                    </w:rPr>
                                    <w:t>投标人技术、商务</w:t>
                                  </w:r>
                                </w:p>
                                <w:p>
                                  <w:pPr>
                                    <w:pStyle w:val="21"/>
                                    <w:spacing w:before="2" w:line="252" w:lineRule="exact"/>
                                    <w:ind w:left="91" w:right="76"/>
                                    <w:jc w:val="center"/>
                                    <w:rPr>
                                      <w:sz w:val="21"/>
                                    </w:rPr>
                                  </w:pPr>
                                  <w:r>
                                    <w:rPr>
                                      <w:sz w:val="21"/>
                                    </w:rPr>
                                    <w:t>响应情况描述</w:t>
                                  </w:r>
                                </w:p>
                              </w:tc>
                              <w:tc>
                                <w:tcPr>
                                  <w:tcW w:w="1289" w:type="dxa"/>
                                  <w:shd w:val="clear" w:color="auto" w:fill="D9D9D9"/>
                                </w:tcPr>
                                <w:p>
                                  <w:pPr>
                                    <w:pStyle w:val="21"/>
                                    <w:spacing w:before="1"/>
                                    <w:ind w:left="117"/>
                                    <w:rPr>
                                      <w:sz w:val="21"/>
                                    </w:rPr>
                                  </w:pPr>
                                  <w:r>
                                    <w:rPr>
                                      <w:sz w:val="21"/>
                                    </w:rPr>
                                    <w:t>响应情况说</w:t>
                                  </w:r>
                                </w:p>
                                <w:p>
                                  <w:pPr>
                                    <w:pStyle w:val="21"/>
                                    <w:spacing w:before="2" w:line="252" w:lineRule="exact"/>
                                    <w:ind w:left="108" w:right="-15"/>
                                    <w:rPr>
                                      <w:sz w:val="21"/>
                                    </w:rPr>
                                  </w:pPr>
                                  <w:r>
                                    <w:rPr>
                                      <w:spacing w:val="-84"/>
                                      <w:sz w:val="21"/>
                                    </w:rPr>
                                    <w:t>明</w:t>
                                  </w:r>
                                  <w:r>
                                    <w:rPr>
                                      <w:spacing w:val="-3"/>
                                      <w:sz w:val="21"/>
                                    </w:rPr>
                                    <w:t>（＋/-/=）</w:t>
                                  </w:r>
                                </w:p>
                              </w:tc>
                              <w:tc>
                                <w:tcPr>
                                  <w:tcW w:w="1606" w:type="dxa"/>
                                  <w:shd w:val="clear" w:color="auto" w:fill="D9D9D9"/>
                                </w:tcPr>
                                <w:p>
                                  <w:pPr>
                                    <w:pStyle w:val="21"/>
                                    <w:spacing w:before="137"/>
                                    <w:ind w:left="629" w:right="622"/>
                                    <w:jc w:val="center"/>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348" w:type="dxa"/>
                                </w:tcPr>
                                <w:p>
                                  <w:pPr>
                                    <w:pStyle w:val="21"/>
                                    <w:spacing w:before="3"/>
                                    <w:rPr>
                                      <w:sz w:val="18"/>
                                    </w:rPr>
                                  </w:pPr>
                                </w:p>
                                <w:p>
                                  <w:pPr>
                                    <w:pStyle w:val="21"/>
                                    <w:ind w:left="7"/>
                                    <w:jc w:val="center"/>
                                    <w:rPr>
                                      <w:sz w:val="21"/>
                                    </w:rPr>
                                  </w:pPr>
                                  <w:r>
                                    <w:rPr>
                                      <w:w w:val="100"/>
                                      <w:sz w:val="21"/>
                                    </w:rPr>
                                    <w:t>1</w:t>
                                  </w:r>
                                </w:p>
                              </w:tc>
                              <w:tc>
                                <w:tcPr>
                                  <w:tcW w:w="1010" w:type="dxa"/>
                                </w:tcPr>
                                <w:p>
                                  <w:pPr>
                                    <w:pStyle w:val="21"/>
                                    <w:rPr>
                                      <w:rFonts w:ascii="Times New Roman"/>
                                      <w:sz w:val="22"/>
                                    </w:rPr>
                                  </w:pPr>
                                </w:p>
                              </w:tc>
                              <w:tc>
                                <w:tcPr>
                                  <w:tcW w:w="2251" w:type="dxa"/>
                                </w:tcPr>
                                <w:p>
                                  <w:pPr>
                                    <w:pStyle w:val="21"/>
                                    <w:rPr>
                                      <w:rFonts w:ascii="Times New Roman"/>
                                      <w:sz w:val="22"/>
                                    </w:rPr>
                                  </w:pPr>
                                </w:p>
                              </w:tc>
                              <w:tc>
                                <w:tcPr>
                                  <w:tcW w:w="1901" w:type="dxa"/>
                                </w:tcPr>
                                <w:p>
                                  <w:pPr>
                                    <w:pStyle w:val="21"/>
                                    <w:rPr>
                                      <w:rFonts w:ascii="Times New Roman"/>
                                      <w:sz w:val="22"/>
                                    </w:rPr>
                                  </w:pPr>
                                </w:p>
                              </w:tc>
                              <w:tc>
                                <w:tcPr>
                                  <w:tcW w:w="1289" w:type="dxa"/>
                                </w:tcPr>
                                <w:p>
                                  <w:pPr>
                                    <w:pStyle w:val="21"/>
                                    <w:rPr>
                                      <w:rFonts w:ascii="Times New Roman"/>
                                      <w:sz w:val="22"/>
                                    </w:rPr>
                                  </w:pPr>
                                </w:p>
                              </w:tc>
                              <w:tc>
                                <w:tcPr>
                                  <w:tcW w:w="1606" w:type="dxa"/>
                                </w:tcPr>
                                <w:p>
                                  <w:pPr>
                                    <w:pStyle w:val="2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348" w:type="dxa"/>
                                </w:tcPr>
                                <w:p>
                                  <w:pPr>
                                    <w:pStyle w:val="21"/>
                                    <w:spacing w:before="8"/>
                                    <w:rPr>
                                      <w:sz w:val="17"/>
                                    </w:rPr>
                                  </w:pPr>
                                </w:p>
                                <w:p>
                                  <w:pPr>
                                    <w:pStyle w:val="21"/>
                                    <w:ind w:left="7"/>
                                    <w:jc w:val="center"/>
                                    <w:rPr>
                                      <w:sz w:val="21"/>
                                    </w:rPr>
                                  </w:pPr>
                                  <w:r>
                                    <w:rPr>
                                      <w:w w:val="100"/>
                                      <w:sz w:val="21"/>
                                    </w:rPr>
                                    <w:t>2</w:t>
                                  </w:r>
                                </w:p>
                              </w:tc>
                              <w:tc>
                                <w:tcPr>
                                  <w:tcW w:w="1010" w:type="dxa"/>
                                </w:tcPr>
                                <w:p>
                                  <w:pPr>
                                    <w:pStyle w:val="21"/>
                                    <w:rPr>
                                      <w:rFonts w:ascii="Times New Roman"/>
                                      <w:sz w:val="22"/>
                                    </w:rPr>
                                  </w:pPr>
                                </w:p>
                              </w:tc>
                              <w:tc>
                                <w:tcPr>
                                  <w:tcW w:w="2251" w:type="dxa"/>
                                </w:tcPr>
                                <w:p>
                                  <w:pPr>
                                    <w:pStyle w:val="21"/>
                                    <w:rPr>
                                      <w:rFonts w:ascii="Times New Roman"/>
                                      <w:sz w:val="22"/>
                                    </w:rPr>
                                  </w:pPr>
                                </w:p>
                              </w:tc>
                              <w:tc>
                                <w:tcPr>
                                  <w:tcW w:w="1901" w:type="dxa"/>
                                </w:tcPr>
                                <w:p>
                                  <w:pPr>
                                    <w:pStyle w:val="21"/>
                                    <w:rPr>
                                      <w:rFonts w:ascii="Times New Roman"/>
                                      <w:sz w:val="22"/>
                                    </w:rPr>
                                  </w:pPr>
                                </w:p>
                              </w:tc>
                              <w:tc>
                                <w:tcPr>
                                  <w:tcW w:w="1289" w:type="dxa"/>
                                </w:tcPr>
                                <w:p>
                                  <w:pPr>
                                    <w:pStyle w:val="21"/>
                                    <w:rPr>
                                      <w:rFonts w:ascii="Times New Roman"/>
                                      <w:sz w:val="22"/>
                                    </w:rPr>
                                  </w:pPr>
                                </w:p>
                              </w:tc>
                              <w:tc>
                                <w:tcPr>
                                  <w:tcW w:w="1606" w:type="dxa"/>
                                </w:tcPr>
                                <w:p>
                                  <w:pPr>
                                    <w:pStyle w:val="2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348" w:type="dxa"/>
                                </w:tcPr>
                                <w:p>
                                  <w:pPr>
                                    <w:pStyle w:val="21"/>
                                    <w:spacing w:before="11"/>
                                    <w:rPr>
                                      <w:sz w:val="29"/>
                                    </w:rPr>
                                  </w:pPr>
                                </w:p>
                                <w:p>
                                  <w:pPr>
                                    <w:pStyle w:val="21"/>
                                    <w:ind w:right="14"/>
                                    <w:jc w:val="center"/>
                                    <w:rPr>
                                      <w:sz w:val="21"/>
                                    </w:rPr>
                                  </w:pPr>
                                  <w:r>
                                    <w:rPr>
                                      <w:w w:val="100"/>
                                      <w:sz w:val="21"/>
                                    </w:rPr>
                                    <w:t>3</w:t>
                                  </w:r>
                                </w:p>
                              </w:tc>
                              <w:tc>
                                <w:tcPr>
                                  <w:tcW w:w="1010" w:type="dxa"/>
                                </w:tcPr>
                                <w:p>
                                  <w:pPr>
                                    <w:pStyle w:val="21"/>
                                    <w:rPr>
                                      <w:rFonts w:ascii="Times New Roman"/>
                                      <w:sz w:val="22"/>
                                    </w:rPr>
                                  </w:pPr>
                                </w:p>
                              </w:tc>
                              <w:tc>
                                <w:tcPr>
                                  <w:tcW w:w="2251" w:type="dxa"/>
                                </w:tcPr>
                                <w:p>
                                  <w:pPr>
                                    <w:pStyle w:val="21"/>
                                    <w:rPr>
                                      <w:rFonts w:ascii="Times New Roman"/>
                                      <w:sz w:val="22"/>
                                    </w:rPr>
                                  </w:pPr>
                                </w:p>
                              </w:tc>
                              <w:tc>
                                <w:tcPr>
                                  <w:tcW w:w="1901" w:type="dxa"/>
                                </w:tcPr>
                                <w:p>
                                  <w:pPr>
                                    <w:pStyle w:val="21"/>
                                    <w:rPr>
                                      <w:rFonts w:ascii="Times New Roman"/>
                                      <w:sz w:val="22"/>
                                    </w:rPr>
                                  </w:pPr>
                                </w:p>
                              </w:tc>
                              <w:tc>
                                <w:tcPr>
                                  <w:tcW w:w="1289" w:type="dxa"/>
                                </w:tcPr>
                                <w:p>
                                  <w:pPr>
                                    <w:pStyle w:val="21"/>
                                    <w:rPr>
                                      <w:rFonts w:ascii="Times New Roman"/>
                                      <w:sz w:val="22"/>
                                    </w:rPr>
                                  </w:pPr>
                                </w:p>
                              </w:tc>
                              <w:tc>
                                <w:tcPr>
                                  <w:tcW w:w="1606" w:type="dxa"/>
                                </w:tcPr>
                                <w:p>
                                  <w:pPr>
                                    <w:pStyle w:val="2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348" w:type="dxa"/>
                                </w:tcPr>
                                <w:p>
                                  <w:pPr>
                                    <w:pStyle w:val="21"/>
                                    <w:spacing w:before="73"/>
                                    <w:ind w:left="107"/>
                                    <w:rPr>
                                      <w:sz w:val="21"/>
                                    </w:rPr>
                                  </w:pPr>
                                  <w:r>
                                    <w:rPr>
                                      <w:w w:val="100"/>
                                      <w:sz w:val="21"/>
                                    </w:rPr>
                                    <w:t>…</w:t>
                                  </w:r>
                                </w:p>
                                <w:p>
                                  <w:pPr>
                                    <w:pStyle w:val="21"/>
                                    <w:spacing w:before="43"/>
                                    <w:ind w:left="107"/>
                                    <w:rPr>
                                      <w:sz w:val="21"/>
                                    </w:rPr>
                                  </w:pPr>
                                  <w:r>
                                    <w:rPr>
                                      <w:w w:val="100"/>
                                      <w:sz w:val="21"/>
                                    </w:rPr>
                                    <w:t>…</w:t>
                                  </w:r>
                                </w:p>
                              </w:tc>
                              <w:tc>
                                <w:tcPr>
                                  <w:tcW w:w="1010" w:type="dxa"/>
                                </w:tcPr>
                                <w:p>
                                  <w:pPr>
                                    <w:pStyle w:val="21"/>
                                    <w:rPr>
                                      <w:rFonts w:ascii="Times New Roman"/>
                                      <w:sz w:val="22"/>
                                    </w:rPr>
                                  </w:pPr>
                                </w:p>
                              </w:tc>
                              <w:tc>
                                <w:tcPr>
                                  <w:tcW w:w="2251" w:type="dxa"/>
                                </w:tcPr>
                                <w:p>
                                  <w:pPr>
                                    <w:pStyle w:val="21"/>
                                    <w:rPr>
                                      <w:rFonts w:ascii="Times New Roman"/>
                                      <w:sz w:val="22"/>
                                    </w:rPr>
                                  </w:pPr>
                                </w:p>
                              </w:tc>
                              <w:tc>
                                <w:tcPr>
                                  <w:tcW w:w="1901" w:type="dxa"/>
                                </w:tcPr>
                                <w:p>
                                  <w:pPr>
                                    <w:pStyle w:val="21"/>
                                    <w:rPr>
                                      <w:rFonts w:ascii="Times New Roman"/>
                                      <w:sz w:val="22"/>
                                    </w:rPr>
                                  </w:pPr>
                                </w:p>
                              </w:tc>
                              <w:tc>
                                <w:tcPr>
                                  <w:tcW w:w="1289" w:type="dxa"/>
                                </w:tcPr>
                                <w:p>
                                  <w:pPr>
                                    <w:pStyle w:val="21"/>
                                    <w:rPr>
                                      <w:rFonts w:ascii="Times New Roman"/>
                                      <w:sz w:val="22"/>
                                    </w:rPr>
                                  </w:pPr>
                                </w:p>
                              </w:tc>
                              <w:tc>
                                <w:tcPr>
                                  <w:tcW w:w="1606" w:type="dxa"/>
                                </w:tcPr>
                                <w:p>
                                  <w:pPr>
                                    <w:pStyle w:val="21"/>
                                    <w:rPr>
                                      <w:rFonts w:ascii="Times New Roman"/>
                                      <w:sz w:val="22"/>
                                    </w:rPr>
                                  </w:pPr>
                                </w:p>
                              </w:tc>
                            </w:tr>
                          </w:tbl>
                          <w:p>
                            <w:pPr>
                              <w:pStyle w:val="5"/>
                            </w:pPr>
                          </w:p>
                        </w:txbxContent>
                      </wps:txbx>
                      <wps:bodyPr lIns="0" tIns="0" rIns="0" bIns="0" upright="1"/>
                    </wps:wsp>
                  </a:graphicData>
                </a:graphic>
              </wp:anchor>
            </w:drawing>
          </mc:Choice>
          <mc:Fallback>
            <w:pict>
              <v:shape id="文本框 13" o:spid="_x0000_s1026" o:spt="202" type="#_x0000_t202" style="position:absolute;left:0pt;margin-left:84.35pt;margin-top:113pt;height:210.15pt;width:430.35pt;mso-position-horizontal-relative:page;z-index:251671552;mso-width-relative:page;mso-height-relative:page;" filled="f" stroked="f" coordsize="21600,21600" o:gfxdata="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PCvVDdoAAAAMAQAADwAAAAAAAAABACAAAAAiAAAAZHJzL2Rvd25yZXYueG1s&#10;UEsBAhQAFAAAAAgAh07iQLqq5b+9AQAAdQMAAA4AAAAAAAAAAQAgAAAAKQEAAGRycy9lMm9Eb2Mu&#10;eG1sUEsFBgAAAAAGAAYAWQEAAFgFAAAAAA==&#10;">
                <v:fill on="f" focussize="0,0"/>
                <v:stroke on="f"/>
                <v:imagedata o:title=""/>
                <o:lock v:ext="edit" aspectratio="f"/>
                <v:textbox inset="0mm,0mm,0mm,0mm">
                  <w:txbxContent>
                    <w:tbl>
                      <w:tblPr>
                        <w:tblStyle w:val="1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8"/>
                        <w:gridCol w:w="1010"/>
                        <w:gridCol w:w="2251"/>
                        <w:gridCol w:w="1901"/>
                        <w:gridCol w:w="1289"/>
                        <w:gridCol w:w="16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348" w:type="dxa"/>
                            <w:shd w:val="clear" w:color="auto" w:fill="D9D9D9"/>
                          </w:tcPr>
                          <w:p>
                            <w:pPr>
                              <w:pStyle w:val="21"/>
                              <w:spacing w:before="1"/>
                              <w:ind w:left="107"/>
                              <w:rPr>
                                <w:sz w:val="21"/>
                              </w:rPr>
                            </w:pPr>
                            <w:r>
                              <w:rPr>
                                <w:w w:val="100"/>
                                <w:sz w:val="21"/>
                              </w:rPr>
                              <w:t>序</w:t>
                            </w:r>
                          </w:p>
                          <w:p>
                            <w:pPr>
                              <w:pStyle w:val="21"/>
                              <w:spacing w:before="2" w:line="252" w:lineRule="exact"/>
                              <w:ind w:left="107"/>
                              <w:rPr>
                                <w:sz w:val="21"/>
                              </w:rPr>
                            </w:pPr>
                            <w:r>
                              <w:rPr>
                                <w:w w:val="100"/>
                                <w:sz w:val="21"/>
                              </w:rPr>
                              <w:t>号</w:t>
                            </w:r>
                          </w:p>
                        </w:tc>
                        <w:tc>
                          <w:tcPr>
                            <w:tcW w:w="1010" w:type="dxa"/>
                            <w:shd w:val="clear" w:color="auto" w:fill="D9D9D9"/>
                          </w:tcPr>
                          <w:p>
                            <w:pPr>
                              <w:pStyle w:val="21"/>
                              <w:spacing w:before="1"/>
                              <w:ind w:left="171" w:right="159"/>
                              <w:jc w:val="center"/>
                              <w:rPr>
                                <w:sz w:val="21"/>
                              </w:rPr>
                            </w:pPr>
                            <w:r>
                              <w:rPr>
                                <w:sz w:val="21"/>
                              </w:rPr>
                              <w:t>货物名</w:t>
                            </w:r>
                          </w:p>
                          <w:p>
                            <w:pPr>
                              <w:pStyle w:val="21"/>
                              <w:spacing w:before="2" w:line="252" w:lineRule="exact"/>
                              <w:ind w:left="7"/>
                              <w:jc w:val="center"/>
                              <w:rPr>
                                <w:sz w:val="21"/>
                              </w:rPr>
                            </w:pPr>
                            <w:r>
                              <w:rPr>
                                <w:w w:val="100"/>
                                <w:sz w:val="21"/>
                              </w:rPr>
                              <w:t>称</w:t>
                            </w:r>
                          </w:p>
                        </w:tc>
                        <w:tc>
                          <w:tcPr>
                            <w:tcW w:w="2251" w:type="dxa"/>
                            <w:shd w:val="clear" w:color="auto" w:fill="D9D9D9"/>
                          </w:tcPr>
                          <w:p>
                            <w:pPr>
                              <w:pStyle w:val="21"/>
                              <w:spacing w:before="1"/>
                              <w:ind w:left="56" w:right="44"/>
                              <w:jc w:val="center"/>
                              <w:rPr>
                                <w:sz w:val="21"/>
                              </w:rPr>
                            </w:pPr>
                            <w:r>
                              <w:rPr>
                                <w:sz w:val="21"/>
                              </w:rPr>
                              <w:t>招标文件技术、商务主</w:t>
                            </w:r>
                          </w:p>
                          <w:p>
                            <w:pPr>
                              <w:pStyle w:val="21"/>
                              <w:spacing w:before="2" w:line="252" w:lineRule="exact"/>
                              <w:ind w:left="56" w:right="44"/>
                              <w:jc w:val="center"/>
                              <w:rPr>
                                <w:sz w:val="21"/>
                              </w:rPr>
                            </w:pPr>
                            <w:r>
                              <w:rPr>
                                <w:sz w:val="21"/>
                              </w:rPr>
                              <w:t>要条款描述</w:t>
                            </w:r>
                          </w:p>
                        </w:tc>
                        <w:tc>
                          <w:tcPr>
                            <w:tcW w:w="1901" w:type="dxa"/>
                            <w:shd w:val="clear" w:color="auto" w:fill="D9D9D9"/>
                          </w:tcPr>
                          <w:p>
                            <w:pPr>
                              <w:pStyle w:val="21"/>
                              <w:spacing w:before="1"/>
                              <w:ind w:left="91" w:right="79"/>
                              <w:jc w:val="center"/>
                              <w:rPr>
                                <w:sz w:val="21"/>
                              </w:rPr>
                            </w:pPr>
                            <w:r>
                              <w:rPr>
                                <w:sz w:val="21"/>
                              </w:rPr>
                              <w:t>投标人技术、商务</w:t>
                            </w:r>
                          </w:p>
                          <w:p>
                            <w:pPr>
                              <w:pStyle w:val="21"/>
                              <w:spacing w:before="2" w:line="252" w:lineRule="exact"/>
                              <w:ind w:left="91" w:right="76"/>
                              <w:jc w:val="center"/>
                              <w:rPr>
                                <w:sz w:val="21"/>
                              </w:rPr>
                            </w:pPr>
                            <w:r>
                              <w:rPr>
                                <w:sz w:val="21"/>
                              </w:rPr>
                              <w:t>响应情况描述</w:t>
                            </w:r>
                          </w:p>
                        </w:tc>
                        <w:tc>
                          <w:tcPr>
                            <w:tcW w:w="1289" w:type="dxa"/>
                            <w:shd w:val="clear" w:color="auto" w:fill="D9D9D9"/>
                          </w:tcPr>
                          <w:p>
                            <w:pPr>
                              <w:pStyle w:val="21"/>
                              <w:spacing w:before="1"/>
                              <w:ind w:left="117"/>
                              <w:rPr>
                                <w:sz w:val="21"/>
                              </w:rPr>
                            </w:pPr>
                            <w:r>
                              <w:rPr>
                                <w:sz w:val="21"/>
                              </w:rPr>
                              <w:t>响应情况说</w:t>
                            </w:r>
                          </w:p>
                          <w:p>
                            <w:pPr>
                              <w:pStyle w:val="21"/>
                              <w:spacing w:before="2" w:line="252" w:lineRule="exact"/>
                              <w:ind w:left="108" w:right="-15"/>
                              <w:rPr>
                                <w:sz w:val="21"/>
                              </w:rPr>
                            </w:pPr>
                            <w:r>
                              <w:rPr>
                                <w:spacing w:val="-84"/>
                                <w:sz w:val="21"/>
                              </w:rPr>
                              <w:t>明</w:t>
                            </w:r>
                            <w:r>
                              <w:rPr>
                                <w:spacing w:val="-3"/>
                                <w:sz w:val="21"/>
                              </w:rPr>
                              <w:t>（＋/-/=）</w:t>
                            </w:r>
                          </w:p>
                        </w:tc>
                        <w:tc>
                          <w:tcPr>
                            <w:tcW w:w="1606" w:type="dxa"/>
                            <w:shd w:val="clear" w:color="auto" w:fill="D9D9D9"/>
                          </w:tcPr>
                          <w:p>
                            <w:pPr>
                              <w:pStyle w:val="21"/>
                              <w:spacing w:before="137"/>
                              <w:ind w:left="629" w:right="622"/>
                              <w:jc w:val="center"/>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348" w:type="dxa"/>
                          </w:tcPr>
                          <w:p>
                            <w:pPr>
                              <w:pStyle w:val="21"/>
                              <w:spacing w:before="3"/>
                              <w:rPr>
                                <w:sz w:val="18"/>
                              </w:rPr>
                            </w:pPr>
                          </w:p>
                          <w:p>
                            <w:pPr>
                              <w:pStyle w:val="21"/>
                              <w:ind w:left="7"/>
                              <w:jc w:val="center"/>
                              <w:rPr>
                                <w:sz w:val="21"/>
                              </w:rPr>
                            </w:pPr>
                            <w:r>
                              <w:rPr>
                                <w:w w:val="100"/>
                                <w:sz w:val="21"/>
                              </w:rPr>
                              <w:t>1</w:t>
                            </w:r>
                          </w:p>
                        </w:tc>
                        <w:tc>
                          <w:tcPr>
                            <w:tcW w:w="1010" w:type="dxa"/>
                          </w:tcPr>
                          <w:p>
                            <w:pPr>
                              <w:pStyle w:val="21"/>
                              <w:rPr>
                                <w:rFonts w:ascii="Times New Roman"/>
                                <w:sz w:val="22"/>
                              </w:rPr>
                            </w:pPr>
                          </w:p>
                        </w:tc>
                        <w:tc>
                          <w:tcPr>
                            <w:tcW w:w="2251" w:type="dxa"/>
                          </w:tcPr>
                          <w:p>
                            <w:pPr>
                              <w:pStyle w:val="21"/>
                              <w:rPr>
                                <w:rFonts w:ascii="Times New Roman"/>
                                <w:sz w:val="22"/>
                              </w:rPr>
                            </w:pPr>
                          </w:p>
                        </w:tc>
                        <w:tc>
                          <w:tcPr>
                            <w:tcW w:w="1901" w:type="dxa"/>
                          </w:tcPr>
                          <w:p>
                            <w:pPr>
                              <w:pStyle w:val="21"/>
                              <w:rPr>
                                <w:rFonts w:ascii="Times New Roman"/>
                                <w:sz w:val="22"/>
                              </w:rPr>
                            </w:pPr>
                          </w:p>
                        </w:tc>
                        <w:tc>
                          <w:tcPr>
                            <w:tcW w:w="1289" w:type="dxa"/>
                          </w:tcPr>
                          <w:p>
                            <w:pPr>
                              <w:pStyle w:val="21"/>
                              <w:rPr>
                                <w:rFonts w:ascii="Times New Roman"/>
                                <w:sz w:val="22"/>
                              </w:rPr>
                            </w:pPr>
                          </w:p>
                        </w:tc>
                        <w:tc>
                          <w:tcPr>
                            <w:tcW w:w="1606" w:type="dxa"/>
                          </w:tcPr>
                          <w:p>
                            <w:pPr>
                              <w:pStyle w:val="2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348" w:type="dxa"/>
                          </w:tcPr>
                          <w:p>
                            <w:pPr>
                              <w:pStyle w:val="21"/>
                              <w:spacing w:before="8"/>
                              <w:rPr>
                                <w:sz w:val="17"/>
                              </w:rPr>
                            </w:pPr>
                          </w:p>
                          <w:p>
                            <w:pPr>
                              <w:pStyle w:val="21"/>
                              <w:ind w:left="7"/>
                              <w:jc w:val="center"/>
                              <w:rPr>
                                <w:sz w:val="21"/>
                              </w:rPr>
                            </w:pPr>
                            <w:r>
                              <w:rPr>
                                <w:w w:val="100"/>
                                <w:sz w:val="21"/>
                              </w:rPr>
                              <w:t>2</w:t>
                            </w:r>
                          </w:p>
                        </w:tc>
                        <w:tc>
                          <w:tcPr>
                            <w:tcW w:w="1010" w:type="dxa"/>
                          </w:tcPr>
                          <w:p>
                            <w:pPr>
                              <w:pStyle w:val="21"/>
                              <w:rPr>
                                <w:rFonts w:ascii="Times New Roman"/>
                                <w:sz w:val="22"/>
                              </w:rPr>
                            </w:pPr>
                          </w:p>
                        </w:tc>
                        <w:tc>
                          <w:tcPr>
                            <w:tcW w:w="2251" w:type="dxa"/>
                          </w:tcPr>
                          <w:p>
                            <w:pPr>
                              <w:pStyle w:val="21"/>
                              <w:rPr>
                                <w:rFonts w:ascii="Times New Roman"/>
                                <w:sz w:val="22"/>
                              </w:rPr>
                            </w:pPr>
                          </w:p>
                        </w:tc>
                        <w:tc>
                          <w:tcPr>
                            <w:tcW w:w="1901" w:type="dxa"/>
                          </w:tcPr>
                          <w:p>
                            <w:pPr>
                              <w:pStyle w:val="21"/>
                              <w:rPr>
                                <w:rFonts w:ascii="Times New Roman"/>
                                <w:sz w:val="22"/>
                              </w:rPr>
                            </w:pPr>
                          </w:p>
                        </w:tc>
                        <w:tc>
                          <w:tcPr>
                            <w:tcW w:w="1289" w:type="dxa"/>
                          </w:tcPr>
                          <w:p>
                            <w:pPr>
                              <w:pStyle w:val="21"/>
                              <w:rPr>
                                <w:rFonts w:ascii="Times New Roman"/>
                                <w:sz w:val="22"/>
                              </w:rPr>
                            </w:pPr>
                          </w:p>
                        </w:tc>
                        <w:tc>
                          <w:tcPr>
                            <w:tcW w:w="1606" w:type="dxa"/>
                          </w:tcPr>
                          <w:p>
                            <w:pPr>
                              <w:pStyle w:val="2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348" w:type="dxa"/>
                          </w:tcPr>
                          <w:p>
                            <w:pPr>
                              <w:pStyle w:val="21"/>
                              <w:spacing w:before="11"/>
                              <w:rPr>
                                <w:sz w:val="29"/>
                              </w:rPr>
                            </w:pPr>
                          </w:p>
                          <w:p>
                            <w:pPr>
                              <w:pStyle w:val="21"/>
                              <w:ind w:right="14"/>
                              <w:jc w:val="center"/>
                              <w:rPr>
                                <w:sz w:val="21"/>
                              </w:rPr>
                            </w:pPr>
                            <w:r>
                              <w:rPr>
                                <w:w w:val="100"/>
                                <w:sz w:val="21"/>
                              </w:rPr>
                              <w:t>3</w:t>
                            </w:r>
                          </w:p>
                        </w:tc>
                        <w:tc>
                          <w:tcPr>
                            <w:tcW w:w="1010" w:type="dxa"/>
                          </w:tcPr>
                          <w:p>
                            <w:pPr>
                              <w:pStyle w:val="21"/>
                              <w:rPr>
                                <w:rFonts w:ascii="Times New Roman"/>
                                <w:sz w:val="22"/>
                              </w:rPr>
                            </w:pPr>
                          </w:p>
                        </w:tc>
                        <w:tc>
                          <w:tcPr>
                            <w:tcW w:w="2251" w:type="dxa"/>
                          </w:tcPr>
                          <w:p>
                            <w:pPr>
                              <w:pStyle w:val="21"/>
                              <w:rPr>
                                <w:rFonts w:ascii="Times New Roman"/>
                                <w:sz w:val="22"/>
                              </w:rPr>
                            </w:pPr>
                          </w:p>
                        </w:tc>
                        <w:tc>
                          <w:tcPr>
                            <w:tcW w:w="1901" w:type="dxa"/>
                          </w:tcPr>
                          <w:p>
                            <w:pPr>
                              <w:pStyle w:val="21"/>
                              <w:rPr>
                                <w:rFonts w:ascii="Times New Roman"/>
                                <w:sz w:val="22"/>
                              </w:rPr>
                            </w:pPr>
                          </w:p>
                        </w:tc>
                        <w:tc>
                          <w:tcPr>
                            <w:tcW w:w="1289" w:type="dxa"/>
                          </w:tcPr>
                          <w:p>
                            <w:pPr>
                              <w:pStyle w:val="21"/>
                              <w:rPr>
                                <w:rFonts w:ascii="Times New Roman"/>
                                <w:sz w:val="22"/>
                              </w:rPr>
                            </w:pPr>
                          </w:p>
                        </w:tc>
                        <w:tc>
                          <w:tcPr>
                            <w:tcW w:w="1606" w:type="dxa"/>
                          </w:tcPr>
                          <w:p>
                            <w:pPr>
                              <w:pStyle w:val="2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348" w:type="dxa"/>
                          </w:tcPr>
                          <w:p>
                            <w:pPr>
                              <w:pStyle w:val="21"/>
                              <w:spacing w:before="73"/>
                              <w:ind w:left="107"/>
                              <w:rPr>
                                <w:sz w:val="21"/>
                              </w:rPr>
                            </w:pPr>
                            <w:r>
                              <w:rPr>
                                <w:w w:val="100"/>
                                <w:sz w:val="21"/>
                              </w:rPr>
                              <w:t>…</w:t>
                            </w:r>
                          </w:p>
                          <w:p>
                            <w:pPr>
                              <w:pStyle w:val="21"/>
                              <w:spacing w:before="43"/>
                              <w:ind w:left="107"/>
                              <w:rPr>
                                <w:sz w:val="21"/>
                              </w:rPr>
                            </w:pPr>
                            <w:r>
                              <w:rPr>
                                <w:w w:val="100"/>
                                <w:sz w:val="21"/>
                              </w:rPr>
                              <w:t>…</w:t>
                            </w:r>
                          </w:p>
                        </w:tc>
                        <w:tc>
                          <w:tcPr>
                            <w:tcW w:w="1010" w:type="dxa"/>
                          </w:tcPr>
                          <w:p>
                            <w:pPr>
                              <w:pStyle w:val="21"/>
                              <w:rPr>
                                <w:rFonts w:ascii="Times New Roman"/>
                                <w:sz w:val="22"/>
                              </w:rPr>
                            </w:pPr>
                          </w:p>
                        </w:tc>
                        <w:tc>
                          <w:tcPr>
                            <w:tcW w:w="2251" w:type="dxa"/>
                          </w:tcPr>
                          <w:p>
                            <w:pPr>
                              <w:pStyle w:val="21"/>
                              <w:rPr>
                                <w:rFonts w:ascii="Times New Roman"/>
                                <w:sz w:val="22"/>
                              </w:rPr>
                            </w:pPr>
                          </w:p>
                        </w:tc>
                        <w:tc>
                          <w:tcPr>
                            <w:tcW w:w="1901" w:type="dxa"/>
                          </w:tcPr>
                          <w:p>
                            <w:pPr>
                              <w:pStyle w:val="21"/>
                              <w:rPr>
                                <w:rFonts w:ascii="Times New Roman"/>
                                <w:sz w:val="22"/>
                              </w:rPr>
                            </w:pPr>
                          </w:p>
                        </w:tc>
                        <w:tc>
                          <w:tcPr>
                            <w:tcW w:w="1289" w:type="dxa"/>
                          </w:tcPr>
                          <w:p>
                            <w:pPr>
                              <w:pStyle w:val="21"/>
                              <w:rPr>
                                <w:rFonts w:ascii="Times New Roman"/>
                                <w:sz w:val="22"/>
                              </w:rPr>
                            </w:pPr>
                          </w:p>
                        </w:tc>
                        <w:tc>
                          <w:tcPr>
                            <w:tcW w:w="1606" w:type="dxa"/>
                          </w:tcPr>
                          <w:p>
                            <w:pPr>
                              <w:pStyle w:val="21"/>
                              <w:rPr>
                                <w:rFonts w:ascii="Times New Roman"/>
                                <w:sz w:val="22"/>
                              </w:rPr>
                            </w:pPr>
                          </w:p>
                        </w:tc>
                      </w:tr>
                    </w:tbl>
                    <w:p>
                      <w:pPr>
                        <w:pStyle w:val="5"/>
                      </w:pPr>
                    </w:p>
                  </w:txbxContent>
                </v:textbox>
              </v:shape>
            </w:pict>
          </mc:Fallback>
        </mc:AlternateContent>
      </w:r>
      <w:r>
        <w:rPr>
          <w:spacing w:val="-1"/>
          <w:highlight w:val="none"/>
        </w:rPr>
        <w:t>说明：投标人必须仔细阅读招标文件中所有技术、商务条款，对所有技术、</w:t>
      </w:r>
      <w:r>
        <w:rPr>
          <w:spacing w:val="-5"/>
          <w:highlight w:val="none"/>
        </w:rPr>
        <w:t>商务条款的响应情况逐项列入下表，并对其响应情况进行说明。未列入下表的视</w:t>
      </w:r>
      <w:r>
        <w:rPr>
          <w:spacing w:val="-11"/>
          <w:highlight w:val="none"/>
        </w:rPr>
        <w:t>作投标人不响应。带▲或★的指标列入下表时，必须在指标前面保留▲或★。投</w:t>
      </w:r>
      <w:r>
        <w:rPr>
          <w:highlight w:val="none"/>
        </w:rPr>
        <w:t>标人必须根据产品的实际情况如实填写，评标委员会如发现有虚假描述的，该投标文件作无效投标文件处理。</w:t>
      </w: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spacing w:before="2"/>
        <w:rPr>
          <w:sz w:val="33"/>
          <w:highlight w:val="none"/>
        </w:rPr>
      </w:pPr>
    </w:p>
    <w:p>
      <w:pPr>
        <w:pStyle w:val="5"/>
        <w:ind w:left="1140"/>
        <w:rPr>
          <w:highlight w:val="none"/>
        </w:rPr>
      </w:pPr>
    </w:p>
    <w:p>
      <w:pPr>
        <w:pStyle w:val="5"/>
        <w:ind w:left="1140"/>
        <w:rPr>
          <w:highlight w:val="none"/>
        </w:rPr>
      </w:pPr>
    </w:p>
    <w:p>
      <w:pPr>
        <w:pStyle w:val="5"/>
        <w:ind w:left="1140"/>
        <w:rPr>
          <w:highlight w:val="none"/>
        </w:rPr>
      </w:pPr>
      <w:r>
        <w:rPr>
          <w:highlight w:val="none"/>
        </w:rPr>
        <w:t>投标单位（公章）：</w:t>
      </w:r>
    </w:p>
    <w:p>
      <w:pPr>
        <w:pStyle w:val="5"/>
        <w:rPr>
          <w:highlight w:val="none"/>
        </w:rPr>
      </w:pPr>
    </w:p>
    <w:p>
      <w:pPr>
        <w:pStyle w:val="5"/>
        <w:rPr>
          <w:sz w:val="25"/>
          <w:highlight w:val="none"/>
        </w:rPr>
      </w:pPr>
    </w:p>
    <w:p>
      <w:pPr>
        <w:pStyle w:val="5"/>
        <w:spacing w:before="1"/>
        <w:ind w:left="660"/>
        <w:rPr>
          <w:highlight w:val="none"/>
        </w:rPr>
      </w:pPr>
      <w:r>
        <w:rPr>
          <w:highlight w:val="none"/>
        </w:rPr>
        <w:t>注：1.此表为表样，行数可自行添加，但表式不变。</w:t>
      </w:r>
    </w:p>
    <w:p>
      <w:pPr>
        <w:pStyle w:val="20"/>
        <w:numPr>
          <w:ilvl w:val="0"/>
          <w:numId w:val="57"/>
        </w:numPr>
        <w:tabs>
          <w:tab w:val="left" w:pos="1381"/>
        </w:tabs>
        <w:spacing w:before="160" w:after="0" w:line="240" w:lineRule="auto"/>
        <w:ind w:left="1380" w:right="0" w:hanging="241"/>
        <w:jc w:val="left"/>
        <w:rPr>
          <w:sz w:val="24"/>
          <w:highlight w:val="none"/>
        </w:rPr>
      </w:pPr>
      <w:r>
        <w:rPr>
          <w:sz w:val="24"/>
          <w:highlight w:val="none"/>
        </w:rPr>
        <w:t>投标人根据系统方案添加的设备、材料等也请列出。</w:t>
      </w:r>
    </w:p>
    <w:p>
      <w:pPr>
        <w:pStyle w:val="20"/>
        <w:numPr>
          <w:ilvl w:val="0"/>
          <w:numId w:val="57"/>
        </w:numPr>
        <w:tabs>
          <w:tab w:val="left" w:pos="1381"/>
        </w:tabs>
        <w:spacing w:before="161" w:after="0" w:line="240" w:lineRule="auto"/>
        <w:ind w:left="1380" w:right="0" w:hanging="241"/>
        <w:jc w:val="left"/>
        <w:rPr>
          <w:sz w:val="24"/>
          <w:highlight w:val="none"/>
        </w:rPr>
      </w:pPr>
      <w:r>
        <w:rPr>
          <w:sz w:val="24"/>
          <w:highlight w:val="none"/>
        </w:rPr>
        <w:t>请在“投标人技术、商务响应情况描述” 中列出设备的详细技术参数情</w:t>
      </w:r>
    </w:p>
    <w:p>
      <w:pPr>
        <w:pStyle w:val="5"/>
        <w:spacing w:before="160"/>
        <w:ind w:left="660"/>
        <w:rPr>
          <w:highlight w:val="none"/>
        </w:rPr>
      </w:pPr>
      <w:r>
        <w:rPr>
          <w:highlight w:val="none"/>
        </w:rPr>
        <w:t>况。</w:t>
      </w:r>
    </w:p>
    <w:p>
      <w:pPr>
        <w:pStyle w:val="20"/>
        <w:numPr>
          <w:ilvl w:val="0"/>
          <w:numId w:val="57"/>
        </w:numPr>
        <w:tabs>
          <w:tab w:val="left" w:pos="1381"/>
        </w:tabs>
        <w:spacing w:before="161" w:after="0" w:line="240" w:lineRule="auto"/>
        <w:ind w:left="1380" w:right="0" w:hanging="241"/>
        <w:jc w:val="left"/>
        <w:rPr>
          <w:sz w:val="24"/>
          <w:highlight w:val="none"/>
        </w:rPr>
      </w:pPr>
      <w:r>
        <w:rPr>
          <w:spacing w:val="-9"/>
          <w:sz w:val="24"/>
          <w:highlight w:val="none"/>
        </w:rPr>
        <w:t>“响应情况说明”用符号“+、=、-”分别表示优于、等于、低于</w:t>
      </w:r>
      <w:r>
        <w:rPr>
          <w:sz w:val="24"/>
          <w:highlight w:val="none"/>
        </w:rPr>
        <w:t>（偏离）</w:t>
      </w:r>
    </w:p>
    <w:p>
      <w:pPr>
        <w:pStyle w:val="5"/>
        <w:spacing w:before="160"/>
        <w:ind w:left="660"/>
        <w:rPr>
          <w:highlight w:val="none"/>
        </w:rPr>
      </w:pPr>
      <w:r>
        <w:rPr>
          <w:highlight w:val="none"/>
        </w:rPr>
        <w:t>招标文件技术、商务规范主要条款描述，必须逐项对应响应。</w:t>
      </w:r>
    </w:p>
    <w:p>
      <w:pPr>
        <w:pStyle w:val="20"/>
        <w:numPr>
          <w:ilvl w:val="0"/>
          <w:numId w:val="57"/>
        </w:numPr>
        <w:tabs>
          <w:tab w:val="left" w:pos="1381"/>
        </w:tabs>
        <w:spacing w:before="161" w:after="0" w:line="364" w:lineRule="auto"/>
        <w:ind w:left="660" w:right="1271" w:firstLine="480"/>
        <w:jc w:val="both"/>
        <w:rPr>
          <w:sz w:val="24"/>
          <w:highlight w:val="none"/>
        </w:rPr>
      </w:pPr>
      <w:r>
        <w:rPr>
          <w:spacing w:val="-7"/>
          <w:sz w:val="24"/>
          <w:highlight w:val="none"/>
        </w:rPr>
        <w:t>招标文件要求提供的相关证明文件，须在“备注”写上与投标文件相对照</w:t>
      </w:r>
      <w:r>
        <w:rPr>
          <w:spacing w:val="-9"/>
          <w:sz w:val="24"/>
          <w:highlight w:val="none"/>
        </w:rPr>
        <w:t>的起止自然页码，并以醒目的方式标明其应标的情况证明，不准确将可能造成评</w:t>
      </w:r>
      <w:r>
        <w:rPr>
          <w:sz w:val="24"/>
          <w:highlight w:val="none"/>
        </w:rPr>
        <w:t>委无法直观定位应标内容而做出不利判断。</w:t>
      </w:r>
    </w:p>
    <w:p>
      <w:pPr>
        <w:spacing w:after="0" w:line="364" w:lineRule="auto"/>
        <w:jc w:val="both"/>
        <w:rPr>
          <w:sz w:val="24"/>
          <w:highlight w:val="none"/>
        </w:rPr>
        <w:sectPr>
          <w:pgSz w:w="11900" w:h="16840"/>
          <w:pgMar w:top="1420" w:right="520" w:bottom="1380" w:left="1140" w:header="0" w:footer="1199" w:gutter="0"/>
          <w:pgNumType w:fmt="decimal"/>
          <w:cols w:space="720" w:num="1"/>
        </w:sectPr>
      </w:pPr>
    </w:p>
    <w:p>
      <w:pPr>
        <w:pStyle w:val="5"/>
        <w:spacing w:line="20" w:lineRule="exact"/>
        <w:ind w:left="450"/>
        <w:rPr>
          <w:sz w:val="2"/>
          <w:highlight w:val="none"/>
        </w:rPr>
      </w:pPr>
      <w:r>
        <w:rPr>
          <w:sz w:val="2"/>
          <w:highlight w:val="none"/>
        </w:rPr>
        <mc:AlternateContent>
          <mc:Choice Requires="wpg">
            <w:drawing>
              <wp:inline distT="0" distB="0" distL="114300" distR="114300">
                <wp:extent cx="5518785" cy="9525"/>
                <wp:effectExtent l="0" t="0" r="0" b="0"/>
                <wp:docPr id="2" name="组合 20"/>
                <wp:cNvGraphicFramePr/>
                <a:graphic xmlns:a="http://schemas.openxmlformats.org/drawingml/2006/main">
                  <a:graphicData uri="http://schemas.microsoft.com/office/word/2010/wordprocessingGroup">
                    <wpg:wgp>
                      <wpg:cNvGrpSpPr/>
                      <wpg:grpSpPr>
                        <a:xfrm>
                          <a:off x="0" y="0"/>
                          <a:ext cx="5518785" cy="9525"/>
                          <a:chOff x="0" y="0"/>
                          <a:chExt cx="8691" cy="15"/>
                        </a:xfrm>
                      </wpg:grpSpPr>
                      <wps:wsp>
                        <wps:cNvPr id="1" name="直线 21"/>
                        <wps:cNvCnPr/>
                        <wps:spPr>
                          <a:xfrm>
                            <a:off x="0" y="7"/>
                            <a:ext cx="8690"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20" o:spid="_x0000_s1026" o:spt="203" style="height:0.75pt;width:434.55pt;" coordsize="8691,15" o:gfxdata="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fwktXdQAAAADAQAADwAA&#10;AAAAAAABACAAAAAiAAAAZHJzL2Rvd25yZXYueG1sUEsBAhQAFAAAAAgAh07iQI/AykJTAgAAAAUA&#10;AA4AAAAAAAAAAQAgAAAAIwEAAGRycy9lMm9Eb2MueG1sUEsFBgAAAAAGAAYAWQEAAOgFAAAAAA==&#10;">
                <o:lock v:ext="edit" aspectratio="f"/>
                <v:line id="直线 21" o:spid="_x0000_s1026" o:spt="20" style="position:absolute;left:0;top:7;height:0;width:8690;"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5"/>
        <w:spacing w:before="3"/>
        <w:rPr>
          <w:sz w:val="8"/>
          <w:highlight w:val="none"/>
        </w:rPr>
      </w:pPr>
    </w:p>
    <w:p>
      <w:pPr>
        <w:spacing w:before="37"/>
        <w:ind w:left="0" w:right="271" w:firstLine="0"/>
        <w:jc w:val="center"/>
        <w:rPr>
          <w:sz w:val="44"/>
          <w:highlight w:val="none"/>
        </w:rPr>
      </w:pPr>
      <w:r>
        <w:rPr>
          <w:sz w:val="44"/>
          <w:highlight w:val="none"/>
        </w:rPr>
        <w:t>技术、商务评分响应表</w:t>
      </w:r>
    </w:p>
    <w:p>
      <w:pPr>
        <w:pStyle w:val="5"/>
        <w:spacing w:before="10"/>
        <w:rPr>
          <w:sz w:val="48"/>
          <w:highlight w:val="none"/>
        </w:rPr>
      </w:pPr>
    </w:p>
    <w:p>
      <w:pPr>
        <w:pStyle w:val="5"/>
        <w:spacing w:line="374" w:lineRule="auto"/>
        <w:ind w:left="487" w:right="758" w:firstLine="480"/>
        <w:jc w:val="both"/>
        <w:rPr>
          <w:highlight w:val="none"/>
        </w:rPr>
      </w:pPr>
      <w:r>
        <w:rPr>
          <w:highlight w:val="none"/>
        </w:rPr>
        <mc:AlternateContent>
          <mc:Choice Requires="wps">
            <w:drawing>
              <wp:anchor distT="0" distB="0" distL="114300" distR="114300" simplePos="0" relativeHeight="251672576" behindDoc="0" locked="0" layoutInCell="1" allowOverlap="1">
                <wp:simplePos x="0" y="0"/>
                <wp:positionH relativeFrom="page">
                  <wp:posOffset>1224280</wp:posOffset>
                </wp:positionH>
                <wp:positionV relativeFrom="paragraph">
                  <wp:posOffset>1127760</wp:posOffset>
                </wp:positionV>
                <wp:extent cx="5377180" cy="342265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5377180" cy="3422650"/>
                        </a:xfrm>
                        <a:prstGeom prst="rect">
                          <a:avLst/>
                        </a:prstGeom>
                        <a:noFill/>
                        <a:ln>
                          <a:noFill/>
                        </a:ln>
                      </wps:spPr>
                      <wps:txbx>
                        <w:txbxContent>
                          <w:tbl>
                            <w:tblPr>
                              <w:tblStyle w:val="1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2"/>
                              <w:gridCol w:w="1042"/>
                              <w:gridCol w:w="2064"/>
                              <w:gridCol w:w="742"/>
                              <w:gridCol w:w="641"/>
                              <w:gridCol w:w="2359"/>
                              <w:gridCol w:w="10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3428" w:type="dxa"/>
                                  <w:gridSpan w:val="3"/>
                                </w:tcPr>
                                <w:p>
                                  <w:pPr>
                                    <w:pStyle w:val="21"/>
                                    <w:spacing w:before="70"/>
                                    <w:ind w:left="1273" w:right="1260"/>
                                    <w:jc w:val="center"/>
                                    <w:rPr>
                                      <w:b/>
                                      <w:sz w:val="21"/>
                                    </w:rPr>
                                  </w:pPr>
                                  <w:r>
                                    <w:rPr>
                                      <w:b/>
                                      <w:sz w:val="21"/>
                                    </w:rPr>
                                    <w:t>评分明细</w:t>
                                  </w:r>
                                </w:p>
                              </w:tc>
                              <w:tc>
                                <w:tcPr>
                                  <w:tcW w:w="4797" w:type="dxa"/>
                                  <w:gridSpan w:val="4"/>
                                </w:tcPr>
                                <w:p>
                                  <w:pPr>
                                    <w:pStyle w:val="21"/>
                                    <w:spacing w:before="78"/>
                                    <w:ind w:left="1639" w:right="1629"/>
                                    <w:jc w:val="center"/>
                                    <w:rPr>
                                      <w:b/>
                                      <w:sz w:val="20"/>
                                    </w:rPr>
                                  </w:pPr>
                                  <w:r>
                                    <w:rPr>
                                      <w:b/>
                                      <w:sz w:val="20"/>
                                    </w:rPr>
                                    <w:t>投标文件页码索引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322" w:type="dxa"/>
                                </w:tcPr>
                                <w:p>
                                  <w:pPr>
                                    <w:pStyle w:val="21"/>
                                    <w:spacing w:before="73" w:line="242" w:lineRule="auto"/>
                                    <w:ind w:left="107" w:right="3"/>
                                    <w:rPr>
                                      <w:sz w:val="20"/>
                                    </w:rPr>
                                  </w:pPr>
                                  <w:r>
                                    <w:rPr>
                                      <w:sz w:val="20"/>
                                    </w:rPr>
                                    <w:t>序号</w:t>
                                  </w:r>
                                </w:p>
                              </w:tc>
                              <w:tc>
                                <w:tcPr>
                                  <w:tcW w:w="1042" w:type="dxa"/>
                                </w:tcPr>
                                <w:p>
                                  <w:pPr>
                                    <w:pStyle w:val="21"/>
                                    <w:spacing w:before="10"/>
                                    <w:rPr>
                                      <w:sz w:val="15"/>
                                    </w:rPr>
                                  </w:pPr>
                                </w:p>
                                <w:p>
                                  <w:pPr>
                                    <w:pStyle w:val="21"/>
                                    <w:ind w:left="119"/>
                                    <w:rPr>
                                      <w:sz w:val="20"/>
                                    </w:rPr>
                                  </w:pPr>
                                  <w:r>
                                    <w:rPr>
                                      <w:sz w:val="20"/>
                                    </w:rPr>
                                    <w:t>评审因素</w:t>
                                  </w:r>
                                </w:p>
                              </w:tc>
                              <w:tc>
                                <w:tcPr>
                                  <w:tcW w:w="2064" w:type="dxa"/>
                                </w:tcPr>
                                <w:p>
                                  <w:pPr>
                                    <w:pStyle w:val="21"/>
                                    <w:spacing w:before="10"/>
                                    <w:rPr>
                                      <w:sz w:val="15"/>
                                    </w:rPr>
                                  </w:pPr>
                                </w:p>
                                <w:p>
                                  <w:pPr>
                                    <w:pStyle w:val="21"/>
                                    <w:ind w:left="630"/>
                                    <w:rPr>
                                      <w:sz w:val="20"/>
                                    </w:rPr>
                                  </w:pPr>
                                  <w:r>
                                    <w:rPr>
                                      <w:sz w:val="20"/>
                                    </w:rPr>
                                    <w:t>评审标准</w:t>
                                  </w:r>
                                </w:p>
                              </w:tc>
                              <w:tc>
                                <w:tcPr>
                                  <w:tcW w:w="742" w:type="dxa"/>
                                </w:tcPr>
                                <w:p>
                                  <w:pPr>
                                    <w:pStyle w:val="21"/>
                                    <w:spacing w:before="10"/>
                                    <w:rPr>
                                      <w:sz w:val="15"/>
                                    </w:rPr>
                                  </w:pPr>
                                </w:p>
                                <w:p>
                                  <w:pPr>
                                    <w:pStyle w:val="21"/>
                                    <w:ind w:left="167"/>
                                    <w:rPr>
                                      <w:sz w:val="20"/>
                                    </w:rPr>
                                  </w:pPr>
                                  <w:r>
                                    <w:rPr>
                                      <w:sz w:val="20"/>
                                    </w:rPr>
                                    <w:t>起页</w:t>
                                  </w:r>
                                </w:p>
                              </w:tc>
                              <w:tc>
                                <w:tcPr>
                                  <w:tcW w:w="641" w:type="dxa"/>
                                </w:tcPr>
                                <w:p>
                                  <w:pPr>
                                    <w:pStyle w:val="21"/>
                                    <w:spacing w:before="10"/>
                                    <w:rPr>
                                      <w:sz w:val="15"/>
                                    </w:rPr>
                                  </w:pPr>
                                </w:p>
                                <w:p>
                                  <w:pPr>
                                    <w:pStyle w:val="21"/>
                                    <w:ind w:left="118"/>
                                    <w:rPr>
                                      <w:sz w:val="20"/>
                                    </w:rPr>
                                  </w:pPr>
                                  <w:r>
                                    <w:rPr>
                                      <w:sz w:val="20"/>
                                    </w:rPr>
                                    <w:t>止页</w:t>
                                  </w:r>
                                </w:p>
                              </w:tc>
                              <w:tc>
                                <w:tcPr>
                                  <w:tcW w:w="2359" w:type="dxa"/>
                                </w:tcPr>
                                <w:p>
                                  <w:pPr>
                                    <w:pStyle w:val="21"/>
                                    <w:spacing w:before="195"/>
                                    <w:ind w:left="231"/>
                                    <w:rPr>
                                      <w:sz w:val="20"/>
                                    </w:rPr>
                                  </w:pPr>
                                  <w:r>
                                    <w:rPr>
                                      <w:sz w:val="20"/>
                                    </w:rPr>
                                    <w:t>响应说明（</w:t>
                                  </w:r>
                                  <w:r>
                                    <w:rPr>
                                      <w:rFonts w:ascii="Calibri" w:eastAsia="Calibri"/>
                                      <w:sz w:val="21"/>
                                    </w:rPr>
                                    <w:t>+</w:t>
                                  </w:r>
                                  <w:r>
                                    <w:rPr>
                                      <w:sz w:val="21"/>
                                    </w:rPr>
                                    <w:t>、</w:t>
                                  </w:r>
                                  <w:r>
                                    <w:rPr>
                                      <w:rFonts w:ascii="Calibri" w:eastAsia="Calibri"/>
                                      <w:sz w:val="21"/>
                                    </w:rPr>
                                    <w:t>=</w:t>
                                  </w:r>
                                  <w:r>
                                    <w:rPr>
                                      <w:sz w:val="21"/>
                                    </w:rPr>
                                    <w:t>、</w:t>
                                  </w:r>
                                  <w:r>
                                    <w:rPr>
                                      <w:rFonts w:ascii="Calibri" w:eastAsia="Calibri"/>
                                      <w:sz w:val="21"/>
                                    </w:rPr>
                                    <w:t>-</w:t>
                                  </w:r>
                                  <w:r>
                                    <w:rPr>
                                      <w:sz w:val="20"/>
                                    </w:rPr>
                                    <w:t>）</w:t>
                                  </w:r>
                                </w:p>
                              </w:tc>
                              <w:tc>
                                <w:tcPr>
                                  <w:tcW w:w="1055" w:type="dxa"/>
                                </w:tcPr>
                                <w:p>
                                  <w:pPr>
                                    <w:pStyle w:val="21"/>
                                    <w:spacing w:before="10"/>
                                    <w:rPr>
                                      <w:sz w:val="15"/>
                                    </w:rPr>
                                  </w:pPr>
                                </w:p>
                                <w:p>
                                  <w:pPr>
                                    <w:pStyle w:val="21"/>
                                    <w:ind w:left="389"/>
                                    <w:rPr>
                                      <w:sz w:val="20"/>
                                    </w:rPr>
                                  </w:pPr>
                                  <w:r>
                                    <w:rPr>
                                      <w:sz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322" w:type="dxa"/>
                                </w:tcPr>
                                <w:p>
                                  <w:pPr>
                                    <w:pStyle w:val="21"/>
                                    <w:spacing w:before="51"/>
                                    <w:ind w:right="100"/>
                                    <w:jc w:val="right"/>
                                    <w:rPr>
                                      <w:sz w:val="20"/>
                                    </w:rPr>
                                  </w:pPr>
                                  <w:r>
                                    <w:rPr>
                                      <w:w w:val="99"/>
                                      <w:sz w:val="20"/>
                                    </w:rPr>
                                    <w:t>1</w:t>
                                  </w:r>
                                </w:p>
                              </w:tc>
                              <w:tc>
                                <w:tcPr>
                                  <w:tcW w:w="1042" w:type="dxa"/>
                                </w:tcPr>
                                <w:p>
                                  <w:pPr>
                                    <w:pStyle w:val="21"/>
                                    <w:rPr>
                                      <w:rFonts w:ascii="Times New Roman"/>
                                      <w:sz w:val="22"/>
                                    </w:rPr>
                                  </w:pPr>
                                </w:p>
                              </w:tc>
                              <w:tc>
                                <w:tcPr>
                                  <w:tcW w:w="2064" w:type="dxa"/>
                                </w:tcPr>
                                <w:p>
                                  <w:pPr>
                                    <w:pStyle w:val="21"/>
                                    <w:rPr>
                                      <w:rFonts w:ascii="Times New Roman"/>
                                      <w:sz w:val="22"/>
                                    </w:rPr>
                                  </w:pPr>
                                </w:p>
                              </w:tc>
                              <w:tc>
                                <w:tcPr>
                                  <w:tcW w:w="742" w:type="dxa"/>
                                </w:tcPr>
                                <w:p>
                                  <w:pPr>
                                    <w:pStyle w:val="21"/>
                                    <w:rPr>
                                      <w:rFonts w:ascii="Times New Roman"/>
                                      <w:sz w:val="22"/>
                                    </w:rPr>
                                  </w:pPr>
                                </w:p>
                              </w:tc>
                              <w:tc>
                                <w:tcPr>
                                  <w:tcW w:w="641" w:type="dxa"/>
                                </w:tcPr>
                                <w:p>
                                  <w:pPr>
                                    <w:pStyle w:val="21"/>
                                    <w:rPr>
                                      <w:rFonts w:ascii="Times New Roman"/>
                                      <w:sz w:val="22"/>
                                    </w:rPr>
                                  </w:pPr>
                                </w:p>
                              </w:tc>
                              <w:tc>
                                <w:tcPr>
                                  <w:tcW w:w="2359" w:type="dxa"/>
                                </w:tcPr>
                                <w:p>
                                  <w:pPr>
                                    <w:pStyle w:val="21"/>
                                    <w:rPr>
                                      <w:rFonts w:ascii="Times New Roman"/>
                                      <w:sz w:val="22"/>
                                    </w:rPr>
                                  </w:pPr>
                                </w:p>
                              </w:tc>
                              <w:tc>
                                <w:tcPr>
                                  <w:tcW w:w="1055" w:type="dxa"/>
                                </w:tcPr>
                                <w:p>
                                  <w:pPr>
                                    <w:pStyle w:val="2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trPr>
                              <w:tc>
                                <w:tcPr>
                                  <w:tcW w:w="322" w:type="dxa"/>
                                </w:tcPr>
                                <w:p>
                                  <w:pPr>
                                    <w:pStyle w:val="21"/>
                                    <w:spacing w:before="1"/>
                                    <w:rPr>
                                      <w:sz w:val="21"/>
                                    </w:rPr>
                                  </w:pPr>
                                </w:p>
                                <w:p>
                                  <w:pPr>
                                    <w:pStyle w:val="21"/>
                                    <w:ind w:right="100"/>
                                    <w:jc w:val="right"/>
                                    <w:rPr>
                                      <w:sz w:val="20"/>
                                    </w:rPr>
                                  </w:pPr>
                                  <w:r>
                                    <w:rPr>
                                      <w:w w:val="99"/>
                                      <w:sz w:val="20"/>
                                    </w:rPr>
                                    <w:t>2</w:t>
                                  </w:r>
                                </w:p>
                              </w:tc>
                              <w:tc>
                                <w:tcPr>
                                  <w:tcW w:w="1042" w:type="dxa"/>
                                </w:tcPr>
                                <w:p>
                                  <w:pPr>
                                    <w:pStyle w:val="21"/>
                                    <w:rPr>
                                      <w:rFonts w:ascii="Times New Roman"/>
                                      <w:sz w:val="22"/>
                                    </w:rPr>
                                  </w:pPr>
                                </w:p>
                              </w:tc>
                              <w:tc>
                                <w:tcPr>
                                  <w:tcW w:w="2064" w:type="dxa"/>
                                </w:tcPr>
                                <w:p>
                                  <w:pPr>
                                    <w:pStyle w:val="21"/>
                                    <w:rPr>
                                      <w:rFonts w:ascii="Times New Roman"/>
                                      <w:sz w:val="22"/>
                                    </w:rPr>
                                  </w:pPr>
                                </w:p>
                              </w:tc>
                              <w:tc>
                                <w:tcPr>
                                  <w:tcW w:w="742" w:type="dxa"/>
                                </w:tcPr>
                                <w:p>
                                  <w:pPr>
                                    <w:pStyle w:val="21"/>
                                    <w:rPr>
                                      <w:rFonts w:ascii="Times New Roman"/>
                                      <w:sz w:val="22"/>
                                    </w:rPr>
                                  </w:pPr>
                                </w:p>
                              </w:tc>
                              <w:tc>
                                <w:tcPr>
                                  <w:tcW w:w="641" w:type="dxa"/>
                                </w:tcPr>
                                <w:p>
                                  <w:pPr>
                                    <w:pStyle w:val="21"/>
                                    <w:rPr>
                                      <w:rFonts w:ascii="Times New Roman"/>
                                      <w:sz w:val="22"/>
                                    </w:rPr>
                                  </w:pPr>
                                </w:p>
                              </w:tc>
                              <w:tc>
                                <w:tcPr>
                                  <w:tcW w:w="2359" w:type="dxa"/>
                                </w:tcPr>
                                <w:p>
                                  <w:pPr>
                                    <w:pStyle w:val="21"/>
                                    <w:rPr>
                                      <w:rFonts w:ascii="Times New Roman"/>
                                      <w:sz w:val="22"/>
                                    </w:rPr>
                                  </w:pPr>
                                </w:p>
                              </w:tc>
                              <w:tc>
                                <w:tcPr>
                                  <w:tcW w:w="1055" w:type="dxa"/>
                                </w:tcPr>
                                <w:p>
                                  <w:pPr>
                                    <w:pStyle w:val="2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322" w:type="dxa"/>
                                </w:tcPr>
                                <w:p>
                                  <w:pPr>
                                    <w:pStyle w:val="21"/>
                                    <w:spacing w:before="131"/>
                                    <w:ind w:right="100"/>
                                    <w:jc w:val="right"/>
                                    <w:rPr>
                                      <w:sz w:val="20"/>
                                    </w:rPr>
                                  </w:pPr>
                                  <w:r>
                                    <w:rPr>
                                      <w:w w:val="99"/>
                                      <w:sz w:val="20"/>
                                    </w:rPr>
                                    <w:t>3</w:t>
                                  </w:r>
                                </w:p>
                              </w:tc>
                              <w:tc>
                                <w:tcPr>
                                  <w:tcW w:w="1042" w:type="dxa"/>
                                </w:tcPr>
                                <w:p>
                                  <w:pPr>
                                    <w:pStyle w:val="21"/>
                                    <w:rPr>
                                      <w:rFonts w:ascii="Times New Roman"/>
                                      <w:sz w:val="22"/>
                                    </w:rPr>
                                  </w:pPr>
                                </w:p>
                              </w:tc>
                              <w:tc>
                                <w:tcPr>
                                  <w:tcW w:w="2064" w:type="dxa"/>
                                </w:tcPr>
                                <w:p>
                                  <w:pPr>
                                    <w:pStyle w:val="21"/>
                                    <w:rPr>
                                      <w:rFonts w:ascii="Times New Roman"/>
                                      <w:sz w:val="22"/>
                                    </w:rPr>
                                  </w:pPr>
                                </w:p>
                              </w:tc>
                              <w:tc>
                                <w:tcPr>
                                  <w:tcW w:w="742" w:type="dxa"/>
                                </w:tcPr>
                                <w:p>
                                  <w:pPr>
                                    <w:pStyle w:val="21"/>
                                    <w:rPr>
                                      <w:rFonts w:ascii="Times New Roman"/>
                                      <w:sz w:val="22"/>
                                    </w:rPr>
                                  </w:pPr>
                                </w:p>
                              </w:tc>
                              <w:tc>
                                <w:tcPr>
                                  <w:tcW w:w="641" w:type="dxa"/>
                                </w:tcPr>
                                <w:p>
                                  <w:pPr>
                                    <w:pStyle w:val="21"/>
                                    <w:rPr>
                                      <w:rFonts w:ascii="Times New Roman"/>
                                      <w:sz w:val="22"/>
                                    </w:rPr>
                                  </w:pPr>
                                </w:p>
                              </w:tc>
                              <w:tc>
                                <w:tcPr>
                                  <w:tcW w:w="2359" w:type="dxa"/>
                                </w:tcPr>
                                <w:p>
                                  <w:pPr>
                                    <w:pStyle w:val="21"/>
                                    <w:rPr>
                                      <w:rFonts w:ascii="Times New Roman"/>
                                      <w:sz w:val="22"/>
                                    </w:rPr>
                                  </w:pPr>
                                </w:p>
                              </w:tc>
                              <w:tc>
                                <w:tcPr>
                                  <w:tcW w:w="1055" w:type="dxa"/>
                                </w:tcPr>
                                <w:p>
                                  <w:pPr>
                                    <w:pStyle w:val="2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322" w:type="dxa"/>
                                  <w:tcBorders>
                                    <w:bottom w:val="single" w:color="auto" w:sz="4" w:space="0"/>
                                  </w:tcBorders>
                                </w:tcPr>
                                <w:p>
                                  <w:pPr>
                                    <w:pStyle w:val="21"/>
                                    <w:spacing w:before="4"/>
                                    <w:rPr>
                                      <w:sz w:val="20"/>
                                    </w:rPr>
                                  </w:pPr>
                                </w:p>
                                <w:p>
                                  <w:pPr>
                                    <w:pStyle w:val="21"/>
                                    <w:ind w:right="100"/>
                                    <w:jc w:val="right"/>
                                    <w:rPr>
                                      <w:sz w:val="20"/>
                                    </w:rPr>
                                  </w:pPr>
                                  <w:r>
                                    <w:rPr>
                                      <w:w w:val="99"/>
                                      <w:sz w:val="20"/>
                                    </w:rPr>
                                    <w:t>4</w:t>
                                  </w:r>
                                </w:p>
                              </w:tc>
                              <w:tc>
                                <w:tcPr>
                                  <w:tcW w:w="1042" w:type="dxa"/>
                                  <w:tcBorders>
                                    <w:bottom w:val="single" w:color="auto" w:sz="4" w:space="0"/>
                                  </w:tcBorders>
                                </w:tcPr>
                                <w:p>
                                  <w:pPr>
                                    <w:pStyle w:val="21"/>
                                    <w:rPr>
                                      <w:rFonts w:ascii="Times New Roman"/>
                                      <w:sz w:val="22"/>
                                    </w:rPr>
                                  </w:pPr>
                                </w:p>
                              </w:tc>
                              <w:tc>
                                <w:tcPr>
                                  <w:tcW w:w="2064" w:type="dxa"/>
                                  <w:tcBorders>
                                    <w:bottom w:val="single" w:color="auto" w:sz="4" w:space="0"/>
                                  </w:tcBorders>
                                </w:tcPr>
                                <w:p>
                                  <w:pPr>
                                    <w:pStyle w:val="21"/>
                                    <w:rPr>
                                      <w:rFonts w:ascii="Times New Roman"/>
                                      <w:sz w:val="22"/>
                                    </w:rPr>
                                  </w:pPr>
                                </w:p>
                              </w:tc>
                              <w:tc>
                                <w:tcPr>
                                  <w:tcW w:w="742" w:type="dxa"/>
                                  <w:tcBorders>
                                    <w:bottom w:val="single" w:color="auto" w:sz="4" w:space="0"/>
                                  </w:tcBorders>
                                </w:tcPr>
                                <w:p>
                                  <w:pPr>
                                    <w:pStyle w:val="21"/>
                                    <w:rPr>
                                      <w:rFonts w:ascii="Times New Roman"/>
                                      <w:sz w:val="22"/>
                                    </w:rPr>
                                  </w:pPr>
                                </w:p>
                              </w:tc>
                              <w:tc>
                                <w:tcPr>
                                  <w:tcW w:w="641" w:type="dxa"/>
                                  <w:tcBorders>
                                    <w:bottom w:val="single" w:color="auto" w:sz="4" w:space="0"/>
                                  </w:tcBorders>
                                </w:tcPr>
                                <w:p>
                                  <w:pPr>
                                    <w:pStyle w:val="21"/>
                                    <w:rPr>
                                      <w:rFonts w:ascii="Times New Roman"/>
                                      <w:sz w:val="22"/>
                                    </w:rPr>
                                  </w:pPr>
                                </w:p>
                              </w:tc>
                              <w:tc>
                                <w:tcPr>
                                  <w:tcW w:w="2359" w:type="dxa"/>
                                  <w:tcBorders>
                                    <w:bottom w:val="single" w:color="auto" w:sz="4" w:space="0"/>
                                  </w:tcBorders>
                                </w:tcPr>
                                <w:p>
                                  <w:pPr>
                                    <w:pStyle w:val="21"/>
                                    <w:rPr>
                                      <w:rFonts w:ascii="Times New Roman"/>
                                      <w:sz w:val="22"/>
                                    </w:rPr>
                                  </w:pPr>
                                </w:p>
                              </w:tc>
                              <w:tc>
                                <w:tcPr>
                                  <w:tcW w:w="1055" w:type="dxa"/>
                                  <w:tcBorders>
                                    <w:bottom w:val="single" w:color="auto" w:sz="4" w:space="0"/>
                                  </w:tcBorders>
                                </w:tcPr>
                                <w:p>
                                  <w:pPr>
                                    <w:pStyle w:val="2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322" w:type="dxa"/>
                                  <w:tcBorders>
                                    <w:top w:val="single" w:color="auto" w:sz="4" w:space="0"/>
                                    <w:left w:val="single" w:color="auto" w:sz="4" w:space="0"/>
                                    <w:bottom w:val="single" w:color="auto" w:sz="4" w:space="0"/>
                                  </w:tcBorders>
                                </w:tcPr>
                                <w:p>
                                  <w:pPr>
                                    <w:pStyle w:val="21"/>
                                    <w:spacing w:before="3"/>
                                    <w:ind w:left="110"/>
                                    <w:rPr>
                                      <w:sz w:val="20"/>
                                    </w:rPr>
                                  </w:pPr>
                                  <w:r>
                                    <w:rPr>
                                      <w:w w:val="99"/>
                                      <w:sz w:val="20"/>
                                    </w:rPr>
                                    <w:t>.</w:t>
                                  </w:r>
                                </w:p>
                                <w:p>
                                  <w:pPr>
                                    <w:pStyle w:val="21"/>
                                    <w:spacing w:before="3"/>
                                    <w:ind w:left="110"/>
                                    <w:rPr>
                                      <w:sz w:val="20"/>
                                    </w:rPr>
                                  </w:pPr>
                                  <w:r>
                                    <w:rPr>
                                      <w:w w:val="99"/>
                                      <w:sz w:val="20"/>
                                    </w:rPr>
                                    <w:t>.</w:t>
                                  </w:r>
                                </w:p>
                                <w:p>
                                  <w:pPr>
                                    <w:pStyle w:val="21"/>
                                    <w:spacing w:before="3" w:line="237" w:lineRule="exact"/>
                                    <w:ind w:left="110"/>
                                    <w:rPr>
                                      <w:sz w:val="20"/>
                                    </w:rPr>
                                  </w:pPr>
                                  <w:r>
                                    <w:rPr>
                                      <w:w w:val="99"/>
                                      <w:sz w:val="20"/>
                                    </w:rPr>
                                    <w:t>.</w:t>
                                  </w:r>
                                </w:p>
                              </w:tc>
                              <w:tc>
                                <w:tcPr>
                                  <w:tcW w:w="1042" w:type="dxa"/>
                                  <w:tcBorders>
                                    <w:top w:val="single" w:color="auto" w:sz="4" w:space="0"/>
                                    <w:bottom w:val="single" w:color="auto" w:sz="4" w:space="0"/>
                                  </w:tcBorders>
                                </w:tcPr>
                                <w:p>
                                  <w:pPr>
                                    <w:pStyle w:val="21"/>
                                    <w:rPr>
                                      <w:rFonts w:ascii="Times New Roman"/>
                                      <w:sz w:val="22"/>
                                    </w:rPr>
                                  </w:pPr>
                                </w:p>
                              </w:tc>
                              <w:tc>
                                <w:tcPr>
                                  <w:tcW w:w="2064" w:type="dxa"/>
                                  <w:tcBorders>
                                    <w:top w:val="single" w:color="auto" w:sz="4" w:space="0"/>
                                    <w:bottom w:val="single" w:color="auto" w:sz="4" w:space="0"/>
                                  </w:tcBorders>
                                </w:tcPr>
                                <w:p>
                                  <w:pPr>
                                    <w:pStyle w:val="21"/>
                                    <w:rPr>
                                      <w:rFonts w:ascii="Times New Roman"/>
                                      <w:sz w:val="22"/>
                                    </w:rPr>
                                  </w:pPr>
                                </w:p>
                              </w:tc>
                              <w:tc>
                                <w:tcPr>
                                  <w:tcW w:w="742" w:type="dxa"/>
                                  <w:tcBorders>
                                    <w:top w:val="single" w:color="auto" w:sz="4" w:space="0"/>
                                    <w:bottom w:val="single" w:color="auto" w:sz="4" w:space="0"/>
                                  </w:tcBorders>
                                </w:tcPr>
                                <w:p>
                                  <w:pPr>
                                    <w:pStyle w:val="21"/>
                                    <w:rPr>
                                      <w:rFonts w:ascii="Times New Roman"/>
                                      <w:sz w:val="22"/>
                                    </w:rPr>
                                  </w:pPr>
                                </w:p>
                              </w:tc>
                              <w:tc>
                                <w:tcPr>
                                  <w:tcW w:w="641" w:type="dxa"/>
                                  <w:tcBorders>
                                    <w:top w:val="single" w:color="auto" w:sz="4" w:space="0"/>
                                    <w:bottom w:val="single" w:color="auto" w:sz="4" w:space="0"/>
                                  </w:tcBorders>
                                </w:tcPr>
                                <w:p>
                                  <w:pPr>
                                    <w:pStyle w:val="21"/>
                                    <w:rPr>
                                      <w:rFonts w:ascii="Times New Roman"/>
                                      <w:sz w:val="22"/>
                                    </w:rPr>
                                  </w:pPr>
                                </w:p>
                              </w:tc>
                              <w:tc>
                                <w:tcPr>
                                  <w:tcW w:w="2359" w:type="dxa"/>
                                  <w:tcBorders>
                                    <w:top w:val="single" w:color="auto" w:sz="4" w:space="0"/>
                                    <w:bottom w:val="single" w:color="auto" w:sz="4" w:space="0"/>
                                  </w:tcBorders>
                                </w:tcPr>
                                <w:p>
                                  <w:pPr>
                                    <w:pStyle w:val="21"/>
                                    <w:rPr>
                                      <w:rFonts w:ascii="Times New Roman"/>
                                      <w:sz w:val="22"/>
                                    </w:rPr>
                                  </w:pPr>
                                </w:p>
                              </w:tc>
                              <w:tc>
                                <w:tcPr>
                                  <w:tcW w:w="1055" w:type="dxa"/>
                                  <w:tcBorders>
                                    <w:top w:val="single" w:color="auto" w:sz="4" w:space="0"/>
                                    <w:bottom w:val="single" w:color="auto" w:sz="4" w:space="0"/>
                                    <w:right w:val="single" w:color="auto" w:sz="4" w:space="0"/>
                                  </w:tcBorders>
                                </w:tcPr>
                                <w:p>
                                  <w:pPr>
                                    <w:pStyle w:val="2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322" w:type="dxa"/>
                                  <w:tcBorders>
                                    <w:top w:val="single" w:color="auto" w:sz="4" w:space="0"/>
                                  </w:tcBorders>
                                </w:tcPr>
                                <w:p>
                                  <w:pPr>
                                    <w:pStyle w:val="21"/>
                                    <w:spacing w:before="3" w:line="237" w:lineRule="exact"/>
                                    <w:ind w:left="110"/>
                                    <w:rPr>
                                      <w:w w:val="99"/>
                                      <w:sz w:val="20"/>
                                    </w:rPr>
                                  </w:pPr>
                                </w:p>
                              </w:tc>
                              <w:tc>
                                <w:tcPr>
                                  <w:tcW w:w="1042" w:type="dxa"/>
                                  <w:tcBorders>
                                    <w:top w:val="single" w:color="auto" w:sz="4" w:space="0"/>
                                  </w:tcBorders>
                                </w:tcPr>
                                <w:p>
                                  <w:pPr>
                                    <w:pStyle w:val="21"/>
                                    <w:rPr>
                                      <w:rFonts w:ascii="Times New Roman"/>
                                      <w:sz w:val="22"/>
                                    </w:rPr>
                                  </w:pPr>
                                </w:p>
                              </w:tc>
                              <w:tc>
                                <w:tcPr>
                                  <w:tcW w:w="2064" w:type="dxa"/>
                                  <w:tcBorders>
                                    <w:top w:val="single" w:color="auto" w:sz="4" w:space="0"/>
                                  </w:tcBorders>
                                </w:tcPr>
                                <w:p>
                                  <w:pPr>
                                    <w:pStyle w:val="21"/>
                                    <w:rPr>
                                      <w:rFonts w:ascii="Times New Roman"/>
                                      <w:sz w:val="22"/>
                                    </w:rPr>
                                  </w:pPr>
                                </w:p>
                              </w:tc>
                              <w:tc>
                                <w:tcPr>
                                  <w:tcW w:w="742" w:type="dxa"/>
                                  <w:tcBorders>
                                    <w:top w:val="single" w:color="auto" w:sz="4" w:space="0"/>
                                  </w:tcBorders>
                                </w:tcPr>
                                <w:p>
                                  <w:pPr>
                                    <w:pStyle w:val="21"/>
                                    <w:rPr>
                                      <w:rFonts w:ascii="Times New Roman"/>
                                      <w:sz w:val="22"/>
                                    </w:rPr>
                                  </w:pPr>
                                </w:p>
                              </w:tc>
                              <w:tc>
                                <w:tcPr>
                                  <w:tcW w:w="641" w:type="dxa"/>
                                  <w:tcBorders>
                                    <w:top w:val="single" w:color="auto" w:sz="4" w:space="0"/>
                                  </w:tcBorders>
                                </w:tcPr>
                                <w:p>
                                  <w:pPr>
                                    <w:pStyle w:val="21"/>
                                    <w:rPr>
                                      <w:rFonts w:ascii="Times New Roman"/>
                                      <w:sz w:val="22"/>
                                    </w:rPr>
                                  </w:pPr>
                                </w:p>
                              </w:tc>
                              <w:tc>
                                <w:tcPr>
                                  <w:tcW w:w="2359" w:type="dxa"/>
                                  <w:tcBorders>
                                    <w:top w:val="single" w:color="auto" w:sz="4" w:space="0"/>
                                  </w:tcBorders>
                                </w:tcPr>
                                <w:p>
                                  <w:pPr>
                                    <w:pStyle w:val="21"/>
                                    <w:rPr>
                                      <w:rFonts w:ascii="Times New Roman"/>
                                      <w:sz w:val="22"/>
                                    </w:rPr>
                                  </w:pPr>
                                </w:p>
                              </w:tc>
                              <w:tc>
                                <w:tcPr>
                                  <w:tcW w:w="1055" w:type="dxa"/>
                                  <w:tcBorders>
                                    <w:top w:val="single" w:color="auto" w:sz="4" w:space="0"/>
                                  </w:tcBorders>
                                </w:tcPr>
                                <w:p>
                                  <w:pPr>
                                    <w:pStyle w:val="21"/>
                                    <w:rPr>
                                      <w:rFonts w:ascii="Times New Roman"/>
                                      <w:sz w:val="22"/>
                                    </w:rPr>
                                  </w:pPr>
                                </w:p>
                              </w:tc>
                            </w:tr>
                          </w:tbl>
                          <w:p>
                            <w:pPr>
                              <w:pStyle w:val="5"/>
                            </w:pPr>
                          </w:p>
                        </w:txbxContent>
                      </wps:txbx>
                      <wps:bodyPr lIns="0" tIns="0" rIns="0" bIns="0" upright="1"/>
                    </wps:wsp>
                  </a:graphicData>
                </a:graphic>
              </wp:anchor>
            </w:drawing>
          </mc:Choice>
          <mc:Fallback>
            <w:pict>
              <v:shape id="_x0000_s1026" o:spid="_x0000_s1026" o:spt="202" type="#_x0000_t202" style="position:absolute;left:0pt;margin-left:96.4pt;margin-top:88.8pt;height:269.5pt;width:423.4pt;mso-position-horizontal-relative:page;z-index:251672576;mso-width-relative:page;mso-height-relative:page;" filled="f" stroked="f" coordsize="21600,21600" o:gfxdata="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BFrhHYAAAADAEAAA8AAAAAAAAAAQAgAAAAIgAAAGRycy9kb3ducmV2LnhtbFBL&#10;AQIUABQAAAAIAIdO4kAbcxZCvQEAAHUDAAAOAAAAAAAAAAEAIAAAACcBAABkcnMvZTJvRG9jLnht&#10;bFBLBQYAAAAABgAGAFkBAABWBQAAAAA=&#10;">
                <v:fill on="f" focussize="0,0"/>
                <v:stroke on="f"/>
                <v:imagedata o:title=""/>
                <o:lock v:ext="edit" aspectratio="f"/>
                <v:textbox inset="0mm,0mm,0mm,0mm">
                  <w:txbxContent>
                    <w:tbl>
                      <w:tblPr>
                        <w:tblStyle w:val="1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2"/>
                        <w:gridCol w:w="1042"/>
                        <w:gridCol w:w="2064"/>
                        <w:gridCol w:w="742"/>
                        <w:gridCol w:w="641"/>
                        <w:gridCol w:w="2359"/>
                        <w:gridCol w:w="10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3428" w:type="dxa"/>
                            <w:gridSpan w:val="3"/>
                          </w:tcPr>
                          <w:p>
                            <w:pPr>
                              <w:pStyle w:val="21"/>
                              <w:spacing w:before="70"/>
                              <w:ind w:left="1273" w:right="1260"/>
                              <w:jc w:val="center"/>
                              <w:rPr>
                                <w:b/>
                                <w:sz w:val="21"/>
                              </w:rPr>
                            </w:pPr>
                            <w:r>
                              <w:rPr>
                                <w:b/>
                                <w:sz w:val="21"/>
                              </w:rPr>
                              <w:t>评分明细</w:t>
                            </w:r>
                          </w:p>
                        </w:tc>
                        <w:tc>
                          <w:tcPr>
                            <w:tcW w:w="4797" w:type="dxa"/>
                            <w:gridSpan w:val="4"/>
                          </w:tcPr>
                          <w:p>
                            <w:pPr>
                              <w:pStyle w:val="21"/>
                              <w:spacing w:before="78"/>
                              <w:ind w:left="1639" w:right="1629"/>
                              <w:jc w:val="center"/>
                              <w:rPr>
                                <w:b/>
                                <w:sz w:val="20"/>
                              </w:rPr>
                            </w:pPr>
                            <w:r>
                              <w:rPr>
                                <w:b/>
                                <w:sz w:val="20"/>
                              </w:rPr>
                              <w:t>投标文件页码索引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322" w:type="dxa"/>
                          </w:tcPr>
                          <w:p>
                            <w:pPr>
                              <w:pStyle w:val="21"/>
                              <w:spacing w:before="73" w:line="242" w:lineRule="auto"/>
                              <w:ind w:left="107" w:right="3"/>
                              <w:rPr>
                                <w:sz w:val="20"/>
                              </w:rPr>
                            </w:pPr>
                            <w:r>
                              <w:rPr>
                                <w:sz w:val="20"/>
                              </w:rPr>
                              <w:t>序号</w:t>
                            </w:r>
                          </w:p>
                        </w:tc>
                        <w:tc>
                          <w:tcPr>
                            <w:tcW w:w="1042" w:type="dxa"/>
                          </w:tcPr>
                          <w:p>
                            <w:pPr>
                              <w:pStyle w:val="21"/>
                              <w:spacing w:before="10"/>
                              <w:rPr>
                                <w:sz w:val="15"/>
                              </w:rPr>
                            </w:pPr>
                          </w:p>
                          <w:p>
                            <w:pPr>
                              <w:pStyle w:val="21"/>
                              <w:ind w:left="119"/>
                              <w:rPr>
                                <w:sz w:val="20"/>
                              </w:rPr>
                            </w:pPr>
                            <w:r>
                              <w:rPr>
                                <w:sz w:val="20"/>
                              </w:rPr>
                              <w:t>评审因素</w:t>
                            </w:r>
                          </w:p>
                        </w:tc>
                        <w:tc>
                          <w:tcPr>
                            <w:tcW w:w="2064" w:type="dxa"/>
                          </w:tcPr>
                          <w:p>
                            <w:pPr>
                              <w:pStyle w:val="21"/>
                              <w:spacing w:before="10"/>
                              <w:rPr>
                                <w:sz w:val="15"/>
                              </w:rPr>
                            </w:pPr>
                          </w:p>
                          <w:p>
                            <w:pPr>
                              <w:pStyle w:val="21"/>
                              <w:ind w:left="630"/>
                              <w:rPr>
                                <w:sz w:val="20"/>
                              </w:rPr>
                            </w:pPr>
                            <w:r>
                              <w:rPr>
                                <w:sz w:val="20"/>
                              </w:rPr>
                              <w:t>评审标准</w:t>
                            </w:r>
                          </w:p>
                        </w:tc>
                        <w:tc>
                          <w:tcPr>
                            <w:tcW w:w="742" w:type="dxa"/>
                          </w:tcPr>
                          <w:p>
                            <w:pPr>
                              <w:pStyle w:val="21"/>
                              <w:spacing w:before="10"/>
                              <w:rPr>
                                <w:sz w:val="15"/>
                              </w:rPr>
                            </w:pPr>
                          </w:p>
                          <w:p>
                            <w:pPr>
                              <w:pStyle w:val="21"/>
                              <w:ind w:left="167"/>
                              <w:rPr>
                                <w:sz w:val="20"/>
                              </w:rPr>
                            </w:pPr>
                            <w:r>
                              <w:rPr>
                                <w:sz w:val="20"/>
                              </w:rPr>
                              <w:t>起页</w:t>
                            </w:r>
                          </w:p>
                        </w:tc>
                        <w:tc>
                          <w:tcPr>
                            <w:tcW w:w="641" w:type="dxa"/>
                          </w:tcPr>
                          <w:p>
                            <w:pPr>
                              <w:pStyle w:val="21"/>
                              <w:spacing w:before="10"/>
                              <w:rPr>
                                <w:sz w:val="15"/>
                              </w:rPr>
                            </w:pPr>
                          </w:p>
                          <w:p>
                            <w:pPr>
                              <w:pStyle w:val="21"/>
                              <w:ind w:left="118"/>
                              <w:rPr>
                                <w:sz w:val="20"/>
                              </w:rPr>
                            </w:pPr>
                            <w:r>
                              <w:rPr>
                                <w:sz w:val="20"/>
                              </w:rPr>
                              <w:t>止页</w:t>
                            </w:r>
                          </w:p>
                        </w:tc>
                        <w:tc>
                          <w:tcPr>
                            <w:tcW w:w="2359" w:type="dxa"/>
                          </w:tcPr>
                          <w:p>
                            <w:pPr>
                              <w:pStyle w:val="21"/>
                              <w:spacing w:before="195"/>
                              <w:ind w:left="231"/>
                              <w:rPr>
                                <w:sz w:val="20"/>
                              </w:rPr>
                            </w:pPr>
                            <w:r>
                              <w:rPr>
                                <w:sz w:val="20"/>
                              </w:rPr>
                              <w:t>响应说明（</w:t>
                            </w:r>
                            <w:r>
                              <w:rPr>
                                <w:rFonts w:ascii="Calibri" w:eastAsia="Calibri"/>
                                <w:sz w:val="21"/>
                              </w:rPr>
                              <w:t>+</w:t>
                            </w:r>
                            <w:r>
                              <w:rPr>
                                <w:sz w:val="21"/>
                              </w:rPr>
                              <w:t>、</w:t>
                            </w:r>
                            <w:r>
                              <w:rPr>
                                <w:rFonts w:ascii="Calibri" w:eastAsia="Calibri"/>
                                <w:sz w:val="21"/>
                              </w:rPr>
                              <w:t>=</w:t>
                            </w:r>
                            <w:r>
                              <w:rPr>
                                <w:sz w:val="21"/>
                              </w:rPr>
                              <w:t>、</w:t>
                            </w:r>
                            <w:r>
                              <w:rPr>
                                <w:rFonts w:ascii="Calibri" w:eastAsia="Calibri"/>
                                <w:sz w:val="21"/>
                              </w:rPr>
                              <w:t>-</w:t>
                            </w:r>
                            <w:r>
                              <w:rPr>
                                <w:sz w:val="20"/>
                              </w:rPr>
                              <w:t>）</w:t>
                            </w:r>
                          </w:p>
                        </w:tc>
                        <w:tc>
                          <w:tcPr>
                            <w:tcW w:w="1055" w:type="dxa"/>
                          </w:tcPr>
                          <w:p>
                            <w:pPr>
                              <w:pStyle w:val="21"/>
                              <w:spacing w:before="10"/>
                              <w:rPr>
                                <w:sz w:val="15"/>
                              </w:rPr>
                            </w:pPr>
                          </w:p>
                          <w:p>
                            <w:pPr>
                              <w:pStyle w:val="21"/>
                              <w:ind w:left="389"/>
                              <w:rPr>
                                <w:sz w:val="20"/>
                              </w:rPr>
                            </w:pPr>
                            <w:r>
                              <w:rPr>
                                <w:sz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322" w:type="dxa"/>
                          </w:tcPr>
                          <w:p>
                            <w:pPr>
                              <w:pStyle w:val="21"/>
                              <w:spacing w:before="51"/>
                              <w:ind w:right="100"/>
                              <w:jc w:val="right"/>
                              <w:rPr>
                                <w:sz w:val="20"/>
                              </w:rPr>
                            </w:pPr>
                            <w:r>
                              <w:rPr>
                                <w:w w:val="99"/>
                                <w:sz w:val="20"/>
                              </w:rPr>
                              <w:t>1</w:t>
                            </w:r>
                          </w:p>
                        </w:tc>
                        <w:tc>
                          <w:tcPr>
                            <w:tcW w:w="1042" w:type="dxa"/>
                          </w:tcPr>
                          <w:p>
                            <w:pPr>
                              <w:pStyle w:val="21"/>
                              <w:rPr>
                                <w:rFonts w:ascii="Times New Roman"/>
                                <w:sz w:val="22"/>
                              </w:rPr>
                            </w:pPr>
                          </w:p>
                        </w:tc>
                        <w:tc>
                          <w:tcPr>
                            <w:tcW w:w="2064" w:type="dxa"/>
                          </w:tcPr>
                          <w:p>
                            <w:pPr>
                              <w:pStyle w:val="21"/>
                              <w:rPr>
                                <w:rFonts w:ascii="Times New Roman"/>
                                <w:sz w:val="22"/>
                              </w:rPr>
                            </w:pPr>
                          </w:p>
                        </w:tc>
                        <w:tc>
                          <w:tcPr>
                            <w:tcW w:w="742" w:type="dxa"/>
                          </w:tcPr>
                          <w:p>
                            <w:pPr>
                              <w:pStyle w:val="21"/>
                              <w:rPr>
                                <w:rFonts w:ascii="Times New Roman"/>
                                <w:sz w:val="22"/>
                              </w:rPr>
                            </w:pPr>
                          </w:p>
                        </w:tc>
                        <w:tc>
                          <w:tcPr>
                            <w:tcW w:w="641" w:type="dxa"/>
                          </w:tcPr>
                          <w:p>
                            <w:pPr>
                              <w:pStyle w:val="21"/>
                              <w:rPr>
                                <w:rFonts w:ascii="Times New Roman"/>
                                <w:sz w:val="22"/>
                              </w:rPr>
                            </w:pPr>
                          </w:p>
                        </w:tc>
                        <w:tc>
                          <w:tcPr>
                            <w:tcW w:w="2359" w:type="dxa"/>
                          </w:tcPr>
                          <w:p>
                            <w:pPr>
                              <w:pStyle w:val="21"/>
                              <w:rPr>
                                <w:rFonts w:ascii="Times New Roman"/>
                                <w:sz w:val="22"/>
                              </w:rPr>
                            </w:pPr>
                          </w:p>
                        </w:tc>
                        <w:tc>
                          <w:tcPr>
                            <w:tcW w:w="1055" w:type="dxa"/>
                          </w:tcPr>
                          <w:p>
                            <w:pPr>
                              <w:pStyle w:val="2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trPr>
                        <w:tc>
                          <w:tcPr>
                            <w:tcW w:w="322" w:type="dxa"/>
                          </w:tcPr>
                          <w:p>
                            <w:pPr>
                              <w:pStyle w:val="21"/>
                              <w:spacing w:before="1"/>
                              <w:rPr>
                                <w:sz w:val="21"/>
                              </w:rPr>
                            </w:pPr>
                          </w:p>
                          <w:p>
                            <w:pPr>
                              <w:pStyle w:val="21"/>
                              <w:ind w:right="100"/>
                              <w:jc w:val="right"/>
                              <w:rPr>
                                <w:sz w:val="20"/>
                              </w:rPr>
                            </w:pPr>
                            <w:r>
                              <w:rPr>
                                <w:w w:val="99"/>
                                <w:sz w:val="20"/>
                              </w:rPr>
                              <w:t>2</w:t>
                            </w:r>
                          </w:p>
                        </w:tc>
                        <w:tc>
                          <w:tcPr>
                            <w:tcW w:w="1042" w:type="dxa"/>
                          </w:tcPr>
                          <w:p>
                            <w:pPr>
                              <w:pStyle w:val="21"/>
                              <w:rPr>
                                <w:rFonts w:ascii="Times New Roman"/>
                                <w:sz w:val="22"/>
                              </w:rPr>
                            </w:pPr>
                          </w:p>
                        </w:tc>
                        <w:tc>
                          <w:tcPr>
                            <w:tcW w:w="2064" w:type="dxa"/>
                          </w:tcPr>
                          <w:p>
                            <w:pPr>
                              <w:pStyle w:val="21"/>
                              <w:rPr>
                                <w:rFonts w:ascii="Times New Roman"/>
                                <w:sz w:val="22"/>
                              </w:rPr>
                            </w:pPr>
                          </w:p>
                        </w:tc>
                        <w:tc>
                          <w:tcPr>
                            <w:tcW w:w="742" w:type="dxa"/>
                          </w:tcPr>
                          <w:p>
                            <w:pPr>
                              <w:pStyle w:val="21"/>
                              <w:rPr>
                                <w:rFonts w:ascii="Times New Roman"/>
                                <w:sz w:val="22"/>
                              </w:rPr>
                            </w:pPr>
                          </w:p>
                        </w:tc>
                        <w:tc>
                          <w:tcPr>
                            <w:tcW w:w="641" w:type="dxa"/>
                          </w:tcPr>
                          <w:p>
                            <w:pPr>
                              <w:pStyle w:val="21"/>
                              <w:rPr>
                                <w:rFonts w:ascii="Times New Roman"/>
                                <w:sz w:val="22"/>
                              </w:rPr>
                            </w:pPr>
                          </w:p>
                        </w:tc>
                        <w:tc>
                          <w:tcPr>
                            <w:tcW w:w="2359" w:type="dxa"/>
                          </w:tcPr>
                          <w:p>
                            <w:pPr>
                              <w:pStyle w:val="21"/>
                              <w:rPr>
                                <w:rFonts w:ascii="Times New Roman"/>
                                <w:sz w:val="22"/>
                              </w:rPr>
                            </w:pPr>
                          </w:p>
                        </w:tc>
                        <w:tc>
                          <w:tcPr>
                            <w:tcW w:w="1055" w:type="dxa"/>
                          </w:tcPr>
                          <w:p>
                            <w:pPr>
                              <w:pStyle w:val="2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322" w:type="dxa"/>
                          </w:tcPr>
                          <w:p>
                            <w:pPr>
                              <w:pStyle w:val="21"/>
                              <w:spacing w:before="131"/>
                              <w:ind w:right="100"/>
                              <w:jc w:val="right"/>
                              <w:rPr>
                                <w:sz w:val="20"/>
                              </w:rPr>
                            </w:pPr>
                            <w:r>
                              <w:rPr>
                                <w:w w:val="99"/>
                                <w:sz w:val="20"/>
                              </w:rPr>
                              <w:t>3</w:t>
                            </w:r>
                          </w:p>
                        </w:tc>
                        <w:tc>
                          <w:tcPr>
                            <w:tcW w:w="1042" w:type="dxa"/>
                          </w:tcPr>
                          <w:p>
                            <w:pPr>
                              <w:pStyle w:val="21"/>
                              <w:rPr>
                                <w:rFonts w:ascii="Times New Roman"/>
                                <w:sz w:val="22"/>
                              </w:rPr>
                            </w:pPr>
                          </w:p>
                        </w:tc>
                        <w:tc>
                          <w:tcPr>
                            <w:tcW w:w="2064" w:type="dxa"/>
                          </w:tcPr>
                          <w:p>
                            <w:pPr>
                              <w:pStyle w:val="21"/>
                              <w:rPr>
                                <w:rFonts w:ascii="Times New Roman"/>
                                <w:sz w:val="22"/>
                              </w:rPr>
                            </w:pPr>
                          </w:p>
                        </w:tc>
                        <w:tc>
                          <w:tcPr>
                            <w:tcW w:w="742" w:type="dxa"/>
                          </w:tcPr>
                          <w:p>
                            <w:pPr>
                              <w:pStyle w:val="21"/>
                              <w:rPr>
                                <w:rFonts w:ascii="Times New Roman"/>
                                <w:sz w:val="22"/>
                              </w:rPr>
                            </w:pPr>
                          </w:p>
                        </w:tc>
                        <w:tc>
                          <w:tcPr>
                            <w:tcW w:w="641" w:type="dxa"/>
                          </w:tcPr>
                          <w:p>
                            <w:pPr>
                              <w:pStyle w:val="21"/>
                              <w:rPr>
                                <w:rFonts w:ascii="Times New Roman"/>
                                <w:sz w:val="22"/>
                              </w:rPr>
                            </w:pPr>
                          </w:p>
                        </w:tc>
                        <w:tc>
                          <w:tcPr>
                            <w:tcW w:w="2359" w:type="dxa"/>
                          </w:tcPr>
                          <w:p>
                            <w:pPr>
                              <w:pStyle w:val="21"/>
                              <w:rPr>
                                <w:rFonts w:ascii="Times New Roman"/>
                                <w:sz w:val="22"/>
                              </w:rPr>
                            </w:pPr>
                          </w:p>
                        </w:tc>
                        <w:tc>
                          <w:tcPr>
                            <w:tcW w:w="1055" w:type="dxa"/>
                          </w:tcPr>
                          <w:p>
                            <w:pPr>
                              <w:pStyle w:val="2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322" w:type="dxa"/>
                            <w:tcBorders>
                              <w:bottom w:val="single" w:color="auto" w:sz="4" w:space="0"/>
                            </w:tcBorders>
                          </w:tcPr>
                          <w:p>
                            <w:pPr>
                              <w:pStyle w:val="21"/>
                              <w:spacing w:before="4"/>
                              <w:rPr>
                                <w:sz w:val="20"/>
                              </w:rPr>
                            </w:pPr>
                          </w:p>
                          <w:p>
                            <w:pPr>
                              <w:pStyle w:val="21"/>
                              <w:ind w:right="100"/>
                              <w:jc w:val="right"/>
                              <w:rPr>
                                <w:sz w:val="20"/>
                              </w:rPr>
                            </w:pPr>
                            <w:r>
                              <w:rPr>
                                <w:w w:val="99"/>
                                <w:sz w:val="20"/>
                              </w:rPr>
                              <w:t>4</w:t>
                            </w:r>
                          </w:p>
                        </w:tc>
                        <w:tc>
                          <w:tcPr>
                            <w:tcW w:w="1042" w:type="dxa"/>
                            <w:tcBorders>
                              <w:bottom w:val="single" w:color="auto" w:sz="4" w:space="0"/>
                            </w:tcBorders>
                          </w:tcPr>
                          <w:p>
                            <w:pPr>
                              <w:pStyle w:val="21"/>
                              <w:rPr>
                                <w:rFonts w:ascii="Times New Roman"/>
                                <w:sz w:val="22"/>
                              </w:rPr>
                            </w:pPr>
                          </w:p>
                        </w:tc>
                        <w:tc>
                          <w:tcPr>
                            <w:tcW w:w="2064" w:type="dxa"/>
                            <w:tcBorders>
                              <w:bottom w:val="single" w:color="auto" w:sz="4" w:space="0"/>
                            </w:tcBorders>
                          </w:tcPr>
                          <w:p>
                            <w:pPr>
                              <w:pStyle w:val="21"/>
                              <w:rPr>
                                <w:rFonts w:ascii="Times New Roman"/>
                                <w:sz w:val="22"/>
                              </w:rPr>
                            </w:pPr>
                          </w:p>
                        </w:tc>
                        <w:tc>
                          <w:tcPr>
                            <w:tcW w:w="742" w:type="dxa"/>
                            <w:tcBorders>
                              <w:bottom w:val="single" w:color="auto" w:sz="4" w:space="0"/>
                            </w:tcBorders>
                          </w:tcPr>
                          <w:p>
                            <w:pPr>
                              <w:pStyle w:val="21"/>
                              <w:rPr>
                                <w:rFonts w:ascii="Times New Roman"/>
                                <w:sz w:val="22"/>
                              </w:rPr>
                            </w:pPr>
                          </w:p>
                        </w:tc>
                        <w:tc>
                          <w:tcPr>
                            <w:tcW w:w="641" w:type="dxa"/>
                            <w:tcBorders>
                              <w:bottom w:val="single" w:color="auto" w:sz="4" w:space="0"/>
                            </w:tcBorders>
                          </w:tcPr>
                          <w:p>
                            <w:pPr>
                              <w:pStyle w:val="21"/>
                              <w:rPr>
                                <w:rFonts w:ascii="Times New Roman"/>
                                <w:sz w:val="22"/>
                              </w:rPr>
                            </w:pPr>
                          </w:p>
                        </w:tc>
                        <w:tc>
                          <w:tcPr>
                            <w:tcW w:w="2359" w:type="dxa"/>
                            <w:tcBorders>
                              <w:bottom w:val="single" w:color="auto" w:sz="4" w:space="0"/>
                            </w:tcBorders>
                          </w:tcPr>
                          <w:p>
                            <w:pPr>
                              <w:pStyle w:val="21"/>
                              <w:rPr>
                                <w:rFonts w:ascii="Times New Roman"/>
                                <w:sz w:val="22"/>
                              </w:rPr>
                            </w:pPr>
                          </w:p>
                        </w:tc>
                        <w:tc>
                          <w:tcPr>
                            <w:tcW w:w="1055" w:type="dxa"/>
                            <w:tcBorders>
                              <w:bottom w:val="single" w:color="auto" w:sz="4" w:space="0"/>
                            </w:tcBorders>
                          </w:tcPr>
                          <w:p>
                            <w:pPr>
                              <w:pStyle w:val="2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322" w:type="dxa"/>
                            <w:tcBorders>
                              <w:top w:val="single" w:color="auto" w:sz="4" w:space="0"/>
                              <w:left w:val="single" w:color="auto" w:sz="4" w:space="0"/>
                              <w:bottom w:val="single" w:color="auto" w:sz="4" w:space="0"/>
                            </w:tcBorders>
                          </w:tcPr>
                          <w:p>
                            <w:pPr>
                              <w:pStyle w:val="21"/>
                              <w:spacing w:before="3"/>
                              <w:ind w:left="110"/>
                              <w:rPr>
                                <w:sz w:val="20"/>
                              </w:rPr>
                            </w:pPr>
                            <w:r>
                              <w:rPr>
                                <w:w w:val="99"/>
                                <w:sz w:val="20"/>
                              </w:rPr>
                              <w:t>.</w:t>
                            </w:r>
                          </w:p>
                          <w:p>
                            <w:pPr>
                              <w:pStyle w:val="21"/>
                              <w:spacing w:before="3"/>
                              <w:ind w:left="110"/>
                              <w:rPr>
                                <w:sz w:val="20"/>
                              </w:rPr>
                            </w:pPr>
                            <w:r>
                              <w:rPr>
                                <w:w w:val="99"/>
                                <w:sz w:val="20"/>
                              </w:rPr>
                              <w:t>.</w:t>
                            </w:r>
                          </w:p>
                          <w:p>
                            <w:pPr>
                              <w:pStyle w:val="21"/>
                              <w:spacing w:before="3" w:line="237" w:lineRule="exact"/>
                              <w:ind w:left="110"/>
                              <w:rPr>
                                <w:sz w:val="20"/>
                              </w:rPr>
                            </w:pPr>
                            <w:r>
                              <w:rPr>
                                <w:w w:val="99"/>
                                <w:sz w:val="20"/>
                              </w:rPr>
                              <w:t>.</w:t>
                            </w:r>
                          </w:p>
                        </w:tc>
                        <w:tc>
                          <w:tcPr>
                            <w:tcW w:w="1042" w:type="dxa"/>
                            <w:tcBorders>
                              <w:top w:val="single" w:color="auto" w:sz="4" w:space="0"/>
                              <w:bottom w:val="single" w:color="auto" w:sz="4" w:space="0"/>
                            </w:tcBorders>
                          </w:tcPr>
                          <w:p>
                            <w:pPr>
                              <w:pStyle w:val="21"/>
                              <w:rPr>
                                <w:rFonts w:ascii="Times New Roman"/>
                                <w:sz w:val="22"/>
                              </w:rPr>
                            </w:pPr>
                          </w:p>
                        </w:tc>
                        <w:tc>
                          <w:tcPr>
                            <w:tcW w:w="2064" w:type="dxa"/>
                            <w:tcBorders>
                              <w:top w:val="single" w:color="auto" w:sz="4" w:space="0"/>
                              <w:bottom w:val="single" w:color="auto" w:sz="4" w:space="0"/>
                            </w:tcBorders>
                          </w:tcPr>
                          <w:p>
                            <w:pPr>
                              <w:pStyle w:val="21"/>
                              <w:rPr>
                                <w:rFonts w:ascii="Times New Roman"/>
                                <w:sz w:val="22"/>
                              </w:rPr>
                            </w:pPr>
                          </w:p>
                        </w:tc>
                        <w:tc>
                          <w:tcPr>
                            <w:tcW w:w="742" w:type="dxa"/>
                            <w:tcBorders>
                              <w:top w:val="single" w:color="auto" w:sz="4" w:space="0"/>
                              <w:bottom w:val="single" w:color="auto" w:sz="4" w:space="0"/>
                            </w:tcBorders>
                          </w:tcPr>
                          <w:p>
                            <w:pPr>
                              <w:pStyle w:val="21"/>
                              <w:rPr>
                                <w:rFonts w:ascii="Times New Roman"/>
                                <w:sz w:val="22"/>
                              </w:rPr>
                            </w:pPr>
                          </w:p>
                        </w:tc>
                        <w:tc>
                          <w:tcPr>
                            <w:tcW w:w="641" w:type="dxa"/>
                            <w:tcBorders>
                              <w:top w:val="single" w:color="auto" w:sz="4" w:space="0"/>
                              <w:bottom w:val="single" w:color="auto" w:sz="4" w:space="0"/>
                            </w:tcBorders>
                          </w:tcPr>
                          <w:p>
                            <w:pPr>
                              <w:pStyle w:val="21"/>
                              <w:rPr>
                                <w:rFonts w:ascii="Times New Roman"/>
                                <w:sz w:val="22"/>
                              </w:rPr>
                            </w:pPr>
                          </w:p>
                        </w:tc>
                        <w:tc>
                          <w:tcPr>
                            <w:tcW w:w="2359" w:type="dxa"/>
                            <w:tcBorders>
                              <w:top w:val="single" w:color="auto" w:sz="4" w:space="0"/>
                              <w:bottom w:val="single" w:color="auto" w:sz="4" w:space="0"/>
                            </w:tcBorders>
                          </w:tcPr>
                          <w:p>
                            <w:pPr>
                              <w:pStyle w:val="21"/>
                              <w:rPr>
                                <w:rFonts w:ascii="Times New Roman"/>
                                <w:sz w:val="22"/>
                              </w:rPr>
                            </w:pPr>
                          </w:p>
                        </w:tc>
                        <w:tc>
                          <w:tcPr>
                            <w:tcW w:w="1055" w:type="dxa"/>
                            <w:tcBorders>
                              <w:top w:val="single" w:color="auto" w:sz="4" w:space="0"/>
                              <w:bottom w:val="single" w:color="auto" w:sz="4" w:space="0"/>
                              <w:right w:val="single" w:color="auto" w:sz="4" w:space="0"/>
                            </w:tcBorders>
                          </w:tcPr>
                          <w:p>
                            <w:pPr>
                              <w:pStyle w:val="2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322" w:type="dxa"/>
                            <w:tcBorders>
                              <w:top w:val="single" w:color="auto" w:sz="4" w:space="0"/>
                            </w:tcBorders>
                          </w:tcPr>
                          <w:p>
                            <w:pPr>
                              <w:pStyle w:val="21"/>
                              <w:spacing w:before="3" w:line="237" w:lineRule="exact"/>
                              <w:ind w:left="110"/>
                              <w:rPr>
                                <w:w w:val="99"/>
                                <w:sz w:val="20"/>
                              </w:rPr>
                            </w:pPr>
                          </w:p>
                        </w:tc>
                        <w:tc>
                          <w:tcPr>
                            <w:tcW w:w="1042" w:type="dxa"/>
                            <w:tcBorders>
                              <w:top w:val="single" w:color="auto" w:sz="4" w:space="0"/>
                            </w:tcBorders>
                          </w:tcPr>
                          <w:p>
                            <w:pPr>
                              <w:pStyle w:val="21"/>
                              <w:rPr>
                                <w:rFonts w:ascii="Times New Roman"/>
                                <w:sz w:val="22"/>
                              </w:rPr>
                            </w:pPr>
                          </w:p>
                        </w:tc>
                        <w:tc>
                          <w:tcPr>
                            <w:tcW w:w="2064" w:type="dxa"/>
                            <w:tcBorders>
                              <w:top w:val="single" w:color="auto" w:sz="4" w:space="0"/>
                            </w:tcBorders>
                          </w:tcPr>
                          <w:p>
                            <w:pPr>
                              <w:pStyle w:val="21"/>
                              <w:rPr>
                                <w:rFonts w:ascii="Times New Roman"/>
                                <w:sz w:val="22"/>
                              </w:rPr>
                            </w:pPr>
                          </w:p>
                        </w:tc>
                        <w:tc>
                          <w:tcPr>
                            <w:tcW w:w="742" w:type="dxa"/>
                            <w:tcBorders>
                              <w:top w:val="single" w:color="auto" w:sz="4" w:space="0"/>
                            </w:tcBorders>
                          </w:tcPr>
                          <w:p>
                            <w:pPr>
                              <w:pStyle w:val="21"/>
                              <w:rPr>
                                <w:rFonts w:ascii="Times New Roman"/>
                                <w:sz w:val="22"/>
                              </w:rPr>
                            </w:pPr>
                          </w:p>
                        </w:tc>
                        <w:tc>
                          <w:tcPr>
                            <w:tcW w:w="641" w:type="dxa"/>
                            <w:tcBorders>
                              <w:top w:val="single" w:color="auto" w:sz="4" w:space="0"/>
                            </w:tcBorders>
                          </w:tcPr>
                          <w:p>
                            <w:pPr>
                              <w:pStyle w:val="21"/>
                              <w:rPr>
                                <w:rFonts w:ascii="Times New Roman"/>
                                <w:sz w:val="22"/>
                              </w:rPr>
                            </w:pPr>
                          </w:p>
                        </w:tc>
                        <w:tc>
                          <w:tcPr>
                            <w:tcW w:w="2359" w:type="dxa"/>
                            <w:tcBorders>
                              <w:top w:val="single" w:color="auto" w:sz="4" w:space="0"/>
                            </w:tcBorders>
                          </w:tcPr>
                          <w:p>
                            <w:pPr>
                              <w:pStyle w:val="21"/>
                              <w:rPr>
                                <w:rFonts w:ascii="Times New Roman"/>
                                <w:sz w:val="22"/>
                              </w:rPr>
                            </w:pPr>
                          </w:p>
                        </w:tc>
                        <w:tc>
                          <w:tcPr>
                            <w:tcW w:w="1055" w:type="dxa"/>
                            <w:tcBorders>
                              <w:top w:val="single" w:color="auto" w:sz="4" w:space="0"/>
                            </w:tcBorders>
                          </w:tcPr>
                          <w:p>
                            <w:pPr>
                              <w:pStyle w:val="21"/>
                              <w:rPr>
                                <w:rFonts w:ascii="Times New Roman"/>
                                <w:sz w:val="22"/>
                              </w:rPr>
                            </w:pPr>
                          </w:p>
                        </w:tc>
                      </w:tr>
                    </w:tbl>
                    <w:p>
                      <w:pPr>
                        <w:pStyle w:val="5"/>
                      </w:pPr>
                    </w:p>
                  </w:txbxContent>
                </v:textbox>
              </v:shape>
            </w:pict>
          </mc:Fallback>
        </mc:AlternateContent>
      </w:r>
      <w:r>
        <w:rPr>
          <w:highlight w:val="none"/>
        </w:rPr>
        <w:t>说明：投标人必须仔细阅读招标文件中技术、商务评分条款，对所有技术、商务评分条款的响应情况逐项列入下表，并对其响应情况进行说明。未列入下表的视作投标人不响应。投标人必须根据实际情况如实填写，评委小组如发现有虚假描述的，该投标文件作无效投标文件处理。</w:t>
      </w: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spacing w:before="11"/>
        <w:rPr>
          <w:sz w:val="31"/>
          <w:highlight w:val="none"/>
        </w:rPr>
      </w:pPr>
    </w:p>
    <w:p>
      <w:pPr>
        <w:pStyle w:val="5"/>
        <w:ind w:left="967"/>
        <w:rPr>
          <w:highlight w:val="none"/>
        </w:rPr>
      </w:pPr>
    </w:p>
    <w:p>
      <w:pPr>
        <w:pStyle w:val="5"/>
        <w:ind w:left="967"/>
        <w:rPr>
          <w:highlight w:val="none"/>
        </w:rPr>
      </w:pPr>
    </w:p>
    <w:p>
      <w:pPr>
        <w:pStyle w:val="5"/>
        <w:ind w:left="967"/>
        <w:rPr>
          <w:highlight w:val="none"/>
        </w:rPr>
      </w:pPr>
    </w:p>
    <w:p>
      <w:pPr>
        <w:pStyle w:val="5"/>
        <w:rPr>
          <w:highlight w:val="none"/>
        </w:rPr>
      </w:pPr>
    </w:p>
    <w:p>
      <w:pPr>
        <w:pStyle w:val="5"/>
        <w:ind w:left="967"/>
        <w:rPr>
          <w:highlight w:val="none"/>
        </w:rPr>
      </w:pPr>
      <w:r>
        <w:rPr>
          <w:highlight w:val="none"/>
        </w:rPr>
        <w:t>投标单位（公章）：</w:t>
      </w:r>
    </w:p>
    <w:p>
      <w:pPr>
        <w:pStyle w:val="5"/>
        <w:rPr>
          <w:highlight w:val="none"/>
        </w:rPr>
      </w:pPr>
    </w:p>
    <w:p>
      <w:pPr>
        <w:pStyle w:val="5"/>
        <w:spacing w:before="4"/>
        <w:rPr>
          <w:sz w:val="19"/>
          <w:highlight w:val="none"/>
        </w:rPr>
      </w:pPr>
    </w:p>
    <w:p>
      <w:pPr>
        <w:spacing w:before="0" w:line="487" w:lineRule="auto"/>
        <w:ind w:left="487" w:right="755" w:firstLine="420"/>
        <w:jc w:val="both"/>
        <w:rPr>
          <w:sz w:val="21"/>
          <w:highlight w:val="none"/>
        </w:rPr>
      </w:pPr>
      <w:r>
        <w:rPr>
          <w:spacing w:val="-2"/>
          <w:sz w:val="21"/>
          <w:highlight w:val="none"/>
        </w:rPr>
        <w:t>注：</w:t>
      </w:r>
      <w:r>
        <w:rPr>
          <w:rFonts w:ascii="Calibri" w:eastAsia="Calibri"/>
          <w:spacing w:val="-4"/>
          <w:sz w:val="21"/>
          <w:highlight w:val="none"/>
        </w:rPr>
        <w:t>1.</w:t>
      </w:r>
      <w:r>
        <w:rPr>
          <w:spacing w:val="-4"/>
          <w:sz w:val="22"/>
          <w:highlight w:val="none"/>
        </w:rPr>
        <w:t>起止页码需与投标文件的自然页码相对照；</w:t>
      </w:r>
      <w:r>
        <w:rPr>
          <w:spacing w:val="-7"/>
          <w:sz w:val="21"/>
          <w:highlight w:val="none"/>
        </w:rPr>
        <w:t xml:space="preserve">若投标文件中没有项，页码可填写 </w:t>
      </w:r>
      <w:r>
        <w:rPr>
          <w:rFonts w:ascii="Calibri" w:eastAsia="Calibri"/>
          <w:sz w:val="21"/>
          <w:highlight w:val="none"/>
        </w:rPr>
        <w:t xml:space="preserve">0 </w:t>
      </w:r>
      <w:r>
        <w:rPr>
          <w:spacing w:val="-10"/>
          <w:sz w:val="21"/>
          <w:highlight w:val="none"/>
        </w:rPr>
        <w:t>；</w:t>
      </w:r>
      <w:r>
        <w:rPr>
          <w:sz w:val="22"/>
          <w:highlight w:val="none"/>
        </w:rPr>
        <w:t>不</w:t>
      </w:r>
      <w:r>
        <w:rPr>
          <w:spacing w:val="-3"/>
          <w:sz w:val="22"/>
          <w:highlight w:val="none"/>
        </w:rPr>
        <w:t>准确可能造成评委无法直观定</w:t>
      </w:r>
      <w:r>
        <w:rPr>
          <w:spacing w:val="-3"/>
          <w:sz w:val="21"/>
          <w:highlight w:val="none"/>
        </w:rPr>
        <w:t>位应标内容而做出不利判断；</w:t>
      </w:r>
    </w:p>
    <w:p>
      <w:pPr>
        <w:pStyle w:val="20"/>
        <w:numPr>
          <w:ilvl w:val="0"/>
          <w:numId w:val="58"/>
        </w:numPr>
        <w:tabs>
          <w:tab w:val="left" w:pos="1070"/>
        </w:tabs>
        <w:spacing w:before="1" w:after="0" w:line="240" w:lineRule="auto"/>
        <w:ind w:left="1069" w:right="0" w:hanging="163"/>
        <w:jc w:val="left"/>
        <w:rPr>
          <w:sz w:val="21"/>
          <w:highlight w:val="none"/>
        </w:rPr>
      </w:pPr>
      <w:r>
        <w:rPr>
          <w:spacing w:val="-3"/>
          <w:sz w:val="21"/>
          <w:highlight w:val="none"/>
        </w:rPr>
        <w:t>此表为表样，行数可自行添加，但表式不变。</w:t>
      </w:r>
    </w:p>
    <w:p>
      <w:pPr>
        <w:pStyle w:val="5"/>
        <w:spacing w:before="6"/>
        <w:rPr>
          <w:sz w:val="21"/>
          <w:highlight w:val="none"/>
        </w:rPr>
      </w:pPr>
    </w:p>
    <w:p>
      <w:pPr>
        <w:pStyle w:val="20"/>
        <w:numPr>
          <w:ilvl w:val="0"/>
          <w:numId w:val="58"/>
        </w:numPr>
        <w:tabs>
          <w:tab w:val="left" w:pos="1070"/>
        </w:tabs>
        <w:spacing w:before="0" w:after="0" w:line="484" w:lineRule="auto"/>
        <w:ind w:left="907" w:right="755" w:firstLine="0"/>
        <w:jc w:val="left"/>
        <w:rPr>
          <w:sz w:val="21"/>
          <w:highlight w:val="none"/>
        </w:rPr>
      </w:pPr>
      <w:r>
        <w:rPr>
          <w:spacing w:val="-5"/>
          <w:sz w:val="21"/>
          <w:highlight w:val="none"/>
        </w:rPr>
        <w:t>“响应说明”用符号“</w:t>
      </w:r>
      <w:r>
        <w:rPr>
          <w:rFonts w:ascii="Calibri" w:hAnsi="Calibri" w:eastAsia="Calibri"/>
          <w:spacing w:val="-3"/>
          <w:sz w:val="21"/>
          <w:highlight w:val="none"/>
        </w:rPr>
        <w:t>+</w:t>
      </w:r>
      <w:r>
        <w:rPr>
          <w:spacing w:val="-5"/>
          <w:sz w:val="21"/>
          <w:highlight w:val="none"/>
        </w:rPr>
        <w:t>、</w:t>
      </w:r>
      <w:r>
        <w:rPr>
          <w:rFonts w:ascii="Calibri" w:hAnsi="Calibri" w:eastAsia="Calibri"/>
          <w:sz w:val="21"/>
          <w:highlight w:val="none"/>
        </w:rPr>
        <w:t>=</w:t>
      </w:r>
      <w:r>
        <w:rPr>
          <w:spacing w:val="-5"/>
          <w:sz w:val="21"/>
          <w:highlight w:val="none"/>
        </w:rPr>
        <w:t>、</w:t>
      </w:r>
      <w:r>
        <w:rPr>
          <w:rFonts w:ascii="Calibri" w:hAnsi="Calibri" w:eastAsia="Calibri"/>
          <w:spacing w:val="-4"/>
          <w:sz w:val="21"/>
          <w:highlight w:val="none"/>
        </w:rPr>
        <w:t>-</w:t>
      </w:r>
      <w:r>
        <w:rPr>
          <w:spacing w:val="-6"/>
          <w:sz w:val="21"/>
          <w:highlight w:val="none"/>
        </w:rPr>
        <w:t>”分别表示优于、等于、低于</w:t>
      </w:r>
      <w:r>
        <w:rPr>
          <w:sz w:val="21"/>
          <w:highlight w:val="none"/>
        </w:rPr>
        <w:t>（</w:t>
      </w:r>
      <w:r>
        <w:rPr>
          <w:spacing w:val="-2"/>
          <w:sz w:val="21"/>
          <w:highlight w:val="none"/>
        </w:rPr>
        <w:t>偏离</w:t>
      </w:r>
      <w:r>
        <w:rPr>
          <w:spacing w:val="-8"/>
          <w:sz w:val="21"/>
          <w:highlight w:val="none"/>
        </w:rPr>
        <w:t>）</w:t>
      </w:r>
      <w:r>
        <w:rPr>
          <w:spacing w:val="-4"/>
          <w:sz w:val="21"/>
          <w:highlight w:val="none"/>
        </w:rPr>
        <w:t>招标文件技术、商务条</w:t>
      </w:r>
      <w:r>
        <w:rPr>
          <w:spacing w:val="-3"/>
          <w:sz w:val="21"/>
          <w:highlight w:val="none"/>
        </w:rPr>
        <w:t>款描述，必须逐项对应响应。</w:t>
      </w:r>
    </w:p>
    <w:p>
      <w:pPr>
        <w:spacing w:after="0" w:line="484" w:lineRule="auto"/>
        <w:jc w:val="left"/>
        <w:rPr>
          <w:sz w:val="21"/>
          <w:highlight w:val="none"/>
        </w:rPr>
        <w:sectPr>
          <w:footerReference r:id="rId12" w:type="default"/>
          <w:pgSz w:w="11900" w:h="16840"/>
          <w:pgMar w:top="1400" w:right="520" w:bottom="1160" w:left="1140" w:header="0" w:footer="978" w:gutter="0"/>
          <w:pgNumType w:fmt="decimal"/>
          <w:cols w:space="720" w:num="1"/>
        </w:sectPr>
      </w:pPr>
    </w:p>
    <w:p>
      <w:pPr>
        <w:pStyle w:val="5"/>
        <w:spacing w:line="20" w:lineRule="exact"/>
        <w:ind w:left="450"/>
        <w:rPr>
          <w:sz w:val="2"/>
          <w:highlight w:val="none"/>
        </w:rPr>
      </w:pPr>
      <w:r>
        <w:rPr>
          <w:sz w:val="2"/>
          <w:highlight w:val="none"/>
        </w:rPr>
        <mc:AlternateContent>
          <mc:Choice Requires="wpg">
            <w:drawing>
              <wp:inline distT="0" distB="0" distL="114300" distR="114300">
                <wp:extent cx="5518785" cy="9525"/>
                <wp:effectExtent l="0" t="0" r="0" b="0"/>
                <wp:docPr id="4" name="组合 17"/>
                <wp:cNvGraphicFramePr/>
                <a:graphic xmlns:a="http://schemas.openxmlformats.org/drawingml/2006/main">
                  <a:graphicData uri="http://schemas.microsoft.com/office/word/2010/wordprocessingGroup">
                    <wpg:wgp>
                      <wpg:cNvGrpSpPr/>
                      <wpg:grpSpPr>
                        <a:xfrm>
                          <a:off x="0" y="0"/>
                          <a:ext cx="5518785" cy="9525"/>
                          <a:chOff x="0" y="0"/>
                          <a:chExt cx="8691" cy="15"/>
                        </a:xfrm>
                      </wpg:grpSpPr>
                      <wps:wsp>
                        <wps:cNvPr id="3" name="直线 18"/>
                        <wps:cNvCnPr/>
                        <wps:spPr>
                          <a:xfrm>
                            <a:off x="0" y="7"/>
                            <a:ext cx="8690"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17" o:spid="_x0000_s1026" o:spt="203" style="height:0.75pt;width:434.55pt;" coordsize="8691,15" o:gfxdata="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fwktXdQAAAADAQAADwAA&#10;AAAAAAABACAAAAAiAAAAZHJzL2Rvd25yZXYueG1sUEsBAhQAFAAAAAgAh07iQPAz7IBTAgAAAAUA&#10;AA4AAAAAAAAAAQAgAAAAIwEAAGRycy9lMm9Eb2MueG1sUEsFBgAAAAAGAAYAWQEAAOgFAAAAAA==&#10;">
                <o:lock v:ext="edit" aspectratio="f"/>
                <v:line id="直线 18" o:spid="_x0000_s1026" o:spt="20" style="position:absolute;left:0;top:7;height:0;width:8690;"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spacing w:before="85"/>
        <w:ind w:left="0" w:right="271" w:firstLine="0"/>
        <w:jc w:val="center"/>
        <w:rPr>
          <w:sz w:val="44"/>
          <w:highlight w:val="none"/>
        </w:rPr>
      </w:pPr>
      <w:r>
        <w:rPr>
          <w:sz w:val="44"/>
          <w:highlight w:val="none"/>
        </w:rPr>
        <w:t>售后服务承诺书</w:t>
      </w:r>
    </w:p>
    <w:p>
      <w:pPr>
        <w:pStyle w:val="5"/>
        <w:spacing w:before="1"/>
        <w:rPr>
          <w:sz w:val="48"/>
          <w:highlight w:val="none"/>
        </w:rPr>
      </w:pPr>
    </w:p>
    <w:p>
      <w:pPr>
        <w:pStyle w:val="5"/>
        <w:ind w:left="489"/>
        <w:rPr>
          <w:highlight w:val="none"/>
        </w:rPr>
      </w:pPr>
      <w:r>
        <w:rPr>
          <w:rFonts w:hint="eastAsia"/>
          <w:highlight w:val="none"/>
          <w:u w:val="single"/>
          <w:lang w:eastAsia="zh-CN"/>
        </w:rPr>
        <w:t>海南诚采项目管理有限公司</w:t>
      </w:r>
      <w:r>
        <w:rPr>
          <w:highlight w:val="none"/>
        </w:rPr>
        <w:t>：</w:t>
      </w:r>
    </w:p>
    <w:p>
      <w:pPr>
        <w:pStyle w:val="5"/>
        <w:rPr>
          <w:sz w:val="34"/>
          <w:highlight w:val="none"/>
        </w:rPr>
      </w:pPr>
    </w:p>
    <w:p>
      <w:pPr>
        <w:pStyle w:val="5"/>
        <w:tabs>
          <w:tab w:val="left" w:pos="3847"/>
          <w:tab w:val="left" w:pos="6482"/>
        </w:tabs>
        <w:spacing w:before="1" w:line="364" w:lineRule="auto"/>
        <w:ind w:left="487" w:right="760" w:firstLine="480"/>
        <w:jc w:val="both"/>
        <w:rPr>
          <w:highlight w:val="none"/>
        </w:rPr>
      </w:pPr>
      <w:r>
        <w:rPr>
          <w:highlight w:val="none"/>
        </w:rPr>
        <w:t>我单位自愿参加</w:t>
      </w:r>
      <w:r>
        <w:rPr>
          <w:highlight w:val="none"/>
          <w:u w:val="single"/>
        </w:rPr>
        <w:t xml:space="preserve"> </w:t>
      </w:r>
      <w:r>
        <w:rPr>
          <w:highlight w:val="none"/>
          <w:u w:val="single"/>
        </w:rPr>
        <w:tab/>
      </w:r>
      <w:r>
        <w:rPr>
          <w:highlight w:val="none"/>
        </w:rPr>
        <w:t>项</w:t>
      </w:r>
      <w:r>
        <w:rPr>
          <w:spacing w:val="-3"/>
          <w:highlight w:val="none"/>
        </w:rPr>
        <w:t>目</w:t>
      </w:r>
      <w:r>
        <w:rPr>
          <w:highlight w:val="none"/>
        </w:rPr>
        <w:t>（项目编号</w:t>
      </w:r>
      <w:r>
        <w:rPr>
          <w:spacing w:val="-3"/>
          <w:highlight w:val="none"/>
        </w:rPr>
        <w:t>：</w:t>
      </w:r>
      <w:r>
        <w:rPr>
          <w:spacing w:val="-3"/>
          <w:highlight w:val="none"/>
          <w:u w:val="single"/>
        </w:rPr>
        <w:t xml:space="preserve"> </w:t>
      </w:r>
      <w:r>
        <w:rPr>
          <w:spacing w:val="-3"/>
          <w:highlight w:val="none"/>
          <w:u w:val="single"/>
        </w:rPr>
        <w:tab/>
      </w:r>
      <w:r>
        <w:rPr>
          <w:spacing w:val="-3"/>
          <w:highlight w:val="none"/>
        </w:rPr>
        <w:t>）</w:t>
      </w:r>
      <w:r>
        <w:rPr>
          <w:highlight w:val="none"/>
        </w:rPr>
        <w:t>第</w:t>
      </w:r>
      <w:r>
        <w:rPr>
          <w:highlight w:val="none"/>
          <w:u w:val="single"/>
        </w:rPr>
        <w:t xml:space="preserve">  </w:t>
      </w:r>
      <w:r>
        <w:rPr>
          <w:spacing w:val="119"/>
          <w:highlight w:val="none"/>
          <w:u w:val="single"/>
        </w:rPr>
        <w:t xml:space="preserve"> </w:t>
      </w:r>
      <w:r>
        <w:rPr>
          <w:highlight w:val="none"/>
        </w:rPr>
        <w:t>包的采购活动</w:t>
      </w:r>
      <w:r>
        <w:rPr>
          <w:spacing w:val="-3"/>
          <w:highlight w:val="none"/>
        </w:rPr>
        <w:t>。</w:t>
      </w:r>
      <w:r>
        <w:rPr>
          <w:spacing w:val="-15"/>
          <w:highlight w:val="none"/>
        </w:rPr>
        <w:t>我</w:t>
      </w:r>
      <w:r>
        <w:rPr>
          <w:highlight w:val="none"/>
        </w:rPr>
        <w:t>单位郑</w:t>
      </w:r>
      <w:r>
        <w:rPr>
          <w:spacing w:val="4"/>
          <w:highlight w:val="none"/>
        </w:rPr>
        <w:t>重</w:t>
      </w:r>
      <w:r>
        <w:rPr>
          <w:highlight w:val="none"/>
        </w:rPr>
        <w:t>承诺，</w:t>
      </w:r>
      <w:r>
        <w:rPr>
          <w:spacing w:val="4"/>
          <w:highlight w:val="none"/>
        </w:rPr>
        <w:t>我</w:t>
      </w:r>
      <w:r>
        <w:rPr>
          <w:highlight w:val="none"/>
        </w:rPr>
        <w:t>单</w:t>
      </w:r>
      <w:r>
        <w:rPr>
          <w:spacing w:val="4"/>
          <w:highlight w:val="none"/>
        </w:rPr>
        <w:t>位</w:t>
      </w:r>
      <w:r>
        <w:rPr>
          <w:highlight w:val="none"/>
        </w:rPr>
        <w:t>对于中</w:t>
      </w:r>
      <w:r>
        <w:rPr>
          <w:spacing w:val="4"/>
          <w:highlight w:val="none"/>
        </w:rPr>
        <w:t>标</w:t>
      </w:r>
      <w:r>
        <w:rPr>
          <w:highlight w:val="none"/>
        </w:rPr>
        <w:t>的货物</w:t>
      </w:r>
      <w:r>
        <w:rPr>
          <w:spacing w:val="4"/>
          <w:highlight w:val="none"/>
        </w:rPr>
        <w:t>，</w:t>
      </w:r>
      <w:r>
        <w:rPr>
          <w:highlight w:val="none"/>
        </w:rPr>
        <w:t>除</w:t>
      </w:r>
      <w:r>
        <w:rPr>
          <w:spacing w:val="4"/>
          <w:highlight w:val="none"/>
        </w:rPr>
        <w:t>已</w:t>
      </w:r>
      <w:r>
        <w:rPr>
          <w:highlight w:val="none"/>
        </w:rPr>
        <w:t>完全响</w:t>
      </w:r>
      <w:r>
        <w:rPr>
          <w:spacing w:val="4"/>
          <w:highlight w:val="none"/>
        </w:rPr>
        <w:t>应</w:t>
      </w:r>
      <w:r>
        <w:rPr>
          <w:highlight w:val="none"/>
        </w:rPr>
        <w:t>招标文</w:t>
      </w:r>
      <w:r>
        <w:rPr>
          <w:spacing w:val="4"/>
          <w:highlight w:val="none"/>
        </w:rPr>
        <w:t>件</w:t>
      </w:r>
      <w:r>
        <w:rPr>
          <w:highlight w:val="none"/>
        </w:rPr>
        <w:t>对</w:t>
      </w:r>
      <w:r>
        <w:rPr>
          <w:spacing w:val="4"/>
          <w:highlight w:val="none"/>
        </w:rPr>
        <w:t>伴</w:t>
      </w:r>
      <w:r>
        <w:rPr>
          <w:highlight w:val="none"/>
        </w:rPr>
        <w:t>随服务</w:t>
      </w:r>
      <w:r>
        <w:rPr>
          <w:spacing w:val="4"/>
          <w:highlight w:val="none"/>
        </w:rPr>
        <w:t>和</w:t>
      </w:r>
      <w:r>
        <w:rPr>
          <w:highlight w:val="none"/>
        </w:rPr>
        <w:t>售后服务的所有要求外，还将按照以下条款提供优质和完善的售后服务：</w:t>
      </w:r>
    </w:p>
    <w:p>
      <w:pPr>
        <w:pStyle w:val="5"/>
        <w:spacing w:line="307" w:lineRule="exact"/>
        <w:ind w:left="967"/>
        <w:rPr>
          <w:highlight w:val="none"/>
        </w:rPr>
      </w:pPr>
      <w:r>
        <w:rPr>
          <w:highlight w:val="none"/>
        </w:rPr>
        <w:t>一、拟提供售后服务的项目：</w:t>
      </w:r>
    </w:p>
    <w:p>
      <w:pPr>
        <w:pStyle w:val="5"/>
        <w:spacing w:before="158"/>
        <w:ind w:left="967"/>
        <w:rPr>
          <w:highlight w:val="none"/>
        </w:rPr>
      </w:pPr>
      <w:r>
        <w:rPr>
          <w:highlight w:val="none"/>
        </w:rPr>
        <w:t>二、售后服务响应及到达现场的时间：</w:t>
      </w:r>
    </w:p>
    <w:p>
      <w:pPr>
        <w:pStyle w:val="5"/>
        <w:spacing w:before="160" w:line="364" w:lineRule="auto"/>
        <w:ind w:left="967" w:right="750"/>
        <w:rPr>
          <w:highlight w:val="none"/>
        </w:rPr>
      </w:pPr>
      <w:r>
        <w:rPr>
          <w:highlight w:val="none"/>
        </w:rPr>
        <w:t>三、制造厂商和/或投标人在项目所在地设置的售后服务网点明细表及相关情况： 四、其他售后服务措施：</w:t>
      </w:r>
    </w:p>
    <w:p>
      <w:pPr>
        <w:pStyle w:val="5"/>
        <w:rPr>
          <w:highlight w:val="none"/>
        </w:rPr>
      </w:pPr>
    </w:p>
    <w:p>
      <w:pPr>
        <w:pStyle w:val="5"/>
        <w:rPr>
          <w:highlight w:val="none"/>
        </w:rPr>
      </w:pPr>
    </w:p>
    <w:p>
      <w:pPr>
        <w:pStyle w:val="5"/>
        <w:rPr>
          <w:highlight w:val="none"/>
        </w:rPr>
      </w:pPr>
    </w:p>
    <w:p>
      <w:pPr>
        <w:pStyle w:val="11"/>
        <w:rPr>
          <w:highlight w:val="none"/>
        </w:rPr>
      </w:pPr>
      <w:r>
        <w:rPr>
          <w:b/>
          <w:bCs/>
          <w:highlight w:val="none"/>
        </w:rPr>
        <w:t>注:此格式只供参考, 可视具体情况增加内容</w:t>
      </w:r>
      <w:r>
        <w:rPr>
          <w:highlight w:val="none"/>
        </w:rPr>
        <w:t>。</w:t>
      </w:r>
    </w:p>
    <w:p>
      <w:pPr>
        <w:pStyle w:val="5"/>
        <w:rPr>
          <w:i/>
          <w:highlight w:val="none"/>
        </w:rPr>
      </w:pPr>
    </w:p>
    <w:p>
      <w:pPr>
        <w:pStyle w:val="5"/>
        <w:rPr>
          <w:i/>
          <w:highlight w:val="none"/>
        </w:rPr>
      </w:pPr>
    </w:p>
    <w:p>
      <w:pPr>
        <w:pStyle w:val="5"/>
        <w:spacing w:before="10"/>
        <w:rPr>
          <w:i/>
          <w:sz w:val="22"/>
          <w:highlight w:val="none"/>
        </w:rPr>
      </w:pPr>
    </w:p>
    <w:p>
      <w:pPr>
        <w:pStyle w:val="5"/>
        <w:tabs>
          <w:tab w:val="left" w:pos="9258"/>
        </w:tabs>
        <w:ind w:left="4267"/>
        <w:rPr>
          <w:rFonts w:ascii="Times New Roman" w:eastAsia="Times New Roman"/>
          <w:highlight w:val="none"/>
        </w:rPr>
      </w:pPr>
      <w:r>
        <w:rPr>
          <w:highlight w:val="none"/>
        </w:rPr>
        <w:t>投标单位（加盖公章）：</w:t>
      </w:r>
      <w:r>
        <w:rPr>
          <w:rFonts w:ascii="Times New Roman" w:eastAsia="Times New Roman"/>
          <w:highlight w:val="none"/>
          <w:u w:val="single"/>
        </w:rPr>
        <w:t xml:space="preserve"> </w:t>
      </w:r>
      <w:r>
        <w:rPr>
          <w:rFonts w:ascii="Times New Roman" w:eastAsia="Times New Roman"/>
          <w:highlight w:val="none"/>
          <w:u w:val="single"/>
        </w:rPr>
        <w:tab/>
      </w:r>
    </w:p>
    <w:p>
      <w:pPr>
        <w:pStyle w:val="5"/>
        <w:rPr>
          <w:rFonts w:ascii="Times New Roman"/>
          <w:sz w:val="20"/>
          <w:highlight w:val="none"/>
        </w:rPr>
      </w:pPr>
    </w:p>
    <w:p>
      <w:pPr>
        <w:pStyle w:val="5"/>
        <w:rPr>
          <w:rFonts w:ascii="Times New Roman"/>
          <w:sz w:val="20"/>
          <w:highlight w:val="none"/>
        </w:rPr>
      </w:pPr>
    </w:p>
    <w:p>
      <w:pPr>
        <w:pStyle w:val="5"/>
        <w:rPr>
          <w:rFonts w:ascii="Times New Roman"/>
          <w:sz w:val="20"/>
          <w:highlight w:val="none"/>
        </w:rPr>
      </w:pPr>
    </w:p>
    <w:p>
      <w:pPr>
        <w:pStyle w:val="5"/>
        <w:tabs>
          <w:tab w:val="left" w:pos="7322"/>
        </w:tabs>
        <w:spacing w:before="217"/>
        <w:ind w:left="4384"/>
        <w:rPr>
          <w:rFonts w:ascii="Times New Roman" w:eastAsia="Times New Roman"/>
          <w:highlight w:val="none"/>
        </w:rPr>
      </w:pPr>
      <w:r>
        <w:rPr>
          <w:highlight w:val="none"/>
        </w:rPr>
        <w:t>签署日期：</w:t>
      </w:r>
      <w:r>
        <w:rPr>
          <w:rFonts w:ascii="Times New Roman" w:eastAsia="Times New Roman"/>
          <w:highlight w:val="none"/>
          <w:u w:val="single"/>
        </w:rPr>
        <w:t xml:space="preserve"> </w:t>
      </w:r>
      <w:r>
        <w:rPr>
          <w:rFonts w:ascii="Times New Roman" w:eastAsia="Times New Roman"/>
          <w:highlight w:val="none"/>
          <w:u w:val="single"/>
        </w:rPr>
        <w:tab/>
      </w:r>
    </w:p>
    <w:p>
      <w:pPr>
        <w:spacing w:after="0"/>
        <w:rPr>
          <w:rFonts w:ascii="Times New Roman" w:eastAsia="Times New Roman"/>
          <w:highlight w:val="none"/>
        </w:rPr>
        <w:sectPr>
          <w:pgSz w:w="11900" w:h="16840"/>
          <w:pgMar w:top="1400" w:right="520" w:bottom="1160" w:left="1140" w:header="0" w:footer="978" w:gutter="0"/>
          <w:pgNumType w:fmt="decimal"/>
          <w:cols w:space="720" w:num="1"/>
        </w:sectPr>
      </w:pPr>
    </w:p>
    <w:p>
      <w:pPr>
        <w:pStyle w:val="8"/>
        <w:spacing w:before="43"/>
        <w:ind w:left="0" w:right="268"/>
        <w:jc w:val="center"/>
        <w:rPr>
          <w:highlight w:val="none"/>
        </w:rPr>
      </w:pPr>
      <w:r>
        <w:rPr>
          <w:highlight w:val="none"/>
        </w:rPr>
        <w:t>中小企业声明函（货物）</w:t>
      </w:r>
    </w:p>
    <w:p>
      <w:pPr>
        <w:spacing w:before="197" w:line="446" w:lineRule="auto"/>
        <w:ind w:left="487" w:right="755" w:firstLine="422"/>
        <w:jc w:val="both"/>
        <w:rPr>
          <w:sz w:val="21"/>
          <w:highlight w:val="none"/>
        </w:rPr>
      </w:pPr>
      <w:r>
        <w:rPr>
          <w:spacing w:val="-5"/>
          <w:sz w:val="21"/>
          <w:highlight w:val="none"/>
        </w:rPr>
        <w:t>本公司</w:t>
      </w:r>
      <w:r>
        <w:rPr>
          <w:sz w:val="21"/>
          <w:highlight w:val="none"/>
        </w:rPr>
        <w:t>（</w:t>
      </w:r>
      <w:r>
        <w:rPr>
          <w:spacing w:val="-2"/>
          <w:sz w:val="21"/>
          <w:highlight w:val="none"/>
        </w:rPr>
        <w:t>联合体</w:t>
      </w:r>
      <w:r>
        <w:rPr>
          <w:spacing w:val="-10"/>
          <w:sz w:val="21"/>
          <w:highlight w:val="none"/>
        </w:rPr>
        <w:t>）</w:t>
      </w:r>
      <w:r>
        <w:rPr>
          <w:spacing w:val="-6"/>
          <w:sz w:val="21"/>
          <w:highlight w:val="none"/>
        </w:rPr>
        <w:t>郑重声明，根据《政府采购促进中小企业发展管理办法》</w:t>
      </w:r>
      <w:r>
        <w:rPr>
          <w:sz w:val="21"/>
          <w:highlight w:val="none"/>
        </w:rPr>
        <w:t>（</w:t>
      </w:r>
      <w:r>
        <w:rPr>
          <w:spacing w:val="-2"/>
          <w:sz w:val="21"/>
          <w:highlight w:val="none"/>
        </w:rPr>
        <w:t>财库</w:t>
      </w:r>
      <w:r>
        <w:rPr>
          <w:sz w:val="21"/>
          <w:highlight w:val="none"/>
        </w:rPr>
        <w:t>﹝2020﹞46 号</w:t>
      </w:r>
      <w:r>
        <w:rPr>
          <w:spacing w:val="-5"/>
          <w:sz w:val="21"/>
          <w:highlight w:val="none"/>
        </w:rPr>
        <w:t>）的规定，本公司</w:t>
      </w:r>
      <w:r>
        <w:rPr>
          <w:spacing w:val="-3"/>
          <w:sz w:val="21"/>
          <w:highlight w:val="none"/>
        </w:rPr>
        <w:t>（</w:t>
      </w:r>
      <w:r>
        <w:rPr>
          <w:spacing w:val="-2"/>
          <w:sz w:val="21"/>
          <w:highlight w:val="none"/>
        </w:rPr>
        <w:t>联合体</w:t>
      </w:r>
      <w:r>
        <w:rPr>
          <w:spacing w:val="-8"/>
          <w:sz w:val="21"/>
          <w:highlight w:val="none"/>
        </w:rPr>
        <w:t>）</w:t>
      </w:r>
      <w:r>
        <w:rPr>
          <w:sz w:val="21"/>
          <w:highlight w:val="none"/>
        </w:rPr>
        <w:t>参加</w:t>
      </w:r>
      <w:r>
        <w:rPr>
          <w:spacing w:val="7"/>
          <w:sz w:val="21"/>
          <w:highlight w:val="none"/>
          <w:u w:val="single"/>
        </w:rPr>
        <w:t xml:space="preserve">  </w:t>
      </w:r>
      <w:r>
        <w:rPr>
          <w:spacing w:val="-3"/>
          <w:sz w:val="21"/>
          <w:highlight w:val="none"/>
          <w:u w:val="single"/>
        </w:rPr>
        <w:t>（单位名称</w:t>
      </w:r>
      <w:r>
        <w:rPr>
          <w:spacing w:val="-5"/>
          <w:sz w:val="21"/>
          <w:highlight w:val="none"/>
          <w:u w:val="single"/>
        </w:rPr>
        <w:t>）</w:t>
      </w:r>
      <w:r>
        <w:rPr>
          <w:sz w:val="21"/>
          <w:highlight w:val="none"/>
        </w:rPr>
        <w:t>的</w:t>
      </w:r>
      <w:r>
        <w:rPr>
          <w:spacing w:val="5"/>
          <w:sz w:val="21"/>
          <w:highlight w:val="none"/>
          <w:u w:val="single"/>
        </w:rPr>
        <w:t xml:space="preserve">   </w:t>
      </w:r>
      <w:r>
        <w:rPr>
          <w:sz w:val="21"/>
          <w:highlight w:val="none"/>
          <w:u w:val="single"/>
        </w:rPr>
        <w:t>（</w:t>
      </w:r>
      <w:r>
        <w:rPr>
          <w:spacing w:val="-3"/>
          <w:sz w:val="21"/>
          <w:highlight w:val="none"/>
          <w:u w:val="single"/>
        </w:rPr>
        <w:t>项目名称</w:t>
      </w:r>
      <w:r>
        <w:rPr>
          <w:spacing w:val="-5"/>
          <w:sz w:val="21"/>
          <w:highlight w:val="none"/>
          <w:u w:val="single"/>
        </w:rPr>
        <w:t>）</w:t>
      </w:r>
      <w:r>
        <w:rPr>
          <w:spacing w:val="-4"/>
          <w:sz w:val="21"/>
          <w:highlight w:val="none"/>
        </w:rPr>
        <w:t>采购活动，提供的货物全</w:t>
      </w:r>
      <w:r>
        <w:rPr>
          <w:spacing w:val="-5"/>
          <w:sz w:val="21"/>
          <w:highlight w:val="none"/>
        </w:rPr>
        <w:t>部由符合政策要求的中小企业制造。相关企业</w:t>
      </w:r>
      <w:r>
        <w:rPr>
          <w:spacing w:val="-3"/>
          <w:sz w:val="21"/>
          <w:highlight w:val="none"/>
        </w:rPr>
        <w:t>（</w:t>
      </w:r>
      <w:r>
        <w:rPr>
          <w:spacing w:val="-5"/>
          <w:sz w:val="21"/>
          <w:highlight w:val="none"/>
        </w:rPr>
        <w:t>含联合体中的中小企业、签订分包意向协议的中小企业</w:t>
      </w:r>
      <w:r>
        <w:rPr>
          <w:spacing w:val="-3"/>
          <w:sz w:val="21"/>
          <w:highlight w:val="none"/>
        </w:rPr>
        <w:t>）的具体情况如下：</w:t>
      </w:r>
    </w:p>
    <w:p>
      <w:pPr>
        <w:pStyle w:val="20"/>
        <w:numPr>
          <w:ilvl w:val="0"/>
          <w:numId w:val="59"/>
        </w:numPr>
        <w:tabs>
          <w:tab w:val="left" w:pos="1224"/>
        </w:tabs>
        <w:spacing w:before="0" w:after="0" w:line="439" w:lineRule="auto"/>
        <w:ind w:left="487" w:right="652" w:firstLine="422"/>
        <w:jc w:val="both"/>
        <w:rPr>
          <w:sz w:val="21"/>
          <w:highlight w:val="none"/>
        </w:rPr>
      </w:pPr>
      <w:r>
        <w:rPr>
          <w:rFonts w:ascii="Times New Roman" w:eastAsia="Times New Roman"/>
          <w:w w:val="100"/>
          <w:sz w:val="21"/>
          <w:highlight w:val="none"/>
          <w:u w:val="single"/>
        </w:rPr>
        <w:t xml:space="preserve"> </w:t>
      </w:r>
      <w:r>
        <w:rPr>
          <w:rFonts w:ascii="Times New Roman" w:eastAsia="Times New Roman"/>
          <w:sz w:val="21"/>
          <w:highlight w:val="none"/>
          <w:u w:val="single"/>
        </w:rPr>
        <w:t xml:space="preserve">   </w:t>
      </w:r>
      <w:r>
        <w:rPr>
          <w:rFonts w:ascii="Times New Roman" w:eastAsia="Times New Roman"/>
          <w:spacing w:val="20"/>
          <w:sz w:val="21"/>
          <w:highlight w:val="none"/>
          <w:u w:val="single"/>
        </w:rPr>
        <w:t xml:space="preserve"> </w:t>
      </w:r>
      <w:r>
        <w:rPr>
          <w:sz w:val="21"/>
          <w:highlight w:val="none"/>
          <w:u w:val="single"/>
        </w:rPr>
        <w:t>（</w:t>
      </w:r>
      <w:r>
        <w:rPr>
          <w:spacing w:val="-3"/>
          <w:sz w:val="21"/>
          <w:highlight w:val="none"/>
          <w:u w:val="single"/>
        </w:rPr>
        <w:t>标的名称</w:t>
      </w:r>
      <w:r>
        <w:rPr>
          <w:spacing w:val="-34"/>
          <w:sz w:val="21"/>
          <w:highlight w:val="none"/>
          <w:u w:val="single"/>
        </w:rPr>
        <w:t>）</w:t>
      </w:r>
      <w:r>
        <w:rPr>
          <w:spacing w:val="-12"/>
          <w:sz w:val="21"/>
          <w:highlight w:val="none"/>
        </w:rPr>
        <w:t>，属于</w:t>
      </w:r>
      <w:r>
        <w:rPr>
          <w:spacing w:val="96"/>
          <w:sz w:val="21"/>
          <w:highlight w:val="none"/>
          <w:u w:val="single"/>
        </w:rPr>
        <w:t xml:space="preserve"> </w:t>
      </w:r>
      <w:r>
        <w:rPr>
          <w:spacing w:val="-3"/>
          <w:sz w:val="21"/>
          <w:highlight w:val="none"/>
          <w:u w:val="single"/>
        </w:rPr>
        <w:t>（采购文件中明确的所属行业</w:t>
      </w:r>
      <w:r>
        <w:rPr>
          <w:spacing w:val="-32"/>
          <w:sz w:val="21"/>
          <w:highlight w:val="none"/>
          <w:u w:val="single"/>
        </w:rPr>
        <w:t>）</w:t>
      </w:r>
      <w:r>
        <w:rPr>
          <w:spacing w:val="-2"/>
          <w:sz w:val="21"/>
          <w:highlight w:val="none"/>
          <w:u w:val="single"/>
        </w:rPr>
        <w:t>行业</w:t>
      </w:r>
      <w:r>
        <w:rPr>
          <w:spacing w:val="-7"/>
          <w:sz w:val="21"/>
          <w:highlight w:val="none"/>
        </w:rPr>
        <w:t xml:space="preserve"> ；制造商为</w:t>
      </w:r>
      <w:r>
        <w:rPr>
          <w:spacing w:val="-27"/>
          <w:sz w:val="21"/>
          <w:highlight w:val="none"/>
          <w:u w:val="single"/>
        </w:rPr>
        <w:t xml:space="preserve"> </w:t>
      </w:r>
      <w:r>
        <w:rPr>
          <w:sz w:val="21"/>
          <w:highlight w:val="none"/>
          <w:u w:val="single"/>
        </w:rPr>
        <w:t>（</w:t>
      </w:r>
      <w:r>
        <w:rPr>
          <w:spacing w:val="-3"/>
          <w:sz w:val="21"/>
          <w:highlight w:val="none"/>
          <w:u w:val="single"/>
        </w:rPr>
        <w:t>企业名称</w:t>
      </w:r>
      <w:r>
        <w:rPr>
          <w:spacing w:val="-16"/>
          <w:sz w:val="21"/>
          <w:highlight w:val="none"/>
          <w:u w:val="single"/>
        </w:rPr>
        <w:t>）</w:t>
      </w:r>
      <w:r>
        <w:rPr>
          <w:spacing w:val="-16"/>
          <w:sz w:val="21"/>
          <w:highlight w:val="none"/>
        </w:rPr>
        <w:t xml:space="preserve">， </w:t>
      </w:r>
      <w:r>
        <w:rPr>
          <w:spacing w:val="-1"/>
          <w:sz w:val="21"/>
          <w:highlight w:val="none"/>
        </w:rPr>
        <w:t>从业人员 人，营业收入为 万元，资产总额为</w:t>
      </w:r>
      <w:r>
        <w:rPr>
          <w:spacing w:val="3"/>
          <w:sz w:val="21"/>
          <w:highlight w:val="none"/>
        </w:rPr>
        <w:t xml:space="preserve"> 万元</w:t>
      </w:r>
      <w:r>
        <w:rPr>
          <w:position w:val="11"/>
          <w:sz w:val="11"/>
          <w:highlight w:val="none"/>
        </w:rPr>
        <w:t>1</w:t>
      </w:r>
      <w:r>
        <w:rPr>
          <w:sz w:val="21"/>
          <w:highlight w:val="none"/>
        </w:rPr>
        <w:t>，属于</w:t>
      </w:r>
      <w:r>
        <w:rPr>
          <w:spacing w:val="-3"/>
          <w:sz w:val="21"/>
          <w:highlight w:val="none"/>
          <w:u w:val="single"/>
        </w:rPr>
        <w:t>（中型企业、小型企业、微型企</w:t>
      </w:r>
    </w:p>
    <w:p>
      <w:pPr>
        <w:spacing w:before="3"/>
        <w:ind w:left="487" w:right="0" w:firstLine="0"/>
        <w:jc w:val="left"/>
        <w:rPr>
          <w:sz w:val="21"/>
          <w:highlight w:val="none"/>
        </w:rPr>
      </w:pPr>
      <w:r>
        <w:rPr>
          <w:sz w:val="21"/>
          <w:highlight w:val="none"/>
          <w:u w:val="single"/>
        </w:rPr>
        <w:t>业）</w:t>
      </w:r>
      <w:r>
        <w:rPr>
          <w:sz w:val="21"/>
          <w:highlight w:val="none"/>
        </w:rPr>
        <w:t>；</w:t>
      </w:r>
    </w:p>
    <w:p>
      <w:pPr>
        <w:pStyle w:val="5"/>
        <w:spacing w:before="12"/>
        <w:rPr>
          <w:sz w:val="17"/>
          <w:highlight w:val="none"/>
        </w:rPr>
      </w:pPr>
    </w:p>
    <w:p>
      <w:pPr>
        <w:pStyle w:val="20"/>
        <w:numPr>
          <w:ilvl w:val="0"/>
          <w:numId w:val="59"/>
        </w:numPr>
        <w:tabs>
          <w:tab w:val="left" w:pos="1224"/>
          <w:tab w:val="left" w:pos="1521"/>
          <w:tab w:val="left" w:pos="1653"/>
          <w:tab w:val="left" w:pos="3451"/>
          <w:tab w:val="left" w:pos="3671"/>
          <w:tab w:val="left" w:pos="5462"/>
        </w:tabs>
        <w:spacing w:before="0" w:after="0" w:line="446" w:lineRule="auto"/>
        <w:ind w:left="487" w:right="650" w:firstLine="422"/>
        <w:jc w:val="left"/>
        <w:rPr>
          <w:sz w:val="21"/>
          <w:highlight w:val="none"/>
        </w:rPr>
      </w:pPr>
      <w:r>
        <w:rPr>
          <w:rFonts w:ascii="Times New Roman" w:eastAsia="Times New Roman"/>
          <w:w w:val="100"/>
          <w:sz w:val="21"/>
          <w:highlight w:val="none"/>
          <w:u w:val="single"/>
        </w:rPr>
        <w:t xml:space="preserve"> </w:t>
      </w:r>
      <w:r>
        <w:rPr>
          <w:rFonts w:ascii="Times New Roman" w:eastAsia="Times New Roman"/>
          <w:sz w:val="21"/>
          <w:highlight w:val="none"/>
          <w:u w:val="single"/>
        </w:rPr>
        <w:tab/>
      </w:r>
      <w:r>
        <w:rPr>
          <w:spacing w:val="-3"/>
          <w:sz w:val="21"/>
          <w:highlight w:val="none"/>
          <w:u w:val="single"/>
        </w:rPr>
        <w:t>（</w:t>
      </w:r>
      <w:r>
        <w:rPr>
          <w:sz w:val="21"/>
          <w:highlight w:val="none"/>
          <w:u w:val="single"/>
        </w:rPr>
        <w:t>标</w:t>
      </w:r>
      <w:r>
        <w:rPr>
          <w:spacing w:val="-3"/>
          <w:sz w:val="21"/>
          <w:highlight w:val="none"/>
          <w:u w:val="single"/>
        </w:rPr>
        <w:t>的</w:t>
      </w:r>
      <w:r>
        <w:rPr>
          <w:sz w:val="21"/>
          <w:highlight w:val="none"/>
          <w:u w:val="single"/>
        </w:rPr>
        <w:t>名</w:t>
      </w:r>
      <w:r>
        <w:rPr>
          <w:spacing w:val="-3"/>
          <w:sz w:val="21"/>
          <w:highlight w:val="none"/>
          <w:u w:val="single"/>
        </w:rPr>
        <w:t>称</w:t>
      </w:r>
      <w:r>
        <w:rPr>
          <w:spacing w:val="-19"/>
          <w:sz w:val="21"/>
          <w:highlight w:val="none"/>
          <w:u w:val="single"/>
        </w:rPr>
        <w:t>）</w:t>
      </w:r>
      <w:r>
        <w:rPr>
          <w:spacing w:val="-19"/>
          <w:sz w:val="21"/>
          <w:highlight w:val="none"/>
        </w:rPr>
        <w:t>，</w:t>
      </w:r>
      <w:r>
        <w:rPr>
          <w:spacing w:val="-3"/>
          <w:sz w:val="21"/>
          <w:highlight w:val="none"/>
        </w:rPr>
        <w:t>属</w:t>
      </w:r>
      <w:r>
        <w:rPr>
          <w:sz w:val="21"/>
          <w:highlight w:val="none"/>
        </w:rPr>
        <w:t>于</w:t>
      </w:r>
      <w:r>
        <w:rPr>
          <w:sz w:val="21"/>
          <w:highlight w:val="none"/>
          <w:u w:val="single"/>
        </w:rPr>
        <w:t xml:space="preserve"> </w:t>
      </w:r>
      <w:r>
        <w:rPr>
          <w:sz w:val="21"/>
          <w:highlight w:val="none"/>
          <w:u w:val="single"/>
        </w:rPr>
        <w:tab/>
      </w:r>
      <w:r>
        <w:rPr>
          <w:sz w:val="21"/>
          <w:highlight w:val="none"/>
          <w:u w:val="single"/>
        </w:rPr>
        <w:t>（</w:t>
      </w:r>
      <w:r>
        <w:rPr>
          <w:spacing w:val="-3"/>
          <w:sz w:val="21"/>
          <w:highlight w:val="none"/>
          <w:u w:val="single"/>
        </w:rPr>
        <w:t>采</w:t>
      </w:r>
      <w:r>
        <w:rPr>
          <w:sz w:val="21"/>
          <w:highlight w:val="none"/>
          <w:u w:val="single"/>
        </w:rPr>
        <w:t>购</w:t>
      </w:r>
      <w:r>
        <w:rPr>
          <w:spacing w:val="-3"/>
          <w:sz w:val="21"/>
          <w:highlight w:val="none"/>
          <w:u w:val="single"/>
        </w:rPr>
        <w:t>文</w:t>
      </w:r>
      <w:r>
        <w:rPr>
          <w:sz w:val="21"/>
          <w:highlight w:val="none"/>
          <w:u w:val="single"/>
        </w:rPr>
        <w:t>件</w:t>
      </w:r>
      <w:r>
        <w:rPr>
          <w:spacing w:val="-3"/>
          <w:sz w:val="21"/>
          <w:highlight w:val="none"/>
          <w:u w:val="single"/>
        </w:rPr>
        <w:t>中明</w:t>
      </w:r>
      <w:r>
        <w:rPr>
          <w:sz w:val="21"/>
          <w:highlight w:val="none"/>
          <w:u w:val="single"/>
        </w:rPr>
        <w:t>确的</w:t>
      </w:r>
      <w:r>
        <w:rPr>
          <w:spacing w:val="-3"/>
          <w:sz w:val="21"/>
          <w:highlight w:val="none"/>
          <w:u w:val="single"/>
        </w:rPr>
        <w:t>所</w:t>
      </w:r>
      <w:r>
        <w:rPr>
          <w:sz w:val="21"/>
          <w:highlight w:val="none"/>
          <w:u w:val="single"/>
        </w:rPr>
        <w:t>属</w:t>
      </w:r>
      <w:r>
        <w:rPr>
          <w:spacing w:val="-3"/>
          <w:sz w:val="21"/>
          <w:highlight w:val="none"/>
          <w:u w:val="single"/>
        </w:rPr>
        <w:t>行业</w:t>
      </w:r>
      <w:r>
        <w:rPr>
          <w:spacing w:val="-17"/>
          <w:sz w:val="21"/>
          <w:highlight w:val="none"/>
          <w:u w:val="single"/>
        </w:rPr>
        <w:t>）</w:t>
      </w:r>
      <w:r>
        <w:rPr>
          <w:spacing w:val="-3"/>
          <w:sz w:val="21"/>
          <w:highlight w:val="none"/>
          <w:u w:val="single"/>
        </w:rPr>
        <w:t>行业</w:t>
      </w:r>
      <w:r>
        <w:rPr>
          <w:spacing w:val="-17"/>
          <w:sz w:val="21"/>
          <w:highlight w:val="none"/>
        </w:rPr>
        <w:t>；</w:t>
      </w:r>
      <w:r>
        <w:rPr>
          <w:spacing w:val="-3"/>
          <w:sz w:val="21"/>
          <w:highlight w:val="none"/>
        </w:rPr>
        <w:t>制</w:t>
      </w:r>
      <w:r>
        <w:rPr>
          <w:sz w:val="21"/>
          <w:highlight w:val="none"/>
        </w:rPr>
        <w:t>造商</w:t>
      </w:r>
      <w:r>
        <w:rPr>
          <w:spacing w:val="-3"/>
          <w:sz w:val="21"/>
          <w:highlight w:val="none"/>
        </w:rPr>
        <w:t>为</w:t>
      </w:r>
      <w:r>
        <w:rPr>
          <w:spacing w:val="7"/>
          <w:sz w:val="21"/>
          <w:highlight w:val="none"/>
          <w:u w:val="single"/>
        </w:rPr>
        <w:t xml:space="preserve"> </w:t>
      </w:r>
      <w:r>
        <w:rPr>
          <w:sz w:val="21"/>
          <w:highlight w:val="none"/>
          <w:u w:val="single"/>
        </w:rPr>
        <w:t>（</w:t>
      </w:r>
      <w:r>
        <w:rPr>
          <w:spacing w:val="-3"/>
          <w:sz w:val="21"/>
          <w:highlight w:val="none"/>
          <w:u w:val="single"/>
        </w:rPr>
        <w:t>企</w:t>
      </w:r>
      <w:r>
        <w:rPr>
          <w:sz w:val="21"/>
          <w:highlight w:val="none"/>
          <w:u w:val="single"/>
        </w:rPr>
        <w:t>业</w:t>
      </w:r>
      <w:r>
        <w:rPr>
          <w:spacing w:val="-3"/>
          <w:sz w:val="21"/>
          <w:highlight w:val="none"/>
          <w:u w:val="single"/>
        </w:rPr>
        <w:t>名称</w:t>
      </w:r>
      <w:r>
        <w:rPr>
          <w:spacing w:val="-9"/>
          <w:sz w:val="21"/>
          <w:highlight w:val="none"/>
          <w:u w:val="single"/>
        </w:rPr>
        <w:t>）</w:t>
      </w:r>
      <w:r>
        <w:rPr>
          <w:spacing w:val="-9"/>
          <w:sz w:val="21"/>
          <w:highlight w:val="none"/>
        </w:rPr>
        <w:t xml:space="preserve">， </w:t>
      </w:r>
      <w:r>
        <w:rPr>
          <w:sz w:val="21"/>
          <w:highlight w:val="none"/>
        </w:rPr>
        <w:t>从业人员</w:t>
      </w:r>
      <w:r>
        <w:rPr>
          <w:sz w:val="21"/>
          <w:highlight w:val="none"/>
          <w:u w:val="single"/>
        </w:rPr>
        <w:t xml:space="preserve"> </w:t>
      </w:r>
      <w:r>
        <w:rPr>
          <w:sz w:val="21"/>
          <w:highlight w:val="none"/>
          <w:u w:val="single"/>
        </w:rPr>
        <w:tab/>
      </w:r>
      <w:r>
        <w:rPr>
          <w:sz w:val="21"/>
          <w:highlight w:val="none"/>
          <w:u w:val="single"/>
        </w:rPr>
        <w:tab/>
      </w:r>
      <w:r>
        <w:rPr>
          <w:sz w:val="21"/>
          <w:highlight w:val="none"/>
        </w:rPr>
        <w:t>人，营业收入为</w:t>
      </w:r>
      <w:r>
        <w:rPr>
          <w:sz w:val="21"/>
          <w:highlight w:val="none"/>
          <w:u w:val="single"/>
        </w:rPr>
        <w:t xml:space="preserve"> </w:t>
      </w:r>
      <w:r>
        <w:rPr>
          <w:sz w:val="21"/>
          <w:highlight w:val="none"/>
          <w:u w:val="single"/>
        </w:rPr>
        <w:tab/>
      </w:r>
      <w:r>
        <w:rPr>
          <w:sz w:val="21"/>
          <w:highlight w:val="none"/>
        </w:rPr>
        <w:t>万元，资产总额为</w:t>
      </w:r>
      <w:r>
        <w:rPr>
          <w:sz w:val="21"/>
          <w:highlight w:val="none"/>
          <w:u w:val="single"/>
        </w:rPr>
        <w:t xml:space="preserve"> </w:t>
      </w:r>
      <w:r>
        <w:rPr>
          <w:sz w:val="21"/>
          <w:highlight w:val="none"/>
          <w:u w:val="single"/>
        </w:rPr>
        <w:tab/>
      </w:r>
      <w:r>
        <w:rPr>
          <w:sz w:val="21"/>
          <w:highlight w:val="none"/>
        </w:rPr>
        <w:t>万元，属于</w:t>
      </w:r>
      <w:r>
        <w:rPr>
          <w:sz w:val="21"/>
          <w:highlight w:val="none"/>
          <w:u w:val="single"/>
        </w:rPr>
        <w:t>（中型企业、小型企业、微型企</w:t>
      </w:r>
    </w:p>
    <w:p>
      <w:pPr>
        <w:spacing w:before="0"/>
        <w:ind w:left="487" w:right="0" w:firstLine="0"/>
        <w:jc w:val="left"/>
        <w:rPr>
          <w:sz w:val="21"/>
          <w:highlight w:val="none"/>
        </w:rPr>
      </w:pPr>
      <w:r>
        <w:rPr>
          <w:sz w:val="21"/>
          <w:highlight w:val="none"/>
          <w:u w:val="single"/>
        </w:rPr>
        <w:t>业）</w:t>
      </w:r>
      <w:r>
        <w:rPr>
          <w:sz w:val="21"/>
          <w:highlight w:val="none"/>
        </w:rPr>
        <w:t>；</w:t>
      </w:r>
    </w:p>
    <w:p>
      <w:pPr>
        <w:pStyle w:val="5"/>
        <w:rPr>
          <w:sz w:val="18"/>
          <w:highlight w:val="none"/>
        </w:rPr>
      </w:pPr>
    </w:p>
    <w:p>
      <w:pPr>
        <w:spacing w:before="0"/>
        <w:ind w:left="909" w:right="0" w:firstLine="0"/>
        <w:jc w:val="left"/>
        <w:rPr>
          <w:sz w:val="21"/>
          <w:highlight w:val="none"/>
        </w:rPr>
      </w:pPr>
      <w:r>
        <w:rPr>
          <w:sz w:val="21"/>
          <w:highlight w:val="none"/>
        </w:rPr>
        <w:t>……</w:t>
      </w:r>
    </w:p>
    <w:p>
      <w:pPr>
        <w:pStyle w:val="5"/>
        <w:spacing w:before="2"/>
        <w:rPr>
          <w:sz w:val="18"/>
          <w:highlight w:val="none"/>
        </w:rPr>
      </w:pPr>
    </w:p>
    <w:p>
      <w:pPr>
        <w:spacing w:before="0" w:line="446" w:lineRule="auto"/>
        <w:ind w:left="487" w:right="755" w:firstLine="422"/>
        <w:jc w:val="left"/>
        <w:rPr>
          <w:sz w:val="21"/>
          <w:highlight w:val="none"/>
        </w:rPr>
      </w:pPr>
      <w:r>
        <w:rPr>
          <w:spacing w:val="-7"/>
          <w:sz w:val="21"/>
          <w:highlight w:val="none"/>
        </w:rPr>
        <w:t>以上企业，不属于大企业的分支机构，不存在控股股东为大企业的情形，也不存在与大企业的</w:t>
      </w:r>
      <w:r>
        <w:rPr>
          <w:spacing w:val="-5"/>
          <w:sz w:val="21"/>
          <w:highlight w:val="none"/>
        </w:rPr>
        <w:t>负责人为同一人的情形。</w:t>
      </w:r>
    </w:p>
    <w:p>
      <w:pPr>
        <w:spacing w:before="0" w:line="267" w:lineRule="exact"/>
        <w:ind w:left="909" w:right="0" w:firstLine="0"/>
        <w:jc w:val="left"/>
        <w:rPr>
          <w:sz w:val="21"/>
          <w:highlight w:val="none"/>
        </w:rPr>
      </w:pPr>
      <w:r>
        <w:rPr>
          <w:sz w:val="21"/>
          <w:highlight w:val="none"/>
        </w:rPr>
        <w:t>本企业对上述声明内容的真实性负责。如有虚假，将依法承担相应责任。</w:t>
      </w:r>
    </w:p>
    <w:p>
      <w:pPr>
        <w:pStyle w:val="5"/>
        <w:rPr>
          <w:sz w:val="20"/>
          <w:highlight w:val="none"/>
        </w:rPr>
      </w:pPr>
    </w:p>
    <w:p>
      <w:pPr>
        <w:pStyle w:val="5"/>
        <w:rPr>
          <w:sz w:val="20"/>
          <w:highlight w:val="none"/>
        </w:rPr>
      </w:pPr>
    </w:p>
    <w:p>
      <w:pPr>
        <w:pStyle w:val="5"/>
        <w:rPr>
          <w:sz w:val="20"/>
          <w:highlight w:val="none"/>
        </w:rPr>
      </w:pPr>
    </w:p>
    <w:p>
      <w:pPr>
        <w:pStyle w:val="5"/>
        <w:rPr>
          <w:sz w:val="20"/>
          <w:highlight w:val="none"/>
        </w:rPr>
      </w:pPr>
    </w:p>
    <w:p>
      <w:pPr>
        <w:pStyle w:val="5"/>
        <w:spacing w:before="1"/>
        <w:rPr>
          <w:sz w:val="16"/>
          <w:highlight w:val="none"/>
        </w:rPr>
      </w:pPr>
    </w:p>
    <w:p>
      <w:pPr>
        <w:spacing w:before="0"/>
        <w:ind w:left="0" w:right="755" w:firstLine="0"/>
        <w:jc w:val="right"/>
        <w:rPr>
          <w:sz w:val="21"/>
          <w:highlight w:val="none"/>
        </w:rPr>
      </w:pPr>
      <w:r>
        <w:rPr>
          <w:spacing w:val="-1"/>
          <w:sz w:val="21"/>
          <w:highlight w:val="none"/>
        </w:rPr>
        <w:t>企业名称</w:t>
      </w:r>
      <w:r>
        <w:rPr>
          <w:spacing w:val="-3"/>
          <w:sz w:val="21"/>
          <w:highlight w:val="none"/>
        </w:rPr>
        <w:t>（</w:t>
      </w:r>
      <w:r>
        <w:rPr>
          <w:spacing w:val="-2"/>
          <w:sz w:val="21"/>
          <w:highlight w:val="none"/>
        </w:rPr>
        <w:t>盖章</w:t>
      </w:r>
      <w:r>
        <w:rPr>
          <w:sz w:val="21"/>
          <w:highlight w:val="none"/>
        </w:rPr>
        <w:t>）：</w:t>
      </w:r>
    </w:p>
    <w:p>
      <w:pPr>
        <w:pStyle w:val="5"/>
        <w:spacing w:before="1"/>
        <w:rPr>
          <w:sz w:val="18"/>
          <w:highlight w:val="none"/>
        </w:rPr>
      </w:pPr>
    </w:p>
    <w:p>
      <w:pPr>
        <w:spacing w:before="1"/>
        <w:ind w:left="0" w:right="755" w:firstLine="0"/>
        <w:jc w:val="right"/>
        <w:rPr>
          <w:sz w:val="21"/>
          <w:highlight w:val="none"/>
        </w:rPr>
      </w:pPr>
      <w:r>
        <w:rPr>
          <w:spacing w:val="-1"/>
          <w:sz w:val="21"/>
          <w:highlight w:val="none"/>
        </w:rPr>
        <w:t>日 期：</w:t>
      </w:r>
    </w:p>
    <w:p>
      <w:pPr>
        <w:pStyle w:val="5"/>
        <w:rPr>
          <w:sz w:val="20"/>
          <w:highlight w:val="none"/>
        </w:rPr>
      </w:pPr>
    </w:p>
    <w:p>
      <w:pPr>
        <w:pStyle w:val="5"/>
        <w:rPr>
          <w:sz w:val="20"/>
          <w:highlight w:val="none"/>
        </w:rPr>
      </w:pPr>
    </w:p>
    <w:p>
      <w:pPr>
        <w:pStyle w:val="5"/>
        <w:rPr>
          <w:sz w:val="20"/>
          <w:highlight w:val="none"/>
        </w:rPr>
      </w:pPr>
    </w:p>
    <w:p>
      <w:pPr>
        <w:pStyle w:val="5"/>
        <w:rPr>
          <w:sz w:val="20"/>
          <w:highlight w:val="none"/>
        </w:rPr>
      </w:pPr>
    </w:p>
    <w:p>
      <w:pPr>
        <w:pStyle w:val="5"/>
        <w:rPr>
          <w:sz w:val="20"/>
          <w:highlight w:val="none"/>
        </w:rPr>
      </w:pPr>
    </w:p>
    <w:p>
      <w:pPr>
        <w:spacing w:before="0" w:line="267" w:lineRule="exact"/>
        <w:ind w:right="0"/>
        <w:jc w:val="left"/>
        <w:rPr>
          <w:sz w:val="15"/>
          <w:highlight w:val="none"/>
        </w:rPr>
        <w:sectPr>
          <w:pgSz w:w="11900" w:h="16840"/>
          <w:pgMar w:top="1600" w:right="520" w:bottom="1160" w:left="1140" w:header="0" w:footer="978" w:gutter="0"/>
          <w:pgNumType w:fmt="decimal"/>
          <w:cols w:space="720" w:num="1"/>
        </w:sectPr>
      </w:pPr>
    </w:p>
    <w:p>
      <w:pPr>
        <w:spacing w:before="11"/>
        <w:ind w:left="0" w:right="271" w:firstLine="0"/>
        <w:jc w:val="center"/>
        <w:rPr>
          <w:sz w:val="44"/>
          <w:highlight w:val="none"/>
        </w:rPr>
      </w:pPr>
      <w:r>
        <w:rPr>
          <w:sz w:val="44"/>
          <w:highlight w:val="none"/>
        </w:rPr>
        <w:t>监狱企业的证明文件</w:t>
      </w:r>
    </w:p>
    <w:p>
      <w:pPr>
        <w:pStyle w:val="5"/>
        <w:spacing w:before="195" w:line="434" w:lineRule="auto"/>
        <w:ind w:left="487" w:right="760" w:firstLine="475"/>
        <w:rPr>
          <w:highlight w:val="none"/>
        </w:rPr>
      </w:pPr>
      <w:r>
        <w:rPr>
          <w:highlight w:val="none"/>
        </w:rPr>
        <w:t>注：监狱企业须提供由省级以上监狱管理局、戒毒管理局(含新疆生产建设兵团) 出具的属于监狱企业的证明文件。</w:t>
      </w:r>
    </w:p>
    <w:p>
      <w:pPr>
        <w:spacing w:after="0" w:line="434" w:lineRule="auto"/>
        <w:rPr>
          <w:highlight w:val="none"/>
        </w:rPr>
        <w:sectPr>
          <w:pgSz w:w="11900" w:h="16840"/>
          <w:pgMar w:top="1560" w:right="520" w:bottom="1160" w:left="1140" w:header="0" w:footer="978" w:gutter="0"/>
          <w:pgNumType w:fmt="decimal"/>
          <w:cols w:space="720" w:num="1"/>
        </w:sectPr>
      </w:pPr>
    </w:p>
    <w:p>
      <w:pPr>
        <w:spacing w:before="10"/>
        <w:ind w:left="0" w:right="271" w:firstLine="0"/>
        <w:jc w:val="center"/>
        <w:rPr>
          <w:sz w:val="44"/>
          <w:highlight w:val="none"/>
        </w:rPr>
      </w:pPr>
      <w:r>
        <w:rPr>
          <w:sz w:val="44"/>
          <w:highlight w:val="none"/>
        </w:rPr>
        <w:t>残疾人福利性单位声明函</w:t>
      </w:r>
    </w:p>
    <w:p>
      <w:pPr>
        <w:pStyle w:val="5"/>
        <w:spacing w:before="1"/>
        <w:rPr>
          <w:sz w:val="60"/>
          <w:highlight w:val="none"/>
        </w:rPr>
      </w:pPr>
    </w:p>
    <w:p>
      <w:pPr>
        <w:pStyle w:val="10"/>
        <w:tabs>
          <w:tab w:val="left" w:pos="7514"/>
          <w:tab w:val="left" w:pos="9201"/>
        </w:tabs>
        <w:spacing w:line="393" w:lineRule="auto"/>
        <w:ind w:left="487" w:right="755" w:firstLine="559"/>
        <w:jc w:val="both"/>
        <w:rPr>
          <w:highlight w:val="none"/>
        </w:rPr>
      </w:pPr>
      <w:r>
        <w:rPr>
          <w:highlight w:val="none"/>
        </w:rPr>
        <w:t>本单位郑重声明，根据《财政部</w:t>
      </w:r>
      <w:r>
        <w:rPr>
          <w:spacing w:val="12"/>
          <w:highlight w:val="none"/>
        </w:rPr>
        <w:t xml:space="preserve"> </w:t>
      </w:r>
      <w:r>
        <w:rPr>
          <w:highlight w:val="none"/>
        </w:rPr>
        <w:t>民政部</w:t>
      </w:r>
      <w:r>
        <w:rPr>
          <w:spacing w:val="13"/>
          <w:highlight w:val="none"/>
        </w:rPr>
        <w:t xml:space="preserve"> </w:t>
      </w:r>
      <w:r>
        <w:rPr>
          <w:highlight w:val="none"/>
        </w:rPr>
        <w:t>中国残疾人联合会关于促进残疾人</w:t>
      </w:r>
      <w:r>
        <w:rPr>
          <w:spacing w:val="-3"/>
          <w:highlight w:val="none"/>
        </w:rPr>
        <w:t>就</w:t>
      </w:r>
      <w:r>
        <w:rPr>
          <w:highlight w:val="none"/>
        </w:rPr>
        <w:t>业政</w:t>
      </w:r>
      <w:r>
        <w:rPr>
          <w:spacing w:val="-3"/>
          <w:highlight w:val="none"/>
        </w:rPr>
        <w:t>府采</w:t>
      </w:r>
      <w:r>
        <w:rPr>
          <w:highlight w:val="none"/>
        </w:rPr>
        <w:t>购政策</w:t>
      </w:r>
      <w:r>
        <w:rPr>
          <w:spacing w:val="-3"/>
          <w:highlight w:val="none"/>
        </w:rPr>
        <w:t>的</w:t>
      </w:r>
      <w:r>
        <w:rPr>
          <w:highlight w:val="none"/>
        </w:rPr>
        <w:t>通知</w:t>
      </w:r>
      <w:r>
        <w:rPr>
          <w:spacing w:val="-15"/>
          <w:highlight w:val="none"/>
        </w:rPr>
        <w:t>》</w:t>
      </w:r>
      <w:r>
        <w:rPr>
          <w:spacing w:val="-3"/>
          <w:highlight w:val="none"/>
        </w:rPr>
        <w:t>（</w:t>
      </w:r>
      <w:r>
        <w:rPr>
          <w:highlight w:val="none"/>
        </w:rPr>
        <w:t>财</w:t>
      </w:r>
      <w:r>
        <w:rPr>
          <w:spacing w:val="-8"/>
          <w:highlight w:val="none"/>
        </w:rPr>
        <w:t>库</w:t>
      </w:r>
      <w:r>
        <w:rPr>
          <w:highlight w:val="none"/>
        </w:rPr>
        <w:t>〔2017〕</w:t>
      </w:r>
      <w:r>
        <w:rPr>
          <w:spacing w:val="-1"/>
          <w:highlight w:val="none"/>
        </w:rPr>
        <w:t xml:space="preserve"> </w:t>
      </w:r>
      <w:r>
        <w:rPr>
          <w:highlight w:val="none"/>
        </w:rPr>
        <w:t>141</w:t>
      </w:r>
      <w:r>
        <w:rPr>
          <w:spacing w:val="-67"/>
          <w:highlight w:val="none"/>
        </w:rPr>
        <w:t xml:space="preserve"> </w:t>
      </w:r>
      <w:r>
        <w:rPr>
          <w:highlight w:val="none"/>
        </w:rPr>
        <w:t>号</w:t>
      </w:r>
      <w:r>
        <w:rPr>
          <w:spacing w:val="-8"/>
          <w:highlight w:val="none"/>
        </w:rPr>
        <w:t>）</w:t>
      </w:r>
      <w:r>
        <w:rPr>
          <w:highlight w:val="none"/>
        </w:rPr>
        <w:t>的规定</w:t>
      </w:r>
      <w:r>
        <w:rPr>
          <w:spacing w:val="-10"/>
          <w:highlight w:val="none"/>
        </w:rPr>
        <w:t>，</w:t>
      </w:r>
      <w:r>
        <w:rPr>
          <w:highlight w:val="none"/>
        </w:rPr>
        <w:t>本单位为符合条件的残疾人福利性单位，且本单位参加</w:t>
      </w:r>
      <w:r>
        <w:rPr>
          <w:highlight w:val="none"/>
          <w:u w:val="single"/>
        </w:rPr>
        <w:t xml:space="preserve"> </w:t>
      </w:r>
      <w:r>
        <w:rPr>
          <w:highlight w:val="none"/>
          <w:u w:val="single"/>
        </w:rPr>
        <w:tab/>
      </w:r>
      <w:r>
        <w:rPr>
          <w:highlight w:val="none"/>
        </w:rPr>
        <w:t>单位的</w:t>
      </w:r>
      <w:r>
        <w:rPr>
          <w:highlight w:val="none"/>
          <w:u w:val="single"/>
        </w:rPr>
        <w:t xml:space="preserve"> </w:t>
      </w:r>
      <w:r>
        <w:rPr>
          <w:highlight w:val="none"/>
          <w:u w:val="single"/>
        </w:rPr>
        <w:tab/>
      </w:r>
      <w:r>
        <w:rPr>
          <w:spacing w:val="-17"/>
          <w:highlight w:val="none"/>
        </w:rPr>
        <w:t>项</w:t>
      </w:r>
      <w:r>
        <w:rPr>
          <w:highlight w:val="none"/>
        </w:rPr>
        <w:t>目采购</w:t>
      </w:r>
      <w:r>
        <w:rPr>
          <w:spacing w:val="-3"/>
          <w:highlight w:val="none"/>
        </w:rPr>
        <w:t>活</w:t>
      </w:r>
      <w:r>
        <w:rPr>
          <w:highlight w:val="none"/>
        </w:rPr>
        <w:t>动提</w:t>
      </w:r>
      <w:r>
        <w:rPr>
          <w:spacing w:val="-3"/>
          <w:highlight w:val="none"/>
        </w:rPr>
        <w:t>供本</w:t>
      </w:r>
      <w:r>
        <w:rPr>
          <w:highlight w:val="none"/>
        </w:rPr>
        <w:t>单位制</w:t>
      </w:r>
      <w:r>
        <w:rPr>
          <w:spacing w:val="-3"/>
          <w:highlight w:val="none"/>
        </w:rPr>
        <w:t>造</w:t>
      </w:r>
      <w:r>
        <w:rPr>
          <w:highlight w:val="none"/>
        </w:rPr>
        <w:t>的货</w:t>
      </w:r>
      <w:r>
        <w:rPr>
          <w:spacing w:val="-39"/>
          <w:highlight w:val="none"/>
        </w:rPr>
        <w:t>物</w:t>
      </w:r>
      <w:r>
        <w:rPr>
          <w:spacing w:val="-3"/>
          <w:highlight w:val="none"/>
        </w:rPr>
        <w:t>（</w:t>
      </w:r>
      <w:r>
        <w:rPr>
          <w:highlight w:val="none"/>
        </w:rPr>
        <w:t>由本单</w:t>
      </w:r>
      <w:r>
        <w:rPr>
          <w:spacing w:val="-3"/>
          <w:highlight w:val="none"/>
        </w:rPr>
        <w:t>位</w:t>
      </w:r>
      <w:r>
        <w:rPr>
          <w:highlight w:val="none"/>
        </w:rPr>
        <w:t>承担</w:t>
      </w:r>
      <w:r>
        <w:rPr>
          <w:spacing w:val="-3"/>
          <w:highlight w:val="none"/>
        </w:rPr>
        <w:t>工</w:t>
      </w:r>
      <w:r>
        <w:rPr>
          <w:highlight w:val="none"/>
        </w:rPr>
        <w:t>程/提供服</w:t>
      </w:r>
      <w:r>
        <w:rPr>
          <w:spacing w:val="-3"/>
          <w:highlight w:val="none"/>
        </w:rPr>
        <w:t>务</w:t>
      </w:r>
      <w:r>
        <w:rPr>
          <w:spacing w:val="-36"/>
          <w:highlight w:val="none"/>
        </w:rPr>
        <w:t>），</w:t>
      </w:r>
      <w:r>
        <w:rPr>
          <w:spacing w:val="-3"/>
          <w:highlight w:val="none"/>
        </w:rPr>
        <w:t>或</w:t>
      </w:r>
      <w:r>
        <w:rPr>
          <w:highlight w:val="none"/>
        </w:rPr>
        <w:t>者提供其他残疾人福利性单位制造的货物（不包括使用非残疾人福利性单位注册商</w:t>
      </w:r>
      <w:r>
        <w:rPr>
          <w:spacing w:val="-3"/>
          <w:highlight w:val="none"/>
        </w:rPr>
        <w:t>标</w:t>
      </w:r>
      <w:r>
        <w:rPr>
          <w:highlight w:val="none"/>
        </w:rPr>
        <w:t>的货</w:t>
      </w:r>
      <w:r>
        <w:rPr>
          <w:spacing w:val="-3"/>
          <w:highlight w:val="none"/>
        </w:rPr>
        <w:t>物）</w:t>
      </w:r>
      <w:r>
        <w:rPr>
          <w:highlight w:val="none"/>
        </w:rPr>
        <w:t>。</w:t>
      </w:r>
    </w:p>
    <w:p>
      <w:pPr>
        <w:pStyle w:val="10"/>
        <w:spacing w:line="357" w:lineRule="exact"/>
        <w:ind w:left="1046"/>
        <w:rPr>
          <w:highlight w:val="none"/>
        </w:rPr>
      </w:pPr>
      <w:r>
        <w:rPr>
          <w:highlight w:val="none"/>
        </w:rPr>
        <w:t>本单位对上述声明的真实性负责。如有虚假，将依法承担相应责任。</w:t>
      </w:r>
    </w:p>
    <w:p>
      <w:pPr>
        <w:pStyle w:val="5"/>
        <w:rPr>
          <w:sz w:val="28"/>
          <w:highlight w:val="none"/>
        </w:rPr>
      </w:pPr>
    </w:p>
    <w:p>
      <w:pPr>
        <w:pStyle w:val="5"/>
        <w:rPr>
          <w:sz w:val="28"/>
          <w:highlight w:val="none"/>
        </w:rPr>
      </w:pPr>
    </w:p>
    <w:p>
      <w:pPr>
        <w:pStyle w:val="5"/>
        <w:spacing w:before="1"/>
        <w:rPr>
          <w:sz w:val="39"/>
          <w:highlight w:val="none"/>
        </w:rPr>
      </w:pPr>
    </w:p>
    <w:p>
      <w:pPr>
        <w:pStyle w:val="10"/>
        <w:tabs>
          <w:tab w:val="left" w:pos="8337"/>
        </w:tabs>
        <w:ind w:left="3372"/>
        <w:rPr>
          <w:rFonts w:ascii="Times New Roman" w:eastAsia="Times New Roman"/>
          <w:highlight w:val="none"/>
        </w:rPr>
      </w:pPr>
      <w:r>
        <w:rPr>
          <w:spacing w:val="-1"/>
          <w:highlight w:val="none"/>
        </w:rPr>
        <w:t>投标单</w:t>
      </w:r>
      <w:r>
        <w:rPr>
          <w:spacing w:val="-3"/>
          <w:highlight w:val="none"/>
        </w:rPr>
        <w:t>位</w:t>
      </w:r>
      <w:r>
        <w:rPr>
          <w:highlight w:val="none"/>
        </w:rPr>
        <w:t>（盖</w:t>
      </w:r>
      <w:r>
        <w:rPr>
          <w:spacing w:val="-3"/>
          <w:highlight w:val="none"/>
        </w:rPr>
        <w:t>章</w:t>
      </w:r>
      <w:r>
        <w:rPr>
          <w:highlight w:val="none"/>
        </w:rPr>
        <w:t>）：</w:t>
      </w:r>
      <w:r>
        <w:rPr>
          <w:rFonts w:ascii="Times New Roman" w:eastAsia="Times New Roman"/>
          <w:highlight w:val="none"/>
          <w:u w:val="single"/>
        </w:rPr>
        <w:t xml:space="preserve"> </w:t>
      </w:r>
      <w:r>
        <w:rPr>
          <w:rFonts w:ascii="Times New Roman" w:eastAsia="Times New Roman"/>
          <w:highlight w:val="none"/>
          <w:u w:val="single"/>
        </w:rPr>
        <w:tab/>
      </w:r>
    </w:p>
    <w:p>
      <w:pPr>
        <w:pStyle w:val="10"/>
        <w:tabs>
          <w:tab w:val="left" w:pos="5248"/>
          <w:tab w:val="left" w:pos="8892"/>
        </w:tabs>
        <w:spacing w:before="191"/>
        <w:ind w:left="4548"/>
        <w:rPr>
          <w:rFonts w:ascii="Times New Roman" w:eastAsia="Times New Roman"/>
          <w:highlight w:val="none"/>
        </w:rPr>
      </w:pPr>
      <w:r>
        <w:rPr>
          <w:highlight w:val="none"/>
        </w:rPr>
        <w:t>日</w:t>
      </w:r>
      <w:r>
        <w:rPr>
          <w:highlight w:val="none"/>
        </w:rPr>
        <w:tab/>
      </w:r>
      <w:r>
        <w:rPr>
          <w:highlight w:val="none"/>
        </w:rPr>
        <w:t>期</w:t>
      </w:r>
      <w:r>
        <w:rPr>
          <w:spacing w:val="-3"/>
          <w:highlight w:val="none"/>
        </w:rPr>
        <w:t>：</w:t>
      </w:r>
      <w:r>
        <w:rPr>
          <w:rFonts w:ascii="Times New Roman" w:eastAsia="Times New Roman"/>
          <w:highlight w:val="none"/>
          <w:u w:val="single"/>
        </w:rPr>
        <w:t xml:space="preserve"> </w:t>
      </w:r>
      <w:r>
        <w:rPr>
          <w:rFonts w:ascii="Times New Roman" w:eastAsia="Times New Roman"/>
          <w:highlight w:val="none"/>
          <w:u w:val="single"/>
        </w:rPr>
        <w:tab/>
      </w:r>
    </w:p>
    <w:p>
      <w:pPr>
        <w:pStyle w:val="5"/>
        <w:rPr>
          <w:rFonts w:ascii="Times New Roman"/>
          <w:sz w:val="20"/>
          <w:highlight w:val="none"/>
        </w:rPr>
      </w:pPr>
    </w:p>
    <w:p>
      <w:pPr>
        <w:pStyle w:val="5"/>
        <w:rPr>
          <w:rFonts w:ascii="Times New Roman"/>
          <w:sz w:val="20"/>
          <w:highlight w:val="none"/>
        </w:rPr>
      </w:pPr>
    </w:p>
    <w:p>
      <w:pPr>
        <w:pStyle w:val="5"/>
        <w:rPr>
          <w:rFonts w:ascii="Times New Roman"/>
          <w:sz w:val="20"/>
          <w:highlight w:val="none"/>
        </w:rPr>
      </w:pPr>
    </w:p>
    <w:p>
      <w:pPr>
        <w:pStyle w:val="5"/>
        <w:rPr>
          <w:rFonts w:ascii="Times New Roman"/>
          <w:sz w:val="20"/>
          <w:highlight w:val="none"/>
        </w:rPr>
      </w:pPr>
    </w:p>
    <w:p>
      <w:pPr>
        <w:pStyle w:val="5"/>
        <w:rPr>
          <w:rFonts w:ascii="Times New Roman"/>
          <w:sz w:val="20"/>
          <w:highlight w:val="none"/>
        </w:rPr>
      </w:pPr>
    </w:p>
    <w:p>
      <w:pPr>
        <w:pStyle w:val="5"/>
        <w:rPr>
          <w:rFonts w:ascii="Times New Roman"/>
          <w:sz w:val="20"/>
          <w:highlight w:val="none"/>
        </w:rPr>
      </w:pPr>
    </w:p>
    <w:p>
      <w:pPr>
        <w:pStyle w:val="5"/>
        <w:rPr>
          <w:rFonts w:ascii="Times New Roman"/>
          <w:sz w:val="20"/>
          <w:highlight w:val="none"/>
        </w:rPr>
      </w:pPr>
    </w:p>
    <w:p>
      <w:pPr>
        <w:pStyle w:val="5"/>
        <w:rPr>
          <w:rFonts w:ascii="Times New Roman"/>
          <w:sz w:val="20"/>
          <w:highlight w:val="none"/>
        </w:rPr>
      </w:pPr>
    </w:p>
    <w:p>
      <w:pPr>
        <w:pStyle w:val="5"/>
        <w:rPr>
          <w:rFonts w:ascii="Times New Roman"/>
          <w:sz w:val="20"/>
          <w:highlight w:val="none"/>
        </w:rPr>
      </w:pPr>
    </w:p>
    <w:p>
      <w:pPr>
        <w:pStyle w:val="5"/>
        <w:rPr>
          <w:rFonts w:ascii="Times New Roman"/>
          <w:sz w:val="20"/>
          <w:highlight w:val="none"/>
        </w:rPr>
      </w:pPr>
    </w:p>
    <w:p>
      <w:pPr>
        <w:pStyle w:val="5"/>
        <w:rPr>
          <w:rFonts w:ascii="Times New Roman"/>
          <w:sz w:val="20"/>
          <w:highlight w:val="none"/>
        </w:rPr>
      </w:pPr>
    </w:p>
    <w:p>
      <w:pPr>
        <w:pStyle w:val="5"/>
        <w:rPr>
          <w:rFonts w:ascii="Times New Roman"/>
          <w:sz w:val="20"/>
          <w:highlight w:val="none"/>
        </w:rPr>
      </w:pPr>
    </w:p>
    <w:p>
      <w:pPr>
        <w:pStyle w:val="5"/>
        <w:rPr>
          <w:rFonts w:ascii="Times New Roman"/>
          <w:sz w:val="20"/>
          <w:highlight w:val="none"/>
        </w:rPr>
      </w:pPr>
    </w:p>
    <w:p>
      <w:pPr>
        <w:pStyle w:val="5"/>
        <w:rPr>
          <w:rFonts w:ascii="Times New Roman"/>
          <w:sz w:val="20"/>
          <w:highlight w:val="none"/>
        </w:rPr>
      </w:pPr>
    </w:p>
    <w:p>
      <w:pPr>
        <w:pStyle w:val="5"/>
        <w:rPr>
          <w:rFonts w:ascii="Times New Roman"/>
          <w:sz w:val="20"/>
          <w:highlight w:val="none"/>
        </w:rPr>
      </w:pPr>
    </w:p>
    <w:p>
      <w:pPr>
        <w:pStyle w:val="5"/>
        <w:rPr>
          <w:rFonts w:ascii="Times New Roman"/>
          <w:sz w:val="20"/>
          <w:highlight w:val="none"/>
        </w:rPr>
      </w:pPr>
    </w:p>
    <w:p>
      <w:pPr>
        <w:pStyle w:val="5"/>
        <w:rPr>
          <w:rFonts w:ascii="Times New Roman"/>
          <w:sz w:val="20"/>
          <w:highlight w:val="none"/>
        </w:rPr>
      </w:pPr>
    </w:p>
    <w:p>
      <w:pPr>
        <w:pStyle w:val="5"/>
        <w:spacing w:before="9"/>
        <w:rPr>
          <w:rFonts w:ascii="Times New Roman"/>
          <w:sz w:val="16"/>
          <w:highlight w:val="none"/>
        </w:rPr>
      </w:pPr>
    </w:p>
    <w:p>
      <w:pPr>
        <w:pStyle w:val="5"/>
        <w:spacing w:before="67"/>
        <w:ind w:left="487"/>
        <w:rPr>
          <w:highlight w:val="none"/>
        </w:rPr>
      </w:pPr>
      <w:r>
        <w:rPr>
          <w:highlight w:val="none"/>
        </w:rPr>
        <w:t>（注：残疾人福利性单位请在投标文件中附此声明函。）</w:t>
      </w:r>
    </w:p>
    <w:p>
      <w:pPr>
        <w:spacing w:after="0"/>
        <w:rPr>
          <w:highlight w:val="none"/>
        </w:rPr>
        <w:sectPr>
          <w:pgSz w:w="11900" w:h="16840"/>
          <w:pgMar w:top="1580" w:right="520" w:bottom="1160" w:left="1140" w:header="0" w:footer="978" w:gutter="0"/>
          <w:pgNumType w:fmt="decimal"/>
          <w:cols w:space="720" w:num="1"/>
        </w:sectPr>
      </w:pPr>
    </w:p>
    <w:p>
      <w:pPr>
        <w:spacing w:before="11"/>
        <w:ind w:left="0" w:right="271" w:firstLine="0"/>
        <w:jc w:val="center"/>
        <w:rPr>
          <w:sz w:val="44"/>
          <w:highlight w:val="none"/>
        </w:rPr>
      </w:pPr>
      <w:r>
        <w:rPr>
          <w:sz w:val="44"/>
          <w:highlight w:val="none"/>
        </w:rPr>
        <w:t>其他证明材料</w:t>
      </w:r>
    </w:p>
    <w:p>
      <w:pPr>
        <w:pStyle w:val="5"/>
        <w:spacing w:before="5"/>
        <w:rPr>
          <w:sz w:val="41"/>
          <w:highlight w:val="none"/>
        </w:rPr>
      </w:pPr>
    </w:p>
    <w:p>
      <w:pPr>
        <w:spacing w:before="0"/>
        <w:ind w:left="0" w:right="270" w:firstLine="0"/>
        <w:jc w:val="center"/>
        <w:rPr>
          <w:sz w:val="21"/>
          <w:highlight w:val="none"/>
        </w:rPr>
      </w:pPr>
      <w:r>
        <w:rPr>
          <w:sz w:val="21"/>
          <w:highlight w:val="none"/>
        </w:rPr>
        <w:t>（如有，自由格式）</w:t>
      </w:r>
    </w:p>
    <w:p>
      <w:pPr>
        <w:spacing w:after="0"/>
        <w:jc w:val="center"/>
        <w:rPr>
          <w:sz w:val="21"/>
          <w:highlight w:val="none"/>
        </w:rPr>
        <w:sectPr>
          <w:pgSz w:w="11900" w:h="16840"/>
          <w:pgMar w:top="1560" w:right="520" w:bottom="1160" w:left="1140" w:header="0" w:footer="978" w:gutter="0"/>
          <w:pgNumType w:fmt="decimal"/>
          <w:cols w:space="720" w:num="1"/>
        </w:sectPr>
      </w:pPr>
    </w:p>
    <w:p>
      <w:pPr>
        <w:spacing w:before="22"/>
        <w:ind w:left="0" w:right="832" w:firstLine="0"/>
        <w:jc w:val="center"/>
        <w:rPr>
          <w:sz w:val="44"/>
          <w:highlight w:val="none"/>
        </w:rPr>
      </w:pPr>
      <w:r>
        <w:rPr>
          <w:sz w:val="44"/>
          <w:highlight w:val="none"/>
        </w:rPr>
        <w:t>技术方案</w:t>
      </w:r>
    </w:p>
    <w:p>
      <w:pPr>
        <w:spacing w:before="266"/>
        <w:ind w:left="0" w:right="270" w:firstLine="0"/>
        <w:jc w:val="center"/>
        <w:rPr>
          <w:sz w:val="21"/>
          <w:highlight w:val="none"/>
        </w:rPr>
      </w:pPr>
      <w:r>
        <w:rPr>
          <w:sz w:val="21"/>
          <w:highlight w:val="none"/>
        </w:rPr>
        <w:t>（如有，自由格式）</w:t>
      </w:r>
    </w:p>
    <w:sectPr>
      <w:pgSz w:w="11900" w:h="16840"/>
      <w:pgMar w:top="1580" w:right="520" w:bottom="1160" w:left="1140" w:header="0" w:footer="978"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2"/>
      </w:rPr>
    </w:pPr>
    <w:r>
      <w:rPr>
        <w:sz w:val="1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TW9XccBAACa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3hJuDcHbc48cuP75efvy+/vpE6&#10;6zMEaDDtPmBiGt/6EXMXP6Az0x5VtPmLhAjGUd3zVV05JiLyo3pd1xWGBMaWC+Kzh+chQnonvSXZ&#10;aGnE8RVV+ekDpCl1ScnVnL/TxpQRGveXAzGzh+Xepx6zlcb9OBPa++6MfAacfEsdLjol5r1DYfOS&#10;LEZcjP1iHEPUh75sUa4H4c0xYROlt1xhgp0L48gKu3m98k48vpesh19q+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pTW9XccBAACaAwAADgAAAAAAAAABACAAAAAeAQAAZHJzL2Uyb0RvYy54&#10;bWxQSwUGAAAAAAYABgBZAQAAVwU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4"/>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115</w:t>
                          </w:r>
                          <w:r>
                            <w:fldChar w:fldCharType="end"/>
                          </w:r>
                        </w:p>
                      </w:txbxContent>
                    </wps:txbx>
                    <wps:bodyPr wrap="none" lIns="0" tIns="0" rIns="0" bIns="0" upright="0">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gsaSMoBAACbAwAADgAAAGRycy9lMm9Eb2MueG1srVPNjtMwEL4j8Q6W&#10;79RppUV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OqGEsctTvzy4/vl5+/Lr29k&#10;eZMF6gPUmHcfMDMNb/2AazP7AZ2Z96CizV9kRDCO8p6v8sohEZEfrVfrdYUhgbH5gvjs4XmIkN5J&#10;b0k2GhpxfkVWfvoAaUydU3I15++0MWWGxv3lQMzsYbn3scdspWE/TIT2vj0jnx5H31CHm06Jee9Q&#10;2bwlsxFnYz8bxxD1oStrlOtBeHNM2ETpLVcYYafCOLPCbtqvvBSP7yXr4Z/a/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ygsaSMoBAACbAwAADgAAAAAAAAABACAAAAAeAQAAZHJzL2Uyb0Rv&#10;Yy54bWxQSwUGAAAAAAYABgBZAQAAWgU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115</w:t>
                    </w:r>
                    <w:r>
                      <w:fldChar w:fldCharType="end"/>
                    </w:r>
                  </w:p>
                </w:txbxContent>
              </v:textbox>
            </v:shape>
          </w:pict>
        </mc:Fallback>
      </mc:AlternateContent>
    </w:r>
    <w:r>
      <mc:AlternateContent>
        <mc:Choice Requires="wps">
          <w:drawing>
            <wp:anchor distT="0" distB="0" distL="114300" distR="114300" simplePos="0" relativeHeight="251673600" behindDoc="1" locked="0" layoutInCell="1" allowOverlap="1">
              <wp:simplePos x="0" y="0"/>
              <wp:positionH relativeFrom="page">
                <wp:posOffset>3763645</wp:posOffset>
              </wp:positionH>
              <wp:positionV relativeFrom="page">
                <wp:posOffset>9933940</wp:posOffset>
              </wp:positionV>
              <wp:extent cx="141605" cy="139700"/>
              <wp:effectExtent l="0" t="0" r="0" b="0"/>
              <wp:wrapNone/>
              <wp:docPr id="24" name="文本框 16"/>
              <wp:cNvGraphicFramePr/>
              <a:graphic xmlns:a="http://schemas.openxmlformats.org/drawingml/2006/main">
                <a:graphicData uri="http://schemas.microsoft.com/office/word/2010/wordprocessingShape">
                  <wps:wsp>
                    <wps:cNvSpPr txBox="1"/>
                    <wps:spPr>
                      <a:xfrm>
                        <a:off x="0" y="0"/>
                        <a:ext cx="141605" cy="139700"/>
                      </a:xfrm>
                      <a:prstGeom prst="rect">
                        <a:avLst/>
                      </a:prstGeom>
                      <a:noFill/>
                      <a:ln>
                        <a:noFill/>
                      </a:ln>
                    </wps:spPr>
                    <wps:txbx>
                      <w:txbxContent>
                        <w:p>
                          <w:pPr>
                            <w:spacing w:before="0" w:line="203" w:lineRule="exact"/>
                            <w:ind w:left="20" w:right="0" w:firstLine="0"/>
                            <w:jc w:val="left"/>
                            <w:rPr>
                              <w:rFonts w:ascii="Calibri"/>
                              <w:sz w:val="18"/>
                            </w:rPr>
                          </w:pPr>
                          <w:r>
                            <w:rPr>
                              <w:rFonts w:ascii="Calibri"/>
                              <w:sz w:val="18"/>
                            </w:rPr>
                            <w:t>46</w:t>
                          </w:r>
                        </w:p>
                      </w:txbxContent>
                    </wps:txbx>
                    <wps:bodyPr lIns="0" tIns="0" rIns="0" bIns="0" upright="1"/>
                  </wps:wsp>
                </a:graphicData>
              </a:graphic>
            </wp:anchor>
          </w:drawing>
        </mc:Choice>
        <mc:Fallback>
          <w:pict>
            <v:shape id="文本框 16" o:spid="_x0000_s1026" o:spt="202" type="#_x0000_t202" style="position:absolute;left:0pt;margin-left:296.35pt;margin-top:782.2pt;height:11pt;width:11.15pt;mso-position-horizontal-relative:page;mso-position-vertical-relative:page;z-index:-251642880;mso-width-relative:page;mso-height-relative:page;" filled="f" stroked="f" coordsize="21600,21600" o:gfxdata="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0kXV2NsAAAANAQAADwAAAAAAAAABACAAAAAiAAAAZHJzL2Rvd25yZXYueG1s&#10;UEsBAhQAFAAAAAgAh07iQC7uhKG8AQAAcwMAAA4AAAAAAAAAAQAgAAAAKgEAAGRycy9lMm9Eb2Mu&#10;eG1sUEsFBgAAAAAGAAYAWQEAAFgFAAAAAA==&#10;">
              <v:fill on="f" focussize="0,0"/>
              <v:stroke on="f"/>
              <v:imagedata o:title=""/>
              <o:lock v:ext="edit" aspectratio="f"/>
              <v:textbox inset="0mm,0mm,0mm,0mm">
                <w:txbxContent>
                  <w:p>
                    <w:pPr>
                      <w:spacing w:before="0" w:line="203" w:lineRule="exact"/>
                      <w:ind w:left="20" w:right="0" w:firstLine="0"/>
                      <w:jc w:val="left"/>
                      <w:rPr>
                        <w:rFonts w:ascii="Calibri"/>
                        <w:sz w:val="18"/>
                      </w:rPr>
                    </w:pPr>
                    <w:r>
                      <w:rPr>
                        <w:rFonts w:ascii="Calibri"/>
                        <w:sz w:val="18"/>
                      </w:rPr>
                      <w:t>46</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47</w:t>
                          </w:r>
                          <w:r>
                            <w:fldChar w:fldCharType="end"/>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G3eKa8cBAACbAwAADgAAAAAAAAABACAAAAAeAQAAZHJzL2Uyb0RvYy54&#10;bWxQSwUGAAAAAAYABgBZAQAAVwU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70</w:t>
                          </w:r>
                          <w:r>
                            <w:fldChar w:fldCharType="end"/>
                          </w:r>
                        </w:p>
                      </w:txbxContent>
                    </wps:txbx>
                    <wps:bodyPr wrap="none" lIns="0" tIns="0" rIns="0" bIns="0"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a97c8k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AolcdzixC8/f1x+/bn8/k6W&#10;yyxQH6DGvPuAmWl45wdcm9kP6My8BxVt/iIjgnHEOl/llUMiIj9ar9brCkMCY/MF8dnD8xAhvZfe&#10;kmw0NOL8iqz89BHSmDqn5GrO32ljygyN+8eBmNnDcu9jj9lKw36YCO19e0Y+PY6+oQ43nRLzwaGy&#10;2F+ajTgb+9k4hqgPXVmjXA/C7TFhE6W3XGGEnQrjzAq7ab/yUjy+l6yHf2r7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Br3tzyQEAAJsDAAAOAAAAAAAAAAEAIAAAAB4BAABkcnMvZTJvRG9j&#10;LnhtbFBLBQYAAAAABgAGAFkBAABZ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70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146</w:t>
                          </w:r>
                          <w:r>
                            <w:fldChar w:fldCharType="end"/>
                          </w:r>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60YYlMoBAACbAwAADgAAAAAAAAABACAAAAAeAQAAZHJzL2Uyb0Rv&#10;Yy54bWxQSwUGAAAAAAYABgBZAQAAWgU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146</w:t>
                    </w:r>
                    <w:r>
                      <w:fldChar w:fldCharType="end"/>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3708400</wp:posOffset>
              </wp:positionH>
              <wp:positionV relativeFrom="page">
                <wp:posOffset>9932035</wp:posOffset>
              </wp:positionV>
              <wp:extent cx="142875" cy="139700"/>
              <wp:effectExtent l="0" t="0" r="0" b="0"/>
              <wp:wrapNone/>
              <wp:docPr id="17" name="文本框 5"/>
              <wp:cNvGraphicFramePr/>
              <a:graphic xmlns:a="http://schemas.openxmlformats.org/drawingml/2006/main">
                <a:graphicData uri="http://schemas.microsoft.com/office/word/2010/wordprocessingShape">
                  <wps:wsp>
                    <wps:cNvSpPr txBox="1"/>
                    <wps:spPr>
                      <a:xfrm>
                        <a:off x="0" y="0"/>
                        <a:ext cx="142875" cy="139700"/>
                      </a:xfrm>
                      <a:prstGeom prst="rect">
                        <a:avLst/>
                      </a:prstGeom>
                      <a:noFill/>
                      <a:ln>
                        <a:noFill/>
                      </a:ln>
                    </wps:spPr>
                    <wps:txbx>
                      <w:txbxContent>
                        <w:p>
                          <w:pPr>
                            <w:spacing w:before="0" w:line="203" w:lineRule="exact"/>
                            <w:ind w:left="20" w:right="0" w:firstLine="0"/>
                            <w:jc w:val="left"/>
                            <w:rPr>
                              <w:rFonts w:ascii="Calibri"/>
                              <w:sz w:val="18"/>
                            </w:rPr>
                          </w:pPr>
                        </w:p>
                      </w:txbxContent>
                    </wps:txbx>
                    <wps:bodyPr lIns="0" tIns="0" rIns="0" bIns="0" upright="1"/>
                  </wps:wsp>
                </a:graphicData>
              </a:graphic>
            </wp:anchor>
          </w:drawing>
        </mc:Choice>
        <mc:Fallback>
          <w:pict>
            <v:shape id="文本框 5" o:spid="_x0000_s1026" o:spt="202" type="#_x0000_t202" style="position:absolute;left:0pt;margin-left:292pt;margin-top:782.05pt;height:11pt;width:11.25pt;mso-position-horizontal-relative:page;mso-position-vertical-relative:page;z-index:-251656192;mso-width-relative:page;mso-height-relative:page;" filled="f" stroked="f" coordsize="21600,21600" o:gfxdata="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DPXu/aAAAADQEAAA8AAAAAAAAAAQAgAAAAIgAAAGRycy9kb3ducmV2LnhtbFBL&#10;AQIUABQAAAAIAIdO4kAiKmpkuwEAAHIDAAAOAAAAAAAAAAEAIAAAACkBAABkcnMvZTJvRG9jLnht&#10;bFBLBQYAAAAABgAGAFkBAABWBQAAAAA=&#10;">
              <v:fill on="f" focussize="0,0"/>
              <v:stroke on="f"/>
              <v:imagedata o:title=""/>
              <o:lock v:ext="edit" aspectratio="f"/>
              <v:textbox inset="0mm,0mm,0mm,0mm">
                <w:txbxContent>
                  <w:p>
                    <w:pPr>
                      <w:spacing w:before="0" w:line="203" w:lineRule="exact"/>
                      <w:ind w:left="20" w:right="0" w:firstLine="0"/>
                      <w:jc w:val="left"/>
                      <w:rPr>
                        <w:rFonts w:ascii="Calibri"/>
                        <w:sz w:val="18"/>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78</w:t>
                          </w:r>
                          <w: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G6AC8oBAACbAwAADgAAAGRycy9lMm9Eb2MueG1srVNLbtswEN0XyB0I&#10;7mPKKlA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ZlSYnlBid+/v7t/OPX+edX&#10;snybBOo9VJj35DEzDnduwLWZ/YDOxHtog0lfZEQwjvKeLvLKIRKRHq3K1arAkMDYfEF89vzcB4jv&#10;pTMkGTUNOL8sKz8+QhxT55RUzbp7pXWeobZ/ORAzeVjqfewxWXHYDROhnWtOyKfH0dfU4qZToh8s&#10;Kpu2ZDbCbOxm4+CD2nd5jVI98LeHiE3k3lKFEXYqjDPL7Kb9Skvx5z1nPf9Tm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UG6AC8oBAACbAwAADgAAAAAAAAABACAAAAAeAQAAZHJzL2Uyb0Rv&#10;Yy54bWxQSwUGAAAAAAYABgBZAQAAWgU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78</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81</w:t>
                          </w:r>
                          <w:r>
                            <w:fldChar w:fldCharType="end"/>
                          </w:r>
                        </w:p>
                      </w:txbxContent>
                    </wps:txbx>
                    <wps:bodyPr wrap="none" lIns="0" tIns="0" rIns="0" bIns="0" upright="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ugcoBAACbAwAADgAAAGRycy9lMm9Eb2MueG1srVPNjtMwEL4j8Q6W&#10;79RpQ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rl5S4rjFiV++f7v8+HX5+ZUs&#10;X2WB+gA15t0FzEzDWz/g2sx+QGfmPaho8xcZEYyjvOervHJIRORH69V6XWFIYGy+ID57eB4ipHfS&#10;W5KNhkacX5GVnz5AGlPnlFzN+VttTJmhcX85EDN7WO597DFbadgPE6G9b8/Ip8fRN9ThplNi3jtU&#10;Nm/JbMTZ2M/GMUR96Moa5XoQ3hwTNlF6yxVG2Kkwzqywm/YrL8Wf95L18E9t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pOugcoBAACbAwAADgAAAAAAAAABACAAAAAeAQAAZHJzL2Uyb0Rv&#10;Yy54bWxQSwUGAAAAAAYABgBZAQAAWgU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81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2"/>
      <w:numFmt w:val="decimal"/>
      <w:lvlText w:val="%1"/>
      <w:lvlJc w:val="left"/>
      <w:pPr>
        <w:ind w:left="660" w:hanging="420"/>
        <w:jc w:val="left"/>
      </w:pPr>
      <w:rPr>
        <w:rFonts w:hint="default"/>
        <w:lang w:val="zh-CN" w:eastAsia="zh-CN" w:bidi="zh-CN"/>
      </w:rPr>
    </w:lvl>
    <w:lvl w:ilvl="1" w:tentative="0">
      <w:start w:val="2"/>
      <w:numFmt w:val="decimal"/>
      <w:lvlText w:val="%1.%2"/>
      <w:lvlJc w:val="left"/>
      <w:pPr>
        <w:ind w:left="660" w:hanging="420"/>
        <w:jc w:val="left"/>
      </w:pPr>
      <w:rPr>
        <w:rFonts w:hint="default" w:ascii="宋体" w:hAnsi="宋体" w:eastAsia="宋体" w:cs="宋体"/>
        <w:w w:val="99"/>
        <w:sz w:val="24"/>
        <w:szCs w:val="24"/>
        <w:lang w:val="zh-CN" w:eastAsia="zh-CN" w:bidi="zh-CN"/>
      </w:rPr>
    </w:lvl>
    <w:lvl w:ilvl="2" w:tentative="0">
      <w:start w:val="0"/>
      <w:numFmt w:val="bullet"/>
      <w:lvlText w:val="•"/>
      <w:lvlJc w:val="left"/>
      <w:pPr>
        <w:ind w:left="2576" w:hanging="420"/>
      </w:pPr>
      <w:rPr>
        <w:rFonts w:hint="default"/>
        <w:lang w:val="zh-CN" w:eastAsia="zh-CN" w:bidi="zh-CN"/>
      </w:rPr>
    </w:lvl>
    <w:lvl w:ilvl="3" w:tentative="0">
      <w:start w:val="0"/>
      <w:numFmt w:val="bullet"/>
      <w:lvlText w:val="•"/>
      <w:lvlJc w:val="left"/>
      <w:pPr>
        <w:ind w:left="3534" w:hanging="420"/>
      </w:pPr>
      <w:rPr>
        <w:rFonts w:hint="default"/>
        <w:lang w:val="zh-CN" w:eastAsia="zh-CN" w:bidi="zh-CN"/>
      </w:rPr>
    </w:lvl>
    <w:lvl w:ilvl="4" w:tentative="0">
      <w:start w:val="0"/>
      <w:numFmt w:val="bullet"/>
      <w:lvlText w:val="•"/>
      <w:lvlJc w:val="left"/>
      <w:pPr>
        <w:ind w:left="4492" w:hanging="420"/>
      </w:pPr>
      <w:rPr>
        <w:rFonts w:hint="default"/>
        <w:lang w:val="zh-CN" w:eastAsia="zh-CN" w:bidi="zh-CN"/>
      </w:rPr>
    </w:lvl>
    <w:lvl w:ilvl="5" w:tentative="0">
      <w:start w:val="0"/>
      <w:numFmt w:val="bullet"/>
      <w:lvlText w:val="•"/>
      <w:lvlJc w:val="left"/>
      <w:pPr>
        <w:ind w:left="5450" w:hanging="420"/>
      </w:pPr>
      <w:rPr>
        <w:rFonts w:hint="default"/>
        <w:lang w:val="zh-CN" w:eastAsia="zh-CN" w:bidi="zh-CN"/>
      </w:rPr>
    </w:lvl>
    <w:lvl w:ilvl="6" w:tentative="0">
      <w:start w:val="0"/>
      <w:numFmt w:val="bullet"/>
      <w:lvlText w:val="•"/>
      <w:lvlJc w:val="left"/>
      <w:pPr>
        <w:ind w:left="6408" w:hanging="420"/>
      </w:pPr>
      <w:rPr>
        <w:rFonts w:hint="default"/>
        <w:lang w:val="zh-CN" w:eastAsia="zh-CN" w:bidi="zh-CN"/>
      </w:rPr>
    </w:lvl>
    <w:lvl w:ilvl="7" w:tentative="0">
      <w:start w:val="0"/>
      <w:numFmt w:val="bullet"/>
      <w:lvlText w:val="•"/>
      <w:lvlJc w:val="left"/>
      <w:pPr>
        <w:ind w:left="7366" w:hanging="420"/>
      </w:pPr>
      <w:rPr>
        <w:rFonts w:hint="default"/>
        <w:lang w:val="zh-CN" w:eastAsia="zh-CN" w:bidi="zh-CN"/>
      </w:rPr>
    </w:lvl>
    <w:lvl w:ilvl="8" w:tentative="0">
      <w:start w:val="0"/>
      <w:numFmt w:val="bullet"/>
      <w:lvlText w:val="•"/>
      <w:lvlJc w:val="left"/>
      <w:pPr>
        <w:ind w:left="8324" w:hanging="420"/>
      </w:pPr>
      <w:rPr>
        <w:rFonts w:hint="default"/>
        <w:lang w:val="zh-CN" w:eastAsia="zh-CN" w:bidi="zh-CN"/>
      </w:rPr>
    </w:lvl>
  </w:abstractNum>
  <w:abstractNum w:abstractNumId="1">
    <w:nsid w:val="845B5372"/>
    <w:multiLevelType w:val="multilevel"/>
    <w:tmpl w:val="845B5372"/>
    <w:lvl w:ilvl="0" w:tentative="0">
      <w:start w:val="6"/>
      <w:numFmt w:val="decimal"/>
      <w:lvlText w:val="%1."/>
      <w:lvlJc w:val="left"/>
      <w:pPr>
        <w:ind w:left="1085" w:hanging="424"/>
        <w:jc w:val="left"/>
      </w:pPr>
      <w:rPr>
        <w:rFonts w:hint="default" w:ascii="宋体" w:hAnsi="宋体" w:eastAsia="宋体" w:cs="宋体"/>
        <w:spacing w:val="0"/>
        <w:w w:val="100"/>
        <w:sz w:val="26"/>
        <w:szCs w:val="26"/>
        <w:lang w:val="zh-CN" w:eastAsia="zh-CN" w:bidi="zh-CN"/>
      </w:rPr>
    </w:lvl>
    <w:lvl w:ilvl="1" w:tentative="0">
      <w:start w:val="1"/>
      <w:numFmt w:val="decimal"/>
      <w:lvlText w:val="%1.%2"/>
      <w:lvlJc w:val="left"/>
      <w:pPr>
        <w:ind w:left="660" w:hanging="569"/>
        <w:jc w:val="left"/>
      </w:pPr>
      <w:rPr>
        <w:rFonts w:hint="default" w:ascii="宋体" w:hAnsi="宋体" w:eastAsia="宋体" w:cs="宋体"/>
        <w:spacing w:val="-2"/>
        <w:w w:val="100"/>
        <w:sz w:val="28"/>
        <w:szCs w:val="28"/>
        <w:lang w:val="zh-CN" w:eastAsia="zh-CN" w:bidi="zh-CN"/>
      </w:rPr>
    </w:lvl>
    <w:lvl w:ilvl="2" w:tentative="0">
      <w:start w:val="1"/>
      <w:numFmt w:val="decimal"/>
      <w:lvlText w:val="%1.%2.%3"/>
      <w:lvlJc w:val="left"/>
      <w:pPr>
        <w:ind w:left="660" w:hanging="843"/>
        <w:jc w:val="left"/>
      </w:pPr>
      <w:rPr>
        <w:rFonts w:hint="default" w:ascii="宋体" w:hAnsi="宋体" w:eastAsia="宋体" w:cs="宋体"/>
        <w:spacing w:val="-2"/>
        <w:w w:val="100"/>
        <w:sz w:val="28"/>
        <w:szCs w:val="28"/>
        <w:lang w:val="zh-CN" w:eastAsia="zh-CN" w:bidi="zh-CN"/>
      </w:rPr>
    </w:lvl>
    <w:lvl w:ilvl="3" w:tentative="0">
      <w:start w:val="0"/>
      <w:numFmt w:val="bullet"/>
      <w:lvlText w:val="•"/>
      <w:lvlJc w:val="left"/>
      <w:pPr>
        <w:ind w:left="3115" w:hanging="843"/>
      </w:pPr>
      <w:rPr>
        <w:rFonts w:hint="default"/>
        <w:lang w:val="zh-CN" w:eastAsia="zh-CN" w:bidi="zh-CN"/>
      </w:rPr>
    </w:lvl>
    <w:lvl w:ilvl="4" w:tentative="0">
      <w:start w:val="0"/>
      <w:numFmt w:val="bullet"/>
      <w:lvlText w:val="•"/>
      <w:lvlJc w:val="left"/>
      <w:pPr>
        <w:ind w:left="4133" w:hanging="843"/>
      </w:pPr>
      <w:rPr>
        <w:rFonts w:hint="default"/>
        <w:lang w:val="zh-CN" w:eastAsia="zh-CN" w:bidi="zh-CN"/>
      </w:rPr>
    </w:lvl>
    <w:lvl w:ilvl="5" w:tentative="0">
      <w:start w:val="0"/>
      <w:numFmt w:val="bullet"/>
      <w:lvlText w:val="•"/>
      <w:lvlJc w:val="left"/>
      <w:pPr>
        <w:ind w:left="5151" w:hanging="843"/>
      </w:pPr>
      <w:rPr>
        <w:rFonts w:hint="default"/>
        <w:lang w:val="zh-CN" w:eastAsia="zh-CN" w:bidi="zh-CN"/>
      </w:rPr>
    </w:lvl>
    <w:lvl w:ilvl="6" w:tentative="0">
      <w:start w:val="0"/>
      <w:numFmt w:val="bullet"/>
      <w:lvlText w:val="•"/>
      <w:lvlJc w:val="left"/>
      <w:pPr>
        <w:ind w:left="6168" w:hanging="843"/>
      </w:pPr>
      <w:rPr>
        <w:rFonts w:hint="default"/>
        <w:lang w:val="zh-CN" w:eastAsia="zh-CN" w:bidi="zh-CN"/>
      </w:rPr>
    </w:lvl>
    <w:lvl w:ilvl="7" w:tentative="0">
      <w:start w:val="0"/>
      <w:numFmt w:val="bullet"/>
      <w:lvlText w:val="•"/>
      <w:lvlJc w:val="left"/>
      <w:pPr>
        <w:ind w:left="7186" w:hanging="843"/>
      </w:pPr>
      <w:rPr>
        <w:rFonts w:hint="default"/>
        <w:lang w:val="zh-CN" w:eastAsia="zh-CN" w:bidi="zh-CN"/>
      </w:rPr>
    </w:lvl>
    <w:lvl w:ilvl="8" w:tentative="0">
      <w:start w:val="0"/>
      <w:numFmt w:val="bullet"/>
      <w:lvlText w:val="•"/>
      <w:lvlJc w:val="left"/>
      <w:pPr>
        <w:ind w:left="8204" w:hanging="843"/>
      </w:pPr>
      <w:rPr>
        <w:rFonts w:hint="default"/>
        <w:lang w:val="zh-CN" w:eastAsia="zh-CN" w:bidi="zh-CN"/>
      </w:rPr>
    </w:lvl>
  </w:abstractNum>
  <w:abstractNum w:abstractNumId="2">
    <w:nsid w:val="8CAEB125"/>
    <w:multiLevelType w:val="multilevel"/>
    <w:tmpl w:val="8CAEB125"/>
    <w:lvl w:ilvl="0" w:tentative="0">
      <w:start w:val="11"/>
      <w:numFmt w:val="decimal"/>
      <w:lvlText w:val="%1."/>
      <w:lvlJc w:val="left"/>
      <w:pPr>
        <w:ind w:left="1227" w:hanging="565"/>
        <w:jc w:val="left"/>
      </w:pPr>
      <w:rPr>
        <w:rFonts w:hint="default" w:ascii="宋体" w:hAnsi="宋体" w:eastAsia="宋体" w:cs="宋体"/>
        <w:spacing w:val="0"/>
        <w:w w:val="100"/>
        <w:sz w:val="26"/>
        <w:szCs w:val="26"/>
        <w:lang w:val="zh-CN" w:eastAsia="zh-CN" w:bidi="zh-CN"/>
      </w:rPr>
    </w:lvl>
    <w:lvl w:ilvl="1" w:tentative="0">
      <w:start w:val="1"/>
      <w:numFmt w:val="decimal"/>
      <w:lvlText w:val="%1.%2"/>
      <w:lvlJc w:val="left"/>
      <w:pPr>
        <w:ind w:left="660" w:hanging="701"/>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2222" w:hanging="701"/>
      </w:pPr>
      <w:rPr>
        <w:rFonts w:hint="default"/>
        <w:lang w:val="zh-CN" w:eastAsia="zh-CN" w:bidi="zh-CN"/>
      </w:rPr>
    </w:lvl>
    <w:lvl w:ilvl="3" w:tentative="0">
      <w:start w:val="0"/>
      <w:numFmt w:val="bullet"/>
      <w:lvlText w:val="•"/>
      <w:lvlJc w:val="left"/>
      <w:pPr>
        <w:ind w:left="3224" w:hanging="701"/>
      </w:pPr>
      <w:rPr>
        <w:rFonts w:hint="default"/>
        <w:lang w:val="zh-CN" w:eastAsia="zh-CN" w:bidi="zh-CN"/>
      </w:rPr>
    </w:lvl>
    <w:lvl w:ilvl="4" w:tentative="0">
      <w:start w:val="0"/>
      <w:numFmt w:val="bullet"/>
      <w:lvlText w:val="•"/>
      <w:lvlJc w:val="left"/>
      <w:pPr>
        <w:ind w:left="4226" w:hanging="701"/>
      </w:pPr>
      <w:rPr>
        <w:rFonts w:hint="default"/>
        <w:lang w:val="zh-CN" w:eastAsia="zh-CN" w:bidi="zh-CN"/>
      </w:rPr>
    </w:lvl>
    <w:lvl w:ilvl="5" w:tentative="0">
      <w:start w:val="0"/>
      <w:numFmt w:val="bullet"/>
      <w:lvlText w:val="•"/>
      <w:lvlJc w:val="left"/>
      <w:pPr>
        <w:ind w:left="5228" w:hanging="701"/>
      </w:pPr>
      <w:rPr>
        <w:rFonts w:hint="default"/>
        <w:lang w:val="zh-CN" w:eastAsia="zh-CN" w:bidi="zh-CN"/>
      </w:rPr>
    </w:lvl>
    <w:lvl w:ilvl="6" w:tentative="0">
      <w:start w:val="0"/>
      <w:numFmt w:val="bullet"/>
      <w:lvlText w:val="•"/>
      <w:lvlJc w:val="left"/>
      <w:pPr>
        <w:ind w:left="6231" w:hanging="701"/>
      </w:pPr>
      <w:rPr>
        <w:rFonts w:hint="default"/>
        <w:lang w:val="zh-CN" w:eastAsia="zh-CN" w:bidi="zh-CN"/>
      </w:rPr>
    </w:lvl>
    <w:lvl w:ilvl="7" w:tentative="0">
      <w:start w:val="0"/>
      <w:numFmt w:val="bullet"/>
      <w:lvlText w:val="•"/>
      <w:lvlJc w:val="left"/>
      <w:pPr>
        <w:ind w:left="7233" w:hanging="701"/>
      </w:pPr>
      <w:rPr>
        <w:rFonts w:hint="default"/>
        <w:lang w:val="zh-CN" w:eastAsia="zh-CN" w:bidi="zh-CN"/>
      </w:rPr>
    </w:lvl>
    <w:lvl w:ilvl="8" w:tentative="0">
      <w:start w:val="0"/>
      <w:numFmt w:val="bullet"/>
      <w:lvlText w:val="•"/>
      <w:lvlJc w:val="left"/>
      <w:pPr>
        <w:ind w:left="8235" w:hanging="701"/>
      </w:pPr>
      <w:rPr>
        <w:rFonts w:hint="default"/>
        <w:lang w:val="zh-CN" w:eastAsia="zh-CN" w:bidi="zh-CN"/>
      </w:rPr>
    </w:lvl>
  </w:abstractNum>
  <w:abstractNum w:abstractNumId="3">
    <w:nsid w:val="91995D4F"/>
    <w:multiLevelType w:val="multilevel"/>
    <w:tmpl w:val="91995D4F"/>
    <w:lvl w:ilvl="0" w:tentative="0">
      <w:start w:val="4"/>
      <w:numFmt w:val="decimal"/>
      <w:lvlText w:val="%1."/>
      <w:lvlJc w:val="left"/>
      <w:pPr>
        <w:ind w:left="1085" w:hanging="424"/>
        <w:jc w:val="left"/>
      </w:pPr>
      <w:rPr>
        <w:rFonts w:hint="default" w:ascii="宋体" w:hAnsi="宋体" w:eastAsia="宋体" w:cs="宋体"/>
        <w:spacing w:val="0"/>
        <w:w w:val="100"/>
        <w:sz w:val="26"/>
        <w:szCs w:val="26"/>
        <w:lang w:val="zh-CN" w:eastAsia="zh-CN" w:bidi="zh-CN"/>
      </w:rPr>
    </w:lvl>
    <w:lvl w:ilvl="1" w:tentative="0">
      <w:start w:val="1"/>
      <w:numFmt w:val="decimal"/>
      <w:lvlText w:val="%1.%2"/>
      <w:lvlJc w:val="left"/>
      <w:pPr>
        <w:ind w:left="660" w:hanging="562"/>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2097" w:hanging="562"/>
      </w:pPr>
      <w:rPr>
        <w:rFonts w:hint="default"/>
        <w:lang w:val="zh-CN" w:eastAsia="zh-CN" w:bidi="zh-CN"/>
      </w:rPr>
    </w:lvl>
    <w:lvl w:ilvl="3" w:tentative="0">
      <w:start w:val="0"/>
      <w:numFmt w:val="bullet"/>
      <w:lvlText w:val="•"/>
      <w:lvlJc w:val="left"/>
      <w:pPr>
        <w:ind w:left="3115" w:hanging="562"/>
      </w:pPr>
      <w:rPr>
        <w:rFonts w:hint="default"/>
        <w:lang w:val="zh-CN" w:eastAsia="zh-CN" w:bidi="zh-CN"/>
      </w:rPr>
    </w:lvl>
    <w:lvl w:ilvl="4" w:tentative="0">
      <w:start w:val="0"/>
      <w:numFmt w:val="bullet"/>
      <w:lvlText w:val="•"/>
      <w:lvlJc w:val="left"/>
      <w:pPr>
        <w:ind w:left="4133" w:hanging="562"/>
      </w:pPr>
      <w:rPr>
        <w:rFonts w:hint="default"/>
        <w:lang w:val="zh-CN" w:eastAsia="zh-CN" w:bidi="zh-CN"/>
      </w:rPr>
    </w:lvl>
    <w:lvl w:ilvl="5" w:tentative="0">
      <w:start w:val="0"/>
      <w:numFmt w:val="bullet"/>
      <w:lvlText w:val="•"/>
      <w:lvlJc w:val="left"/>
      <w:pPr>
        <w:ind w:left="5151" w:hanging="562"/>
      </w:pPr>
      <w:rPr>
        <w:rFonts w:hint="default"/>
        <w:lang w:val="zh-CN" w:eastAsia="zh-CN" w:bidi="zh-CN"/>
      </w:rPr>
    </w:lvl>
    <w:lvl w:ilvl="6" w:tentative="0">
      <w:start w:val="0"/>
      <w:numFmt w:val="bullet"/>
      <w:lvlText w:val="•"/>
      <w:lvlJc w:val="left"/>
      <w:pPr>
        <w:ind w:left="6168" w:hanging="562"/>
      </w:pPr>
      <w:rPr>
        <w:rFonts w:hint="default"/>
        <w:lang w:val="zh-CN" w:eastAsia="zh-CN" w:bidi="zh-CN"/>
      </w:rPr>
    </w:lvl>
    <w:lvl w:ilvl="7" w:tentative="0">
      <w:start w:val="0"/>
      <w:numFmt w:val="bullet"/>
      <w:lvlText w:val="•"/>
      <w:lvlJc w:val="left"/>
      <w:pPr>
        <w:ind w:left="7186" w:hanging="562"/>
      </w:pPr>
      <w:rPr>
        <w:rFonts w:hint="default"/>
        <w:lang w:val="zh-CN" w:eastAsia="zh-CN" w:bidi="zh-CN"/>
      </w:rPr>
    </w:lvl>
    <w:lvl w:ilvl="8" w:tentative="0">
      <w:start w:val="0"/>
      <w:numFmt w:val="bullet"/>
      <w:lvlText w:val="•"/>
      <w:lvlJc w:val="left"/>
      <w:pPr>
        <w:ind w:left="8204" w:hanging="562"/>
      </w:pPr>
      <w:rPr>
        <w:rFonts w:hint="default"/>
        <w:lang w:val="zh-CN" w:eastAsia="zh-CN" w:bidi="zh-CN"/>
      </w:rPr>
    </w:lvl>
  </w:abstractNum>
  <w:abstractNum w:abstractNumId="4">
    <w:nsid w:val="9239341B"/>
    <w:multiLevelType w:val="multilevel"/>
    <w:tmpl w:val="9239341B"/>
    <w:lvl w:ilvl="0" w:tentative="0">
      <w:start w:val="3"/>
      <w:numFmt w:val="decimal"/>
      <w:lvlText w:val="%1"/>
      <w:lvlJc w:val="left"/>
      <w:pPr>
        <w:ind w:left="1087" w:hanging="425"/>
        <w:jc w:val="left"/>
      </w:pPr>
      <w:rPr>
        <w:rFonts w:hint="default"/>
        <w:lang w:val="zh-CN" w:eastAsia="zh-CN" w:bidi="zh-CN"/>
      </w:rPr>
    </w:lvl>
    <w:lvl w:ilvl="1" w:tentative="0">
      <w:start w:val="1"/>
      <w:numFmt w:val="decimal"/>
      <w:lvlText w:val="%1.%2"/>
      <w:lvlJc w:val="left"/>
      <w:pPr>
        <w:ind w:left="1087" w:hanging="425"/>
        <w:jc w:val="left"/>
      </w:pPr>
      <w:rPr>
        <w:rFonts w:hint="default" w:ascii="宋体" w:hAnsi="宋体" w:eastAsia="宋体" w:cs="宋体"/>
        <w:spacing w:val="0"/>
        <w:w w:val="99"/>
        <w:sz w:val="24"/>
        <w:szCs w:val="24"/>
        <w:lang w:val="zh-CN" w:eastAsia="zh-CN" w:bidi="zh-CN"/>
      </w:rPr>
    </w:lvl>
    <w:lvl w:ilvl="2" w:tentative="0">
      <w:start w:val="1"/>
      <w:numFmt w:val="decimal"/>
      <w:lvlText w:val="%1.%2.%3"/>
      <w:lvlJc w:val="left"/>
      <w:pPr>
        <w:ind w:left="1800" w:hanging="660"/>
        <w:jc w:val="left"/>
      </w:pPr>
      <w:rPr>
        <w:rFonts w:hint="default" w:ascii="宋体" w:hAnsi="宋体" w:eastAsia="宋体" w:cs="宋体"/>
        <w:w w:val="99"/>
        <w:sz w:val="24"/>
        <w:szCs w:val="24"/>
        <w:lang w:val="zh-CN" w:eastAsia="zh-CN" w:bidi="zh-CN"/>
      </w:rPr>
    </w:lvl>
    <w:lvl w:ilvl="3" w:tentative="0">
      <w:start w:val="1"/>
      <w:numFmt w:val="decimal"/>
      <w:lvlText w:val="%1.%2.%3.%4"/>
      <w:lvlJc w:val="left"/>
      <w:pPr>
        <w:ind w:left="659" w:hanging="900"/>
        <w:jc w:val="right"/>
      </w:pPr>
      <w:rPr>
        <w:rFonts w:hint="default" w:ascii="宋体" w:hAnsi="宋体" w:eastAsia="宋体" w:cs="宋体"/>
        <w:w w:val="99"/>
        <w:sz w:val="24"/>
        <w:szCs w:val="24"/>
        <w:lang w:val="zh-CN" w:eastAsia="zh-CN" w:bidi="zh-CN"/>
      </w:rPr>
    </w:lvl>
    <w:lvl w:ilvl="4" w:tentative="0">
      <w:start w:val="0"/>
      <w:numFmt w:val="bullet"/>
      <w:lvlText w:val="•"/>
      <w:lvlJc w:val="left"/>
      <w:pPr>
        <w:ind w:left="3910" w:hanging="900"/>
      </w:pPr>
      <w:rPr>
        <w:rFonts w:hint="default"/>
        <w:lang w:val="zh-CN" w:eastAsia="zh-CN" w:bidi="zh-CN"/>
      </w:rPr>
    </w:lvl>
    <w:lvl w:ilvl="5" w:tentative="0">
      <w:start w:val="0"/>
      <w:numFmt w:val="bullet"/>
      <w:lvlText w:val="•"/>
      <w:lvlJc w:val="left"/>
      <w:pPr>
        <w:ind w:left="4965" w:hanging="900"/>
      </w:pPr>
      <w:rPr>
        <w:rFonts w:hint="default"/>
        <w:lang w:val="zh-CN" w:eastAsia="zh-CN" w:bidi="zh-CN"/>
      </w:rPr>
    </w:lvl>
    <w:lvl w:ilvl="6" w:tentative="0">
      <w:start w:val="0"/>
      <w:numFmt w:val="bullet"/>
      <w:lvlText w:val="•"/>
      <w:lvlJc w:val="left"/>
      <w:pPr>
        <w:ind w:left="6020" w:hanging="900"/>
      </w:pPr>
      <w:rPr>
        <w:rFonts w:hint="default"/>
        <w:lang w:val="zh-CN" w:eastAsia="zh-CN" w:bidi="zh-CN"/>
      </w:rPr>
    </w:lvl>
    <w:lvl w:ilvl="7" w:tentative="0">
      <w:start w:val="0"/>
      <w:numFmt w:val="bullet"/>
      <w:lvlText w:val="•"/>
      <w:lvlJc w:val="left"/>
      <w:pPr>
        <w:ind w:left="7075" w:hanging="900"/>
      </w:pPr>
      <w:rPr>
        <w:rFonts w:hint="default"/>
        <w:lang w:val="zh-CN" w:eastAsia="zh-CN" w:bidi="zh-CN"/>
      </w:rPr>
    </w:lvl>
    <w:lvl w:ilvl="8" w:tentative="0">
      <w:start w:val="0"/>
      <w:numFmt w:val="bullet"/>
      <w:lvlText w:val="•"/>
      <w:lvlJc w:val="left"/>
      <w:pPr>
        <w:ind w:left="8130" w:hanging="900"/>
      </w:pPr>
      <w:rPr>
        <w:rFonts w:hint="default"/>
        <w:lang w:val="zh-CN" w:eastAsia="zh-CN" w:bidi="zh-CN"/>
      </w:rPr>
    </w:lvl>
  </w:abstractNum>
  <w:abstractNum w:abstractNumId="5">
    <w:nsid w:val="9808D53F"/>
    <w:multiLevelType w:val="singleLevel"/>
    <w:tmpl w:val="9808D53F"/>
    <w:lvl w:ilvl="0" w:tentative="0">
      <w:start w:val="1"/>
      <w:numFmt w:val="chineseCounting"/>
      <w:suff w:val="nothing"/>
      <w:lvlText w:val="%1、"/>
      <w:lvlJc w:val="left"/>
      <w:rPr>
        <w:rFonts w:hint="eastAsia"/>
        <w:b w:val="0"/>
        <w:bCs w:val="0"/>
      </w:rPr>
    </w:lvl>
  </w:abstractNum>
  <w:abstractNum w:abstractNumId="6">
    <w:nsid w:val="9C8AC8EF"/>
    <w:multiLevelType w:val="multilevel"/>
    <w:tmpl w:val="9C8AC8EF"/>
    <w:lvl w:ilvl="0" w:tentative="0">
      <w:start w:val="1"/>
      <w:numFmt w:val="decimal"/>
      <w:lvlText w:val="（%1）"/>
      <w:lvlJc w:val="left"/>
      <w:pPr>
        <w:ind w:left="1680" w:hanging="601"/>
        <w:jc w:val="left"/>
      </w:pPr>
      <w:rPr>
        <w:rFonts w:hint="default" w:ascii="宋体" w:hAnsi="宋体" w:eastAsia="宋体" w:cs="宋体"/>
        <w:w w:val="99"/>
        <w:sz w:val="22"/>
        <w:szCs w:val="22"/>
        <w:lang w:val="zh-CN" w:eastAsia="zh-CN" w:bidi="zh-CN"/>
      </w:rPr>
    </w:lvl>
    <w:lvl w:ilvl="1" w:tentative="0">
      <w:start w:val="0"/>
      <w:numFmt w:val="bullet"/>
      <w:lvlText w:val="•"/>
      <w:lvlJc w:val="left"/>
      <w:pPr>
        <w:ind w:left="2536" w:hanging="601"/>
      </w:pPr>
      <w:rPr>
        <w:rFonts w:hint="default"/>
        <w:lang w:val="zh-CN" w:eastAsia="zh-CN" w:bidi="zh-CN"/>
      </w:rPr>
    </w:lvl>
    <w:lvl w:ilvl="2" w:tentative="0">
      <w:start w:val="0"/>
      <w:numFmt w:val="bullet"/>
      <w:lvlText w:val="•"/>
      <w:lvlJc w:val="left"/>
      <w:pPr>
        <w:ind w:left="3392" w:hanging="601"/>
      </w:pPr>
      <w:rPr>
        <w:rFonts w:hint="default"/>
        <w:lang w:val="zh-CN" w:eastAsia="zh-CN" w:bidi="zh-CN"/>
      </w:rPr>
    </w:lvl>
    <w:lvl w:ilvl="3" w:tentative="0">
      <w:start w:val="0"/>
      <w:numFmt w:val="bullet"/>
      <w:lvlText w:val="•"/>
      <w:lvlJc w:val="left"/>
      <w:pPr>
        <w:ind w:left="4248" w:hanging="601"/>
      </w:pPr>
      <w:rPr>
        <w:rFonts w:hint="default"/>
        <w:lang w:val="zh-CN" w:eastAsia="zh-CN" w:bidi="zh-CN"/>
      </w:rPr>
    </w:lvl>
    <w:lvl w:ilvl="4" w:tentative="0">
      <w:start w:val="0"/>
      <w:numFmt w:val="bullet"/>
      <w:lvlText w:val="•"/>
      <w:lvlJc w:val="left"/>
      <w:pPr>
        <w:ind w:left="5104" w:hanging="601"/>
      </w:pPr>
      <w:rPr>
        <w:rFonts w:hint="default"/>
        <w:lang w:val="zh-CN" w:eastAsia="zh-CN" w:bidi="zh-CN"/>
      </w:rPr>
    </w:lvl>
    <w:lvl w:ilvl="5" w:tentative="0">
      <w:start w:val="0"/>
      <w:numFmt w:val="bullet"/>
      <w:lvlText w:val="•"/>
      <w:lvlJc w:val="left"/>
      <w:pPr>
        <w:ind w:left="5960" w:hanging="601"/>
      </w:pPr>
      <w:rPr>
        <w:rFonts w:hint="default"/>
        <w:lang w:val="zh-CN" w:eastAsia="zh-CN" w:bidi="zh-CN"/>
      </w:rPr>
    </w:lvl>
    <w:lvl w:ilvl="6" w:tentative="0">
      <w:start w:val="0"/>
      <w:numFmt w:val="bullet"/>
      <w:lvlText w:val="•"/>
      <w:lvlJc w:val="left"/>
      <w:pPr>
        <w:ind w:left="6816" w:hanging="601"/>
      </w:pPr>
      <w:rPr>
        <w:rFonts w:hint="default"/>
        <w:lang w:val="zh-CN" w:eastAsia="zh-CN" w:bidi="zh-CN"/>
      </w:rPr>
    </w:lvl>
    <w:lvl w:ilvl="7" w:tentative="0">
      <w:start w:val="0"/>
      <w:numFmt w:val="bullet"/>
      <w:lvlText w:val="•"/>
      <w:lvlJc w:val="left"/>
      <w:pPr>
        <w:ind w:left="7672" w:hanging="601"/>
      </w:pPr>
      <w:rPr>
        <w:rFonts w:hint="default"/>
        <w:lang w:val="zh-CN" w:eastAsia="zh-CN" w:bidi="zh-CN"/>
      </w:rPr>
    </w:lvl>
    <w:lvl w:ilvl="8" w:tentative="0">
      <w:start w:val="0"/>
      <w:numFmt w:val="bullet"/>
      <w:lvlText w:val="•"/>
      <w:lvlJc w:val="left"/>
      <w:pPr>
        <w:ind w:left="8528" w:hanging="601"/>
      </w:pPr>
      <w:rPr>
        <w:rFonts w:hint="default"/>
        <w:lang w:val="zh-CN" w:eastAsia="zh-CN" w:bidi="zh-CN"/>
      </w:rPr>
    </w:lvl>
  </w:abstractNum>
  <w:abstractNum w:abstractNumId="7">
    <w:nsid w:val="B0F1ACD9"/>
    <w:multiLevelType w:val="multilevel"/>
    <w:tmpl w:val="B0F1ACD9"/>
    <w:lvl w:ilvl="0" w:tentative="0">
      <w:start w:val="10"/>
      <w:numFmt w:val="decimal"/>
      <w:lvlText w:val="%1"/>
      <w:lvlJc w:val="left"/>
      <w:pPr>
        <w:ind w:left="1327" w:hanging="605"/>
        <w:jc w:val="left"/>
      </w:pPr>
      <w:rPr>
        <w:rFonts w:hint="default"/>
        <w:lang w:val="zh-CN" w:eastAsia="zh-CN" w:bidi="zh-CN"/>
      </w:rPr>
    </w:lvl>
    <w:lvl w:ilvl="1" w:tentative="0">
      <w:start w:val="1"/>
      <w:numFmt w:val="decimal"/>
      <w:lvlText w:val="%1.%2"/>
      <w:lvlJc w:val="left"/>
      <w:pPr>
        <w:ind w:left="1327" w:hanging="605"/>
        <w:jc w:val="left"/>
      </w:pPr>
      <w:rPr>
        <w:rFonts w:hint="default" w:ascii="宋体" w:hAnsi="宋体" w:eastAsia="宋体" w:cs="宋体"/>
        <w:spacing w:val="0"/>
        <w:w w:val="99"/>
        <w:sz w:val="24"/>
        <w:szCs w:val="24"/>
        <w:lang w:val="zh-CN" w:eastAsia="zh-CN" w:bidi="zh-CN"/>
      </w:rPr>
    </w:lvl>
    <w:lvl w:ilvl="2" w:tentative="0">
      <w:start w:val="1"/>
      <w:numFmt w:val="decimal"/>
      <w:lvlText w:val="%1.%2.%3"/>
      <w:lvlJc w:val="left"/>
      <w:pPr>
        <w:ind w:left="1860" w:hanging="780"/>
        <w:jc w:val="left"/>
      </w:pPr>
      <w:rPr>
        <w:rFonts w:hint="default" w:ascii="宋体" w:hAnsi="宋体" w:eastAsia="宋体" w:cs="宋体"/>
        <w:w w:val="99"/>
        <w:sz w:val="24"/>
        <w:szCs w:val="24"/>
        <w:lang w:val="zh-CN" w:eastAsia="zh-CN" w:bidi="zh-CN"/>
      </w:rPr>
    </w:lvl>
    <w:lvl w:ilvl="3" w:tentative="0">
      <w:start w:val="0"/>
      <w:numFmt w:val="bullet"/>
      <w:lvlText w:val="•"/>
      <w:lvlJc w:val="left"/>
      <w:pPr>
        <w:ind w:left="3722" w:hanging="780"/>
      </w:pPr>
      <w:rPr>
        <w:rFonts w:hint="default"/>
        <w:lang w:val="zh-CN" w:eastAsia="zh-CN" w:bidi="zh-CN"/>
      </w:rPr>
    </w:lvl>
    <w:lvl w:ilvl="4" w:tentative="0">
      <w:start w:val="0"/>
      <w:numFmt w:val="bullet"/>
      <w:lvlText w:val="•"/>
      <w:lvlJc w:val="left"/>
      <w:pPr>
        <w:ind w:left="4653" w:hanging="780"/>
      </w:pPr>
      <w:rPr>
        <w:rFonts w:hint="default"/>
        <w:lang w:val="zh-CN" w:eastAsia="zh-CN" w:bidi="zh-CN"/>
      </w:rPr>
    </w:lvl>
    <w:lvl w:ilvl="5" w:tentative="0">
      <w:start w:val="0"/>
      <w:numFmt w:val="bullet"/>
      <w:lvlText w:val="•"/>
      <w:lvlJc w:val="left"/>
      <w:pPr>
        <w:ind w:left="5584" w:hanging="780"/>
      </w:pPr>
      <w:rPr>
        <w:rFonts w:hint="default"/>
        <w:lang w:val="zh-CN" w:eastAsia="zh-CN" w:bidi="zh-CN"/>
      </w:rPr>
    </w:lvl>
    <w:lvl w:ilvl="6" w:tentative="0">
      <w:start w:val="0"/>
      <w:numFmt w:val="bullet"/>
      <w:lvlText w:val="•"/>
      <w:lvlJc w:val="left"/>
      <w:pPr>
        <w:ind w:left="6515" w:hanging="780"/>
      </w:pPr>
      <w:rPr>
        <w:rFonts w:hint="default"/>
        <w:lang w:val="zh-CN" w:eastAsia="zh-CN" w:bidi="zh-CN"/>
      </w:rPr>
    </w:lvl>
    <w:lvl w:ilvl="7" w:tentative="0">
      <w:start w:val="0"/>
      <w:numFmt w:val="bullet"/>
      <w:lvlText w:val="•"/>
      <w:lvlJc w:val="left"/>
      <w:pPr>
        <w:ind w:left="7446" w:hanging="780"/>
      </w:pPr>
      <w:rPr>
        <w:rFonts w:hint="default"/>
        <w:lang w:val="zh-CN" w:eastAsia="zh-CN" w:bidi="zh-CN"/>
      </w:rPr>
    </w:lvl>
    <w:lvl w:ilvl="8" w:tentative="0">
      <w:start w:val="0"/>
      <w:numFmt w:val="bullet"/>
      <w:lvlText w:val="•"/>
      <w:lvlJc w:val="left"/>
      <w:pPr>
        <w:ind w:left="8377" w:hanging="780"/>
      </w:pPr>
      <w:rPr>
        <w:rFonts w:hint="default"/>
        <w:lang w:val="zh-CN" w:eastAsia="zh-CN" w:bidi="zh-CN"/>
      </w:rPr>
    </w:lvl>
  </w:abstractNum>
  <w:abstractNum w:abstractNumId="8">
    <w:nsid w:val="B53F3350"/>
    <w:multiLevelType w:val="multilevel"/>
    <w:tmpl w:val="B53F3350"/>
    <w:lvl w:ilvl="0" w:tentative="0">
      <w:start w:val="2"/>
      <w:numFmt w:val="decimal"/>
      <w:lvlText w:val="%1."/>
      <w:lvlJc w:val="left"/>
      <w:pPr>
        <w:ind w:left="1242" w:hanging="163"/>
        <w:jc w:val="left"/>
      </w:pPr>
      <w:rPr>
        <w:rFonts w:hint="default" w:ascii="Calibri" w:hAnsi="Calibri" w:eastAsia="Calibri" w:cs="Calibri"/>
        <w:spacing w:val="-1"/>
        <w:w w:val="100"/>
        <w:sz w:val="19"/>
        <w:szCs w:val="19"/>
        <w:lang w:val="zh-CN" w:eastAsia="zh-CN" w:bidi="zh-CN"/>
      </w:rPr>
    </w:lvl>
    <w:lvl w:ilvl="1" w:tentative="0">
      <w:start w:val="0"/>
      <w:numFmt w:val="bullet"/>
      <w:lvlText w:val="•"/>
      <w:lvlJc w:val="left"/>
      <w:pPr>
        <w:ind w:left="2140" w:hanging="163"/>
      </w:pPr>
      <w:rPr>
        <w:rFonts w:hint="default"/>
        <w:lang w:val="zh-CN" w:eastAsia="zh-CN" w:bidi="zh-CN"/>
      </w:rPr>
    </w:lvl>
    <w:lvl w:ilvl="2" w:tentative="0">
      <w:start w:val="0"/>
      <w:numFmt w:val="bullet"/>
      <w:lvlText w:val="•"/>
      <w:lvlJc w:val="left"/>
      <w:pPr>
        <w:ind w:left="3040" w:hanging="163"/>
      </w:pPr>
      <w:rPr>
        <w:rFonts w:hint="default"/>
        <w:lang w:val="zh-CN" w:eastAsia="zh-CN" w:bidi="zh-CN"/>
      </w:rPr>
    </w:lvl>
    <w:lvl w:ilvl="3" w:tentative="0">
      <w:start w:val="0"/>
      <w:numFmt w:val="bullet"/>
      <w:lvlText w:val="•"/>
      <w:lvlJc w:val="left"/>
      <w:pPr>
        <w:ind w:left="3940" w:hanging="163"/>
      </w:pPr>
      <w:rPr>
        <w:rFonts w:hint="default"/>
        <w:lang w:val="zh-CN" w:eastAsia="zh-CN" w:bidi="zh-CN"/>
      </w:rPr>
    </w:lvl>
    <w:lvl w:ilvl="4" w:tentative="0">
      <w:start w:val="0"/>
      <w:numFmt w:val="bullet"/>
      <w:lvlText w:val="•"/>
      <w:lvlJc w:val="left"/>
      <w:pPr>
        <w:ind w:left="4840" w:hanging="163"/>
      </w:pPr>
      <w:rPr>
        <w:rFonts w:hint="default"/>
        <w:lang w:val="zh-CN" w:eastAsia="zh-CN" w:bidi="zh-CN"/>
      </w:rPr>
    </w:lvl>
    <w:lvl w:ilvl="5" w:tentative="0">
      <w:start w:val="0"/>
      <w:numFmt w:val="bullet"/>
      <w:lvlText w:val="•"/>
      <w:lvlJc w:val="left"/>
      <w:pPr>
        <w:ind w:left="5740" w:hanging="163"/>
      </w:pPr>
      <w:rPr>
        <w:rFonts w:hint="default"/>
        <w:lang w:val="zh-CN" w:eastAsia="zh-CN" w:bidi="zh-CN"/>
      </w:rPr>
    </w:lvl>
    <w:lvl w:ilvl="6" w:tentative="0">
      <w:start w:val="0"/>
      <w:numFmt w:val="bullet"/>
      <w:lvlText w:val="•"/>
      <w:lvlJc w:val="left"/>
      <w:pPr>
        <w:ind w:left="6640" w:hanging="163"/>
      </w:pPr>
      <w:rPr>
        <w:rFonts w:hint="default"/>
        <w:lang w:val="zh-CN" w:eastAsia="zh-CN" w:bidi="zh-CN"/>
      </w:rPr>
    </w:lvl>
    <w:lvl w:ilvl="7" w:tentative="0">
      <w:start w:val="0"/>
      <w:numFmt w:val="bullet"/>
      <w:lvlText w:val="•"/>
      <w:lvlJc w:val="left"/>
      <w:pPr>
        <w:ind w:left="7540" w:hanging="163"/>
      </w:pPr>
      <w:rPr>
        <w:rFonts w:hint="default"/>
        <w:lang w:val="zh-CN" w:eastAsia="zh-CN" w:bidi="zh-CN"/>
      </w:rPr>
    </w:lvl>
    <w:lvl w:ilvl="8" w:tentative="0">
      <w:start w:val="0"/>
      <w:numFmt w:val="bullet"/>
      <w:lvlText w:val="•"/>
      <w:lvlJc w:val="left"/>
      <w:pPr>
        <w:ind w:left="8440" w:hanging="163"/>
      </w:pPr>
      <w:rPr>
        <w:rFonts w:hint="default"/>
        <w:lang w:val="zh-CN" w:eastAsia="zh-CN" w:bidi="zh-CN"/>
      </w:rPr>
    </w:lvl>
  </w:abstractNum>
  <w:abstractNum w:abstractNumId="9">
    <w:nsid w:val="B5E306ED"/>
    <w:multiLevelType w:val="multilevel"/>
    <w:tmpl w:val="B5E306ED"/>
    <w:lvl w:ilvl="0" w:tentative="0">
      <w:start w:val="1"/>
      <w:numFmt w:val="decimal"/>
      <w:lvlText w:val="%1."/>
      <w:lvlJc w:val="left"/>
      <w:pPr>
        <w:ind w:left="660" w:hanging="382"/>
        <w:jc w:val="left"/>
      </w:pPr>
      <w:rPr>
        <w:rFonts w:hint="default" w:ascii="宋体" w:hAnsi="宋体" w:eastAsia="宋体" w:cs="宋体"/>
        <w:w w:val="99"/>
        <w:sz w:val="24"/>
        <w:szCs w:val="24"/>
        <w:lang w:val="zh-CN" w:eastAsia="zh-CN" w:bidi="zh-CN"/>
      </w:rPr>
    </w:lvl>
    <w:lvl w:ilvl="1" w:tentative="0">
      <w:start w:val="0"/>
      <w:numFmt w:val="bullet"/>
      <w:lvlText w:val="•"/>
      <w:lvlJc w:val="left"/>
      <w:pPr>
        <w:ind w:left="1618" w:hanging="382"/>
      </w:pPr>
      <w:rPr>
        <w:rFonts w:hint="default"/>
        <w:lang w:val="zh-CN" w:eastAsia="zh-CN" w:bidi="zh-CN"/>
      </w:rPr>
    </w:lvl>
    <w:lvl w:ilvl="2" w:tentative="0">
      <w:start w:val="0"/>
      <w:numFmt w:val="bullet"/>
      <w:lvlText w:val="•"/>
      <w:lvlJc w:val="left"/>
      <w:pPr>
        <w:ind w:left="2576" w:hanging="382"/>
      </w:pPr>
      <w:rPr>
        <w:rFonts w:hint="default"/>
        <w:lang w:val="zh-CN" w:eastAsia="zh-CN" w:bidi="zh-CN"/>
      </w:rPr>
    </w:lvl>
    <w:lvl w:ilvl="3" w:tentative="0">
      <w:start w:val="0"/>
      <w:numFmt w:val="bullet"/>
      <w:lvlText w:val="•"/>
      <w:lvlJc w:val="left"/>
      <w:pPr>
        <w:ind w:left="3534" w:hanging="382"/>
      </w:pPr>
      <w:rPr>
        <w:rFonts w:hint="default"/>
        <w:lang w:val="zh-CN" w:eastAsia="zh-CN" w:bidi="zh-CN"/>
      </w:rPr>
    </w:lvl>
    <w:lvl w:ilvl="4" w:tentative="0">
      <w:start w:val="0"/>
      <w:numFmt w:val="bullet"/>
      <w:lvlText w:val="•"/>
      <w:lvlJc w:val="left"/>
      <w:pPr>
        <w:ind w:left="4492" w:hanging="382"/>
      </w:pPr>
      <w:rPr>
        <w:rFonts w:hint="default"/>
        <w:lang w:val="zh-CN" w:eastAsia="zh-CN" w:bidi="zh-CN"/>
      </w:rPr>
    </w:lvl>
    <w:lvl w:ilvl="5" w:tentative="0">
      <w:start w:val="0"/>
      <w:numFmt w:val="bullet"/>
      <w:lvlText w:val="•"/>
      <w:lvlJc w:val="left"/>
      <w:pPr>
        <w:ind w:left="5450" w:hanging="382"/>
      </w:pPr>
      <w:rPr>
        <w:rFonts w:hint="default"/>
        <w:lang w:val="zh-CN" w:eastAsia="zh-CN" w:bidi="zh-CN"/>
      </w:rPr>
    </w:lvl>
    <w:lvl w:ilvl="6" w:tentative="0">
      <w:start w:val="0"/>
      <w:numFmt w:val="bullet"/>
      <w:lvlText w:val="•"/>
      <w:lvlJc w:val="left"/>
      <w:pPr>
        <w:ind w:left="6408" w:hanging="382"/>
      </w:pPr>
      <w:rPr>
        <w:rFonts w:hint="default"/>
        <w:lang w:val="zh-CN" w:eastAsia="zh-CN" w:bidi="zh-CN"/>
      </w:rPr>
    </w:lvl>
    <w:lvl w:ilvl="7" w:tentative="0">
      <w:start w:val="0"/>
      <w:numFmt w:val="bullet"/>
      <w:lvlText w:val="•"/>
      <w:lvlJc w:val="left"/>
      <w:pPr>
        <w:ind w:left="7366" w:hanging="382"/>
      </w:pPr>
      <w:rPr>
        <w:rFonts w:hint="default"/>
        <w:lang w:val="zh-CN" w:eastAsia="zh-CN" w:bidi="zh-CN"/>
      </w:rPr>
    </w:lvl>
    <w:lvl w:ilvl="8" w:tentative="0">
      <w:start w:val="0"/>
      <w:numFmt w:val="bullet"/>
      <w:lvlText w:val="•"/>
      <w:lvlJc w:val="left"/>
      <w:pPr>
        <w:ind w:left="8324" w:hanging="382"/>
      </w:pPr>
      <w:rPr>
        <w:rFonts w:hint="default"/>
        <w:lang w:val="zh-CN" w:eastAsia="zh-CN" w:bidi="zh-CN"/>
      </w:rPr>
    </w:lvl>
  </w:abstractNum>
  <w:abstractNum w:abstractNumId="10">
    <w:nsid w:val="B8CEF35B"/>
    <w:multiLevelType w:val="multilevel"/>
    <w:tmpl w:val="B8CEF35B"/>
    <w:lvl w:ilvl="0" w:tentative="0">
      <w:start w:val="5"/>
      <w:numFmt w:val="decimal"/>
      <w:lvlText w:val="%1"/>
      <w:lvlJc w:val="left"/>
      <w:pPr>
        <w:ind w:left="660" w:hanging="569"/>
        <w:jc w:val="left"/>
      </w:pPr>
      <w:rPr>
        <w:rFonts w:hint="default"/>
        <w:lang w:val="zh-CN" w:eastAsia="zh-CN" w:bidi="zh-CN"/>
      </w:rPr>
    </w:lvl>
    <w:lvl w:ilvl="1" w:tentative="0">
      <w:start w:val="1"/>
      <w:numFmt w:val="decimal"/>
      <w:lvlText w:val="%1.%2"/>
      <w:lvlJc w:val="left"/>
      <w:pPr>
        <w:ind w:left="660" w:hanging="569"/>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2576" w:hanging="569"/>
      </w:pPr>
      <w:rPr>
        <w:rFonts w:hint="default"/>
        <w:lang w:val="zh-CN" w:eastAsia="zh-CN" w:bidi="zh-CN"/>
      </w:rPr>
    </w:lvl>
    <w:lvl w:ilvl="3" w:tentative="0">
      <w:start w:val="0"/>
      <w:numFmt w:val="bullet"/>
      <w:lvlText w:val="•"/>
      <w:lvlJc w:val="left"/>
      <w:pPr>
        <w:ind w:left="3534" w:hanging="569"/>
      </w:pPr>
      <w:rPr>
        <w:rFonts w:hint="default"/>
        <w:lang w:val="zh-CN" w:eastAsia="zh-CN" w:bidi="zh-CN"/>
      </w:rPr>
    </w:lvl>
    <w:lvl w:ilvl="4" w:tentative="0">
      <w:start w:val="0"/>
      <w:numFmt w:val="bullet"/>
      <w:lvlText w:val="•"/>
      <w:lvlJc w:val="left"/>
      <w:pPr>
        <w:ind w:left="4492" w:hanging="569"/>
      </w:pPr>
      <w:rPr>
        <w:rFonts w:hint="default"/>
        <w:lang w:val="zh-CN" w:eastAsia="zh-CN" w:bidi="zh-CN"/>
      </w:rPr>
    </w:lvl>
    <w:lvl w:ilvl="5" w:tentative="0">
      <w:start w:val="0"/>
      <w:numFmt w:val="bullet"/>
      <w:lvlText w:val="•"/>
      <w:lvlJc w:val="left"/>
      <w:pPr>
        <w:ind w:left="5450" w:hanging="569"/>
      </w:pPr>
      <w:rPr>
        <w:rFonts w:hint="default"/>
        <w:lang w:val="zh-CN" w:eastAsia="zh-CN" w:bidi="zh-CN"/>
      </w:rPr>
    </w:lvl>
    <w:lvl w:ilvl="6" w:tentative="0">
      <w:start w:val="0"/>
      <w:numFmt w:val="bullet"/>
      <w:lvlText w:val="•"/>
      <w:lvlJc w:val="left"/>
      <w:pPr>
        <w:ind w:left="6408" w:hanging="569"/>
      </w:pPr>
      <w:rPr>
        <w:rFonts w:hint="default"/>
        <w:lang w:val="zh-CN" w:eastAsia="zh-CN" w:bidi="zh-CN"/>
      </w:rPr>
    </w:lvl>
    <w:lvl w:ilvl="7" w:tentative="0">
      <w:start w:val="0"/>
      <w:numFmt w:val="bullet"/>
      <w:lvlText w:val="•"/>
      <w:lvlJc w:val="left"/>
      <w:pPr>
        <w:ind w:left="7366" w:hanging="569"/>
      </w:pPr>
      <w:rPr>
        <w:rFonts w:hint="default"/>
        <w:lang w:val="zh-CN" w:eastAsia="zh-CN" w:bidi="zh-CN"/>
      </w:rPr>
    </w:lvl>
    <w:lvl w:ilvl="8" w:tentative="0">
      <w:start w:val="0"/>
      <w:numFmt w:val="bullet"/>
      <w:lvlText w:val="•"/>
      <w:lvlJc w:val="left"/>
      <w:pPr>
        <w:ind w:left="8324" w:hanging="569"/>
      </w:pPr>
      <w:rPr>
        <w:rFonts w:hint="default"/>
        <w:lang w:val="zh-CN" w:eastAsia="zh-CN" w:bidi="zh-CN"/>
      </w:rPr>
    </w:lvl>
  </w:abstractNum>
  <w:abstractNum w:abstractNumId="11">
    <w:nsid w:val="BB64CFA9"/>
    <w:multiLevelType w:val="multilevel"/>
    <w:tmpl w:val="BB64CFA9"/>
    <w:lvl w:ilvl="0" w:tentative="0">
      <w:start w:val="2"/>
      <w:numFmt w:val="decimal"/>
      <w:lvlText w:val="（%1）"/>
      <w:lvlJc w:val="left"/>
      <w:pPr>
        <w:ind w:left="660" w:hanging="707"/>
        <w:jc w:val="left"/>
      </w:pPr>
      <w:rPr>
        <w:rFonts w:hint="default" w:ascii="宋体" w:hAnsi="宋体" w:eastAsia="宋体" w:cs="宋体"/>
        <w:w w:val="100"/>
        <w:sz w:val="26"/>
        <w:szCs w:val="26"/>
        <w:lang w:val="zh-CN" w:eastAsia="zh-CN" w:bidi="zh-CN"/>
      </w:rPr>
    </w:lvl>
    <w:lvl w:ilvl="1" w:tentative="0">
      <w:start w:val="0"/>
      <w:numFmt w:val="bullet"/>
      <w:lvlText w:val="•"/>
      <w:lvlJc w:val="left"/>
      <w:pPr>
        <w:ind w:left="1618" w:hanging="707"/>
      </w:pPr>
      <w:rPr>
        <w:rFonts w:hint="default"/>
        <w:lang w:val="zh-CN" w:eastAsia="zh-CN" w:bidi="zh-CN"/>
      </w:rPr>
    </w:lvl>
    <w:lvl w:ilvl="2" w:tentative="0">
      <w:start w:val="0"/>
      <w:numFmt w:val="bullet"/>
      <w:lvlText w:val="•"/>
      <w:lvlJc w:val="left"/>
      <w:pPr>
        <w:ind w:left="2576" w:hanging="707"/>
      </w:pPr>
      <w:rPr>
        <w:rFonts w:hint="default"/>
        <w:lang w:val="zh-CN" w:eastAsia="zh-CN" w:bidi="zh-CN"/>
      </w:rPr>
    </w:lvl>
    <w:lvl w:ilvl="3" w:tentative="0">
      <w:start w:val="0"/>
      <w:numFmt w:val="bullet"/>
      <w:lvlText w:val="•"/>
      <w:lvlJc w:val="left"/>
      <w:pPr>
        <w:ind w:left="3534" w:hanging="707"/>
      </w:pPr>
      <w:rPr>
        <w:rFonts w:hint="default"/>
        <w:lang w:val="zh-CN" w:eastAsia="zh-CN" w:bidi="zh-CN"/>
      </w:rPr>
    </w:lvl>
    <w:lvl w:ilvl="4" w:tentative="0">
      <w:start w:val="0"/>
      <w:numFmt w:val="bullet"/>
      <w:lvlText w:val="•"/>
      <w:lvlJc w:val="left"/>
      <w:pPr>
        <w:ind w:left="4492" w:hanging="707"/>
      </w:pPr>
      <w:rPr>
        <w:rFonts w:hint="default"/>
        <w:lang w:val="zh-CN" w:eastAsia="zh-CN" w:bidi="zh-CN"/>
      </w:rPr>
    </w:lvl>
    <w:lvl w:ilvl="5" w:tentative="0">
      <w:start w:val="0"/>
      <w:numFmt w:val="bullet"/>
      <w:lvlText w:val="•"/>
      <w:lvlJc w:val="left"/>
      <w:pPr>
        <w:ind w:left="5450" w:hanging="707"/>
      </w:pPr>
      <w:rPr>
        <w:rFonts w:hint="default"/>
        <w:lang w:val="zh-CN" w:eastAsia="zh-CN" w:bidi="zh-CN"/>
      </w:rPr>
    </w:lvl>
    <w:lvl w:ilvl="6" w:tentative="0">
      <w:start w:val="0"/>
      <w:numFmt w:val="bullet"/>
      <w:lvlText w:val="•"/>
      <w:lvlJc w:val="left"/>
      <w:pPr>
        <w:ind w:left="6408" w:hanging="707"/>
      </w:pPr>
      <w:rPr>
        <w:rFonts w:hint="default"/>
        <w:lang w:val="zh-CN" w:eastAsia="zh-CN" w:bidi="zh-CN"/>
      </w:rPr>
    </w:lvl>
    <w:lvl w:ilvl="7" w:tentative="0">
      <w:start w:val="0"/>
      <w:numFmt w:val="bullet"/>
      <w:lvlText w:val="•"/>
      <w:lvlJc w:val="left"/>
      <w:pPr>
        <w:ind w:left="7366" w:hanging="707"/>
      </w:pPr>
      <w:rPr>
        <w:rFonts w:hint="default"/>
        <w:lang w:val="zh-CN" w:eastAsia="zh-CN" w:bidi="zh-CN"/>
      </w:rPr>
    </w:lvl>
    <w:lvl w:ilvl="8" w:tentative="0">
      <w:start w:val="0"/>
      <w:numFmt w:val="bullet"/>
      <w:lvlText w:val="•"/>
      <w:lvlJc w:val="left"/>
      <w:pPr>
        <w:ind w:left="8324" w:hanging="707"/>
      </w:pPr>
      <w:rPr>
        <w:rFonts w:hint="default"/>
        <w:lang w:val="zh-CN" w:eastAsia="zh-CN" w:bidi="zh-CN"/>
      </w:rPr>
    </w:lvl>
  </w:abstractNum>
  <w:abstractNum w:abstractNumId="12">
    <w:nsid w:val="BF205925"/>
    <w:multiLevelType w:val="multilevel"/>
    <w:tmpl w:val="BF205925"/>
    <w:lvl w:ilvl="0" w:tentative="0">
      <w:start w:val="2"/>
      <w:numFmt w:val="decimal"/>
      <w:lvlText w:val="%1."/>
      <w:lvlJc w:val="left"/>
      <w:pPr>
        <w:ind w:left="1380" w:hanging="241"/>
        <w:jc w:val="left"/>
      </w:pPr>
      <w:rPr>
        <w:rFonts w:hint="default" w:ascii="宋体" w:hAnsi="宋体" w:eastAsia="宋体" w:cs="宋体"/>
        <w:spacing w:val="-60"/>
        <w:w w:val="99"/>
        <w:sz w:val="22"/>
        <w:szCs w:val="22"/>
        <w:lang w:val="zh-CN" w:eastAsia="zh-CN" w:bidi="zh-CN"/>
      </w:rPr>
    </w:lvl>
    <w:lvl w:ilvl="1" w:tentative="0">
      <w:start w:val="0"/>
      <w:numFmt w:val="bullet"/>
      <w:lvlText w:val="•"/>
      <w:lvlJc w:val="left"/>
      <w:pPr>
        <w:ind w:left="2266" w:hanging="241"/>
      </w:pPr>
      <w:rPr>
        <w:rFonts w:hint="default"/>
        <w:lang w:val="zh-CN" w:eastAsia="zh-CN" w:bidi="zh-CN"/>
      </w:rPr>
    </w:lvl>
    <w:lvl w:ilvl="2" w:tentative="0">
      <w:start w:val="0"/>
      <w:numFmt w:val="bullet"/>
      <w:lvlText w:val="•"/>
      <w:lvlJc w:val="left"/>
      <w:pPr>
        <w:ind w:left="3152" w:hanging="241"/>
      </w:pPr>
      <w:rPr>
        <w:rFonts w:hint="default"/>
        <w:lang w:val="zh-CN" w:eastAsia="zh-CN" w:bidi="zh-CN"/>
      </w:rPr>
    </w:lvl>
    <w:lvl w:ilvl="3" w:tentative="0">
      <w:start w:val="0"/>
      <w:numFmt w:val="bullet"/>
      <w:lvlText w:val="•"/>
      <w:lvlJc w:val="left"/>
      <w:pPr>
        <w:ind w:left="4038" w:hanging="241"/>
      </w:pPr>
      <w:rPr>
        <w:rFonts w:hint="default"/>
        <w:lang w:val="zh-CN" w:eastAsia="zh-CN" w:bidi="zh-CN"/>
      </w:rPr>
    </w:lvl>
    <w:lvl w:ilvl="4" w:tentative="0">
      <w:start w:val="0"/>
      <w:numFmt w:val="bullet"/>
      <w:lvlText w:val="•"/>
      <w:lvlJc w:val="left"/>
      <w:pPr>
        <w:ind w:left="4924" w:hanging="241"/>
      </w:pPr>
      <w:rPr>
        <w:rFonts w:hint="default"/>
        <w:lang w:val="zh-CN" w:eastAsia="zh-CN" w:bidi="zh-CN"/>
      </w:rPr>
    </w:lvl>
    <w:lvl w:ilvl="5" w:tentative="0">
      <w:start w:val="0"/>
      <w:numFmt w:val="bullet"/>
      <w:lvlText w:val="•"/>
      <w:lvlJc w:val="left"/>
      <w:pPr>
        <w:ind w:left="5810" w:hanging="241"/>
      </w:pPr>
      <w:rPr>
        <w:rFonts w:hint="default"/>
        <w:lang w:val="zh-CN" w:eastAsia="zh-CN" w:bidi="zh-CN"/>
      </w:rPr>
    </w:lvl>
    <w:lvl w:ilvl="6" w:tentative="0">
      <w:start w:val="0"/>
      <w:numFmt w:val="bullet"/>
      <w:lvlText w:val="•"/>
      <w:lvlJc w:val="left"/>
      <w:pPr>
        <w:ind w:left="6696" w:hanging="241"/>
      </w:pPr>
      <w:rPr>
        <w:rFonts w:hint="default"/>
        <w:lang w:val="zh-CN" w:eastAsia="zh-CN" w:bidi="zh-CN"/>
      </w:rPr>
    </w:lvl>
    <w:lvl w:ilvl="7" w:tentative="0">
      <w:start w:val="0"/>
      <w:numFmt w:val="bullet"/>
      <w:lvlText w:val="•"/>
      <w:lvlJc w:val="left"/>
      <w:pPr>
        <w:ind w:left="7582" w:hanging="241"/>
      </w:pPr>
      <w:rPr>
        <w:rFonts w:hint="default"/>
        <w:lang w:val="zh-CN" w:eastAsia="zh-CN" w:bidi="zh-CN"/>
      </w:rPr>
    </w:lvl>
    <w:lvl w:ilvl="8" w:tentative="0">
      <w:start w:val="0"/>
      <w:numFmt w:val="bullet"/>
      <w:lvlText w:val="•"/>
      <w:lvlJc w:val="left"/>
      <w:pPr>
        <w:ind w:left="8468" w:hanging="241"/>
      </w:pPr>
      <w:rPr>
        <w:rFonts w:hint="default"/>
        <w:lang w:val="zh-CN" w:eastAsia="zh-CN" w:bidi="zh-CN"/>
      </w:rPr>
    </w:lvl>
  </w:abstractNum>
  <w:abstractNum w:abstractNumId="13">
    <w:nsid w:val="C0915F4F"/>
    <w:multiLevelType w:val="multilevel"/>
    <w:tmpl w:val="C0915F4F"/>
    <w:lvl w:ilvl="0" w:tentative="0">
      <w:start w:val="1"/>
      <w:numFmt w:val="decimal"/>
      <w:lvlText w:val="%1."/>
      <w:lvlJc w:val="left"/>
      <w:pPr>
        <w:ind w:left="487" w:hanging="315"/>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1456" w:hanging="315"/>
      </w:pPr>
      <w:rPr>
        <w:rFonts w:hint="default"/>
        <w:lang w:val="zh-CN" w:eastAsia="zh-CN" w:bidi="zh-CN"/>
      </w:rPr>
    </w:lvl>
    <w:lvl w:ilvl="2" w:tentative="0">
      <w:start w:val="0"/>
      <w:numFmt w:val="bullet"/>
      <w:lvlText w:val="•"/>
      <w:lvlJc w:val="left"/>
      <w:pPr>
        <w:ind w:left="2432" w:hanging="315"/>
      </w:pPr>
      <w:rPr>
        <w:rFonts w:hint="default"/>
        <w:lang w:val="zh-CN" w:eastAsia="zh-CN" w:bidi="zh-CN"/>
      </w:rPr>
    </w:lvl>
    <w:lvl w:ilvl="3" w:tentative="0">
      <w:start w:val="0"/>
      <w:numFmt w:val="bullet"/>
      <w:lvlText w:val="•"/>
      <w:lvlJc w:val="left"/>
      <w:pPr>
        <w:ind w:left="3408" w:hanging="315"/>
      </w:pPr>
      <w:rPr>
        <w:rFonts w:hint="default"/>
        <w:lang w:val="zh-CN" w:eastAsia="zh-CN" w:bidi="zh-CN"/>
      </w:rPr>
    </w:lvl>
    <w:lvl w:ilvl="4" w:tentative="0">
      <w:start w:val="0"/>
      <w:numFmt w:val="bullet"/>
      <w:lvlText w:val="•"/>
      <w:lvlJc w:val="left"/>
      <w:pPr>
        <w:ind w:left="4384" w:hanging="315"/>
      </w:pPr>
      <w:rPr>
        <w:rFonts w:hint="default"/>
        <w:lang w:val="zh-CN" w:eastAsia="zh-CN" w:bidi="zh-CN"/>
      </w:rPr>
    </w:lvl>
    <w:lvl w:ilvl="5" w:tentative="0">
      <w:start w:val="0"/>
      <w:numFmt w:val="bullet"/>
      <w:lvlText w:val="•"/>
      <w:lvlJc w:val="left"/>
      <w:pPr>
        <w:ind w:left="5360" w:hanging="315"/>
      </w:pPr>
      <w:rPr>
        <w:rFonts w:hint="default"/>
        <w:lang w:val="zh-CN" w:eastAsia="zh-CN" w:bidi="zh-CN"/>
      </w:rPr>
    </w:lvl>
    <w:lvl w:ilvl="6" w:tentative="0">
      <w:start w:val="0"/>
      <w:numFmt w:val="bullet"/>
      <w:lvlText w:val="•"/>
      <w:lvlJc w:val="left"/>
      <w:pPr>
        <w:ind w:left="6336" w:hanging="315"/>
      </w:pPr>
      <w:rPr>
        <w:rFonts w:hint="default"/>
        <w:lang w:val="zh-CN" w:eastAsia="zh-CN" w:bidi="zh-CN"/>
      </w:rPr>
    </w:lvl>
    <w:lvl w:ilvl="7" w:tentative="0">
      <w:start w:val="0"/>
      <w:numFmt w:val="bullet"/>
      <w:lvlText w:val="•"/>
      <w:lvlJc w:val="left"/>
      <w:pPr>
        <w:ind w:left="7312" w:hanging="315"/>
      </w:pPr>
      <w:rPr>
        <w:rFonts w:hint="default"/>
        <w:lang w:val="zh-CN" w:eastAsia="zh-CN" w:bidi="zh-CN"/>
      </w:rPr>
    </w:lvl>
    <w:lvl w:ilvl="8" w:tentative="0">
      <w:start w:val="0"/>
      <w:numFmt w:val="bullet"/>
      <w:lvlText w:val="•"/>
      <w:lvlJc w:val="left"/>
      <w:pPr>
        <w:ind w:left="8288" w:hanging="315"/>
      </w:pPr>
      <w:rPr>
        <w:rFonts w:hint="default"/>
        <w:lang w:val="zh-CN" w:eastAsia="zh-CN" w:bidi="zh-CN"/>
      </w:rPr>
    </w:lvl>
  </w:abstractNum>
  <w:abstractNum w:abstractNumId="14">
    <w:nsid w:val="C8879AEF"/>
    <w:multiLevelType w:val="multilevel"/>
    <w:tmpl w:val="C8879AEF"/>
    <w:lvl w:ilvl="0" w:tentative="0">
      <w:start w:val="2"/>
      <w:numFmt w:val="decimal"/>
      <w:lvlText w:val="（%1）"/>
      <w:lvlJc w:val="left"/>
      <w:pPr>
        <w:ind w:left="1726" w:hanging="601"/>
        <w:jc w:val="left"/>
      </w:pPr>
      <w:rPr>
        <w:rFonts w:hint="default" w:ascii="宋体" w:hAnsi="宋体" w:eastAsia="宋体" w:cs="宋体"/>
        <w:w w:val="99"/>
        <w:sz w:val="22"/>
        <w:szCs w:val="22"/>
        <w:lang w:val="zh-CN" w:eastAsia="zh-CN" w:bidi="zh-CN"/>
      </w:rPr>
    </w:lvl>
    <w:lvl w:ilvl="1" w:tentative="0">
      <w:start w:val="0"/>
      <w:numFmt w:val="bullet"/>
      <w:lvlText w:val="•"/>
      <w:lvlJc w:val="left"/>
      <w:pPr>
        <w:ind w:left="2572" w:hanging="601"/>
      </w:pPr>
      <w:rPr>
        <w:rFonts w:hint="default"/>
        <w:lang w:val="zh-CN" w:eastAsia="zh-CN" w:bidi="zh-CN"/>
      </w:rPr>
    </w:lvl>
    <w:lvl w:ilvl="2" w:tentative="0">
      <w:start w:val="0"/>
      <w:numFmt w:val="bullet"/>
      <w:lvlText w:val="•"/>
      <w:lvlJc w:val="left"/>
      <w:pPr>
        <w:ind w:left="3424" w:hanging="601"/>
      </w:pPr>
      <w:rPr>
        <w:rFonts w:hint="default"/>
        <w:lang w:val="zh-CN" w:eastAsia="zh-CN" w:bidi="zh-CN"/>
      </w:rPr>
    </w:lvl>
    <w:lvl w:ilvl="3" w:tentative="0">
      <w:start w:val="0"/>
      <w:numFmt w:val="bullet"/>
      <w:lvlText w:val="•"/>
      <w:lvlJc w:val="left"/>
      <w:pPr>
        <w:ind w:left="4276" w:hanging="601"/>
      </w:pPr>
      <w:rPr>
        <w:rFonts w:hint="default"/>
        <w:lang w:val="zh-CN" w:eastAsia="zh-CN" w:bidi="zh-CN"/>
      </w:rPr>
    </w:lvl>
    <w:lvl w:ilvl="4" w:tentative="0">
      <w:start w:val="0"/>
      <w:numFmt w:val="bullet"/>
      <w:lvlText w:val="•"/>
      <w:lvlJc w:val="left"/>
      <w:pPr>
        <w:ind w:left="5128" w:hanging="601"/>
      </w:pPr>
      <w:rPr>
        <w:rFonts w:hint="default"/>
        <w:lang w:val="zh-CN" w:eastAsia="zh-CN" w:bidi="zh-CN"/>
      </w:rPr>
    </w:lvl>
    <w:lvl w:ilvl="5" w:tentative="0">
      <w:start w:val="0"/>
      <w:numFmt w:val="bullet"/>
      <w:lvlText w:val="•"/>
      <w:lvlJc w:val="left"/>
      <w:pPr>
        <w:ind w:left="5980" w:hanging="601"/>
      </w:pPr>
      <w:rPr>
        <w:rFonts w:hint="default"/>
        <w:lang w:val="zh-CN" w:eastAsia="zh-CN" w:bidi="zh-CN"/>
      </w:rPr>
    </w:lvl>
    <w:lvl w:ilvl="6" w:tentative="0">
      <w:start w:val="0"/>
      <w:numFmt w:val="bullet"/>
      <w:lvlText w:val="•"/>
      <w:lvlJc w:val="left"/>
      <w:pPr>
        <w:ind w:left="6832" w:hanging="601"/>
      </w:pPr>
      <w:rPr>
        <w:rFonts w:hint="default"/>
        <w:lang w:val="zh-CN" w:eastAsia="zh-CN" w:bidi="zh-CN"/>
      </w:rPr>
    </w:lvl>
    <w:lvl w:ilvl="7" w:tentative="0">
      <w:start w:val="0"/>
      <w:numFmt w:val="bullet"/>
      <w:lvlText w:val="•"/>
      <w:lvlJc w:val="left"/>
      <w:pPr>
        <w:ind w:left="7684" w:hanging="601"/>
      </w:pPr>
      <w:rPr>
        <w:rFonts w:hint="default"/>
        <w:lang w:val="zh-CN" w:eastAsia="zh-CN" w:bidi="zh-CN"/>
      </w:rPr>
    </w:lvl>
    <w:lvl w:ilvl="8" w:tentative="0">
      <w:start w:val="0"/>
      <w:numFmt w:val="bullet"/>
      <w:lvlText w:val="•"/>
      <w:lvlJc w:val="left"/>
      <w:pPr>
        <w:ind w:left="8536" w:hanging="601"/>
      </w:pPr>
      <w:rPr>
        <w:rFonts w:hint="default"/>
        <w:lang w:val="zh-CN" w:eastAsia="zh-CN" w:bidi="zh-CN"/>
      </w:rPr>
    </w:lvl>
  </w:abstractNum>
  <w:abstractNum w:abstractNumId="15">
    <w:nsid w:val="CF092B84"/>
    <w:multiLevelType w:val="multilevel"/>
    <w:tmpl w:val="CF092B84"/>
    <w:lvl w:ilvl="0" w:tentative="0">
      <w:start w:val="1"/>
      <w:numFmt w:val="decimal"/>
      <w:lvlText w:val="%1."/>
      <w:lvlJc w:val="left"/>
      <w:pPr>
        <w:ind w:left="1380" w:hanging="241"/>
        <w:jc w:val="left"/>
      </w:pPr>
      <w:rPr>
        <w:rFonts w:hint="default" w:ascii="宋体" w:hAnsi="宋体" w:eastAsia="宋体" w:cs="宋体"/>
        <w:w w:val="99"/>
        <w:sz w:val="22"/>
        <w:szCs w:val="22"/>
        <w:lang w:val="zh-CN" w:eastAsia="zh-CN" w:bidi="zh-CN"/>
      </w:rPr>
    </w:lvl>
    <w:lvl w:ilvl="1" w:tentative="0">
      <w:start w:val="1"/>
      <w:numFmt w:val="decimal"/>
      <w:lvlText w:val="%1.%2."/>
      <w:lvlJc w:val="left"/>
      <w:pPr>
        <w:ind w:left="660" w:hanging="481"/>
        <w:jc w:val="left"/>
      </w:pPr>
      <w:rPr>
        <w:rFonts w:hint="default" w:ascii="宋体" w:hAnsi="宋体" w:eastAsia="宋体" w:cs="宋体"/>
        <w:spacing w:val="-111"/>
        <w:w w:val="99"/>
        <w:sz w:val="22"/>
        <w:szCs w:val="22"/>
        <w:lang w:val="zh-CN" w:eastAsia="zh-CN" w:bidi="zh-CN"/>
      </w:rPr>
    </w:lvl>
    <w:lvl w:ilvl="2" w:tentative="0">
      <w:start w:val="0"/>
      <w:numFmt w:val="bullet"/>
      <w:lvlText w:val="•"/>
      <w:lvlJc w:val="left"/>
      <w:pPr>
        <w:ind w:left="2364" w:hanging="481"/>
      </w:pPr>
      <w:rPr>
        <w:rFonts w:hint="default"/>
        <w:lang w:val="zh-CN" w:eastAsia="zh-CN" w:bidi="zh-CN"/>
      </w:rPr>
    </w:lvl>
    <w:lvl w:ilvl="3" w:tentative="0">
      <w:start w:val="0"/>
      <w:numFmt w:val="bullet"/>
      <w:lvlText w:val="•"/>
      <w:lvlJc w:val="left"/>
      <w:pPr>
        <w:ind w:left="3348" w:hanging="481"/>
      </w:pPr>
      <w:rPr>
        <w:rFonts w:hint="default"/>
        <w:lang w:val="zh-CN" w:eastAsia="zh-CN" w:bidi="zh-CN"/>
      </w:rPr>
    </w:lvl>
    <w:lvl w:ilvl="4" w:tentative="0">
      <w:start w:val="0"/>
      <w:numFmt w:val="bullet"/>
      <w:lvlText w:val="•"/>
      <w:lvlJc w:val="left"/>
      <w:pPr>
        <w:ind w:left="4333" w:hanging="481"/>
      </w:pPr>
      <w:rPr>
        <w:rFonts w:hint="default"/>
        <w:lang w:val="zh-CN" w:eastAsia="zh-CN" w:bidi="zh-CN"/>
      </w:rPr>
    </w:lvl>
    <w:lvl w:ilvl="5" w:tentative="0">
      <w:start w:val="0"/>
      <w:numFmt w:val="bullet"/>
      <w:lvlText w:val="•"/>
      <w:lvlJc w:val="left"/>
      <w:pPr>
        <w:ind w:left="5317" w:hanging="481"/>
      </w:pPr>
      <w:rPr>
        <w:rFonts w:hint="default"/>
        <w:lang w:val="zh-CN" w:eastAsia="zh-CN" w:bidi="zh-CN"/>
      </w:rPr>
    </w:lvl>
    <w:lvl w:ilvl="6" w:tentative="0">
      <w:start w:val="0"/>
      <w:numFmt w:val="bullet"/>
      <w:lvlText w:val="•"/>
      <w:lvlJc w:val="left"/>
      <w:pPr>
        <w:ind w:left="6302" w:hanging="481"/>
      </w:pPr>
      <w:rPr>
        <w:rFonts w:hint="default"/>
        <w:lang w:val="zh-CN" w:eastAsia="zh-CN" w:bidi="zh-CN"/>
      </w:rPr>
    </w:lvl>
    <w:lvl w:ilvl="7" w:tentative="0">
      <w:start w:val="0"/>
      <w:numFmt w:val="bullet"/>
      <w:lvlText w:val="•"/>
      <w:lvlJc w:val="left"/>
      <w:pPr>
        <w:ind w:left="7286" w:hanging="481"/>
      </w:pPr>
      <w:rPr>
        <w:rFonts w:hint="default"/>
        <w:lang w:val="zh-CN" w:eastAsia="zh-CN" w:bidi="zh-CN"/>
      </w:rPr>
    </w:lvl>
    <w:lvl w:ilvl="8" w:tentative="0">
      <w:start w:val="0"/>
      <w:numFmt w:val="bullet"/>
      <w:lvlText w:val="•"/>
      <w:lvlJc w:val="left"/>
      <w:pPr>
        <w:ind w:left="8271" w:hanging="481"/>
      </w:pPr>
      <w:rPr>
        <w:rFonts w:hint="default"/>
        <w:lang w:val="zh-CN" w:eastAsia="zh-CN" w:bidi="zh-CN"/>
      </w:rPr>
    </w:lvl>
  </w:abstractNum>
  <w:abstractNum w:abstractNumId="16">
    <w:nsid w:val="D7D140E4"/>
    <w:multiLevelType w:val="multilevel"/>
    <w:tmpl w:val="D7D140E4"/>
    <w:lvl w:ilvl="0" w:tentative="0">
      <w:start w:val="21"/>
      <w:numFmt w:val="decimal"/>
      <w:lvlText w:val="%1"/>
      <w:lvlJc w:val="left"/>
      <w:pPr>
        <w:ind w:left="660" w:hanging="704"/>
        <w:jc w:val="left"/>
      </w:pPr>
      <w:rPr>
        <w:rFonts w:hint="default"/>
        <w:lang w:val="zh-CN" w:eastAsia="zh-CN" w:bidi="zh-CN"/>
      </w:rPr>
    </w:lvl>
    <w:lvl w:ilvl="1" w:tentative="0">
      <w:start w:val="1"/>
      <w:numFmt w:val="decimal"/>
      <w:lvlText w:val="%1.%2"/>
      <w:lvlJc w:val="left"/>
      <w:pPr>
        <w:ind w:left="660" w:hanging="704"/>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2576" w:hanging="704"/>
      </w:pPr>
      <w:rPr>
        <w:rFonts w:hint="default"/>
        <w:lang w:val="zh-CN" w:eastAsia="zh-CN" w:bidi="zh-CN"/>
      </w:rPr>
    </w:lvl>
    <w:lvl w:ilvl="3" w:tentative="0">
      <w:start w:val="0"/>
      <w:numFmt w:val="bullet"/>
      <w:lvlText w:val="•"/>
      <w:lvlJc w:val="left"/>
      <w:pPr>
        <w:ind w:left="3534" w:hanging="704"/>
      </w:pPr>
      <w:rPr>
        <w:rFonts w:hint="default"/>
        <w:lang w:val="zh-CN" w:eastAsia="zh-CN" w:bidi="zh-CN"/>
      </w:rPr>
    </w:lvl>
    <w:lvl w:ilvl="4" w:tentative="0">
      <w:start w:val="0"/>
      <w:numFmt w:val="bullet"/>
      <w:lvlText w:val="•"/>
      <w:lvlJc w:val="left"/>
      <w:pPr>
        <w:ind w:left="4492" w:hanging="704"/>
      </w:pPr>
      <w:rPr>
        <w:rFonts w:hint="default"/>
        <w:lang w:val="zh-CN" w:eastAsia="zh-CN" w:bidi="zh-CN"/>
      </w:rPr>
    </w:lvl>
    <w:lvl w:ilvl="5" w:tentative="0">
      <w:start w:val="0"/>
      <w:numFmt w:val="bullet"/>
      <w:lvlText w:val="•"/>
      <w:lvlJc w:val="left"/>
      <w:pPr>
        <w:ind w:left="5450" w:hanging="704"/>
      </w:pPr>
      <w:rPr>
        <w:rFonts w:hint="default"/>
        <w:lang w:val="zh-CN" w:eastAsia="zh-CN" w:bidi="zh-CN"/>
      </w:rPr>
    </w:lvl>
    <w:lvl w:ilvl="6" w:tentative="0">
      <w:start w:val="0"/>
      <w:numFmt w:val="bullet"/>
      <w:lvlText w:val="•"/>
      <w:lvlJc w:val="left"/>
      <w:pPr>
        <w:ind w:left="6408" w:hanging="704"/>
      </w:pPr>
      <w:rPr>
        <w:rFonts w:hint="default"/>
        <w:lang w:val="zh-CN" w:eastAsia="zh-CN" w:bidi="zh-CN"/>
      </w:rPr>
    </w:lvl>
    <w:lvl w:ilvl="7" w:tentative="0">
      <w:start w:val="0"/>
      <w:numFmt w:val="bullet"/>
      <w:lvlText w:val="•"/>
      <w:lvlJc w:val="left"/>
      <w:pPr>
        <w:ind w:left="7366" w:hanging="704"/>
      </w:pPr>
      <w:rPr>
        <w:rFonts w:hint="default"/>
        <w:lang w:val="zh-CN" w:eastAsia="zh-CN" w:bidi="zh-CN"/>
      </w:rPr>
    </w:lvl>
    <w:lvl w:ilvl="8" w:tentative="0">
      <w:start w:val="0"/>
      <w:numFmt w:val="bullet"/>
      <w:lvlText w:val="•"/>
      <w:lvlJc w:val="left"/>
      <w:pPr>
        <w:ind w:left="8324" w:hanging="704"/>
      </w:pPr>
      <w:rPr>
        <w:rFonts w:hint="default"/>
        <w:lang w:val="zh-CN" w:eastAsia="zh-CN" w:bidi="zh-CN"/>
      </w:rPr>
    </w:lvl>
  </w:abstractNum>
  <w:abstractNum w:abstractNumId="17">
    <w:nsid w:val="D7F9FE59"/>
    <w:multiLevelType w:val="multilevel"/>
    <w:tmpl w:val="D7F9FE59"/>
    <w:lvl w:ilvl="0" w:tentative="0">
      <w:start w:val="1"/>
      <w:numFmt w:val="decimal"/>
      <w:lvlText w:val="（%1）"/>
      <w:lvlJc w:val="left"/>
      <w:pPr>
        <w:ind w:left="1680" w:hanging="601"/>
        <w:jc w:val="left"/>
      </w:pPr>
      <w:rPr>
        <w:rFonts w:hint="default" w:ascii="宋体" w:hAnsi="宋体" w:eastAsia="宋体" w:cs="宋体"/>
        <w:w w:val="99"/>
        <w:sz w:val="22"/>
        <w:szCs w:val="22"/>
        <w:lang w:val="zh-CN" w:eastAsia="zh-CN" w:bidi="zh-CN"/>
      </w:rPr>
    </w:lvl>
    <w:lvl w:ilvl="1" w:tentative="0">
      <w:start w:val="0"/>
      <w:numFmt w:val="bullet"/>
      <w:lvlText w:val="•"/>
      <w:lvlJc w:val="left"/>
      <w:pPr>
        <w:ind w:left="2536" w:hanging="601"/>
      </w:pPr>
      <w:rPr>
        <w:rFonts w:hint="default"/>
        <w:lang w:val="zh-CN" w:eastAsia="zh-CN" w:bidi="zh-CN"/>
      </w:rPr>
    </w:lvl>
    <w:lvl w:ilvl="2" w:tentative="0">
      <w:start w:val="0"/>
      <w:numFmt w:val="bullet"/>
      <w:lvlText w:val="•"/>
      <w:lvlJc w:val="left"/>
      <w:pPr>
        <w:ind w:left="3392" w:hanging="601"/>
      </w:pPr>
      <w:rPr>
        <w:rFonts w:hint="default"/>
        <w:lang w:val="zh-CN" w:eastAsia="zh-CN" w:bidi="zh-CN"/>
      </w:rPr>
    </w:lvl>
    <w:lvl w:ilvl="3" w:tentative="0">
      <w:start w:val="0"/>
      <w:numFmt w:val="bullet"/>
      <w:lvlText w:val="•"/>
      <w:lvlJc w:val="left"/>
      <w:pPr>
        <w:ind w:left="4248" w:hanging="601"/>
      </w:pPr>
      <w:rPr>
        <w:rFonts w:hint="default"/>
        <w:lang w:val="zh-CN" w:eastAsia="zh-CN" w:bidi="zh-CN"/>
      </w:rPr>
    </w:lvl>
    <w:lvl w:ilvl="4" w:tentative="0">
      <w:start w:val="0"/>
      <w:numFmt w:val="bullet"/>
      <w:lvlText w:val="•"/>
      <w:lvlJc w:val="left"/>
      <w:pPr>
        <w:ind w:left="5104" w:hanging="601"/>
      </w:pPr>
      <w:rPr>
        <w:rFonts w:hint="default"/>
        <w:lang w:val="zh-CN" w:eastAsia="zh-CN" w:bidi="zh-CN"/>
      </w:rPr>
    </w:lvl>
    <w:lvl w:ilvl="5" w:tentative="0">
      <w:start w:val="0"/>
      <w:numFmt w:val="bullet"/>
      <w:lvlText w:val="•"/>
      <w:lvlJc w:val="left"/>
      <w:pPr>
        <w:ind w:left="5960" w:hanging="601"/>
      </w:pPr>
      <w:rPr>
        <w:rFonts w:hint="default"/>
        <w:lang w:val="zh-CN" w:eastAsia="zh-CN" w:bidi="zh-CN"/>
      </w:rPr>
    </w:lvl>
    <w:lvl w:ilvl="6" w:tentative="0">
      <w:start w:val="0"/>
      <w:numFmt w:val="bullet"/>
      <w:lvlText w:val="•"/>
      <w:lvlJc w:val="left"/>
      <w:pPr>
        <w:ind w:left="6816" w:hanging="601"/>
      </w:pPr>
      <w:rPr>
        <w:rFonts w:hint="default"/>
        <w:lang w:val="zh-CN" w:eastAsia="zh-CN" w:bidi="zh-CN"/>
      </w:rPr>
    </w:lvl>
    <w:lvl w:ilvl="7" w:tentative="0">
      <w:start w:val="0"/>
      <w:numFmt w:val="bullet"/>
      <w:lvlText w:val="•"/>
      <w:lvlJc w:val="left"/>
      <w:pPr>
        <w:ind w:left="7672" w:hanging="601"/>
      </w:pPr>
      <w:rPr>
        <w:rFonts w:hint="default"/>
        <w:lang w:val="zh-CN" w:eastAsia="zh-CN" w:bidi="zh-CN"/>
      </w:rPr>
    </w:lvl>
    <w:lvl w:ilvl="8" w:tentative="0">
      <w:start w:val="0"/>
      <w:numFmt w:val="bullet"/>
      <w:lvlText w:val="•"/>
      <w:lvlJc w:val="left"/>
      <w:pPr>
        <w:ind w:left="8528" w:hanging="601"/>
      </w:pPr>
      <w:rPr>
        <w:rFonts w:hint="default"/>
        <w:lang w:val="zh-CN" w:eastAsia="zh-CN" w:bidi="zh-CN"/>
      </w:rPr>
    </w:lvl>
  </w:abstractNum>
  <w:abstractNum w:abstractNumId="18">
    <w:nsid w:val="DBD1AFB3"/>
    <w:multiLevelType w:val="singleLevel"/>
    <w:tmpl w:val="DBD1AFB3"/>
    <w:lvl w:ilvl="0" w:tentative="0">
      <w:start w:val="1"/>
      <w:numFmt w:val="decimal"/>
      <w:suff w:val="nothing"/>
      <w:lvlText w:val="%1、"/>
      <w:lvlJc w:val="left"/>
    </w:lvl>
  </w:abstractNum>
  <w:abstractNum w:abstractNumId="19">
    <w:nsid w:val="DCBA6B53"/>
    <w:multiLevelType w:val="multilevel"/>
    <w:tmpl w:val="DCBA6B53"/>
    <w:lvl w:ilvl="0" w:tentative="0">
      <w:start w:val="7"/>
      <w:numFmt w:val="decimal"/>
      <w:lvlText w:val="%1"/>
      <w:lvlJc w:val="left"/>
      <w:pPr>
        <w:ind w:left="1087" w:hanging="425"/>
        <w:jc w:val="left"/>
      </w:pPr>
      <w:rPr>
        <w:rFonts w:hint="default"/>
        <w:lang w:val="zh-CN" w:eastAsia="zh-CN" w:bidi="zh-CN"/>
      </w:rPr>
    </w:lvl>
    <w:lvl w:ilvl="1" w:tentative="0">
      <w:start w:val="1"/>
      <w:numFmt w:val="decimal"/>
      <w:lvlText w:val="%1.%2"/>
      <w:lvlJc w:val="left"/>
      <w:pPr>
        <w:ind w:left="1087" w:hanging="425"/>
        <w:jc w:val="right"/>
      </w:pPr>
      <w:rPr>
        <w:rFonts w:hint="default" w:ascii="宋体" w:hAnsi="宋体" w:eastAsia="宋体" w:cs="宋体"/>
        <w:spacing w:val="0"/>
        <w:w w:val="99"/>
        <w:sz w:val="24"/>
        <w:szCs w:val="24"/>
        <w:lang w:val="zh-CN" w:eastAsia="zh-CN" w:bidi="zh-CN"/>
      </w:rPr>
    </w:lvl>
    <w:lvl w:ilvl="2" w:tentative="0">
      <w:start w:val="1"/>
      <w:numFmt w:val="decimal"/>
      <w:lvlText w:val="%1.%2.%3"/>
      <w:lvlJc w:val="left"/>
      <w:pPr>
        <w:ind w:left="1800" w:hanging="720"/>
        <w:jc w:val="left"/>
      </w:pPr>
      <w:rPr>
        <w:rFonts w:hint="default" w:ascii="宋体" w:hAnsi="宋体" w:eastAsia="宋体" w:cs="宋体"/>
        <w:w w:val="99"/>
        <w:sz w:val="24"/>
        <w:szCs w:val="24"/>
        <w:lang w:val="zh-CN" w:eastAsia="zh-CN" w:bidi="zh-CN"/>
      </w:rPr>
    </w:lvl>
    <w:lvl w:ilvl="3" w:tentative="0">
      <w:start w:val="0"/>
      <w:numFmt w:val="bullet"/>
      <w:lvlText w:val="•"/>
      <w:lvlJc w:val="left"/>
      <w:pPr>
        <w:ind w:left="2855" w:hanging="720"/>
      </w:pPr>
      <w:rPr>
        <w:rFonts w:hint="default"/>
        <w:lang w:val="zh-CN" w:eastAsia="zh-CN" w:bidi="zh-CN"/>
      </w:rPr>
    </w:lvl>
    <w:lvl w:ilvl="4" w:tentative="0">
      <w:start w:val="0"/>
      <w:numFmt w:val="bullet"/>
      <w:lvlText w:val="•"/>
      <w:lvlJc w:val="left"/>
      <w:pPr>
        <w:ind w:left="3910" w:hanging="720"/>
      </w:pPr>
      <w:rPr>
        <w:rFonts w:hint="default"/>
        <w:lang w:val="zh-CN" w:eastAsia="zh-CN" w:bidi="zh-CN"/>
      </w:rPr>
    </w:lvl>
    <w:lvl w:ilvl="5" w:tentative="0">
      <w:start w:val="0"/>
      <w:numFmt w:val="bullet"/>
      <w:lvlText w:val="•"/>
      <w:lvlJc w:val="left"/>
      <w:pPr>
        <w:ind w:left="4965" w:hanging="720"/>
      </w:pPr>
      <w:rPr>
        <w:rFonts w:hint="default"/>
        <w:lang w:val="zh-CN" w:eastAsia="zh-CN" w:bidi="zh-CN"/>
      </w:rPr>
    </w:lvl>
    <w:lvl w:ilvl="6" w:tentative="0">
      <w:start w:val="0"/>
      <w:numFmt w:val="bullet"/>
      <w:lvlText w:val="•"/>
      <w:lvlJc w:val="left"/>
      <w:pPr>
        <w:ind w:left="6020" w:hanging="720"/>
      </w:pPr>
      <w:rPr>
        <w:rFonts w:hint="default"/>
        <w:lang w:val="zh-CN" w:eastAsia="zh-CN" w:bidi="zh-CN"/>
      </w:rPr>
    </w:lvl>
    <w:lvl w:ilvl="7" w:tentative="0">
      <w:start w:val="0"/>
      <w:numFmt w:val="bullet"/>
      <w:lvlText w:val="•"/>
      <w:lvlJc w:val="left"/>
      <w:pPr>
        <w:ind w:left="7075" w:hanging="720"/>
      </w:pPr>
      <w:rPr>
        <w:rFonts w:hint="default"/>
        <w:lang w:val="zh-CN" w:eastAsia="zh-CN" w:bidi="zh-CN"/>
      </w:rPr>
    </w:lvl>
    <w:lvl w:ilvl="8" w:tentative="0">
      <w:start w:val="0"/>
      <w:numFmt w:val="bullet"/>
      <w:lvlText w:val="•"/>
      <w:lvlJc w:val="left"/>
      <w:pPr>
        <w:ind w:left="8130" w:hanging="720"/>
      </w:pPr>
      <w:rPr>
        <w:rFonts w:hint="default"/>
        <w:lang w:val="zh-CN" w:eastAsia="zh-CN" w:bidi="zh-CN"/>
      </w:rPr>
    </w:lvl>
  </w:abstractNum>
  <w:abstractNum w:abstractNumId="20">
    <w:nsid w:val="E093A4B0"/>
    <w:multiLevelType w:val="multilevel"/>
    <w:tmpl w:val="E093A4B0"/>
    <w:lvl w:ilvl="0" w:tentative="0">
      <w:start w:val="1"/>
      <w:numFmt w:val="decimal"/>
      <w:lvlText w:val="%1."/>
      <w:lvlJc w:val="left"/>
      <w:pPr>
        <w:ind w:left="108" w:hanging="283"/>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1114" w:hanging="283"/>
      </w:pPr>
      <w:rPr>
        <w:rFonts w:hint="default"/>
        <w:lang w:val="zh-CN" w:eastAsia="zh-CN" w:bidi="zh-CN"/>
      </w:rPr>
    </w:lvl>
    <w:lvl w:ilvl="2" w:tentative="0">
      <w:start w:val="0"/>
      <w:numFmt w:val="bullet"/>
      <w:lvlText w:val="•"/>
      <w:lvlJc w:val="left"/>
      <w:pPr>
        <w:ind w:left="2128" w:hanging="283"/>
      </w:pPr>
      <w:rPr>
        <w:rFonts w:hint="default"/>
        <w:lang w:val="zh-CN" w:eastAsia="zh-CN" w:bidi="zh-CN"/>
      </w:rPr>
    </w:lvl>
    <w:lvl w:ilvl="3" w:tentative="0">
      <w:start w:val="0"/>
      <w:numFmt w:val="bullet"/>
      <w:lvlText w:val="•"/>
      <w:lvlJc w:val="left"/>
      <w:pPr>
        <w:ind w:left="3142" w:hanging="283"/>
      </w:pPr>
      <w:rPr>
        <w:rFonts w:hint="default"/>
        <w:lang w:val="zh-CN" w:eastAsia="zh-CN" w:bidi="zh-CN"/>
      </w:rPr>
    </w:lvl>
    <w:lvl w:ilvl="4" w:tentative="0">
      <w:start w:val="0"/>
      <w:numFmt w:val="bullet"/>
      <w:lvlText w:val="•"/>
      <w:lvlJc w:val="left"/>
      <w:pPr>
        <w:ind w:left="4156" w:hanging="283"/>
      </w:pPr>
      <w:rPr>
        <w:rFonts w:hint="default"/>
        <w:lang w:val="zh-CN" w:eastAsia="zh-CN" w:bidi="zh-CN"/>
      </w:rPr>
    </w:lvl>
    <w:lvl w:ilvl="5" w:tentative="0">
      <w:start w:val="0"/>
      <w:numFmt w:val="bullet"/>
      <w:lvlText w:val="•"/>
      <w:lvlJc w:val="left"/>
      <w:pPr>
        <w:ind w:left="5170" w:hanging="283"/>
      </w:pPr>
      <w:rPr>
        <w:rFonts w:hint="default"/>
        <w:lang w:val="zh-CN" w:eastAsia="zh-CN" w:bidi="zh-CN"/>
      </w:rPr>
    </w:lvl>
    <w:lvl w:ilvl="6" w:tentative="0">
      <w:start w:val="0"/>
      <w:numFmt w:val="bullet"/>
      <w:lvlText w:val="•"/>
      <w:lvlJc w:val="left"/>
      <w:pPr>
        <w:ind w:left="6184" w:hanging="283"/>
      </w:pPr>
      <w:rPr>
        <w:rFonts w:hint="default"/>
        <w:lang w:val="zh-CN" w:eastAsia="zh-CN" w:bidi="zh-CN"/>
      </w:rPr>
    </w:lvl>
    <w:lvl w:ilvl="7" w:tentative="0">
      <w:start w:val="0"/>
      <w:numFmt w:val="bullet"/>
      <w:lvlText w:val="•"/>
      <w:lvlJc w:val="left"/>
      <w:pPr>
        <w:ind w:left="7198" w:hanging="283"/>
      </w:pPr>
      <w:rPr>
        <w:rFonts w:hint="default"/>
        <w:lang w:val="zh-CN" w:eastAsia="zh-CN" w:bidi="zh-CN"/>
      </w:rPr>
    </w:lvl>
    <w:lvl w:ilvl="8" w:tentative="0">
      <w:start w:val="0"/>
      <w:numFmt w:val="bullet"/>
      <w:lvlText w:val="•"/>
      <w:lvlJc w:val="left"/>
      <w:pPr>
        <w:ind w:left="8212" w:hanging="283"/>
      </w:pPr>
      <w:rPr>
        <w:rFonts w:hint="default"/>
        <w:lang w:val="zh-CN" w:eastAsia="zh-CN" w:bidi="zh-CN"/>
      </w:rPr>
    </w:lvl>
  </w:abstractNum>
  <w:abstractNum w:abstractNumId="21">
    <w:nsid w:val="F0E89278"/>
    <w:multiLevelType w:val="multilevel"/>
    <w:tmpl w:val="F0E89278"/>
    <w:lvl w:ilvl="0" w:tentative="0">
      <w:start w:val="2"/>
      <w:numFmt w:val="decimal"/>
      <w:lvlText w:val="%1"/>
      <w:lvlJc w:val="left"/>
      <w:pPr>
        <w:ind w:left="1617" w:hanging="420"/>
        <w:jc w:val="left"/>
      </w:pPr>
      <w:rPr>
        <w:rFonts w:hint="default"/>
        <w:lang w:val="zh-CN" w:eastAsia="zh-CN" w:bidi="zh-CN"/>
      </w:rPr>
    </w:lvl>
    <w:lvl w:ilvl="1" w:tentative="0">
      <w:start w:val="1"/>
      <w:numFmt w:val="decimal"/>
      <w:lvlText w:val="%1.%2"/>
      <w:lvlJc w:val="left"/>
      <w:pPr>
        <w:ind w:left="1617" w:hanging="420"/>
        <w:jc w:val="left"/>
      </w:pPr>
      <w:rPr>
        <w:rFonts w:hint="default" w:ascii="宋体" w:hAnsi="宋体" w:eastAsia="宋体" w:cs="宋体"/>
        <w:w w:val="99"/>
        <w:sz w:val="24"/>
        <w:szCs w:val="24"/>
        <w:lang w:val="zh-CN" w:eastAsia="zh-CN" w:bidi="zh-CN"/>
      </w:rPr>
    </w:lvl>
    <w:lvl w:ilvl="2" w:tentative="0">
      <w:start w:val="0"/>
      <w:numFmt w:val="bullet"/>
      <w:lvlText w:val="•"/>
      <w:lvlJc w:val="left"/>
      <w:pPr>
        <w:ind w:left="3344" w:hanging="420"/>
      </w:pPr>
      <w:rPr>
        <w:rFonts w:hint="default"/>
        <w:lang w:val="zh-CN" w:eastAsia="zh-CN" w:bidi="zh-CN"/>
      </w:rPr>
    </w:lvl>
    <w:lvl w:ilvl="3" w:tentative="0">
      <w:start w:val="0"/>
      <w:numFmt w:val="bullet"/>
      <w:lvlText w:val="•"/>
      <w:lvlJc w:val="left"/>
      <w:pPr>
        <w:ind w:left="4206" w:hanging="420"/>
      </w:pPr>
      <w:rPr>
        <w:rFonts w:hint="default"/>
        <w:lang w:val="zh-CN" w:eastAsia="zh-CN" w:bidi="zh-CN"/>
      </w:rPr>
    </w:lvl>
    <w:lvl w:ilvl="4" w:tentative="0">
      <w:start w:val="0"/>
      <w:numFmt w:val="bullet"/>
      <w:lvlText w:val="•"/>
      <w:lvlJc w:val="left"/>
      <w:pPr>
        <w:ind w:left="5068" w:hanging="420"/>
      </w:pPr>
      <w:rPr>
        <w:rFonts w:hint="default"/>
        <w:lang w:val="zh-CN" w:eastAsia="zh-CN" w:bidi="zh-CN"/>
      </w:rPr>
    </w:lvl>
    <w:lvl w:ilvl="5" w:tentative="0">
      <w:start w:val="0"/>
      <w:numFmt w:val="bullet"/>
      <w:lvlText w:val="•"/>
      <w:lvlJc w:val="left"/>
      <w:pPr>
        <w:ind w:left="5930" w:hanging="420"/>
      </w:pPr>
      <w:rPr>
        <w:rFonts w:hint="default"/>
        <w:lang w:val="zh-CN" w:eastAsia="zh-CN" w:bidi="zh-CN"/>
      </w:rPr>
    </w:lvl>
    <w:lvl w:ilvl="6" w:tentative="0">
      <w:start w:val="0"/>
      <w:numFmt w:val="bullet"/>
      <w:lvlText w:val="•"/>
      <w:lvlJc w:val="left"/>
      <w:pPr>
        <w:ind w:left="6792" w:hanging="420"/>
      </w:pPr>
      <w:rPr>
        <w:rFonts w:hint="default"/>
        <w:lang w:val="zh-CN" w:eastAsia="zh-CN" w:bidi="zh-CN"/>
      </w:rPr>
    </w:lvl>
    <w:lvl w:ilvl="7" w:tentative="0">
      <w:start w:val="0"/>
      <w:numFmt w:val="bullet"/>
      <w:lvlText w:val="•"/>
      <w:lvlJc w:val="left"/>
      <w:pPr>
        <w:ind w:left="7654" w:hanging="420"/>
      </w:pPr>
      <w:rPr>
        <w:rFonts w:hint="default"/>
        <w:lang w:val="zh-CN" w:eastAsia="zh-CN" w:bidi="zh-CN"/>
      </w:rPr>
    </w:lvl>
    <w:lvl w:ilvl="8" w:tentative="0">
      <w:start w:val="0"/>
      <w:numFmt w:val="bullet"/>
      <w:lvlText w:val="•"/>
      <w:lvlJc w:val="left"/>
      <w:pPr>
        <w:ind w:left="8516" w:hanging="420"/>
      </w:pPr>
      <w:rPr>
        <w:rFonts w:hint="default"/>
        <w:lang w:val="zh-CN" w:eastAsia="zh-CN" w:bidi="zh-CN"/>
      </w:rPr>
    </w:lvl>
  </w:abstractNum>
  <w:abstractNum w:abstractNumId="22">
    <w:nsid w:val="F4B5D9F5"/>
    <w:multiLevelType w:val="multilevel"/>
    <w:tmpl w:val="F4B5D9F5"/>
    <w:lvl w:ilvl="0" w:tentative="0">
      <w:start w:val="1"/>
      <w:numFmt w:val="decimal"/>
      <w:lvlText w:val="（%1）"/>
      <w:lvlJc w:val="left"/>
      <w:pPr>
        <w:ind w:left="1680" w:hanging="601"/>
        <w:jc w:val="left"/>
      </w:pPr>
      <w:rPr>
        <w:rFonts w:hint="default" w:ascii="宋体" w:hAnsi="宋体" w:eastAsia="宋体" w:cs="宋体"/>
        <w:w w:val="99"/>
        <w:sz w:val="22"/>
        <w:szCs w:val="22"/>
        <w:lang w:val="zh-CN" w:eastAsia="zh-CN" w:bidi="zh-CN"/>
      </w:rPr>
    </w:lvl>
    <w:lvl w:ilvl="1" w:tentative="0">
      <w:start w:val="0"/>
      <w:numFmt w:val="bullet"/>
      <w:lvlText w:val="•"/>
      <w:lvlJc w:val="left"/>
      <w:pPr>
        <w:ind w:left="2536" w:hanging="601"/>
      </w:pPr>
      <w:rPr>
        <w:rFonts w:hint="default"/>
        <w:lang w:val="zh-CN" w:eastAsia="zh-CN" w:bidi="zh-CN"/>
      </w:rPr>
    </w:lvl>
    <w:lvl w:ilvl="2" w:tentative="0">
      <w:start w:val="0"/>
      <w:numFmt w:val="bullet"/>
      <w:lvlText w:val="•"/>
      <w:lvlJc w:val="left"/>
      <w:pPr>
        <w:ind w:left="3392" w:hanging="601"/>
      </w:pPr>
      <w:rPr>
        <w:rFonts w:hint="default"/>
        <w:lang w:val="zh-CN" w:eastAsia="zh-CN" w:bidi="zh-CN"/>
      </w:rPr>
    </w:lvl>
    <w:lvl w:ilvl="3" w:tentative="0">
      <w:start w:val="0"/>
      <w:numFmt w:val="bullet"/>
      <w:lvlText w:val="•"/>
      <w:lvlJc w:val="left"/>
      <w:pPr>
        <w:ind w:left="4248" w:hanging="601"/>
      </w:pPr>
      <w:rPr>
        <w:rFonts w:hint="default"/>
        <w:lang w:val="zh-CN" w:eastAsia="zh-CN" w:bidi="zh-CN"/>
      </w:rPr>
    </w:lvl>
    <w:lvl w:ilvl="4" w:tentative="0">
      <w:start w:val="0"/>
      <w:numFmt w:val="bullet"/>
      <w:lvlText w:val="•"/>
      <w:lvlJc w:val="left"/>
      <w:pPr>
        <w:ind w:left="5104" w:hanging="601"/>
      </w:pPr>
      <w:rPr>
        <w:rFonts w:hint="default"/>
        <w:lang w:val="zh-CN" w:eastAsia="zh-CN" w:bidi="zh-CN"/>
      </w:rPr>
    </w:lvl>
    <w:lvl w:ilvl="5" w:tentative="0">
      <w:start w:val="0"/>
      <w:numFmt w:val="bullet"/>
      <w:lvlText w:val="•"/>
      <w:lvlJc w:val="left"/>
      <w:pPr>
        <w:ind w:left="5960" w:hanging="601"/>
      </w:pPr>
      <w:rPr>
        <w:rFonts w:hint="default"/>
        <w:lang w:val="zh-CN" w:eastAsia="zh-CN" w:bidi="zh-CN"/>
      </w:rPr>
    </w:lvl>
    <w:lvl w:ilvl="6" w:tentative="0">
      <w:start w:val="0"/>
      <w:numFmt w:val="bullet"/>
      <w:lvlText w:val="•"/>
      <w:lvlJc w:val="left"/>
      <w:pPr>
        <w:ind w:left="6816" w:hanging="601"/>
      </w:pPr>
      <w:rPr>
        <w:rFonts w:hint="default"/>
        <w:lang w:val="zh-CN" w:eastAsia="zh-CN" w:bidi="zh-CN"/>
      </w:rPr>
    </w:lvl>
    <w:lvl w:ilvl="7" w:tentative="0">
      <w:start w:val="0"/>
      <w:numFmt w:val="bullet"/>
      <w:lvlText w:val="•"/>
      <w:lvlJc w:val="left"/>
      <w:pPr>
        <w:ind w:left="7672" w:hanging="601"/>
      </w:pPr>
      <w:rPr>
        <w:rFonts w:hint="default"/>
        <w:lang w:val="zh-CN" w:eastAsia="zh-CN" w:bidi="zh-CN"/>
      </w:rPr>
    </w:lvl>
    <w:lvl w:ilvl="8" w:tentative="0">
      <w:start w:val="0"/>
      <w:numFmt w:val="bullet"/>
      <w:lvlText w:val="•"/>
      <w:lvlJc w:val="left"/>
      <w:pPr>
        <w:ind w:left="8528" w:hanging="601"/>
      </w:pPr>
      <w:rPr>
        <w:rFonts w:hint="default"/>
        <w:lang w:val="zh-CN" w:eastAsia="zh-CN" w:bidi="zh-CN"/>
      </w:rPr>
    </w:lvl>
  </w:abstractNum>
  <w:abstractNum w:abstractNumId="23">
    <w:nsid w:val="F7735DC9"/>
    <w:multiLevelType w:val="multilevel"/>
    <w:tmpl w:val="F7735DC9"/>
    <w:lvl w:ilvl="0" w:tentative="0">
      <w:start w:val="1"/>
      <w:numFmt w:val="decimal"/>
      <w:lvlText w:val="%1."/>
      <w:lvlJc w:val="left"/>
      <w:pPr>
        <w:ind w:left="108" w:hanging="283"/>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1114" w:hanging="283"/>
      </w:pPr>
      <w:rPr>
        <w:rFonts w:hint="default"/>
        <w:lang w:val="zh-CN" w:eastAsia="zh-CN" w:bidi="zh-CN"/>
      </w:rPr>
    </w:lvl>
    <w:lvl w:ilvl="2" w:tentative="0">
      <w:start w:val="0"/>
      <w:numFmt w:val="bullet"/>
      <w:lvlText w:val="•"/>
      <w:lvlJc w:val="left"/>
      <w:pPr>
        <w:ind w:left="2128" w:hanging="283"/>
      </w:pPr>
      <w:rPr>
        <w:rFonts w:hint="default"/>
        <w:lang w:val="zh-CN" w:eastAsia="zh-CN" w:bidi="zh-CN"/>
      </w:rPr>
    </w:lvl>
    <w:lvl w:ilvl="3" w:tentative="0">
      <w:start w:val="0"/>
      <w:numFmt w:val="bullet"/>
      <w:lvlText w:val="•"/>
      <w:lvlJc w:val="left"/>
      <w:pPr>
        <w:ind w:left="3142" w:hanging="283"/>
      </w:pPr>
      <w:rPr>
        <w:rFonts w:hint="default"/>
        <w:lang w:val="zh-CN" w:eastAsia="zh-CN" w:bidi="zh-CN"/>
      </w:rPr>
    </w:lvl>
    <w:lvl w:ilvl="4" w:tentative="0">
      <w:start w:val="0"/>
      <w:numFmt w:val="bullet"/>
      <w:lvlText w:val="•"/>
      <w:lvlJc w:val="left"/>
      <w:pPr>
        <w:ind w:left="4156" w:hanging="283"/>
      </w:pPr>
      <w:rPr>
        <w:rFonts w:hint="default"/>
        <w:lang w:val="zh-CN" w:eastAsia="zh-CN" w:bidi="zh-CN"/>
      </w:rPr>
    </w:lvl>
    <w:lvl w:ilvl="5" w:tentative="0">
      <w:start w:val="0"/>
      <w:numFmt w:val="bullet"/>
      <w:lvlText w:val="•"/>
      <w:lvlJc w:val="left"/>
      <w:pPr>
        <w:ind w:left="5170" w:hanging="283"/>
      </w:pPr>
      <w:rPr>
        <w:rFonts w:hint="default"/>
        <w:lang w:val="zh-CN" w:eastAsia="zh-CN" w:bidi="zh-CN"/>
      </w:rPr>
    </w:lvl>
    <w:lvl w:ilvl="6" w:tentative="0">
      <w:start w:val="0"/>
      <w:numFmt w:val="bullet"/>
      <w:lvlText w:val="•"/>
      <w:lvlJc w:val="left"/>
      <w:pPr>
        <w:ind w:left="6184" w:hanging="283"/>
      </w:pPr>
      <w:rPr>
        <w:rFonts w:hint="default"/>
        <w:lang w:val="zh-CN" w:eastAsia="zh-CN" w:bidi="zh-CN"/>
      </w:rPr>
    </w:lvl>
    <w:lvl w:ilvl="7" w:tentative="0">
      <w:start w:val="0"/>
      <w:numFmt w:val="bullet"/>
      <w:lvlText w:val="•"/>
      <w:lvlJc w:val="left"/>
      <w:pPr>
        <w:ind w:left="7198" w:hanging="283"/>
      </w:pPr>
      <w:rPr>
        <w:rFonts w:hint="default"/>
        <w:lang w:val="zh-CN" w:eastAsia="zh-CN" w:bidi="zh-CN"/>
      </w:rPr>
    </w:lvl>
    <w:lvl w:ilvl="8" w:tentative="0">
      <w:start w:val="0"/>
      <w:numFmt w:val="bullet"/>
      <w:lvlText w:val="•"/>
      <w:lvlJc w:val="left"/>
      <w:pPr>
        <w:ind w:left="8212" w:hanging="283"/>
      </w:pPr>
      <w:rPr>
        <w:rFonts w:hint="default"/>
        <w:lang w:val="zh-CN" w:eastAsia="zh-CN" w:bidi="zh-CN"/>
      </w:rPr>
    </w:lvl>
  </w:abstractNum>
  <w:abstractNum w:abstractNumId="24">
    <w:nsid w:val="0248C179"/>
    <w:multiLevelType w:val="multilevel"/>
    <w:tmpl w:val="0248C179"/>
    <w:lvl w:ilvl="0" w:tentative="0">
      <w:start w:val="2"/>
      <w:numFmt w:val="decimal"/>
      <w:lvlText w:val="%1"/>
      <w:lvlJc w:val="left"/>
      <w:pPr>
        <w:ind w:left="1087" w:hanging="425"/>
        <w:jc w:val="left"/>
      </w:pPr>
      <w:rPr>
        <w:rFonts w:hint="default"/>
        <w:lang w:val="zh-CN" w:eastAsia="zh-CN" w:bidi="zh-CN"/>
      </w:rPr>
    </w:lvl>
    <w:lvl w:ilvl="1" w:tentative="0">
      <w:start w:val="1"/>
      <w:numFmt w:val="decimal"/>
      <w:lvlText w:val="%1.%2"/>
      <w:lvlJc w:val="left"/>
      <w:pPr>
        <w:ind w:left="1087" w:hanging="425"/>
        <w:jc w:val="right"/>
      </w:pPr>
      <w:rPr>
        <w:rFonts w:hint="default" w:ascii="宋体" w:hAnsi="宋体" w:eastAsia="宋体" w:cs="宋体"/>
        <w:spacing w:val="0"/>
        <w:w w:val="99"/>
        <w:sz w:val="24"/>
        <w:szCs w:val="24"/>
        <w:lang w:val="zh-CN" w:eastAsia="zh-CN" w:bidi="zh-CN"/>
      </w:rPr>
    </w:lvl>
    <w:lvl w:ilvl="2" w:tentative="0">
      <w:start w:val="1"/>
      <w:numFmt w:val="decimal"/>
      <w:lvlText w:val="%1.%2.%3"/>
      <w:lvlJc w:val="left"/>
      <w:pPr>
        <w:ind w:left="1140" w:hanging="660"/>
        <w:jc w:val="left"/>
      </w:pPr>
      <w:rPr>
        <w:rFonts w:hint="default" w:ascii="宋体" w:hAnsi="宋体" w:eastAsia="宋体" w:cs="宋体"/>
        <w:w w:val="99"/>
        <w:sz w:val="24"/>
        <w:szCs w:val="24"/>
        <w:lang w:val="zh-CN" w:eastAsia="zh-CN" w:bidi="zh-CN"/>
      </w:rPr>
    </w:lvl>
    <w:lvl w:ilvl="3" w:tentative="0">
      <w:start w:val="0"/>
      <w:numFmt w:val="bullet"/>
      <w:lvlText w:val="•"/>
      <w:lvlJc w:val="left"/>
      <w:pPr>
        <w:ind w:left="2277" w:hanging="660"/>
      </w:pPr>
      <w:rPr>
        <w:rFonts w:hint="default"/>
        <w:lang w:val="zh-CN" w:eastAsia="zh-CN" w:bidi="zh-CN"/>
      </w:rPr>
    </w:lvl>
    <w:lvl w:ilvl="4" w:tentative="0">
      <w:start w:val="0"/>
      <w:numFmt w:val="bullet"/>
      <w:lvlText w:val="•"/>
      <w:lvlJc w:val="left"/>
      <w:pPr>
        <w:ind w:left="3415" w:hanging="660"/>
      </w:pPr>
      <w:rPr>
        <w:rFonts w:hint="default"/>
        <w:lang w:val="zh-CN" w:eastAsia="zh-CN" w:bidi="zh-CN"/>
      </w:rPr>
    </w:lvl>
    <w:lvl w:ilvl="5" w:tentative="0">
      <w:start w:val="0"/>
      <w:numFmt w:val="bullet"/>
      <w:lvlText w:val="•"/>
      <w:lvlJc w:val="left"/>
      <w:pPr>
        <w:ind w:left="4552" w:hanging="660"/>
      </w:pPr>
      <w:rPr>
        <w:rFonts w:hint="default"/>
        <w:lang w:val="zh-CN" w:eastAsia="zh-CN" w:bidi="zh-CN"/>
      </w:rPr>
    </w:lvl>
    <w:lvl w:ilvl="6" w:tentative="0">
      <w:start w:val="0"/>
      <w:numFmt w:val="bullet"/>
      <w:lvlText w:val="•"/>
      <w:lvlJc w:val="left"/>
      <w:pPr>
        <w:ind w:left="5690" w:hanging="660"/>
      </w:pPr>
      <w:rPr>
        <w:rFonts w:hint="default"/>
        <w:lang w:val="zh-CN" w:eastAsia="zh-CN" w:bidi="zh-CN"/>
      </w:rPr>
    </w:lvl>
    <w:lvl w:ilvl="7" w:tentative="0">
      <w:start w:val="0"/>
      <w:numFmt w:val="bullet"/>
      <w:lvlText w:val="•"/>
      <w:lvlJc w:val="left"/>
      <w:pPr>
        <w:ind w:left="6827" w:hanging="660"/>
      </w:pPr>
      <w:rPr>
        <w:rFonts w:hint="default"/>
        <w:lang w:val="zh-CN" w:eastAsia="zh-CN" w:bidi="zh-CN"/>
      </w:rPr>
    </w:lvl>
    <w:lvl w:ilvl="8" w:tentative="0">
      <w:start w:val="0"/>
      <w:numFmt w:val="bullet"/>
      <w:lvlText w:val="•"/>
      <w:lvlJc w:val="left"/>
      <w:pPr>
        <w:ind w:left="7965" w:hanging="660"/>
      </w:pPr>
      <w:rPr>
        <w:rFonts w:hint="default"/>
        <w:lang w:val="zh-CN" w:eastAsia="zh-CN" w:bidi="zh-CN"/>
      </w:rPr>
    </w:lvl>
  </w:abstractNum>
  <w:abstractNum w:abstractNumId="25">
    <w:nsid w:val="02CFBFCC"/>
    <w:multiLevelType w:val="singleLevel"/>
    <w:tmpl w:val="02CFBFCC"/>
    <w:lvl w:ilvl="0" w:tentative="0">
      <w:start w:val="1"/>
      <w:numFmt w:val="decimal"/>
      <w:suff w:val="space"/>
      <w:lvlText w:val="%1."/>
      <w:lvlJc w:val="left"/>
    </w:lvl>
  </w:abstractNum>
  <w:abstractNum w:abstractNumId="26">
    <w:nsid w:val="03A63A41"/>
    <w:multiLevelType w:val="multilevel"/>
    <w:tmpl w:val="03A63A41"/>
    <w:lvl w:ilvl="0" w:tentative="0">
      <w:start w:val="2"/>
      <w:numFmt w:val="decimal"/>
      <w:lvlText w:val="%1."/>
      <w:lvlJc w:val="left"/>
      <w:pPr>
        <w:ind w:left="1069" w:hanging="163"/>
        <w:jc w:val="left"/>
      </w:pPr>
      <w:rPr>
        <w:rFonts w:hint="default" w:ascii="Calibri" w:hAnsi="Calibri" w:eastAsia="Calibri" w:cs="Calibri"/>
        <w:spacing w:val="-1"/>
        <w:w w:val="100"/>
        <w:sz w:val="19"/>
        <w:szCs w:val="19"/>
        <w:lang w:val="zh-CN" w:eastAsia="zh-CN" w:bidi="zh-CN"/>
      </w:rPr>
    </w:lvl>
    <w:lvl w:ilvl="1" w:tentative="0">
      <w:start w:val="0"/>
      <w:numFmt w:val="bullet"/>
      <w:lvlText w:val="•"/>
      <w:lvlJc w:val="left"/>
      <w:pPr>
        <w:ind w:left="1978" w:hanging="163"/>
      </w:pPr>
      <w:rPr>
        <w:rFonts w:hint="default"/>
        <w:lang w:val="zh-CN" w:eastAsia="zh-CN" w:bidi="zh-CN"/>
      </w:rPr>
    </w:lvl>
    <w:lvl w:ilvl="2" w:tentative="0">
      <w:start w:val="0"/>
      <w:numFmt w:val="bullet"/>
      <w:lvlText w:val="•"/>
      <w:lvlJc w:val="left"/>
      <w:pPr>
        <w:ind w:left="2896" w:hanging="163"/>
      </w:pPr>
      <w:rPr>
        <w:rFonts w:hint="default"/>
        <w:lang w:val="zh-CN" w:eastAsia="zh-CN" w:bidi="zh-CN"/>
      </w:rPr>
    </w:lvl>
    <w:lvl w:ilvl="3" w:tentative="0">
      <w:start w:val="0"/>
      <w:numFmt w:val="bullet"/>
      <w:lvlText w:val="•"/>
      <w:lvlJc w:val="left"/>
      <w:pPr>
        <w:ind w:left="3814" w:hanging="163"/>
      </w:pPr>
      <w:rPr>
        <w:rFonts w:hint="default"/>
        <w:lang w:val="zh-CN" w:eastAsia="zh-CN" w:bidi="zh-CN"/>
      </w:rPr>
    </w:lvl>
    <w:lvl w:ilvl="4" w:tentative="0">
      <w:start w:val="0"/>
      <w:numFmt w:val="bullet"/>
      <w:lvlText w:val="•"/>
      <w:lvlJc w:val="left"/>
      <w:pPr>
        <w:ind w:left="4732" w:hanging="163"/>
      </w:pPr>
      <w:rPr>
        <w:rFonts w:hint="default"/>
        <w:lang w:val="zh-CN" w:eastAsia="zh-CN" w:bidi="zh-CN"/>
      </w:rPr>
    </w:lvl>
    <w:lvl w:ilvl="5" w:tentative="0">
      <w:start w:val="0"/>
      <w:numFmt w:val="bullet"/>
      <w:lvlText w:val="•"/>
      <w:lvlJc w:val="left"/>
      <w:pPr>
        <w:ind w:left="5650" w:hanging="163"/>
      </w:pPr>
      <w:rPr>
        <w:rFonts w:hint="default"/>
        <w:lang w:val="zh-CN" w:eastAsia="zh-CN" w:bidi="zh-CN"/>
      </w:rPr>
    </w:lvl>
    <w:lvl w:ilvl="6" w:tentative="0">
      <w:start w:val="0"/>
      <w:numFmt w:val="bullet"/>
      <w:lvlText w:val="•"/>
      <w:lvlJc w:val="left"/>
      <w:pPr>
        <w:ind w:left="6568" w:hanging="163"/>
      </w:pPr>
      <w:rPr>
        <w:rFonts w:hint="default"/>
        <w:lang w:val="zh-CN" w:eastAsia="zh-CN" w:bidi="zh-CN"/>
      </w:rPr>
    </w:lvl>
    <w:lvl w:ilvl="7" w:tentative="0">
      <w:start w:val="0"/>
      <w:numFmt w:val="bullet"/>
      <w:lvlText w:val="•"/>
      <w:lvlJc w:val="left"/>
      <w:pPr>
        <w:ind w:left="7486" w:hanging="163"/>
      </w:pPr>
      <w:rPr>
        <w:rFonts w:hint="default"/>
        <w:lang w:val="zh-CN" w:eastAsia="zh-CN" w:bidi="zh-CN"/>
      </w:rPr>
    </w:lvl>
    <w:lvl w:ilvl="8" w:tentative="0">
      <w:start w:val="0"/>
      <w:numFmt w:val="bullet"/>
      <w:lvlText w:val="•"/>
      <w:lvlJc w:val="left"/>
      <w:pPr>
        <w:ind w:left="8404" w:hanging="163"/>
      </w:pPr>
      <w:rPr>
        <w:rFonts w:hint="default"/>
        <w:lang w:val="zh-CN" w:eastAsia="zh-CN" w:bidi="zh-CN"/>
      </w:rPr>
    </w:lvl>
  </w:abstractNum>
  <w:abstractNum w:abstractNumId="27">
    <w:nsid w:val="03D62ECE"/>
    <w:multiLevelType w:val="multilevel"/>
    <w:tmpl w:val="03D62ECE"/>
    <w:lvl w:ilvl="0" w:tentative="0">
      <w:start w:val="1"/>
      <w:numFmt w:val="decimal"/>
      <w:lvlText w:val="%1."/>
      <w:lvlJc w:val="left"/>
      <w:pPr>
        <w:ind w:left="1500" w:hanging="360"/>
        <w:jc w:val="left"/>
      </w:pPr>
      <w:rPr>
        <w:rFonts w:hint="default" w:ascii="宋体" w:hAnsi="宋体" w:eastAsia="宋体" w:cs="宋体"/>
        <w:w w:val="99"/>
        <w:sz w:val="24"/>
        <w:szCs w:val="24"/>
        <w:lang w:val="zh-CN" w:eastAsia="zh-CN" w:bidi="zh-CN"/>
      </w:rPr>
    </w:lvl>
    <w:lvl w:ilvl="1" w:tentative="0">
      <w:start w:val="0"/>
      <w:numFmt w:val="bullet"/>
      <w:lvlText w:val="•"/>
      <w:lvlJc w:val="left"/>
      <w:pPr>
        <w:ind w:left="2374" w:hanging="360"/>
      </w:pPr>
      <w:rPr>
        <w:rFonts w:hint="default"/>
        <w:lang w:val="zh-CN" w:eastAsia="zh-CN" w:bidi="zh-CN"/>
      </w:rPr>
    </w:lvl>
    <w:lvl w:ilvl="2" w:tentative="0">
      <w:start w:val="0"/>
      <w:numFmt w:val="bullet"/>
      <w:lvlText w:val="•"/>
      <w:lvlJc w:val="left"/>
      <w:pPr>
        <w:ind w:left="3248" w:hanging="360"/>
      </w:pPr>
      <w:rPr>
        <w:rFonts w:hint="default"/>
        <w:lang w:val="zh-CN" w:eastAsia="zh-CN" w:bidi="zh-CN"/>
      </w:rPr>
    </w:lvl>
    <w:lvl w:ilvl="3" w:tentative="0">
      <w:start w:val="0"/>
      <w:numFmt w:val="bullet"/>
      <w:lvlText w:val="•"/>
      <w:lvlJc w:val="left"/>
      <w:pPr>
        <w:ind w:left="4122" w:hanging="360"/>
      </w:pPr>
      <w:rPr>
        <w:rFonts w:hint="default"/>
        <w:lang w:val="zh-CN" w:eastAsia="zh-CN" w:bidi="zh-CN"/>
      </w:rPr>
    </w:lvl>
    <w:lvl w:ilvl="4" w:tentative="0">
      <w:start w:val="0"/>
      <w:numFmt w:val="bullet"/>
      <w:lvlText w:val="•"/>
      <w:lvlJc w:val="left"/>
      <w:pPr>
        <w:ind w:left="4996" w:hanging="360"/>
      </w:pPr>
      <w:rPr>
        <w:rFonts w:hint="default"/>
        <w:lang w:val="zh-CN" w:eastAsia="zh-CN" w:bidi="zh-CN"/>
      </w:rPr>
    </w:lvl>
    <w:lvl w:ilvl="5" w:tentative="0">
      <w:start w:val="0"/>
      <w:numFmt w:val="bullet"/>
      <w:lvlText w:val="•"/>
      <w:lvlJc w:val="left"/>
      <w:pPr>
        <w:ind w:left="5870" w:hanging="360"/>
      </w:pPr>
      <w:rPr>
        <w:rFonts w:hint="default"/>
        <w:lang w:val="zh-CN" w:eastAsia="zh-CN" w:bidi="zh-CN"/>
      </w:rPr>
    </w:lvl>
    <w:lvl w:ilvl="6" w:tentative="0">
      <w:start w:val="0"/>
      <w:numFmt w:val="bullet"/>
      <w:lvlText w:val="•"/>
      <w:lvlJc w:val="left"/>
      <w:pPr>
        <w:ind w:left="6744" w:hanging="360"/>
      </w:pPr>
      <w:rPr>
        <w:rFonts w:hint="default"/>
        <w:lang w:val="zh-CN" w:eastAsia="zh-CN" w:bidi="zh-CN"/>
      </w:rPr>
    </w:lvl>
    <w:lvl w:ilvl="7" w:tentative="0">
      <w:start w:val="0"/>
      <w:numFmt w:val="bullet"/>
      <w:lvlText w:val="•"/>
      <w:lvlJc w:val="left"/>
      <w:pPr>
        <w:ind w:left="7618" w:hanging="360"/>
      </w:pPr>
      <w:rPr>
        <w:rFonts w:hint="default"/>
        <w:lang w:val="zh-CN" w:eastAsia="zh-CN" w:bidi="zh-CN"/>
      </w:rPr>
    </w:lvl>
    <w:lvl w:ilvl="8" w:tentative="0">
      <w:start w:val="0"/>
      <w:numFmt w:val="bullet"/>
      <w:lvlText w:val="•"/>
      <w:lvlJc w:val="left"/>
      <w:pPr>
        <w:ind w:left="8492" w:hanging="360"/>
      </w:pPr>
      <w:rPr>
        <w:rFonts w:hint="default"/>
        <w:lang w:val="zh-CN" w:eastAsia="zh-CN" w:bidi="zh-CN"/>
      </w:rPr>
    </w:lvl>
  </w:abstractNum>
  <w:abstractNum w:abstractNumId="28">
    <w:nsid w:val="0709FD3E"/>
    <w:multiLevelType w:val="multilevel"/>
    <w:tmpl w:val="0709FD3E"/>
    <w:lvl w:ilvl="0" w:tentative="0">
      <w:start w:val="17"/>
      <w:numFmt w:val="decimal"/>
      <w:lvlText w:val="%1"/>
      <w:lvlJc w:val="left"/>
      <w:pPr>
        <w:ind w:left="660" w:hanging="704"/>
        <w:jc w:val="left"/>
      </w:pPr>
      <w:rPr>
        <w:rFonts w:hint="default"/>
        <w:lang w:val="zh-CN" w:eastAsia="zh-CN" w:bidi="zh-CN"/>
      </w:rPr>
    </w:lvl>
    <w:lvl w:ilvl="1" w:tentative="0">
      <w:start w:val="2"/>
      <w:numFmt w:val="decimal"/>
      <w:lvlText w:val="%1.%2"/>
      <w:lvlJc w:val="left"/>
      <w:pPr>
        <w:ind w:left="660" w:hanging="704"/>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2576" w:hanging="704"/>
      </w:pPr>
      <w:rPr>
        <w:rFonts w:hint="default"/>
        <w:lang w:val="zh-CN" w:eastAsia="zh-CN" w:bidi="zh-CN"/>
      </w:rPr>
    </w:lvl>
    <w:lvl w:ilvl="3" w:tentative="0">
      <w:start w:val="0"/>
      <w:numFmt w:val="bullet"/>
      <w:lvlText w:val="•"/>
      <w:lvlJc w:val="left"/>
      <w:pPr>
        <w:ind w:left="3534" w:hanging="704"/>
      </w:pPr>
      <w:rPr>
        <w:rFonts w:hint="default"/>
        <w:lang w:val="zh-CN" w:eastAsia="zh-CN" w:bidi="zh-CN"/>
      </w:rPr>
    </w:lvl>
    <w:lvl w:ilvl="4" w:tentative="0">
      <w:start w:val="0"/>
      <w:numFmt w:val="bullet"/>
      <w:lvlText w:val="•"/>
      <w:lvlJc w:val="left"/>
      <w:pPr>
        <w:ind w:left="4492" w:hanging="704"/>
      </w:pPr>
      <w:rPr>
        <w:rFonts w:hint="default"/>
        <w:lang w:val="zh-CN" w:eastAsia="zh-CN" w:bidi="zh-CN"/>
      </w:rPr>
    </w:lvl>
    <w:lvl w:ilvl="5" w:tentative="0">
      <w:start w:val="0"/>
      <w:numFmt w:val="bullet"/>
      <w:lvlText w:val="•"/>
      <w:lvlJc w:val="left"/>
      <w:pPr>
        <w:ind w:left="5450" w:hanging="704"/>
      </w:pPr>
      <w:rPr>
        <w:rFonts w:hint="default"/>
        <w:lang w:val="zh-CN" w:eastAsia="zh-CN" w:bidi="zh-CN"/>
      </w:rPr>
    </w:lvl>
    <w:lvl w:ilvl="6" w:tentative="0">
      <w:start w:val="0"/>
      <w:numFmt w:val="bullet"/>
      <w:lvlText w:val="•"/>
      <w:lvlJc w:val="left"/>
      <w:pPr>
        <w:ind w:left="6408" w:hanging="704"/>
      </w:pPr>
      <w:rPr>
        <w:rFonts w:hint="default"/>
        <w:lang w:val="zh-CN" w:eastAsia="zh-CN" w:bidi="zh-CN"/>
      </w:rPr>
    </w:lvl>
    <w:lvl w:ilvl="7" w:tentative="0">
      <w:start w:val="0"/>
      <w:numFmt w:val="bullet"/>
      <w:lvlText w:val="•"/>
      <w:lvlJc w:val="left"/>
      <w:pPr>
        <w:ind w:left="7366" w:hanging="704"/>
      </w:pPr>
      <w:rPr>
        <w:rFonts w:hint="default"/>
        <w:lang w:val="zh-CN" w:eastAsia="zh-CN" w:bidi="zh-CN"/>
      </w:rPr>
    </w:lvl>
    <w:lvl w:ilvl="8" w:tentative="0">
      <w:start w:val="0"/>
      <w:numFmt w:val="bullet"/>
      <w:lvlText w:val="•"/>
      <w:lvlJc w:val="left"/>
      <w:pPr>
        <w:ind w:left="8324" w:hanging="704"/>
      </w:pPr>
      <w:rPr>
        <w:rFonts w:hint="default"/>
        <w:lang w:val="zh-CN" w:eastAsia="zh-CN" w:bidi="zh-CN"/>
      </w:rPr>
    </w:lvl>
  </w:abstractNum>
  <w:abstractNum w:abstractNumId="29">
    <w:nsid w:val="0CEF100B"/>
    <w:multiLevelType w:val="multilevel"/>
    <w:tmpl w:val="0CEF100B"/>
    <w:lvl w:ilvl="0" w:tentative="0">
      <w:start w:val="18"/>
      <w:numFmt w:val="decimal"/>
      <w:lvlText w:val="%1"/>
      <w:lvlJc w:val="left"/>
      <w:pPr>
        <w:ind w:left="1920" w:hanging="701"/>
        <w:jc w:val="left"/>
      </w:pPr>
      <w:rPr>
        <w:rFonts w:hint="default"/>
        <w:lang w:val="zh-CN" w:eastAsia="zh-CN" w:bidi="zh-CN"/>
      </w:rPr>
    </w:lvl>
    <w:lvl w:ilvl="1" w:tentative="0">
      <w:start w:val="2"/>
      <w:numFmt w:val="decimal"/>
      <w:lvlText w:val="%1.%2"/>
      <w:lvlJc w:val="left"/>
      <w:pPr>
        <w:ind w:left="1920" w:hanging="701"/>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3584" w:hanging="701"/>
      </w:pPr>
      <w:rPr>
        <w:rFonts w:hint="default"/>
        <w:lang w:val="zh-CN" w:eastAsia="zh-CN" w:bidi="zh-CN"/>
      </w:rPr>
    </w:lvl>
    <w:lvl w:ilvl="3" w:tentative="0">
      <w:start w:val="0"/>
      <w:numFmt w:val="bullet"/>
      <w:lvlText w:val="•"/>
      <w:lvlJc w:val="left"/>
      <w:pPr>
        <w:ind w:left="4416" w:hanging="701"/>
      </w:pPr>
      <w:rPr>
        <w:rFonts w:hint="default"/>
        <w:lang w:val="zh-CN" w:eastAsia="zh-CN" w:bidi="zh-CN"/>
      </w:rPr>
    </w:lvl>
    <w:lvl w:ilvl="4" w:tentative="0">
      <w:start w:val="0"/>
      <w:numFmt w:val="bullet"/>
      <w:lvlText w:val="•"/>
      <w:lvlJc w:val="left"/>
      <w:pPr>
        <w:ind w:left="5248" w:hanging="701"/>
      </w:pPr>
      <w:rPr>
        <w:rFonts w:hint="default"/>
        <w:lang w:val="zh-CN" w:eastAsia="zh-CN" w:bidi="zh-CN"/>
      </w:rPr>
    </w:lvl>
    <w:lvl w:ilvl="5" w:tentative="0">
      <w:start w:val="0"/>
      <w:numFmt w:val="bullet"/>
      <w:lvlText w:val="•"/>
      <w:lvlJc w:val="left"/>
      <w:pPr>
        <w:ind w:left="6080" w:hanging="701"/>
      </w:pPr>
      <w:rPr>
        <w:rFonts w:hint="default"/>
        <w:lang w:val="zh-CN" w:eastAsia="zh-CN" w:bidi="zh-CN"/>
      </w:rPr>
    </w:lvl>
    <w:lvl w:ilvl="6" w:tentative="0">
      <w:start w:val="0"/>
      <w:numFmt w:val="bullet"/>
      <w:lvlText w:val="•"/>
      <w:lvlJc w:val="left"/>
      <w:pPr>
        <w:ind w:left="6912" w:hanging="701"/>
      </w:pPr>
      <w:rPr>
        <w:rFonts w:hint="default"/>
        <w:lang w:val="zh-CN" w:eastAsia="zh-CN" w:bidi="zh-CN"/>
      </w:rPr>
    </w:lvl>
    <w:lvl w:ilvl="7" w:tentative="0">
      <w:start w:val="0"/>
      <w:numFmt w:val="bullet"/>
      <w:lvlText w:val="•"/>
      <w:lvlJc w:val="left"/>
      <w:pPr>
        <w:ind w:left="7744" w:hanging="701"/>
      </w:pPr>
      <w:rPr>
        <w:rFonts w:hint="default"/>
        <w:lang w:val="zh-CN" w:eastAsia="zh-CN" w:bidi="zh-CN"/>
      </w:rPr>
    </w:lvl>
    <w:lvl w:ilvl="8" w:tentative="0">
      <w:start w:val="0"/>
      <w:numFmt w:val="bullet"/>
      <w:lvlText w:val="•"/>
      <w:lvlJc w:val="left"/>
      <w:pPr>
        <w:ind w:left="8576" w:hanging="701"/>
      </w:pPr>
      <w:rPr>
        <w:rFonts w:hint="default"/>
        <w:lang w:val="zh-CN" w:eastAsia="zh-CN" w:bidi="zh-CN"/>
      </w:rPr>
    </w:lvl>
  </w:abstractNum>
  <w:abstractNum w:abstractNumId="30">
    <w:nsid w:val="0E640482"/>
    <w:multiLevelType w:val="multilevel"/>
    <w:tmpl w:val="0E640482"/>
    <w:lvl w:ilvl="0" w:tentative="0">
      <w:start w:val="9"/>
      <w:numFmt w:val="decimal"/>
      <w:lvlText w:val="%1"/>
      <w:lvlJc w:val="left"/>
      <w:pPr>
        <w:ind w:left="1207" w:hanging="485"/>
        <w:jc w:val="left"/>
      </w:pPr>
      <w:rPr>
        <w:rFonts w:hint="default"/>
        <w:lang w:val="zh-CN" w:eastAsia="zh-CN" w:bidi="zh-CN"/>
      </w:rPr>
    </w:lvl>
    <w:lvl w:ilvl="1" w:tentative="0">
      <w:start w:val="1"/>
      <w:numFmt w:val="decimal"/>
      <w:lvlText w:val="%1.%2"/>
      <w:lvlJc w:val="left"/>
      <w:pPr>
        <w:ind w:left="1207" w:hanging="485"/>
        <w:jc w:val="left"/>
      </w:pPr>
      <w:rPr>
        <w:rFonts w:hint="default" w:ascii="宋体" w:hAnsi="宋体" w:eastAsia="宋体" w:cs="宋体"/>
        <w:spacing w:val="0"/>
        <w:w w:val="99"/>
        <w:sz w:val="24"/>
        <w:szCs w:val="24"/>
        <w:lang w:val="zh-CN" w:eastAsia="zh-CN" w:bidi="zh-CN"/>
      </w:rPr>
    </w:lvl>
    <w:lvl w:ilvl="2" w:tentative="0">
      <w:start w:val="1"/>
      <w:numFmt w:val="decimal"/>
      <w:lvlText w:val="%1.%2.%3"/>
      <w:lvlJc w:val="left"/>
      <w:pPr>
        <w:ind w:left="660" w:hanging="720"/>
        <w:jc w:val="left"/>
      </w:pPr>
      <w:rPr>
        <w:rFonts w:hint="default" w:ascii="宋体" w:hAnsi="宋体" w:eastAsia="宋体" w:cs="宋体"/>
        <w:w w:val="99"/>
        <w:sz w:val="24"/>
        <w:szCs w:val="24"/>
        <w:lang w:val="zh-CN" w:eastAsia="zh-CN" w:bidi="zh-CN"/>
      </w:rPr>
    </w:lvl>
    <w:lvl w:ilvl="3" w:tentative="0">
      <w:start w:val="0"/>
      <w:numFmt w:val="bullet"/>
      <w:lvlText w:val="•"/>
      <w:lvlJc w:val="left"/>
      <w:pPr>
        <w:ind w:left="3208" w:hanging="720"/>
      </w:pPr>
      <w:rPr>
        <w:rFonts w:hint="default"/>
        <w:lang w:val="zh-CN" w:eastAsia="zh-CN" w:bidi="zh-CN"/>
      </w:rPr>
    </w:lvl>
    <w:lvl w:ilvl="4" w:tentative="0">
      <w:start w:val="0"/>
      <w:numFmt w:val="bullet"/>
      <w:lvlText w:val="•"/>
      <w:lvlJc w:val="left"/>
      <w:pPr>
        <w:ind w:left="4213" w:hanging="720"/>
      </w:pPr>
      <w:rPr>
        <w:rFonts w:hint="default"/>
        <w:lang w:val="zh-CN" w:eastAsia="zh-CN" w:bidi="zh-CN"/>
      </w:rPr>
    </w:lvl>
    <w:lvl w:ilvl="5" w:tentative="0">
      <w:start w:val="0"/>
      <w:numFmt w:val="bullet"/>
      <w:lvlText w:val="•"/>
      <w:lvlJc w:val="left"/>
      <w:pPr>
        <w:ind w:left="5217" w:hanging="720"/>
      </w:pPr>
      <w:rPr>
        <w:rFonts w:hint="default"/>
        <w:lang w:val="zh-CN" w:eastAsia="zh-CN" w:bidi="zh-CN"/>
      </w:rPr>
    </w:lvl>
    <w:lvl w:ilvl="6" w:tentative="0">
      <w:start w:val="0"/>
      <w:numFmt w:val="bullet"/>
      <w:lvlText w:val="•"/>
      <w:lvlJc w:val="left"/>
      <w:pPr>
        <w:ind w:left="6222" w:hanging="720"/>
      </w:pPr>
      <w:rPr>
        <w:rFonts w:hint="default"/>
        <w:lang w:val="zh-CN" w:eastAsia="zh-CN" w:bidi="zh-CN"/>
      </w:rPr>
    </w:lvl>
    <w:lvl w:ilvl="7" w:tentative="0">
      <w:start w:val="0"/>
      <w:numFmt w:val="bullet"/>
      <w:lvlText w:val="•"/>
      <w:lvlJc w:val="left"/>
      <w:pPr>
        <w:ind w:left="7226" w:hanging="720"/>
      </w:pPr>
      <w:rPr>
        <w:rFonts w:hint="default"/>
        <w:lang w:val="zh-CN" w:eastAsia="zh-CN" w:bidi="zh-CN"/>
      </w:rPr>
    </w:lvl>
    <w:lvl w:ilvl="8" w:tentative="0">
      <w:start w:val="0"/>
      <w:numFmt w:val="bullet"/>
      <w:lvlText w:val="•"/>
      <w:lvlJc w:val="left"/>
      <w:pPr>
        <w:ind w:left="8231" w:hanging="720"/>
      </w:pPr>
      <w:rPr>
        <w:rFonts w:hint="default"/>
        <w:lang w:val="zh-CN" w:eastAsia="zh-CN" w:bidi="zh-CN"/>
      </w:rPr>
    </w:lvl>
  </w:abstractNum>
  <w:abstractNum w:abstractNumId="31">
    <w:nsid w:val="0F9F9CCA"/>
    <w:multiLevelType w:val="multilevel"/>
    <w:tmpl w:val="0F9F9CCA"/>
    <w:lvl w:ilvl="0" w:tentative="0">
      <w:start w:val="2"/>
      <w:numFmt w:val="decimal"/>
      <w:lvlText w:val="%1."/>
      <w:lvlJc w:val="left"/>
      <w:pPr>
        <w:ind w:left="1242" w:hanging="163"/>
        <w:jc w:val="left"/>
      </w:pPr>
      <w:rPr>
        <w:rFonts w:hint="default" w:ascii="Calibri" w:hAnsi="Calibri" w:eastAsia="Calibri" w:cs="Calibri"/>
        <w:spacing w:val="-1"/>
        <w:w w:val="100"/>
        <w:sz w:val="19"/>
        <w:szCs w:val="19"/>
        <w:lang w:val="zh-CN" w:eastAsia="zh-CN" w:bidi="zh-CN"/>
      </w:rPr>
    </w:lvl>
    <w:lvl w:ilvl="1" w:tentative="0">
      <w:start w:val="0"/>
      <w:numFmt w:val="bullet"/>
      <w:lvlText w:val="•"/>
      <w:lvlJc w:val="left"/>
      <w:pPr>
        <w:ind w:left="2140" w:hanging="163"/>
      </w:pPr>
      <w:rPr>
        <w:rFonts w:hint="default"/>
        <w:lang w:val="zh-CN" w:eastAsia="zh-CN" w:bidi="zh-CN"/>
      </w:rPr>
    </w:lvl>
    <w:lvl w:ilvl="2" w:tentative="0">
      <w:start w:val="0"/>
      <w:numFmt w:val="bullet"/>
      <w:lvlText w:val="•"/>
      <w:lvlJc w:val="left"/>
      <w:pPr>
        <w:ind w:left="3040" w:hanging="163"/>
      </w:pPr>
      <w:rPr>
        <w:rFonts w:hint="default"/>
        <w:lang w:val="zh-CN" w:eastAsia="zh-CN" w:bidi="zh-CN"/>
      </w:rPr>
    </w:lvl>
    <w:lvl w:ilvl="3" w:tentative="0">
      <w:start w:val="0"/>
      <w:numFmt w:val="bullet"/>
      <w:lvlText w:val="•"/>
      <w:lvlJc w:val="left"/>
      <w:pPr>
        <w:ind w:left="3940" w:hanging="163"/>
      </w:pPr>
      <w:rPr>
        <w:rFonts w:hint="default"/>
        <w:lang w:val="zh-CN" w:eastAsia="zh-CN" w:bidi="zh-CN"/>
      </w:rPr>
    </w:lvl>
    <w:lvl w:ilvl="4" w:tentative="0">
      <w:start w:val="0"/>
      <w:numFmt w:val="bullet"/>
      <w:lvlText w:val="•"/>
      <w:lvlJc w:val="left"/>
      <w:pPr>
        <w:ind w:left="4840" w:hanging="163"/>
      </w:pPr>
      <w:rPr>
        <w:rFonts w:hint="default"/>
        <w:lang w:val="zh-CN" w:eastAsia="zh-CN" w:bidi="zh-CN"/>
      </w:rPr>
    </w:lvl>
    <w:lvl w:ilvl="5" w:tentative="0">
      <w:start w:val="0"/>
      <w:numFmt w:val="bullet"/>
      <w:lvlText w:val="•"/>
      <w:lvlJc w:val="left"/>
      <w:pPr>
        <w:ind w:left="5740" w:hanging="163"/>
      </w:pPr>
      <w:rPr>
        <w:rFonts w:hint="default"/>
        <w:lang w:val="zh-CN" w:eastAsia="zh-CN" w:bidi="zh-CN"/>
      </w:rPr>
    </w:lvl>
    <w:lvl w:ilvl="6" w:tentative="0">
      <w:start w:val="0"/>
      <w:numFmt w:val="bullet"/>
      <w:lvlText w:val="•"/>
      <w:lvlJc w:val="left"/>
      <w:pPr>
        <w:ind w:left="6640" w:hanging="163"/>
      </w:pPr>
      <w:rPr>
        <w:rFonts w:hint="default"/>
        <w:lang w:val="zh-CN" w:eastAsia="zh-CN" w:bidi="zh-CN"/>
      </w:rPr>
    </w:lvl>
    <w:lvl w:ilvl="7" w:tentative="0">
      <w:start w:val="0"/>
      <w:numFmt w:val="bullet"/>
      <w:lvlText w:val="•"/>
      <w:lvlJc w:val="left"/>
      <w:pPr>
        <w:ind w:left="7540" w:hanging="163"/>
      </w:pPr>
      <w:rPr>
        <w:rFonts w:hint="default"/>
        <w:lang w:val="zh-CN" w:eastAsia="zh-CN" w:bidi="zh-CN"/>
      </w:rPr>
    </w:lvl>
    <w:lvl w:ilvl="8" w:tentative="0">
      <w:start w:val="0"/>
      <w:numFmt w:val="bullet"/>
      <w:lvlText w:val="•"/>
      <w:lvlJc w:val="left"/>
      <w:pPr>
        <w:ind w:left="8440" w:hanging="163"/>
      </w:pPr>
      <w:rPr>
        <w:rFonts w:hint="default"/>
        <w:lang w:val="zh-CN" w:eastAsia="zh-CN" w:bidi="zh-CN"/>
      </w:rPr>
    </w:lvl>
  </w:abstractNum>
  <w:abstractNum w:abstractNumId="32">
    <w:nsid w:val="1ACDE60F"/>
    <w:multiLevelType w:val="multilevel"/>
    <w:tmpl w:val="1ACDE60F"/>
    <w:lvl w:ilvl="0" w:tentative="0">
      <w:start w:val="10"/>
      <w:numFmt w:val="decimal"/>
      <w:lvlText w:val="%1"/>
      <w:lvlJc w:val="left"/>
      <w:pPr>
        <w:ind w:left="660" w:hanging="704"/>
        <w:jc w:val="left"/>
      </w:pPr>
      <w:rPr>
        <w:rFonts w:hint="default"/>
        <w:lang w:val="zh-CN" w:eastAsia="zh-CN" w:bidi="zh-CN"/>
      </w:rPr>
    </w:lvl>
    <w:lvl w:ilvl="1" w:tentative="0">
      <w:start w:val="1"/>
      <w:numFmt w:val="decimal"/>
      <w:lvlText w:val="%1.%2"/>
      <w:lvlJc w:val="left"/>
      <w:pPr>
        <w:ind w:left="660" w:hanging="704"/>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2576" w:hanging="704"/>
      </w:pPr>
      <w:rPr>
        <w:rFonts w:hint="default"/>
        <w:lang w:val="zh-CN" w:eastAsia="zh-CN" w:bidi="zh-CN"/>
      </w:rPr>
    </w:lvl>
    <w:lvl w:ilvl="3" w:tentative="0">
      <w:start w:val="0"/>
      <w:numFmt w:val="bullet"/>
      <w:lvlText w:val="•"/>
      <w:lvlJc w:val="left"/>
      <w:pPr>
        <w:ind w:left="3534" w:hanging="704"/>
      </w:pPr>
      <w:rPr>
        <w:rFonts w:hint="default"/>
        <w:lang w:val="zh-CN" w:eastAsia="zh-CN" w:bidi="zh-CN"/>
      </w:rPr>
    </w:lvl>
    <w:lvl w:ilvl="4" w:tentative="0">
      <w:start w:val="0"/>
      <w:numFmt w:val="bullet"/>
      <w:lvlText w:val="•"/>
      <w:lvlJc w:val="left"/>
      <w:pPr>
        <w:ind w:left="4492" w:hanging="704"/>
      </w:pPr>
      <w:rPr>
        <w:rFonts w:hint="default"/>
        <w:lang w:val="zh-CN" w:eastAsia="zh-CN" w:bidi="zh-CN"/>
      </w:rPr>
    </w:lvl>
    <w:lvl w:ilvl="5" w:tentative="0">
      <w:start w:val="0"/>
      <w:numFmt w:val="bullet"/>
      <w:lvlText w:val="•"/>
      <w:lvlJc w:val="left"/>
      <w:pPr>
        <w:ind w:left="5450" w:hanging="704"/>
      </w:pPr>
      <w:rPr>
        <w:rFonts w:hint="default"/>
        <w:lang w:val="zh-CN" w:eastAsia="zh-CN" w:bidi="zh-CN"/>
      </w:rPr>
    </w:lvl>
    <w:lvl w:ilvl="6" w:tentative="0">
      <w:start w:val="0"/>
      <w:numFmt w:val="bullet"/>
      <w:lvlText w:val="•"/>
      <w:lvlJc w:val="left"/>
      <w:pPr>
        <w:ind w:left="6408" w:hanging="704"/>
      </w:pPr>
      <w:rPr>
        <w:rFonts w:hint="default"/>
        <w:lang w:val="zh-CN" w:eastAsia="zh-CN" w:bidi="zh-CN"/>
      </w:rPr>
    </w:lvl>
    <w:lvl w:ilvl="7" w:tentative="0">
      <w:start w:val="0"/>
      <w:numFmt w:val="bullet"/>
      <w:lvlText w:val="•"/>
      <w:lvlJc w:val="left"/>
      <w:pPr>
        <w:ind w:left="7366" w:hanging="704"/>
      </w:pPr>
      <w:rPr>
        <w:rFonts w:hint="default"/>
        <w:lang w:val="zh-CN" w:eastAsia="zh-CN" w:bidi="zh-CN"/>
      </w:rPr>
    </w:lvl>
    <w:lvl w:ilvl="8" w:tentative="0">
      <w:start w:val="0"/>
      <w:numFmt w:val="bullet"/>
      <w:lvlText w:val="•"/>
      <w:lvlJc w:val="left"/>
      <w:pPr>
        <w:ind w:left="8324" w:hanging="704"/>
      </w:pPr>
      <w:rPr>
        <w:rFonts w:hint="default"/>
        <w:lang w:val="zh-CN" w:eastAsia="zh-CN" w:bidi="zh-CN"/>
      </w:rPr>
    </w:lvl>
  </w:abstractNum>
  <w:abstractNum w:abstractNumId="33">
    <w:nsid w:val="1C257C7B"/>
    <w:multiLevelType w:val="multilevel"/>
    <w:tmpl w:val="1C257C7B"/>
    <w:lvl w:ilvl="0" w:tentative="0">
      <w:start w:val="1"/>
      <w:numFmt w:val="decimal"/>
      <w:lvlText w:val="%1"/>
      <w:lvlJc w:val="left"/>
      <w:pPr>
        <w:ind w:left="1560" w:hanging="420"/>
        <w:jc w:val="left"/>
      </w:pPr>
      <w:rPr>
        <w:rFonts w:hint="default"/>
        <w:lang w:val="zh-CN" w:eastAsia="zh-CN" w:bidi="zh-CN"/>
      </w:rPr>
    </w:lvl>
    <w:lvl w:ilvl="1" w:tentative="0">
      <w:start w:val="1"/>
      <w:numFmt w:val="decimal"/>
      <w:lvlText w:val="%1.%2"/>
      <w:lvlJc w:val="left"/>
      <w:pPr>
        <w:ind w:left="1560" w:hanging="420"/>
        <w:jc w:val="left"/>
      </w:pPr>
      <w:rPr>
        <w:rFonts w:hint="default" w:ascii="宋体" w:hAnsi="宋体" w:eastAsia="宋体" w:cs="宋体"/>
        <w:w w:val="99"/>
        <w:sz w:val="24"/>
        <w:szCs w:val="24"/>
        <w:lang w:val="zh-CN" w:eastAsia="zh-CN" w:bidi="zh-CN"/>
      </w:rPr>
    </w:lvl>
    <w:lvl w:ilvl="2" w:tentative="0">
      <w:start w:val="0"/>
      <w:numFmt w:val="bullet"/>
      <w:lvlText w:val="•"/>
      <w:lvlJc w:val="left"/>
      <w:pPr>
        <w:ind w:left="3296" w:hanging="420"/>
      </w:pPr>
      <w:rPr>
        <w:rFonts w:hint="default"/>
        <w:lang w:val="zh-CN" w:eastAsia="zh-CN" w:bidi="zh-CN"/>
      </w:rPr>
    </w:lvl>
    <w:lvl w:ilvl="3" w:tentative="0">
      <w:start w:val="0"/>
      <w:numFmt w:val="bullet"/>
      <w:lvlText w:val="•"/>
      <w:lvlJc w:val="left"/>
      <w:pPr>
        <w:ind w:left="4164" w:hanging="420"/>
      </w:pPr>
      <w:rPr>
        <w:rFonts w:hint="default"/>
        <w:lang w:val="zh-CN" w:eastAsia="zh-CN" w:bidi="zh-CN"/>
      </w:rPr>
    </w:lvl>
    <w:lvl w:ilvl="4" w:tentative="0">
      <w:start w:val="0"/>
      <w:numFmt w:val="bullet"/>
      <w:lvlText w:val="•"/>
      <w:lvlJc w:val="left"/>
      <w:pPr>
        <w:ind w:left="5032" w:hanging="420"/>
      </w:pPr>
      <w:rPr>
        <w:rFonts w:hint="default"/>
        <w:lang w:val="zh-CN" w:eastAsia="zh-CN" w:bidi="zh-CN"/>
      </w:rPr>
    </w:lvl>
    <w:lvl w:ilvl="5" w:tentative="0">
      <w:start w:val="0"/>
      <w:numFmt w:val="bullet"/>
      <w:lvlText w:val="•"/>
      <w:lvlJc w:val="left"/>
      <w:pPr>
        <w:ind w:left="5900" w:hanging="420"/>
      </w:pPr>
      <w:rPr>
        <w:rFonts w:hint="default"/>
        <w:lang w:val="zh-CN" w:eastAsia="zh-CN" w:bidi="zh-CN"/>
      </w:rPr>
    </w:lvl>
    <w:lvl w:ilvl="6" w:tentative="0">
      <w:start w:val="0"/>
      <w:numFmt w:val="bullet"/>
      <w:lvlText w:val="•"/>
      <w:lvlJc w:val="left"/>
      <w:pPr>
        <w:ind w:left="6768" w:hanging="420"/>
      </w:pPr>
      <w:rPr>
        <w:rFonts w:hint="default"/>
        <w:lang w:val="zh-CN" w:eastAsia="zh-CN" w:bidi="zh-CN"/>
      </w:rPr>
    </w:lvl>
    <w:lvl w:ilvl="7" w:tentative="0">
      <w:start w:val="0"/>
      <w:numFmt w:val="bullet"/>
      <w:lvlText w:val="•"/>
      <w:lvlJc w:val="left"/>
      <w:pPr>
        <w:ind w:left="7636" w:hanging="420"/>
      </w:pPr>
      <w:rPr>
        <w:rFonts w:hint="default"/>
        <w:lang w:val="zh-CN" w:eastAsia="zh-CN" w:bidi="zh-CN"/>
      </w:rPr>
    </w:lvl>
    <w:lvl w:ilvl="8" w:tentative="0">
      <w:start w:val="0"/>
      <w:numFmt w:val="bullet"/>
      <w:lvlText w:val="•"/>
      <w:lvlJc w:val="left"/>
      <w:pPr>
        <w:ind w:left="8504" w:hanging="420"/>
      </w:pPr>
      <w:rPr>
        <w:rFonts w:hint="default"/>
        <w:lang w:val="zh-CN" w:eastAsia="zh-CN" w:bidi="zh-CN"/>
      </w:rPr>
    </w:lvl>
  </w:abstractNum>
  <w:abstractNum w:abstractNumId="34">
    <w:nsid w:val="23E97754"/>
    <w:multiLevelType w:val="multilevel"/>
    <w:tmpl w:val="23E97754"/>
    <w:lvl w:ilvl="0" w:tentative="0">
      <w:start w:val="3"/>
      <w:numFmt w:val="decimal"/>
      <w:lvlText w:val="%1"/>
      <w:lvlJc w:val="left"/>
      <w:pPr>
        <w:ind w:left="1617" w:hanging="420"/>
        <w:jc w:val="left"/>
      </w:pPr>
      <w:rPr>
        <w:rFonts w:hint="default"/>
        <w:lang w:val="zh-CN" w:eastAsia="zh-CN" w:bidi="zh-CN"/>
      </w:rPr>
    </w:lvl>
    <w:lvl w:ilvl="1" w:tentative="0">
      <w:start w:val="1"/>
      <w:numFmt w:val="decimal"/>
      <w:lvlText w:val="%1.%2"/>
      <w:lvlJc w:val="left"/>
      <w:pPr>
        <w:ind w:left="1617" w:hanging="420"/>
        <w:jc w:val="left"/>
      </w:pPr>
      <w:rPr>
        <w:rFonts w:hint="default" w:ascii="宋体" w:hAnsi="宋体" w:eastAsia="宋体" w:cs="宋体"/>
        <w:w w:val="99"/>
        <w:sz w:val="24"/>
        <w:szCs w:val="24"/>
        <w:lang w:val="zh-CN" w:eastAsia="zh-CN" w:bidi="zh-CN"/>
      </w:rPr>
    </w:lvl>
    <w:lvl w:ilvl="2" w:tentative="0">
      <w:start w:val="0"/>
      <w:numFmt w:val="bullet"/>
      <w:lvlText w:val="•"/>
      <w:lvlJc w:val="left"/>
      <w:pPr>
        <w:ind w:left="3344" w:hanging="420"/>
      </w:pPr>
      <w:rPr>
        <w:rFonts w:hint="default"/>
        <w:lang w:val="zh-CN" w:eastAsia="zh-CN" w:bidi="zh-CN"/>
      </w:rPr>
    </w:lvl>
    <w:lvl w:ilvl="3" w:tentative="0">
      <w:start w:val="0"/>
      <w:numFmt w:val="bullet"/>
      <w:lvlText w:val="•"/>
      <w:lvlJc w:val="left"/>
      <w:pPr>
        <w:ind w:left="4206" w:hanging="420"/>
      </w:pPr>
      <w:rPr>
        <w:rFonts w:hint="default"/>
        <w:lang w:val="zh-CN" w:eastAsia="zh-CN" w:bidi="zh-CN"/>
      </w:rPr>
    </w:lvl>
    <w:lvl w:ilvl="4" w:tentative="0">
      <w:start w:val="0"/>
      <w:numFmt w:val="bullet"/>
      <w:lvlText w:val="•"/>
      <w:lvlJc w:val="left"/>
      <w:pPr>
        <w:ind w:left="5068" w:hanging="420"/>
      </w:pPr>
      <w:rPr>
        <w:rFonts w:hint="default"/>
        <w:lang w:val="zh-CN" w:eastAsia="zh-CN" w:bidi="zh-CN"/>
      </w:rPr>
    </w:lvl>
    <w:lvl w:ilvl="5" w:tentative="0">
      <w:start w:val="0"/>
      <w:numFmt w:val="bullet"/>
      <w:lvlText w:val="•"/>
      <w:lvlJc w:val="left"/>
      <w:pPr>
        <w:ind w:left="5930" w:hanging="420"/>
      </w:pPr>
      <w:rPr>
        <w:rFonts w:hint="default"/>
        <w:lang w:val="zh-CN" w:eastAsia="zh-CN" w:bidi="zh-CN"/>
      </w:rPr>
    </w:lvl>
    <w:lvl w:ilvl="6" w:tentative="0">
      <w:start w:val="0"/>
      <w:numFmt w:val="bullet"/>
      <w:lvlText w:val="•"/>
      <w:lvlJc w:val="left"/>
      <w:pPr>
        <w:ind w:left="6792" w:hanging="420"/>
      </w:pPr>
      <w:rPr>
        <w:rFonts w:hint="default"/>
        <w:lang w:val="zh-CN" w:eastAsia="zh-CN" w:bidi="zh-CN"/>
      </w:rPr>
    </w:lvl>
    <w:lvl w:ilvl="7" w:tentative="0">
      <w:start w:val="0"/>
      <w:numFmt w:val="bullet"/>
      <w:lvlText w:val="•"/>
      <w:lvlJc w:val="left"/>
      <w:pPr>
        <w:ind w:left="7654" w:hanging="420"/>
      </w:pPr>
      <w:rPr>
        <w:rFonts w:hint="default"/>
        <w:lang w:val="zh-CN" w:eastAsia="zh-CN" w:bidi="zh-CN"/>
      </w:rPr>
    </w:lvl>
    <w:lvl w:ilvl="8" w:tentative="0">
      <w:start w:val="0"/>
      <w:numFmt w:val="bullet"/>
      <w:lvlText w:val="•"/>
      <w:lvlJc w:val="left"/>
      <w:pPr>
        <w:ind w:left="8516" w:hanging="420"/>
      </w:pPr>
      <w:rPr>
        <w:rFonts w:hint="default"/>
        <w:lang w:val="zh-CN" w:eastAsia="zh-CN" w:bidi="zh-CN"/>
      </w:rPr>
    </w:lvl>
  </w:abstractNum>
  <w:abstractNum w:abstractNumId="35">
    <w:nsid w:val="243FCF68"/>
    <w:multiLevelType w:val="multilevel"/>
    <w:tmpl w:val="243FCF68"/>
    <w:lvl w:ilvl="0" w:tentative="0">
      <w:start w:val="2"/>
      <w:numFmt w:val="decimal"/>
      <w:lvlText w:val="%1."/>
      <w:lvlJc w:val="left"/>
      <w:pPr>
        <w:ind w:left="950" w:hanging="283"/>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1888" w:hanging="283"/>
      </w:pPr>
      <w:rPr>
        <w:rFonts w:hint="default"/>
        <w:lang w:val="zh-CN" w:eastAsia="zh-CN" w:bidi="zh-CN"/>
      </w:rPr>
    </w:lvl>
    <w:lvl w:ilvl="2" w:tentative="0">
      <w:start w:val="0"/>
      <w:numFmt w:val="bullet"/>
      <w:lvlText w:val="•"/>
      <w:lvlJc w:val="left"/>
      <w:pPr>
        <w:ind w:left="2816" w:hanging="283"/>
      </w:pPr>
      <w:rPr>
        <w:rFonts w:hint="default"/>
        <w:lang w:val="zh-CN" w:eastAsia="zh-CN" w:bidi="zh-CN"/>
      </w:rPr>
    </w:lvl>
    <w:lvl w:ilvl="3" w:tentative="0">
      <w:start w:val="0"/>
      <w:numFmt w:val="bullet"/>
      <w:lvlText w:val="•"/>
      <w:lvlJc w:val="left"/>
      <w:pPr>
        <w:ind w:left="3744" w:hanging="283"/>
      </w:pPr>
      <w:rPr>
        <w:rFonts w:hint="default"/>
        <w:lang w:val="zh-CN" w:eastAsia="zh-CN" w:bidi="zh-CN"/>
      </w:rPr>
    </w:lvl>
    <w:lvl w:ilvl="4" w:tentative="0">
      <w:start w:val="0"/>
      <w:numFmt w:val="bullet"/>
      <w:lvlText w:val="•"/>
      <w:lvlJc w:val="left"/>
      <w:pPr>
        <w:ind w:left="4672" w:hanging="283"/>
      </w:pPr>
      <w:rPr>
        <w:rFonts w:hint="default"/>
        <w:lang w:val="zh-CN" w:eastAsia="zh-CN" w:bidi="zh-CN"/>
      </w:rPr>
    </w:lvl>
    <w:lvl w:ilvl="5" w:tentative="0">
      <w:start w:val="0"/>
      <w:numFmt w:val="bullet"/>
      <w:lvlText w:val="•"/>
      <w:lvlJc w:val="left"/>
      <w:pPr>
        <w:ind w:left="5600" w:hanging="283"/>
      </w:pPr>
      <w:rPr>
        <w:rFonts w:hint="default"/>
        <w:lang w:val="zh-CN" w:eastAsia="zh-CN" w:bidi="zh-CN"/>
      </w:rPr>
    </w:lvl>
    <w:lvl w:ilvl="6" w:tentative="0">
      <w:start w:val="0"/>
      <w:numFmt w:val="bullet"/>
      <w:lvlText w:val="•"/>
      <w:lvlJc w:val="left"/>
      <w:pPr>
        <w:ind w:left="6528" w:hanging="283"/>
      </w:pPr>
      <w:rPr>
        <w:rFonts w:hint="default"/>
        <w:lang w:val="zh-CN" w:eastAsia="zh-CN" w:bidi="zh-CN"/>
      </w:rPr>
    </w:lvl>
    <w:lvl w:ilvl="7" w:tentative="0">
      <w:start w:val="0"/>
      <w:numFmt w:val="bullet"/>
      <w:lvlText w:val="•"/>
      <w:lvlJc w:val="left"/>
      <w:pPr>
        <w:ind w:left="7456" w:hanging="283"/>
      </w:pPr>
      <w:rPr>
        <w:rFonts w:hint="default"/>
        <w:lang w:val="zh-CN" w:eastAsia="zh-CN" w:bidi="zh-CN"/>
      </w:rPr>
    </w:lvl>
    <w:lvl w:ilvl="8" w:tentative="0">
      <w:start w:val="0"/>
      <w:numFmt w:val="bullet"/>
      <w:lvlText w:val="•"/>
      <w:lvlJc w:val="left"/>
      <w:pPr>
        <w:ind w:left="8384" w:hanging="283"/>
      </w:pPr>
      <w:rPr>
        <w:rFonts w:hint="default"/>
        <w:lang w:val="zh-CN" w:eastAsia="zh-CN" w:bidi="zh-CN"/>
      </w:rPr>
    </w:lvl>
  </w:abstractNum>
  <w:abstractNum w:abstractNumId="36">
    <w:nsid w:val="2470EC97"/>
    <w:multiLevelType w:val="multilevel"/>
    <w:tmpl w:val="2470EC97"/>
    <w:lvl w:ilvl="0" w:tentative="0">
      <w:start w:val="6"/>
      <w:numFmt w:val="decimal"/>
      <w:lvlText w:val="%1"/>
      <w:lvlJc w:val="left"/>
      <w:pPr>
        <w:ind w:left="1087" w:hanging="425"/>
        <w:jc w:val="left"/>
      </w:pPr>
      <w:rPr>
        <w:rFonts w:hint="default"/>
        <w:lang w:val="zh-CN" w:eastAsia="zh-CN" w:bidi="zh-CN"/>
      </w:rPr>
    </w:lvl>
    <w:lvl w:ilvl="1" w:tentative="0">
      <w:start w:val="1"/>
      <w:numFmt w:val="decimal"/>
      <w:lvlText w:val="%1.%2"/>
      <w:lvlJc w:val="left"/>
      <w:pPr>
        <w:ind w:left="1087" w:hanging="425"/>
        <w:jc w:val="left"/>
      </w:pPr>
      <w:rPr>
        <w:rFonts w:hint="default" w:ascii="宋体" w:hAnsi="宋体" w:eastAsia="宋体" w:cs="宋体"/>
        <w:spacing w:val="0"/>
        <w:w w:val="99"/>
        <w:sz w:val="24"/>
        <w:szCs w:val="24"/>
        <w:lang w:val="zh-CN" w:eastAsia="zh-CN" w:bidi="zh-CN"/>
      </w:rPr>
    </w:lvl>
    <w:lvl w:ilvl="2" w:tentative="0">
      <w:start w:val="1"/>
      <w:numFmt w:val="decimal"/>
      <w:lvlText w:val="%1.%2.%3"/>
      <w:lvlJc w:val="left"/>
      <w:pPr>
        <w:ind w:left="660" w:hanging="660"/>
        <w:jc w:val="left"/>
      </w:pPr>
      <w:rPr>
        <w:rFonts w:hint="default" w:ascii="宋体" w:hAnsi="宋体" w:eastAsia="宋体" w:cs="宋体"/>
        <w:w w:val="99"/>
        <w:sz w:val="24"/>
        <w:szCs w:val="24"/>
        <w:lang w:val="zh-CN" w:eastAsia="zh-CN" w:bidi="zh-CN"/>
      </w:rPr>
    </w:lvl>
    <w:lvl w:ilvl="3" w:tentative="0">
      <w:start w:val="0"/>
      <w:numFmt w:val="bullet"/>
      <w:lvlText w:val="•"/>
      <w:lvlJc w:val="left"/>
      <w:pPr>
        <w:ind w:left="3115" w:hanging="660"/>
      </w:pPr>
      <w:rPr>
        <w:rFonts w:hint="default"/>
        <w:lang w:val="zh-CN" w:eastAsia="zh-CN" w:bidi="zh-CN"/>
      </w:rPr>
    </w:lvl>
    <w:lvl w:ilvl="4" w:tentative="0">
      <w:start w:val="0"/>
      <w:numFmt w:val="bullet"/>
      <w:lvlText w:val="•"/>
      <w:lvlJc w:val="left"/>
      <w:pPr>
        <w:ind w:left="4133" w:hanging="660"/>
      </w:pPr>
      <w:rPr>
        <w:rFonts w:hint="default"/>
        <w:lang w:val="zh-CN" w:eastAsia="zh-CN" w:bidi="zh-CN"/>
      </w:rPr>
    </w:lvl>
    <w:lvl w:ilvl="5" w:tentative="0">
      <w:start w:val="0"/>
      <w:numFmt w:val="bullet"/>
      <w:lvlText w:val="•"/>
      <w:lvlJc w:val="left"/>
      <w:pPr>
        <w:ind w:left="5151" w:hanging="660"/>
      </w:pPr>
      <w:rPr>
        <w:rFonts w:hint="default"/>
        <w:lang w:val="zh-CN" w:eastAsia="zh-CN" w:bidi="zh-CN"/>
      </w:rPr>
    </w:lvl>
    <w:lvl w:ilvl="6" w:tentative="0">
      <w:start w:val="0"/>
      <w:numFmt w:val="bullet"/>
      <w:lvlText w:val="•"/>
      <w:lvlJc w:val="left"/>
      <w:pPr>
        <w:ind w:left="6168" w:hanging="660"/>
      </w:pPr>
      <w:rPr>
        <w:rFonts w:hint="default"/>
        <w:lang w:val="zh-CN" w:eastAsia="zh-CN" w:bidi="zh-CN"/>
      </w:rPr>
    </w:lvl>
    <w:lvl w:ilvl="7" w:tentative="0">
      <w:start w:val="0"/>
      <w:numFmt w:val="bullet"/>
      <w:lvlText w:val="•"/>
      <w:lvlJc w:val="left"/>
      <w:pPr>
        <w:ind w:left="7186" w:hanging="660"/>
      </w:pPr>
      <w:rPr>
        <w:rFonts w:hint="default"/>
        <w:lang w:val="zh-CN" w:eastAsia="zh-CN" w:bidi="zh-CN"/>
      </w:rPr>
    </w:lvl>
    <w:lvl w:ilvl="8" w:tentative="0">
      <w:start w:val="0"/>
      <w:numFmt w:val="bullet"/>
      <w:lvlText w:val="•"/>
      <w:lvlJc w:val="left"/>
      <w:pPr>
        <w:ind w:left="8204" w:hanging="660"/>
      </w:pPr>
      <w:rPr>
        <w:rFonts w:hint="default"/>
        <w:lang w:val="zh-CN" w:eastAsia="zh-CN" w:bidi="zh-CN"/>
      </w:rPr>
    </w:lvl>
  </w:abstractNum>
  <w:abstractNum w:abstractNumId="37">
    <w:nsid w:val="25B654F3"/>
    <w:multiLevelType w:val="multilevel"/>
    <w:tmpl w:val="25B654F3"/>
    <w:lvl w:ilvl="0" w:tentative="0">
      <w:start w:val="1"/>
      <w:numFmt w:val="decimal"/>
      <w:lvlText w:val="%1"/>
      <w:lvlJc w:val="left"/>
      <w:pPr>
        <w:ind w:left="1147" w:hanging="425"/>
        <w:jc w:val="left"/>
      </w:pPr>
      <w:rPr>
        <w:rFonts w:hint="default"/>
        <w:lang w:val="zh-CN" w:eastAsia="zh-CN" w:bidi="zh-CN"/>
      </w:rPr>
    </w:lvl>
    <w:lvl w:ilvl="1" w:tentative="0">
      <w:start w:val="1"/>
      <w:numFmt w:val="decimal"/>
      <w:lvlText w:val="%1.%2"/>
      <w:lvlJc w:val="left"/>
      <w:pPr>
        <w:ind w:left="1147" w:hanging="425"/>
        <w:jc w:val="right"/>
      </w:pPr>
      <w:rPr>
        <w:rFonts w:hint="default" w:ascii="宋体" w:hAnsi="宋体" w:eastAsia="宋体" w:cs="宋体"/>
        <w:spacing w:val="0"/>
        <w:w w:val="99"/>
        <w:sz w:val="24"/>
        <w:szCs w:val="24"/>
        <w:lang w:val="zh-CN" w:eastAsia="zh-CN" w:bidi="zh-CN"/>
      </w:rPr>
    </w:lvl>
    <w:lvl w:ilvl="2" w:tentative="0">
      <w:start w:val="1"/>
      <w:numFmt w:val="decimal"/>
      <w:lvlText w:val="%1.%2.%3"/>
      <w:lvlJc w:val="left"/>
      <w:pPr>
        <w:ind w:left="660" w:hanging="704"/>
        <w:jc w:val="left"/>
      </w:pPr>
      <w:rPr>
        <w:rFonts w:hint="default" w:ascii="宋体" w:hAnsi="宋体" w:eastAsia="宋体" w:cs="宋体"/>
        <w:w w:val="99"/>
        <w:sz w:val="24"/>
        <w:szCs w:val="24"/>
        <w:lang w:val="zh-CN" w:eastAsia="zh-CN" w:bidi="zh-CN"/>
      </w:rPr>
    </w:lvl>
    <w:lvl w:ilvl="3" w:tentative="0">
      <w:start w:val="1"/>
      <w:numFmt w:val="decimal"/>
      <w:lvlText w:val="%1.%2.%3.%4"/>
      <w:lvlJc w:val="left"/>
      <w:pPr>
        <w:ind w:left="2040" w:hanging="900"/>
        <w:jc w:val="left"/>
      </w:pPr>
      <w:rPr>
        <w:rFonts w:hint="default" w:ascii="宋体" w:hAnsi="宋体" w:eastAsia="宋体" w:cs="宋体"/>
        <w:w w:val="99"/>
        <w:sz w:val="24"/>
        <w:szCs w:val="24"/>
        <w:lang w:val="zh-CN" w:eastAsia="zh-CN" w:bidi="zh-CN"/>
      </w:rPr>
    </w:lvl>
    <w:lvl w:ilvl="4" w:tentative="0">
      <w:start w:val="0"/>
      <w:numFmt w:val="bullet"/>
      <w:lvlText w:val="•"/>
      <w:lvlJc w:val="left"/>
      <w:pPr>
        <w:ind w:left="3211" w:hanging="900"/>
      </w:pPr>
      <w:rPr>
        <w:rFonts w:hint="default"/>
        <w:lang w:val="zh-CN" w:eastAsia="zh-CN" w:bidi="zh-CN"/>
      </w:rPr>
    </w:lvl>
    <w:lvl w:ilvl="5" w:tentative="0">
      <w:start w:val="0"/>
      <w:numFmt w:val="bullet"/>
      <w:lvlText w:val="•"/>
      <w:lvlJc w:val="left"/>
      <w:pPr>
        <w:ind w:left="4382" w:hanging="900"/>
      </w:pPr>
      <w:rPr>
        <w:rFonts w:hint="default"/>
        <w:lang w:val="zh-CN" w:eastAsia="zh-CN" w:bidi="zh-CN"/>
      </w:rPr>
    </w:lvl>
    <w:lvl w:ilvl="6" w:tentative="0">
      <w:start w:val="0"/>
      <w:numFmt w:val="bullet"/>
      <w:lvlText w:val="•"/>
      <w:lvlJc w:val="left"/>
      <w:pPr>
        <w:ind w:left="5554" w:hanging="900"/>
      </w:pPr>
      <w:rPr>
        <w:rFonts w:hint="default"/>
        <w:lang w:val="zh-CN" w:eastAsia="zh-CN" w:bidi="zh-CN"/>
      </w:rPr>
    </w:lvl>
    <w:lvl w:ilvl="7" w:tentative="0">
      <w:start w:val="0"/>
      <w:numFmt w:val="bullet"/>
      <w:lvlText w:val="•"/>
      <w:lvlJc w:val="left"/>
      <w:pPr>
        <w:ind w:left="6725" w:hanging="900"/>
      </w:pPr>
      <w:rPr>
        <w:rFonts w:hint="default"/>
        <w:lang w:val="zh-CN" w:eastAsia="zh-CN" w:bidi="zh-CN"/>
      </w:rPr>
    </w:lvl>
    <w:lvl w:ilvl="8" w:tentative="0">
      <w:start w:val="0"/>
      <w:numFmt w:val="bullet"/>
      <w:lvlText w:val="•"/>
      <w:lvlJc w:val="left"/>
      <w:pPr>
        <w:ind w:left="7897" w:hanging="900"/>
      </w:pPr>
      <w:rPr>
        <w:rFonts w:hint="default"/>
        <w:lang w:val="zh-CN" w:eastAsia="zh-CN" w:bidi="zh-CN"/>
      </w:rPr>
    </w:lvl>
  </w:abstractNum>
  <w:abstractNum w:abstractNumId="38">
    <w:nsid w:val="2A8F537B"/>
    <w:multiLevelType w:val="multilevel"/>
    <w:tmpl w:val="2A8F537B"/>
    <w:lvl w:ilvl="0" w:tentative="0">
      <w:start w:val="1"/>
      <w:numFmt w:val="decimal"/>
      <w:lvlText w:val="（%1）"/>
      <w:lvlJc w:val="left"/>
      <w:pPr>
        <w:ind w:left="1740" w:hanging="601"/>
        <w:jc w:val="left"/>
      </w:pPr>
      <w:rPr>
        <w:rFonts w:hint="default" w:ascii="宋体" w:hAnsi="宋体" w:eastAsia="宋体" w:cs="宋体"/>
        <w:w w:val="99"/>
        <w:sz w:val="22"/>
        <w:szCs w:val="22"/>
        <w:lang w:val="zh-CN" w:eastAsia="zh-CN" w:bidi="zh-CN"/>
      </w:rPr>
    </w:lvl>
    <w:lvl w:ilvl="1" w:tentative="0">
      <w:start w:val="0"/>
      <w:numFmt w:val="bullet"/>
      <w:lvlText w:val="•"/>
      <w:lvlJc w:val="left"/>
      <w:pPr>
        <w:ind w:left="2590" w:hanging="601"/>
      </w:pPr>
      <w:rPr>
        <w:rFonts w:hint="default"/>
        <w:lang w:val="zh-CN" w:eastAsia="zh-CN" w:bidi="zh-CN"/>
      </w:rPr>
    </w:lvl>
    <w:lvl w:ilvl="2" w:tentative="0">
      <w:start w:val="0"/>
      <w:numFmt w:val="bullet"/>
      <w:lvlText w:val="•"/>
      <w:lvlJc w:val="left"/>
      <w:pPr>
        <w:ind w:left="3440" w:hanging="601"/>
      </w:pPr>
      <w:rPr>
        <w:rFonts w:hint="default"/>
        <w:lang w:val="zh-CN" w:eastAsia="zh-CN" w:bidi="zh-CN"/>
      </w:rPr>
    </w:lvl>
    <w:lvl w:ilvl="3" w:tentative="0">
      <w:start w:val="0"/>
      <w:numFmt w:val="bullet"/>
      <w:lvlText w:val="•"/>
      <w:lvlJc w:val="left"/>
      <w:pPr>
        <w:ind w:left="4290" w:hanging="601"/>
      </w:pPr>
      <w:rPr>
        <w:rFonts w:hint="default"/>
        <w:lang w:val="zh-CN" w:eastAsia="zh-CN" w:bidi="zh-CN"/>
      </w:rPr>
    </w:lvl>
    <w:lvl w:ilvl="4" w:tentative="0">
      <w:start w:val="0"/>
      <w:numFmt w:val="bullet"/>
      <w:lvlText w:val="•"/>
      <w:lvlJc w:val="left"/>
      <w:pPr>
        <w:ind w:left="5140" w:hanging="601"/>
      </w:pPr>
      <w:rPr>
        <w:rFonts w:hint="default"/>
        <w:lang w:val="zh-CN" w:eastAsia="zh-CN" w:bidi="zh-CN"/>
      </w:rPr>
    </w:lvl>
    <w:lvl w:ilvl="5" w:tentative="0">
      <w:start w:val="0"/>
      <w:numFmt w:val="bullet"/>
      <w:lvlText w:val="•"/>
      <w:lvlJc w:val="left"/>
      <w:pPr>
        <w:ind w:left="5990" w:hanging="601"/>
      </w:pPr>
      <w:rPr>
        <w:rFonts w:hint="default"/>
        <w:lang w:val="zh-CN" w:eastAsia="zh-CN" w:bidi="zh-CN"/>
      </w:rPr>
    </w:lvl>
    <w:lvl w:ilvl="6" w:tentative="0">
      <w:start w:val="0"/>
      <w:numFmt w:val="bullet"/>
      <w:lvlText w:val="•"/>
      <w:lvlJc w:val="left"/>
      <w:pPr>
        <w:ind w:left="6840" w:hanging="601"/>
      </w:pPr>
      <w:rPr>
        <w:rFonts w:hint="default"/>
        <w:lang w:val="zh-CN" w:eastAsia="zh-CN" w:bidi="zh-CN"/>
      </w:rPr>
    </w:lvl>
    <w:lvl w:ilvl="7" w:tentative="0">
      <w:start w:val="0"/>
      <w:numFmt w:val="bullet"/>
      <w:lvlText w:val="•"/>
      <w:lvlJc w:val="left"/>
      <w:pPr>
        <w:ind w:left="7690" w:hanging="601"/>
      </w:pPr>
      <w:rPr>
        <w:rFonts w:hint="default"/>
        <w:lang w:val="zh-CN" w:eastAsia="zh-CN" w:bidi="zh-CN"/>
      </w:rPr>
    </w:lvl>
    <w:lvl w:ilvl="8" w:tentative="0">
      <w:start w:val="0"/>
      <w:numFmt w:val="bullet"/>
      <w:lvlText w:val="•"/>
      <w:lvlJc w:val="left"/>
      <w:pPr>
        <w:ind w:left="8540" w:hanging="601"/>
      </w:pPr>
      <w:rPr>
        <w:rFonts w:hint="default"/>
        <w:lang w:val="zh-CN" w:eastAsia="zh-CN" w:bidi="zh-CN"/>
      </w:rPr>
    </w:lvl>
  </w:abstractNum>
  <w:abstractNum w:abstractNumId="39">
    <w:nsid w:val="30FC5B15"/>
    <w:multiLevelType w:val="multilevel"/>
    <w:tmpl w:val="30FC5B15"/>
    <w:lvl w:ilvl="0" w:tentative="0">
      <w:start w:val="2"/>
      <w:numFmt w:val="decimal"/>
      <w:lvlText w:val="%1."/>
      <w:lvlJc w:val="left"/>
      <w:pPr>
        <w:ind w:left="940" w:hanging="283"/>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1920" w:hanging="283"/>
      </w:pPr>
      <w:rPr>
        <w:rFonts w:hint="default"/>
        <w:lang w:val="zh-CN" w:eastAsia="zh-CN" w:bidi="zh-CN"/>
      </w:rPr>
    </w:lvl>
    <w:lvl w:ilvl="2" w:tentative="0">
      <w:start w:val="0"/>
      <w:numFmt w:val="bullet"/>
      <w:lvlText w:val="•"/>
      <w:lvlJc w:val="left"/>
      <w:pPr>
        <w:ind w:left="2844" w:hanging="283"/>
      </w:pPr>
      <w:rPr>
        <w:rFonts w:hint="default"/>
        <w:lang w:val="zh-CN" w:eastAsia="zh-CN" w:bidi="zh-CN"/>
      </w:rPr>
    </w:lvl>
    <w:lvl w:ilvl="3" w:tentative="0">
      <w:start w:val="0"/>
      <w:numFmt w:val="bullet"/>
      <w:lvlText w:val="•"/>
      <w:lvlJc w:val="left"/>
      <w:pPr>
        <w:ind w:left="3768" w:hanging="283"/>
      </w:pPr>
      <w:rPr>
        <w:rFonts w:hint="default"/>
        <w:lang w:val="zh-CN" w:eastAsia="zh-CN" w:bidi="zh-CN"/>
      </w:rPr>
    </w:lvl>
    <w:lvl w:ilvl="4" w:tentative="0">
      <w:start w:val="0"/>
      <w:numFmt w:val="bullet"/>
      <w:lvlText w:val="•"/>
      <w:lvlJc w:val="left"/>
      <w:pPr>
        <w:ind w:left="4693" w:hanging="283"/>
      </w:pPr>
      <w:rPr>
        <w:rFonts w:hint="default"/>
        <w:lang w:val="zh-CN" w:eastAsia="zh-CN" w:bidi="zh-CN"/>
      </w:rPr>
    </w:lvl>
    <w:lvl w:ilvl="5" w:tentative="0">
      <w:start w:val="0"/>
      <w:numFmt w:val="bullet"/>
      <w:lvlText w:val="•"/>
      <w:lvlJc w:val="left"/>
      <w:pPr>
        <w:ind w:left="5617" w:hanging="283"/>
      </w:pPr>
      <w:rPr>
        <w:rFonts w:hint="default"/>
        <w:lang w:val="zh-CN" w:eastAsia="zh-CN" w:bidi="zh-CN"/>
      </w:rPr>
    </w:lvl>
    <w:lvl w:ilvl="6" w:tentative="0">
      <w:start w:val="0"/>
      <w:numFmt w:val="bullet"/>
      <w:lvlText w:val="•"/>
      <w:lvlJc w:val="left"/>
      <w:pPr>
        <w:ind w:left="6542" w:hanging="283"/>
      </w:pPr>
      <w:rPr>
        <w:rFonts w:hint="default"/>
        <w:lang w:val="zh-CN" w:eastAsia="zh-CN" w:bidi="zh-CN"/>
      </w:rPr>
    </w:lvl>
    <w:lvl w:ilvl="7" w:tentative="0">
      <w:start w:val="0"/>
      <w:numFmt w:val="bullet"/>
      <w:lvlText w:val="•"/>
      <w:lvlJc w:val="left"/>
      <w:pPr>
        <w:ind w:left="7466" w:hanging="283"/>
      </w:pPr>
      <w:rPr>
        <w:rFonts w:hint="default"/>
        <w:lang w:val="zh-CN" w:eastAsia="zh-CN" w:bidi="zh-CN"/>
      </w:rPr>
    </w:lvl>
    <w:lvl w:ilvl="8" w:tentative="0">
      <w:start w:val="0"/>
      <w:numFmt w:val="bullet"/>
      <w:lvlText w:val="•"/>
      <w:lvlJc w:val="left"/>
      <w:pPr>
        <w:ind w:left="8391" w:hanging="283"/>
      </w:pPr>
      <w:rPr>
        <w:rFonts w:hint="default"/>
        <w:lang w:val="zh-CN" w:eastAsia="zh-CN" w:bidi="zh-CN"/>
      </w:rPr>
    </w:lvl>
  </w:abstractNum>
  <w:abstractNum w:abstractNumId="40">
    <w:nsid w:val="322D85CA"/>
    <w:multiLevelType w:val="multilevel"/>
    <w:tmpl w:val="322D85CA"/>
    <w:lvl w:ilvl="0" w:tentative="0">
      <w:start w:val="14"/>
      <w:numFmt w:val="decimal"/>
      <w:lvlText w:val="%1."/>
      <w:lvlJc w:val="left"/>
      <w:pPr>
        <w:ind w:left="1227" w:hanging="565"/>
        <w:jc w:val="left"/>
      </w:pPr>
      <w:rPr>
        <w:rFonts w:hint="default" w:ascii="宋体" w:hAnsi="宋体" w:eastAsia="宋体" w:cs="宋体"/>
        <w:spacing w:val="0"/>
        <w:w w:val="100"/>
        <w:sz w:val="26"/>
        <w:szCs w:val="26"/>
        <w:lang w:val="zh-CN" w:eastAsia="zh-CN" w:bidi="zh-CN"/>
      </w:rPr>
    </w:lvl>
    <w:lvl w:ilvl="1" w:tentative="0">
      <w:start w:val="12"/>
      <w:numFmt w:val="lowerLetter"/>
      <w:lvlText w:val="%1.%2"/>
      <w:lvlJc w:val="left"/>
      <w:pPr>
        <w:ind w:left="660" w:hanging="716"/>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2222" w:hanging="716"/>
      </w:pPr>
      <w:rPr>
        <w:rFonts w:hint="default"/>
        <w:lang w:val="zh-CN" w:eastAsia="zh-CN" w:bidi="zh-CN"/>
      </w:rPr>
    </w:lvl>
    <w:lvl w:ilvl="3" w:tentative="0">
      <w:start w:val="0"/>
      <w:numFmt w:val="bullet"/>
      <w:lvlText w:val="•"/>
      <w:lvlJc w:val="left"/>
      <w:pPr>
        <w:ind w:left="3224" w:hanging="716"/>
      </w:pPr>
      <w:rPr>
        <w:rFonts w:hint="default"/>
        <w:lang w:val="zh-CN" w:eastAsia="zh-CN" w:bidi="zh-CN"/>
      </w:rPr>
    </w:lvl>
    <w:lvl w:ilvl="4" w:tentative="0">
      <w:start w:val="0"/>
      <w:numFmt w:val="bullet"/>
      <w:lvlText w:val="•"/>
      <w:lvlJc w:val="left"/>
      <w:pPr>
        <w:ind w:left="4226" w:hanging="716"/>
      </w:pPr>
      <w:rPr>
        <w:rFonts w:hint="default"/>
        <w:lang w:val="zh-CN" w:eastAsia="zh-CN" w:bidi="zh-CN"/>
      </w:rPr>
    </w:lvl>
    <w:lvl w:ilvl="5" w:tentative="0">
      <w:start w:val="0"/>
      <w:numFmt w:val="bullet"/>
      <w:lvlText w:val="•"/>
      <w:lvlJc w:val="left"/>
      <w:pPr>
        <w:ind w:left="5228" w:hanging="716"/>
      </w:pPr>
      <w:rPr>
        <w:rFonts w:hint="default"/>
        <w:lang w:val="zh-CN" w:eastAsia="zh-CN" w:bidi="zh-CN"/>
      </w:rPr>
    </w:lvl>
    <w:lvl w:ilvl="6" w:tentative="0">
      <w:start w:val="0"/>
      <w:numFmt w:val="bullet"/>
      <w:lvlText w:val="•"/>
      <w:lvlJc w:val="left"/>
      <w:pPr>
        <w:ind w:left="6231" w:hanging="716"/>
      </w:pPr>
      <w:rPr>
        <w:rFonts w:hint="default"/>
        <w:lang w:val="zh-CN" w:eastAsia="zh-CN" w:bidi="zh-CN"/>
      </w:rPr>
    </w:lvl>
    <w:lvl w:ilvl="7" w:tentative="0">
      <w:start w:val="0"/>
      <w:numFmt w:val="bullet"/>
      <w:lvlText w:val="•"/>
      <w:lvlJc w:val="left"/>
      <w:pPr>
        <w:ind w:left="7233" w:hanging="716"/>
      </w:pPr>
      <w:rPr>
        <w:rFonts w:hint="default"/>
        <w:lang w:val="zh-CN" w:eastAsia="zh-CN" w:bidi="zh-CN"/>
      </w:rPr>
    </w:lvl>
    <w:lvl w:ilvl="8" w:tentative="0">
      <w:start w:val="0"/>
      <w:numFmt w:val="bullet"/>
      <w:lvlText w:val="•"/>
      <w:lvlJc w:val="left"/>
      <w:pPr>
        <w:ind w:left="8235" w:hanging="716"/>
      </w:pPr>
      <w:rPr>
        <w:rFonts w:hint="default"/>
        <w:lang w:val="zh-CN" w:eastAsia="zh-CN" w:bidi="zh-CN"/>
      </w:rPr>
    </w:lvl>
  </w:abstractNum>
  <w:abstractNum w:abstractNumId="41">
    <w:nsid w:val="32A7AF2D"/>
    <w:multiLevelType w:val="multilevel"/>
    <w:tmpl w:val="32A7AF2D"/>
    <w:lvl w:ilvl="0" w:tentative="0">
      <w:start w:val="23"/>
      <w:numFmt w:val="decimal"/>
      <w:lvlText w:val="%1"/>
      <w:lvlJc w:val="left"/>
      <w:pPr>
        <w:ind w:left="1920" w:hanging="701"/>
        <w:jc w:val="left"/>
      </w:pPr>
      <w:rPr>
        <w:rFonts w:hint="default"/>
        <w:lang w:val="zh-CN" w:eastAsia="zh-CN" w:bidi="zh-CN"/>
      </w:rPr>
    </w:lvl>
    <w:lvl w:ilvl="1" w:tentative="0">
      <w:start w:val="1"/>
      <w:numFmt w:val="decimal"/>
      <w:lvlText w:val="%1.%2"/>
      <w:lvlJc w:val="left"/>
      <w:pPr>
        <w:ind w:left="1920" w:hanging="701"/>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3584" w:hanging="701"/>
      </w:pPr>
      <w:rPr>
        <w:rFonts w:hint="default"/>
        <w:lang w:val="zh-CN" w:eastAsia="zh-CN" w:bidi="zh-CN"/>
      </w:rPr>
    </w:lvl>
    <w:lvl w:ilvl="3" w:tentative="0">
      <w:start w:val="0"/>
      <w:numFmt w:val="bullet"/>
      <w:lvlText w:val="•"/>
      <w:lvlJc w:val="left"/>
      <w:pPr>
        <w:ind w:left="4416" w:hanging="701"/>
      </w:pPr>
      <w:rPr>
        <w:rFonts w:hint="default"/>
        <w:lang w:val="zh-CN" w:eastAsia="zh-CN" w:bidi="zh-CN"/>
      </w:rPr>
    </w:lvl>
    <w:lvl w:ilvl="4" w:tentative="0">
      <w:start w:val="0"/>
      <w:numFmt w:val="bullet"/>
      <w:lvlText w:val="•"/>
      <w:lvlJc w:val="left"/>
      <w:pPr>
        <w:ind w:left="5248" w:hanging="701"/>
      </w:pPr>
      <w:rPr>
        <w:rFonts w:hint="default"/>
        <w:lang w:val="zh-CN" w:eastAsia="zh-CN" w:bidi="zh-CN"/>
      </w:rPr>
    </w:lvl>
    <w:lvl w:ilvl="5" w:tentative="0">
      <w:start w:val="0"/>
      <w:numFmt w:val="bullet"/>
      <w:lvlText w:val="•"/>
      <w:lvlJc w:val="left"/>
      <w:pPr>
        <w:ind w:left="6080" w:hanging="701"/>
      </w:pPr>
      <w:rPr>
        <w:rFonts w:hint="default"/>
        <w:lang w:val="zh-CN" w:eastAsia="zh-CN" w:bidi="zh-CN"/>
      </w:rPr>
    </w:lvl>
    <w:lvl w:ilvl="6" w:tentative="0">
      <w:start w:val="0"/>
      <w:numFmt w:val="bullet"/>
      <w:lvlText w:val="•"/>
      <w:lvlJc w:val="left"/>
      <w:pPr>
        <w:ind w:left="6912" w:hanging="701"/>
      </w:pPr>
      <w:rPr>
        <w:rFonts w:hint="default"/>
        <w:lang w:val="zh-CN" w:eastAsia="zh-CN" w:bidi="zh-CN"/>
      </w:rPr>
    </w:lvl>
    <w:lvl w:ilvl="7" w:tentative="0">
      <w:start w:val="0"/>
      <w:numFmt w:val="bullet"/>
      <w:lvlText w:val="•"/>
      <w:lvlJc w:val="left"/>
      <w:pPr>
        <w:ind w:left="7744" w:hanging="701"/>
      </w:pPr>
      <w:rPr>
        <w:rFonts w:hint="default"/>
        <w:lang w:val="zh-CN" w:eastAsia="zh-CN" w:bidi="zh-CN"/>
      </w:rPr>
    </w:lvl>
    <w:lvl w:ilvl="8" w:tentative="0">
      <w:start w:val="0"/>
      <w:numFmt w:val="bullet"/>
      <w:lvlText w:val="•"/>
      <w:lvlJc w:val="left"/>
      <w:pPr>
        <w:ind w:left="8576" w:hanging="701"/>
      </w:pPr>
      <w:rPr>
        <w:rFonts w:hint="default"/>
        <w:lang w:val="zh-CN" w:eastAsia="zh-CN" w:bidi="zh-CN"/>
      </w:rPr>
    </w:lvl>
  </w:abstractNum>
  <w:abstractNum w:abstractNumId="42">
    <w:nsid w:val="35E83B33"/>
    <w:multiLevelType w:val="multilevel"/>
    <w:tmpl w:val="35E83B33"/>
    <w:lvl w:ilvl="0" w:tentative="0">
      <w:start w:val="2"/>
      <w:numFmt w:val="decimal"/>
      <w:lvlText w:val="%1."/>
      <w:lvlJc w:val="left"/>
      <w:pPr>
        <w:ind w:left="1380" w:hanging="241"/>
        <w:jc w:val="left"/>
      </w:pPr>
      <w:rPr>
        <w:rFonts w:hint="default" w:ascii="宋体" w:hAnsi="宋体" w:eastAsia="宋体" w:cs="宋体"/>
        <w:w w:val="99"/>
        <w:sz w:val="22"/>
        <w:szCs w:val="22"/>
        <w:lang w:val="zh-CN" w:eastAsia="zh-CN" w:bidi="zh-CN"/>
      </w:rPr>
    </w:lvl>
    <w:lvl w:ilvl="1" w:tentative="0">
      <w:start w:val="0"/>
      <w:numFmt w:val="bullet"/>
      <w:lvlText w:val="•"/>
      <w:lvlJc w:val="left"/>
      <w:pPr>
        <w:ind w:left="2266" w:hanging="241"/>
      </w:pPr>
      <w:rPr>
        <w:rFonts w:hint="default"/>
        <w:lang w:val="zh-CN" w:eastAsia="zh-CN" w:bidi="zh-CN"/>
      </w:rPr>
    </w:lvl>
    <w:lvl w:ilvl="2" w:tentative="0">
      <w:start w:val="0"/>
      <w:numFmt w:val="bullet"/>
      <w:lvlText w:val="•"/>
      <w:lvlJc w:val="left"/>
      <w:pPr>
        <w:ind w:left="3152" w:hanging="241"/>
      </w:pPr>
      <w:rPr>
        <w:rFonts w:hint="default"/>
        <w:lang w:val="zh-CN" w:eastAsia="zh-CN" w:bidi="zh-CN"/>
      </w:rPr>
    </w:lvl>
    <w:lvl w:ilvl="3" w:tentative="0">
      <w:start w:val="0"/>
      <w:numFmt w:val="bullet"/>
      <w:lvlText w:val="•"/>
      <w:lvlJc w:val="left"/>
      <w:pPr>
        <w:ind w:left="4038" w:hanging="241"/>
      </w:pPr>
      <w:rPr>
        <w:rFonts w:hint="default"/>
        <w:lang w:val="zh-CN" w:eastAsia="zh-CN" w:bidi="zh-CN"/>
      </w:rPr>
    </w:lvl>
    <w:lvl w:ilvl="4" w:tentative="0">
      <w:start w:val="0"/>
      <w:numFmt w:val="bullet"/>
      <w:lvlText w:val="•"/>
      <w:lvlJc w:val="left"/>
      <w:pPr>
        <w:ind w:left="4924" w:hanging="241"/>
      </w:pPr>
      <w:rPr>
        <w:rFonts w:hint="default"/>
        <w:lang w:val="zh-CN" w:eastAsia="zh-CN" w:bidi="zh-CN"/>
      </w:rPr>
    </w:lvl>
    <w:lvl w:ilvl="5" w:tentative="0">
      <w:start w:val="0"/>
      <w:numFmt w:val="bullet"/>
      <w:lvlText w:val="•"/>
      <w:lvlJc w:val="left"/>
      <w:pPr>
        <w:ind w:left="5810" w:hanging="241"/>
      </w:pPr>
      <w:rPr>
        <w:rFonts w:hint="default"/>
        <w:lang w:val="zh-CN" w:eastAsia="zh-CN" w:bidi="zh-CN"/>
      </w:rPr>
    </w:lvl>
    <w:lvl w:ilvl="6" w:tentative="0">
      <w:start w:val="0"/>
      <w:numFmt w:val="bullet"/>
      <w:lvlText w:val="•"/>
      <w:lvlJc w:val="left"/>
      <w:pPr>
        <w:ind w:left="6696" w:hanging="241"/>
      </w:pPr>
      <w:rPr>
        <w:rFonts w:hint="default"/>
        <w:lang w:val="zh-CN" w:eastAsia="zh-CN" w:bidi="zh-CN"/>
      </w:rPr>
    </w:lvl>
    <w:lvl w:ilvl="7" w:tentative="0">
      <w:start w:val="0"/>
      <w:numFmt w:val="bullet"/>
      <w:lvlText w:val="•"/>
      <w:lvlJc w:val="left"/>
      <w:pPr>
        <w:ind w:left="7582" w:hanging="241"/>
      </w:pPr>
      <w:rPr>
        <w:rFonts w:hint="default"/>
        <w:lang w:val="zh-CN" w:eastAsia="zh-CN" w:bidi="zh-CN"/>
      </w:rPr>
    </w:lvl>
    <w:lvl w:ilvl="8" w:tentative="0">
      <w:start w:val="0"/>
      <w:numFmt w:val="bullet"/>
      <w:lvlText w:val="•"/>
      <w:lvlJc w:val="left"/>
      <w:pPr>
        <w:ind w:left="8468" w:hanging="241"/>
      </w:pPr>
      <w:rPr>
        <w:rFonts w:hint="default"/>
        <w:lang w:val="zh-CN" w:eastAsia="zh-CN" w:bidi="zh-CN"/>
      </w:rPr>
    </w:lvl>
  </w:abstractNum>
  <w:abstractNum w:abstractNumId="43">
    <w:nsid w:val="40B249F9"/>
    <w:multiLevelType w:val="multilevel"/>
    <w:tmpl w:val="40B249F9"/>
    <w:lvl w:ilvl="0" w:tentative="0">
      <w:start w:val="1"/>
      <w:numFmt w:val="decimal"/>
      <w:lvlText w:val="（%1）"/>
      <w:lvlJc w:val="left"/>
      <w:pPr>
        <w:ind w:left="1740" w:hanging="601"/>
        <w:jc w:val="left"/>
      </w:pPr>
      <w:rPr>
        <w:rFonts w:hint="default" w:ascii="宋体" w:hAnsi="宋体" w:eastAsia="宋体" w:cs="宋体"/>
        <w:w w:val="99"/>
        <w:sz w:val="22"/>
        <w:szCs w:val="22"/>
        <w:lang w:val="zh-CN" w:eastAsia="zh-CN" w:bidi="zh-CN"/>
      </w:rPr>
    </w:lvl>
    <w:lvl w:ilvl="1" w:tentative="0">
      <w:start w:val="0"/>
      <w:numFmt w:val="bullet"/>
      <w:lvlText w:val="•"/>
      <w:lvlJc w:val="left"/>
      <w:pPr>
        <w:ind w:left="2590" w:hanging="601"/>
      </w:pPr>
      <w:rPr>
        <w:rFonts w:hint="default"/>
        <w:lang w:val="zh-CN" w:eastAsia="zh-CN" w:bidi="zh-CN"/>
      </w:rPr>
    </w:lvl>
    <w:lvl w:ilvl="2" w:tentative="0">
      <w:start w:val="0"/>
      <w:numFmt w:val="bullet"/>
      <w:lvlText w:val="•"/>
      <w:lvlJc w:val="left"/>
      <w:pPr>
        <w:ind w:left="3440" w:hanging="601"/>
      </w:pPr>
      <w:rPr>
        <w:rFonts w:hint="default"/>
        <w:lang w:val="zh-CN" w:eastAsia="zh-CN" w:bidi="zh-CN"/>
      </w:rPr>
    </w:lvl>
    <w:lvl w:ilvl="3" w:tentative="0">
      <w:start w:val="0"/>
      <w:numFmt w:val="bullet"/>
      <w:lvlText w:val="•"/>
      <w:lvlJc w:val="left"/>
      <w:pPr>
        <w:ind w:left="4290" w:hanging="601"/>
      </w:pPr>
      <w:rPr>
        <w:rFonts w:hint="default"/>
        <w:lang w:val="zh-CN" w:eastAsia="zh-CN" w:bidi="zh-CN"/>
      </w:rPr>
    </w:lvl>
    <w:lvl w:ilvl="4" w:tentative="0">
      <w:start w:val="0"/>
      <w:numFmt w:val="bullet"/>
      <w:lvlText w:val="•"/>
      <w:lvlJc w:val="left"/>
      <w:pPr>
        <w:ind w:left="5140" w:hanging="601"/>
      </w:pPr>
      <w:rPr>
        <w:rFonts w:hint="default"/>
        <w:lang w:val="zh-CN" w:eastAsia="zh-CN" w:bidi="zh-CN"/>
      </w:rPr>
    </w:lvl>
    <w:lvl w:ilvl="5" w:tentative="0">
      <w:start w:val="0"/>
      <w:numFmt w:val="bullet"/>
      <w:lvlText w:val="•"/>
      <w:lvlJc w:val="left"/>
      <w:pPr>
        <w:ind w:left="5990" w:hanging="601"/>
      </w:pPr>
      <w:rPr>
        <w:rFonts w:hint="default"/>
        <w:lang w:val="zh-CN" w:eastAsia="zh-CN" w:bidi="zh-CN"/>
      </w:rPr>
    </w:lvl>
    <w:lvl w:ilvl="6" w:tentative="0">
      <w:start w:val="0"/>
      <w:numFmt w:val="bullet"/>
      <w:lvlText w:val="•"/>
      <w:lvlJc w:val="left"/>
      <w:pPr>
        <w:ind w:left="6840" w:hanging="601"/>
      </w:pPr>
      <w:rPr>
        <w:rFonts w:hint="default"/>
        <w:lang w:val="zh-CN" w:eastAsia="zh-CN" w:bidi="zh-CN"/>
      </w:rPr>
    </w:lvl>
    <w:lvl w:ilvl="7" w:tentative="0">
      <w:start w:val="0"/>
      <w:numFmt w:val="bullet"/>
      <w:lvlText w:val="•"/>
      <w:lvlJc w:val="left"/>
      <w:pPr>
        <w:ind w:left="7690" w:hanging="601"/>
      </w:pPr>
      <w:rPr>
        <w:rFonts w:hint="default"/>
        <w:lang w:val="zh-CN" w:eastAsia="zh-CN" w:bidi="zh-CN"/>
      </w:rPr>
    </w:lvl>
    <w:lvl w:ilvl="8" w:tentative="0">
      <w:start w:val="0"/>
      <w:numFmt w:val="bullet"/>
      <w:lvlText w:val="•"/>
      <w:lvlJc w:val="left"/>
      <w:pPr>
        <w:ind w:left="8540" w:hanging="601"/>
      </w:pPr>
      <w:rPr>
        <w:rFonts w:hint="default"/>
        <w:lang w:val="zh-CN" w:eastAsia="zh-CN" w:bidi="zh-CN"/>
      </w:rPr>
    </w:lvl>
  </w:abstractNum>
  <w:abstractNum w:abstractNumId="44">
    <w:nsid w:val="46A08BB8"/>
    <w:multiLevelType w:val="multilevel"/>
    <w:tmpl w:val="46A08BB8"/>
    <w:lvl w:ilvl="0" w:tentative="0">
      <w:start w:val="1"/>
      <w:numFmt w:val="decimal"/>
      <w:lvlText w:val="（%1）"/>
      <w:lvlJc w:val="left"/>
      <w:pPr>
        <w:ind w:left="1800" w:hanging="601"/>
        <w:jc w:val="left"/>
      </w:pPr>
      <w:rPr>
        <w:rFonts w:hint="default" w:ascii="宋体" w:hAnsi="宋体" w:eastAsia="宋体" w:cs="宋体"/>
        <w:spacing w:val="-60"/>
        <w:w w:val="99"/>
        <w:sz w:val="22"/>
        <w:szCs w:val="22"/>
        <w:lang w:val="zh-CN" w:eastAsia="zh-CN" w:bidi="zh-CN"/>
      </w:rPr>
    </w:lvl>
    <w:lvl w:ilvl="1" w:tentative="0">
      <w:start w:val="0"/>
      <w:numFmt w:val="bullet"/>
      <w:lvlText w:val="•"/>
      <w:lvlJc w:val="left"/>
      <w:pPr>
        <w:ind w:left="2644" w:hanging="601"/>
      </w:pPr>
      <w:rPr>
        <w:rFonts w:hint="default"/>
        <w:lang w:val="zh-CN" w:eastAsia="zh-CN" w:bidi="zh-CN"/>
      </w:rPr>
    </w:lvl>
    <w:lvl w:ilvl="2" w:tentative="0">
      <w:start w:val="0"/>
      <w:numFmt w:val="bullet"/>
      <w:lvlText w:val="•"/>
      <w:lvlJc w:val="left"/>
      <w:pPr>
        <w:ind w:left="3488" w:hanging="601"/>
      </w:pPr>
      <w:rPr>
        <w:rFonts w:hint="default"/>
        <w:lang w:val="zh-CN" w:eastAsia="zh-CN" w:bidi="zh-CN"/>
      </w:rPr>
    </w:lvl>
    <w:lvl w:ilvl="3" w:tentative="0">
      <w:start w:val="0"/>
      <w:numFmt w:val="bullet"/>
      <w:lvlText w:val="•"/>
      <w:lvlJc w:val="left"/>
      <w:pPr>
        <w:ind w:left="4332" w:hanging="601"/>
      </w:pPr>
      <w:rPr>
        <w:rFonts w:hint="default"/>
        <w:lang w:val="zh-CN" w:eastAsia="zh-CN" w:bidi="zh-CN"/>
      </w:rPr>
    </w:lvl>
    <w:lvl w:ilvl="4" w:tentative="0">
      <w:start w:val="0"/>
      <w:numFmt w:val="bullet"/>
      <w:lvlText w:val="•"/>
      <w:lvlJc w:val="left"/>
      <w:pPr>
        <w:ind w:left="5176" w:hanging="601"/>
      </w:pPr>
      <w:rPr>
        <w:rFonts w:hint="default"/>
        <w:lang w:val="zh-CN" w:eastAsia="zh-CN" w:bidi="zh-CN"/>
      </w:rPr>
    </w:lvl>
    <w:lvl w:ilvl="5" w:tentative="0">
      <w:start w:val="0"/>
      <w:numFmt w:val="bullet"/>
      <w:lvlText w:val="•"/>
      <w:lvlJc w:val="left"/>
      <w:pPr>
        <w:ind w:left="6020" w:hanging="601"/>
      </w:pPr>
      <w:rPr>
        <w:rFonts w:hint="default"/>
        <w:lang w:val="zh-CN" w:eastAsia="zh-CN" w:bidi="zh-CN"/>
      </w:rPr>
    </w:lvl>
    <w:lvl w:ilvl="6" w:tentative="0">
      <w:start w:val="0"/>
      <w:numFmt w:val="bullet"/>
      <w:lvlText w:val="•"/>
      <w:lvlJc w:val="left"/>
      <w:pPr>
        <w:ind w:left="6864" w:hanging="601"/>
      </w:pPr>
      <w:rPr>
        <w:rFonts w:hint="default"/>
        <w:lang w:val="zh-CN" w:eastAsia="zh-CN" w:bidi="zh-CN"/>
      </w:rPr>
    </w:lvl>
    <w:lvl w:ilvl="7" w:tentative="0">
      <w:start w:val="0"/>
      <w:numFmt w:val="bullet"/>
      <w:lvlText w:val="•"/>
      <w:lvlJc w:val="left"/>
      <w:pPr>
        <w:ind w:left="7708" w:hanging="601"/>
      </w:pPr>
      <w:rPr>
        <w:rFonts w:hint="default"/>
        <w:lang w:val="zh-CN" w:eastAsia="zh-CN" w:bidi="zh-CN"/>
      </w:rPr>
    </w:lvl>
    <w:lvl w:ilvl="8" w:tentative="0">
      <w:start w:val="0"/>
      <w:numFmt w:val="bullet"/>
      <w:lvlText w:val="•"/>
      <w:lvlJc w:val="left"/>
      <w:pPr>
        <w:ind w:left="8552" w:hanging="601"/>
      </w:pPr>
      <w:rPr>
        <w:rFonts w:hint="default"/>
        <w:lang w:val="zh-CN" w:eastAsia="zh-CN" w:bidi="zh-CN"/>
      </w:rPr>
    </w:lvl>
  </w:abstractNum>
  <w:abstractNum w:abstractNumId="45">
    <w:nsid w:val="4C1BAE26"/>
    <w:multiLevelType w:val="multilevel"/>
    <w:tmpl w:val="4C1BAE26"/>
    <w:lvl w:ilvl="0" w:tentative="0">
      <w:start w:val="1"/>
      <w:numFmt w:val="decimal"/>
      <w:lvlText w:val="（%1）"/>
      <w:lvlJc w:val="left"/>
      <w:pPr>
        <w:ind w:left="660" w:hanging="601"/>
        <w:jc w:val="left"/>
      </w:pPr>
      <w:rPr>
        <w:rFonts w:hint="default" w:ascii="宋体" w:hAnsi="宋体" w:eastAsia="宋体" w:cs="宋体"/>
        <w:spacing w:val="-48"/>
        <w:w w:val="99"/>
        <w:sz w:val="22"/>
        <w:szCs w:val="22"/>
        <w:lang w:val="zh-CN" w:eastAsia="zh-CN" w:bidi="zh-CN"/>
      </w:rPr>
    </w:lvl>
    <w:lvl w:ilvl="1" w:tentative="0">
      <w:start w:val="0"/>
      <w:numFmt w:val="bullet"/>
      <w:lvlText w:val="•"/>
      <w:lvlJc w:val="left"/>
      <w:pPr>
        <w:ind w:left="1618" w:hanging="601"/>
      </w:pPr>
      <w:rPr>
        <w:rFonts w:hint="default"/>
        <w:lang w:val="zh-CN" w:eastAsia="zh-CN" w:bidi="zh-CN"/>
      </w:rPr>
    </w:lvl>
    <w:lvl w:ilvl="2" w:tentative="0">
      <w:start w:val="0"/>
      <w:numFmt w:val="bullet"/>
      <w:lvlText w:val="•"/>
      <w:lvlJc w:val="left"/>
      <w:pPr>
        <w:ind w:left="2576" w:hanging="601"/>
      </w:pPr>
      <w:rPr>
        <w:rFonts w:hint="default"/>
        <w:lang w:val="zh-CN" w:eastAsia="zh-CN" w:bidi="zh-CN"/>
      </w:rPr>
    </w:lvl>
    <w:lvl w:ilvl="3" w:tentative="0">
      <w:start w:val="0"/>
      <w:numFmt w:val="bullet"/>
      <w:lvlText w:val="•"/>
      <w:lvlJc w:val="left"/>
      <w:pPr>
        <w:ind w:left="3534" w:hanging="601"/>
      </w:pPr>
      <w:rPr>
        <w:rFonts w:hint="default"/>
        <w:lang w:val="zh-CN" w:eastAsia="zh-CN" w:bidi="zh-CN"/>
      </w:rPr>
    </w:lvl>
    <w:lvl w:ilvl="4" w:tentative="0">
      <w:start w:val="0"/>
      <w:numFmt w:val="bullet"/>
      <w:lvlText w:val="•"/>
      <w:lvlJc w:val="left"/>
      <w:pPr>
        <w:ind w:left="4492" w:hanging="601"/>
      </w:pPr>
      <w:rPr>
        <w:rFonts w:hint="default"/>
        <w:lang w:val="zh-CN" w:eastAsia="zh-CN" w:bidi="zh-CN"/>
      </w:rPr>
    </w:lvl>
    <w:lvl w:ilvl="5" w:tentative="0">
      <w:start w:val="0"/>
      <w:numFmt w:val="bullet"/>
      <w:lvlText w:val="•"/>
      <w:lvlJc w:val="left"/>
      <w:pPr>
        <w:ind w:left="5450" w:hanging="601"/>
      </w:pPr>
      <w:rPr>
        <w:rFonts w:hint="default"/>
        <w:lang w:val="zh-CN" w:eastAsia="zh-CN" w:bidi="zh-CN"/>
      </w:rPr>
    </w:lvl>
    <w:lvl w:ilvl="6" w:tentative="0">
      <w:start w:val="0"/>
      <w:numFmt w:val="bullet"/>
      <w:lvlText w:val="•"/>
      <w:lvlJc w:val="left"/>
      <w:pPr>
        <w:ind w:left="6408" w:hanging="601"/>
      </w:pPr>
      <w:rPr>
        <w:rFonts w:hint="default"/>
        <w:lang w:val="zh-CN" w:eastAsia="zh-CN" w:bidi="zh-CN"/>
      </w:rPr>
    </w:lvl>
    <w:lvl w:ilvl="7" w:tentative="0">
      <w:start w:val="0"/>
      <w:numFmt w:val="bullet"/>
      <w:lvlText w:val="•"/>
      <w:lvlJc w:val="left"/>
      <w:pPr>
        <w:ind w:left="7366" w:hanging="601"/>
      </w:pPr>
      <w:rPr>
        <w:rFonts w:hint="default"/>
        <w:lang w:val="zh-CN" w:eastAsia="zh-CN" w:bidi="zh-CN"/>
      </w:rPr>
    </w:lvl>
    <w:lvl w:ilvl="8" w:tentative="0">
      <w:start w:val="0"/>
      <w:numFmt w:val="bullet"/>
      <w:lvlText w:val="•"/>
      <w:lvlJc w:val="left"/>
      <w:pPr>
        <w:ind w:left="8324" w:hanging="601"/>
      </w:pPr>
      <w:rPr>
        <w:rFonts w:hint="default"/>
        <w:lang w:val="zh-CN" w:eastAsia="zh-CN" w:bidi="zh-CN"/>
      </w:rPr>
    </w:lvl>
  </w:abstractNum>
  <w:abstractNum w:abstractNumId="46">
    <w:nsid w:val="4C3D7A74"/>
    <w:multiLevelType w:val="multilevel"/>
    <w:tmpl w:val="4C3D7A74"/>
    <w:lvl w:ilvl="0" w:tentative="0">
      <w:start w:val="1"/>
      <w:numFmt w:val="decimal"/>
      <w:lvlText w:val="（%1）"/>
      <w:lvlJc w:val="left"/>
      <w:pPr>
        <w:ind w:left="660" w:hanging="707"/>
        <w:jc w:val="left"/>
      </w:pPr>
      <w:rPr>
        <w:rFonts w:hint="default" w:ascii="宋体" w:hAnsi="宋体" w:eastAsia="宋体" w:cs="宋体"/>
        <w:w w:val="100"/>
        <w:sz w:val="26"/>
        <w:szCs w:val="26"/>
        <w:lang w:val="zh-CN" w:eastAsia="zh-CN" w:bidi="zh-CN"/>
      </w:rPr>
    </w:lvl>
    <w:lvl w:ilvl="1" w:tentative="0">
      <w:start w:val="0"/>
      <w:numFmt w:val="bullet"/>
      <w:lvlText w:val="•"/>
      <w:lvlJc w:val="left"/>
      <w:pPr>
        <w:ind w:left="1618" w:hanging="707"/>
      </w:pPr>
      <w:rPr>
        <w:rFonts w:hint="default"/>
        <w:lang w:val="zh-CN" w:eastAsia="zh-CN" w:bidi="zh-CN"/>
      </w:rPr>
    </w:lvl>
    <w:lvl w:ilvl="2" w:tentative="0">
      <w:start w:val="0"/>
      <w:numFmt w:val="bullet"/>
      <w:lvlText w:val="•"/>
      <w:lvlJc w:val="left"/>
      <w:pPr>
        <w:ind w:left="2576" w:hanging="707"/>
      </w:pPr>
      <w:rPr>
        <w:rFonts w:hint="default"/>
        <w:lang w:val="zh-CN" w:eastAsia="zh-CN" w:bidi="zh-CN"/>
      </w:rPr>
    </w:lvl>
    <w:lvl w:ilvl="3" w:tentative="0">
      <w:start w:val="0"/>
      <w:numFmt w:val="bullet"/>
      <w:lvlText w:val="•"/>
      <w:lvlJc w:val="left"/>
      <w:pPr>
        <w:ind w:left="3534" w:hanging="707"/>
      </w:pPr>
      <w:rPr>
        <w:rFonts w:hint="default"/>
        <w:lang w:val="zh-CN" w:eastAsia="zh-CN" w:bidi="zh-CN"/>
      </w:rPr>
    </w:lvl>
    <w:lvl w:ilvl="4" w:tentative="0">
      <w:start w:val="0"/>
      <w:numFmt w:val="bullet"/>
      <w:lvlText w:val="•"/>
      <w:lvlJc w:val="left"/>
      <w:pPr>
        <w:ind w:left="4492" w:hanging="707"/>
      </w:pPr>
      <w:rPr>
        <w:rFonts w:hint="default"/>
        <w:lang w:val="zh-CN" w:eastAsia="zh-CN" w:bidi="zh-CN"/>
      </w:rPr>
    </w:lvl>
    <w:lvl w:ilvl="5" w:tentative="0">
      <w:start w:val="0"/>
      <w:numFmt w:val="bullet"/>
      <w:lvlText w:val="•"/>
      <w:lvlJc w:val="left"/>
      <w:pPr>
        <w:ind w:left="5450" w:hanging="707"/>
      </w:pPr>
      <w:rPr>
        <w:rFonts w:hint="default"/>
        <w:lang w:val="zh-CN" w:eastAsia="zh-CN" w:bidi="zh-CN"/>
      </w:rPr>
    </w:lvl>
    <w:lvl w:ilvl="6" w:tentative="0">
      <w:start w:val="0"/>
      <w:numFmt w:val="bullet"/>
      <w:lvlText w:val="•"/>
      <w:lvlJc w:val="left"/>
      <w:pPr>
        <w:ind w:left="6408" w:hanging="707"/>
      </w:pPr>
      <w:rPr>
        <w:rFonts w:hint="default"/>
        <w:lang w:val="zh-CN" w:eastAsia="zh-CN" w:bidi="zh-CN"/>
      </w:rPr>
    </w:lvl>
    <w:lvl w:ilvl="7" w:tentative="0">
      <w:start w:val="0"/>
      <w:numFmt w:val="bullet"/>
      <w:lvlText w:val="•"/>
      <w:lvlJc w:val="left"/>
      <w:pPr>
        <w:ind w:left="7366" w:hanging="707"/>
      </w:pPr>
      <w:rPr>
        <w:rFonts w:hint="default"/>
        <w:lang w:val="zh-CN" w:eastAsia="zh-CN" w:bidi="zh-CN"/>
      </w:rPr>
    </w:lvl>
    <w:lvl w:ilvl="8" w:tentative="0">
      <w:start w:val="0"/>
      <w:numFmt w:val="bullet"/>
      <w:lvlText w:val="•"/>
      <w:lvlJc w:val="left"/>
      <w:pPr>
        <w:ind w:left="8324" w:hanging="707"/>
      </w:pPr>
      <w:rPr>
        <w:rFonts w:hint="default"/>
        <w:lang w:val="zh-CN" w:eastAsia="zh-CN" w:bidi="zh-CN"/>
      </w:rPr>
    </w:lvl>
  </w:abstractNum>
  <w:abstractNum w:abstractNumId="47">
    <w:nsid w:val="4D4DC07F"/>
    <w:multiLevelType w:val="multilevel"/>
    <w:tmpl w:val="4D4DC07F"/>
    <w:lvl w:ilvl="0" w:tentative="0">
      <w:start w:val="5"/>
      <w:numFmt w:val="decimal"/>
      <w:lvlText w:val="%1"/>
      <w:lvlJc w:val="left"/>
      <w:pPr>
        <w:ind w:left="1207" w:hanging="485"/>
        <w:jc w:val="left"/>
      </w:pPr>
      <w:rPr>
        <w:rFonts w:hint="default"/>
        <w:lang w:val="zh-CN" w:eastAsia="zh-CN" w:bidi="zh-CN"/>
      </w:rPr>
    </w:lvl>
    <w:lvl w:ilvl="1" w:tentative="0">
      <w:start w:val="1"/>
      <w:numFmt w:val="decimal"/>
      <w:lvlText w:val="%1.%2"/>
      <w:lvlJc w:val="left"/>
      <w:pPr>
        <w:ind w:left="1207" w:hanging="485"/>
        <w:jc w:val="left"/>
      </w:pPr>
      <w:rPr>
        <w:rFonts w:hint="default" w:ascii="宋体" w:hAnsi="宋体" w:eastAsia="宋体" w:cs="宋体"/>
        <w:spacing w:val="0"/>
        <w:w w:val="99"/>
        <w:sz w:val="24"/>
        <w:szCs w:val="24"/>
        <w:lang w:val="zh-CN" w:eastAsia="zh-CN" w:bidi="zh-CN"/>
      </w:rPr>
    </w:lvl>
    <w:lvl w:ilvl="2" w:tentative="0">
      <w:start w:val="1"/>
      <w:numFmt w:val="decimal"/>
      <w:lvlText w:val="%1.%2.%3"/>
      <w:lvlJc w:val="left"/>
      <w:pPr>
        <w:ind w:left="660" w:hanging="720"/>
        <w:jc w:val="left"/>
      </w:pPr>
      <w:rPr>
        <w:rFonts w:hint="default" w:ascii="宋体" w:hAnsi="宋体" w:eastAsia="宋体" w:cs="宋体"/>
        <w:w w:val="99"/>
        <w:sz w:val="24"/>
        <w:szCs w:val="24"/>
        <w:lang w:val="zh-CN" w:eastAsia="zh-CN" w:bidi="zh-CN"/>
      </w:rPr>
    </w:lvl>
    <w:lvl w:ilvl="3" w:tentative="0">
      <w:start w:val="0"/>
      <w:numFmt w:val="bullet"/>
      <w:lvlText w:val="•"/>
      <w:lvlJc w:val="left"/>
      <w:pPr>
        <w:ind w:left="2907" w:hanging="720"/>
      </w:pPr>
      <w:rPr>
        <w:rFonts w:hint="default"/>
        <w:lang w:val="zh-CN" w:eastAsia="zh-CN" w:bidi="zh-CN"/>
      </w:rPr>
    </w:lvl>
    <w:lvl w:ilvl="4" w:tentative="0">
      <w:start w:val="0"/>
      <w:numFmt w:val="bullet"/>
      <w:lvlText w:val="•"/>
      <w:lvlJc w:val="left"/>
      <w:pPr>
        <w:ind w:left="3955" w:hanging="720"/>
      </w:pPr>
      <w:rPr>
        <w:rFonts w:hint="default"/>
        <w:lang w:val="zh-CN" w:eastAsia="zh-CN" w:bidi="zh-CN"/>
      </w:rPr>
    </w:lvl>
    <w:lvl w:ilvl="5" w:tentative="0">
      <w:start w:val="0"/>
      <w:numFmt w:val="bullet"/>
      <w:lvlText w:val="•"/>
      <w:lvlJc w:val="left"/>
      <w:pPr>
        <w:ind w:left="5002" w:hanging="720"/>
      </w:pPr>
      <w:rPr>
        <w:rFonts w:hint="default"/>
        <w:lang w:val="zh-CN" w:eastAsia="zh-CN" w:bidi="zh-CN"/>
      </w:rPr>
    </w:lvl>
    <w:lvl w:ilvl="6" w:tentative="0">
      <w:start w:val="0"/>
      <w:numFmt w:val="bullet"/>
      <w:lvlText w:val="•"/>
      <w:lvlJc w:val="left"/>
      <w:pPr>
        <w:ind w:left="6050" w:hanging="720"/>
      </w:pPr>
      <w:rPr>
        <w:rFonts w:hint="default"/>
        <w:lang w:val="zh-CN" w:eastAsia="zh-CN" w:bidi="zh-CN"/>
      </w:rPr>
    </w:lvl>
    <w:lvl w:ilvl="7" w:tentative="0">
      <w:start w:val="0"/>
      <w:numFmt w:val="bullet"/>
      <w:lvlText w:val="•"/>
      <w:lvlJc w:val="left"/>
      <w:pPr>
        <w:ind w:left="7097" w:hanging="720"/>
      </w:pPr>
      <w:rPr>
        <w:rFonts w:hint="default"/>
        <w:lang w:val="zh-CN" w:eastAsia="zh-CN" w:bidi="zh-CN"/>
      </w:rPr>
    </w:lvl>
    <w:lvl w:ilvl="8" w:tentative="0">
      <w:start w:val="0"/>
      <w:numFmt w:val="bullet"/>
      <w:lvlText w:val="•"/>
      <w:lvlJc w:val="left"/>
      <w:pPr>
        <w:ind w:left="8145" w:hanging="720"/>
      </w:pPr>
      <w:rPr>
        <w:rFonts w:hint="default"/>
        <w:lang w:val="zh-CN" w:eastAsia="zh-CN" w:bidi="zh-CN"/>
      </w:rPr>
    </w:lvl>
  </w:abstractNum>
  <w:abstractNum w:abstractNumId="48">
    <w:nsid w:val="4D94DA66"/>
    <w:multiLevelType w:val="multilevel"/>
    <w:tmpl w:val="4D94DA66"/>
    <w:lvl w:ilvl="0" w:tentative="0">
      <w:start w:val="1"/>
      <w:numFmt w:val="decimal"/>
      <w:lvlText w:val="%1."/>
      <w:lvlJc w:val="left"/>
      <w:pPr>
        <w:ind w:left="108" w:hanging="283"/>
        <w:jc w:val="right"/>
      </w:pPr>
      <w:rPr>
        <w:rFonts w:hint="default" w:ascii="宋体" w:hAnsi="宋体" w:eastAsia="宋体" w:cs="宋体"/>
        <w:spacing w:val="-2"/>
        <w:w w:val="100"/>
        <w:sz w:val="26"/>
        <w:szCs w:val="26"/>
        <w:lang w:val="zh-CN" w:eastAsia="zh-CN" w:bidi="zh-CN"/>
      </w:rPr>
    </w:lvl>
    <w:lvl w:ilvl="1" w:tentative="0">
      <w:start w:val="1"/>
      <w:numFmt w:val="decimal"/>
      <w:lvlText w:val="%2."/>
      <w:lvlJc w:val="left"/>
      <w:pPr>
        <w:ind w:left="108" w:hanging="283"/>
        <w:jc w:val="left"/>
      </w:pPr>
      <w:rPr>
        <w:rFonts w:hint="default" w:ascii="宋体" w:hAnsi="宋体" w:eastAsia="宋体" w:cs="宋体"/>
        <w:spacing w:val="-2"/>
        <w:w w:val="100"/>
        <w:sz w:val="26"/>
        <w:szCs w:val="26"/>
        <w:lang w:val="zh-CN" w:eastAsia="zh-CN" w:bidi="zh-CN"/>
      </w:rPr>
    </w:lvl>
    <w:lvl w:ilvl="2" w:tentative="0">
      <w:start w:val="0"/>
      <w:numFmt w:val="bullet"/>
      <w:lvlText w:val="•"/>
      <w:lvlJc w:val="left"/>
      <w:pPr>
        <w:ind w:left="2128" w:hanging="283"/>
      </w:pPr>
      <w:rPr>
        <w:rFonts w:hint="default"/>
        <w:lang w:val="zh-CN" w:eastAsia="zh-CN" w:bidi="zh-CN"/>
      </w:rPr>
    </w:lvl>
    <w:lvl w:ilvl="3" w:tentative="0">
      <w:start w:val="0"/>
      <w:numFmt w:val="bullet"/>
      <w:lvlText w:val="•"/>
      <w:lvlJc w:val="left"/>
      <w:pPr>
        <w:ind w:left="3142" w:hanging="283"/>
      </w:pPr>
      <w:rPr>
        <w:rFonts w:hint="default"/>
        <w:lang w:val="zh-CN" w:eastAsia="zh-CN" w:bidi="zh-CN"/>
      </w:rPr>
    </w:lvl>
    <w:lvl w:ilvl="4" w:tentative="0">
      <w:start w:val="0"/>
      <w:numFmt w:val="bullet"/>
      <w:lvlText w:val="•"/>
      <w:lvlJc w:val="left"/>
      <w:pPr>
        <w:ind w:left="4156" w:hanging="283"/>
      </w:pPr>
      <w:rPr>
        <w:rFonts w:hint="default"/>
        <w:lang w:val="zh-CN" w:eastAsia="zh-CN" w:bidi="zh-CN"/>
      </w:rPr>
    </w:lvl>
    <w:lvl w:ilvl="5" w:tentative="0">
      <w:start w:val="0"/>
      <w:numFmt w:val="bullet"/>
      <w:lvlText w:val="•"/>
      <w:lvlJc w:val="left"/>
      <w:pPr>
        <w:ind w:left="5170" w:hanging="283"/>
      </w:pPr>
      <w:rPr>
        <w:rFonts w:hint="default"/>
        <w:lang w:val="zh-CN" w:eastAsia="zh-CN" w:bidi="zh-CN"/>
      </w:rPr>
    </w:lvl>
    <w:lvl w:ilvl="6" w:tentative="0">
      <w:start w:val="0"/>
      <w:numFmt w:val="bullet"/>
      <w:lvlText w:val="•"/>
      <w:lvlJc w:val="left"/>
      <w:pPr>
        <w:ind w:left="6184" w:hanging="283"/>
      </w:pPr>
      <w:rPr>
        <w:rFonts w:hint="default"/>
        <w:lang w:val="zh-CN" w:eastAsia="zh-CN" w:bidi="zh-CN"/>
      </w:rPr>
    </w:lvl>
    <w:lvl w:ilvl="7" w:tentative="0">
      <w:start w:val="0"/>
      <w:numFmt w:val="bullet"/>
      <w:lvlText w:val="•"/>
      <w:lvlJc w:val="left"/>
      <w:pPr>
        <w:ind w:left="7198" w:hanging="283"/>
      </w:pPr>
      <w:rPr>
        <w:rFonts w:hint="default"/>
        <w:lang w:val="zh-CN" w:eastAsia="zh-CN" w:bidi="zh-CN"/>
      </w:rPr>
    </w:lvl>
    <w:lvl w:ilvl="8" w:tentative="0">
      <w:start w:val="0"/>
      <w:numFmt w:val="bullet"/>
      <w:lvlText w:val="•"/>
      <w:lvlJc w:val="left"/>
      <w:pPr>
        <w:ind w:left="8212" w:hanging="283"/>
      </w:pPr>
      <w:rPr>
        <w:rFonts w:hint="default"/>
        <w:lang w:val="zh-CN" w:eastAsia="zh-CN" w:bidi="zh-CN"/>
      </w:rPr>
    </w:lvl>
  </w:abstractNum>
  <w:abstractNum w:abstractNumId="49">
    <w:nsid w:val="5A241D34"/>
    <w:multiLevelType w:val="multilevel"/>
    <w:tmpl w:val="5A241D34"/>
    <w:lvl w:ilvl="0" w:tentative="0">
      <w:start w:val="4"/>
      <w:numFmt w:val="decimal"/>
      <w:lvlText w:val="%1"/>
      <w:lvlJc w:val="left"/>
      <w:pPr>
        <w:ind w:left="1087" w:hanging="425"/>
        <w:jc w:val="left"/>
      </w:pPr>
      <w:rPr>
        <w:rFonts w:hint="default"/>
        <w:lang w:val="zh-CN" w:eastAsia="zh-CN" w:bidi="zh-CN"/>
      </w:rPr>
    </w:lvl>
    <w:lvl w:ilvl="1" w:tentative="0">
      <w:start w:val="1"/>
      <w:numFmt w:val="decimal"/>
      <w:lvlText w:val="%1.%2"/>
      <w:lvlJc w:val="left"/>
      <w:pPr>
        <w:ind w:left="1087" w:hanging="425"/>
        <w:jc w:val="right"/>
      </w:pPr>
      <w:rPr>
        <w:rFonts w:hint="default" w:ascii="宋体" w:hAnsi="宋体" w:eastAsia="宋体" w:cs="宋体"/>
        <w:spacing w:val="0"/>
        <w:w w:val="99"/>
        <w:sz w:val="24"/>
        <w:szCs w:val="24"/>
        <w:lang w:val="zh-CN" w:eastAsia="zh-CN" w:bidi="zh-CN"/>
      </w:rPr>
    </w:lvl>
    <w:lvl w:ilvl="2" w:tentative="0">
      <w:start w:val="1"/>
      <w:numFmt w:val="decimal"/>
      <w:lvlText w:val="%1.%2.%3"/>
      <w:lvlJc w:val="left"/>
      <w:pPr>
        <w:ind w:left="1740" w:hanging="660"/>
        <w:jc w:val="right"/>
      </w:pPr>
      <w:rPr>
        <w:rFonts w:hint="default" w:ascii="宋体" w:hAnsi="宋体" w:eastAsia="宋体" w:cs="宋体"/>
        <w:w w:val="99"/>
        <w:sz w:val="24"/>
        <w:szCs w:val="24"/>
        <w:lang w:val="zh-CN" w:eastAsia="zh-CN" w:bidi="zh-CN"/>
      </w:rPr>
    </w:lvl>
    <w:lvl w:ilvl="3" w:tentative="0">
      <w:start w:val="0"/>
      <w:numFmt w:val="bullet"/>
      <w:lvlText w:val="•"/>
      <w:lvlJc w:val="left"/>
      <w:pPr>
        <w:ind w:left="2802" w:hanging="660"/>
      </w:pPr>
      <w:rPr>
        <w:rFonts w:hint="default"/>
        <w:lang w:val="zh-CN" w:eastAsia="zh-CN" w:bidi="zh-CN"/>
      </w:rPr>
    </w:lvl>
    <w:lvl w:ilvl="4" w:tentative="0">
      <w:start w:val="0"/>
      <w:numFmt w:val="bullet"/>
      <w:lvlText w:val="•"/>
      <w:lvlJc w:val="left"/>
      <w:pPr>
        <w:ind w:left="3865" w:hanging="660"/>
      </w:pPr>
      <w:rPr>
        <w:rFonts w:hint="default"/>
        <w:lang w:val="zh-CN" w:eastAsia="zh-CN" w:bidi="zh-CN"/>
      </w:rPr>
    </w:lvl>
    <w:lvl w:ilvl="5" w:tentative="0">
      <w:start w:val="0"/>
      <w:numFmt w:val="bullet"/>
      <w:lvlText w:val="•"/>
      <w:lvlJc w:val="left"/>
      <w:pPr>
        <w:ind w:left="4927" w:hanging="660"/>
      </w:pPr>
      <w:rPr>
        <w:rFonts w:hint="default"/>
        <w:lang w:val="zh-CN" w:eastAsia="zh-CN" w:bidi="zh-CN"/>
      </w:rPr>
    </w:lvl>
    <w:lvl w:ilvl="6" w:tentative="0">
      <w:start w:val="0"/>
      <w:numFmt w:val="bullet"/>
      <w:lvlText w:val="•"/>
      <w:lvlJc w:val="left"/>
      <w:pPr>
        <w:ind w:left="5990" w:hanging="660"/>
      </w:pPr>
      <w:rPr>
        <w:rFonts w:hint="default"/>
        <w:lang w:val="zh-CN" w:eastAsia="zh-CN" w:bidi="zh-CN"/>
      </w:rPr>
    </w:lvl>
    <w:lvl w:ilvl="7" w:tentative="0">
      <w:start w:val="0"/>
      <w:numFmt w:val="bullet"/>
      <w:lvlText w:val="•"/>
      <w:lvlJc w:val="left"/>
      <w:pPr>
        <w:ind w:left="7052" w:hanging="660"/>
      </w:pPr>
      <w:rPr>
        <w:rFonts w:hint="default"/>
        <w:lang w:val="zh-CN" w:eastAsia="zh-CN" w:bidi="zh-CN"/>
      </w:rPr>
    </w:lvl>
    <w:lvl w:ilvl="8" w:tentative="0">
      <w:start w:val="0"/>
      <w:numFmt w:val="bullet"/>
      <w:lvlText w:val="•"/>
      <w:lvlJc w:val="left"/>
      <w:pPr>
        <w:ind w:left="8115" w:hanging="660"/>
      </w:pPr>
      <w:rPr>
        <w:rFonts w:hint="default"/>
        <w:lang w:val="zh-CN" w:eastAsia="zh-CN" w:bidi="zh-CN"/>
      </w:rPr>
    </w:lvl>
  </w:abstractNum>
  <w:abstractNum w:abstractNumId="50">
    <w:nsid w:val="5E29AB5A"/>
    <w:multiLevelType w:val="multilevel"/>
    <w:tmpl w:val="5E29AB5A"/>
    <w:lvl w:ilvl="0" w:tentative="0">
      <w:start w:val="2"/>
      <w:numFmt w:val="decimal"/>
      <w:lvlText w:val="（%1）"/>
      <w:lvlJc w:val="left"/>
      <w:pPr>
        <w:ind w:left="1923" w:hanging="705"/>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752" w:hanging="705"/>
      </w:pPr>
      <w:rPr>
        <w:rFonts w:hint="default"/>
        <w:lang w:val="zh-CN" w:eastAsia="zh-CN" w:bidi="zh-CN"/>
      </w:rPr>
    </w:lvl>
    <w:lvl w:ilvl="2" w:tentative="0">
      <w:start w:val="0"/>
      <w:numFmt w:val="bullet"/>
      <w:lvlText w:val="•"/>
      <w:lvlJc w:val="left"/>
      <w:pPr>
        <w:ind w:left="3584" w:hanging="705"/>
      </w:pPr>
      <w:rPr>
        <w:rFonts w:hint="default"/>
        <w:lang w:val="zh-CN" w:eastAsia="zh-CN" w:bidi="zh-CN"/>
      </w:rPr>
    </w:lvl>
    <w:lvl w:ilvl="3" w:tentative="0">
      <w:start w:val="0"/>
      <w:numFmt w:val="bullet"/>
      <w:lvlText w:val="•"/>
      <w:lvlJc w:val="left"/>
      <w:pPr>
        <w:ind w:left="4416" w:hanging="705"/>
      </w:pPr>
      <w:rPr>
        <w:rFonts w:hint="default"/>
        <w:lang w:val="zh-CN" w:eastAsia="zh-CN" w:bidi="zh-CN"/>
      </w:rPr>
    </w:lvl>
    <w:lvl w:ilvl="4" w:tentative="0">
      <w:start w:val="0"/>
      <w:numFmt w:val="bullet"/>
      <w:lvlText w:val="•"/>
      <w:lvlJc w:val="left"/>
      <w:pPr>
        <w:ind w:left="5248" w:hanging="705"/>
      </w:pPr>
      <w:rPr>
        <w:rFonts w:hint="default"/>
        <w:lang w:val="zh-CN" w:eastAsia="zh-CN" w:bidi="zh-CN"/>
      </w:rPr>
    </w:lvl>
    <w:lvl w:ilvl="5" w:tentative="0">
      <w:start w:val="0"/>
      <w:numFmt w:val="bullet"/>
      <w:lvlText w:val="•"/>
      <w:lvlJc w:val="left"/>
      <w:pPr>
        <w:ind w:left="6080" w:hanging="705"/>
      </w:pPr>
      <w:rPr>
        <w:rFonts w:hint="default"/>
        <w:lang w:val="zh-CN" w:eastAsia="zh-CN" w:bidi="zh-CN"/>
      </w:rPr>
    </w:lvl>
    <w:lvl w:ilvl="6" w:tentative="0">
      <w:start w:val="0"/>
      <w:numFmt w:val="bullet"/>
      <w:lvlText w:val="•"/>
      <w:lvlJc w:val="left"/>
      <w:pPr>
        <w:ind w:left="6912" w:hanging="705"/>
      </w:pPr>
      <w:rPr>
        <w:rFonts w:hint="default"/>
        <w:lang w:val="zh-CN" w:eastAsia="zh-CN" w:bidi="zh-CN"/>
      </w:rPr>
    </w:lvl>
    <w:lvl w:ilvl="7" w:tentative="0">
      <w:start w:val="0"/>
      <w:numFmt w:val="bullet"/>
      <w:lvlText w:val="•"/>
      <w:lvlJc w:val="left"/>
      <w:pPr>
        <w:ind w:left="7744" w:hanging="705"/>
      </w:pPr>
      <w:rPr>
        <w:rFonts w:hint="default"/>
        <w:lang w:val="zh-CN" w:eastAsia="zh-CN" w:bidi="zh-CN"/>
      </w:rPr>
    </w:lvl>
    <w:lvl w:ilvl="8" w:tentative="0">
      <w:start w:val="0"/>
      <w:numFmt w:val="bullet"/>
      <w:lvlText w:val="•"/>
      <w:lvlJc w:val="left"/>
      <w:pPr>
        <w:ind w:left="8576" w:hanging="705"/>
      </w:pPr>
      <w:rPr>
        <w:rFonts w:hint="default"/>
        <w:lang w:val="zh-CN" w:eastAsia="zh-CN" w:bidi="zh-CN"/>
      </w:rPr>
    </w:lvl>
  </w:abstractNum>
  <w:abstractNum w:abstractNumId="51">
    <w:nsid w:val="5FFFB1A7"/>
    <w:multiLevelType w:val="multilevel"/>
    <w:tmpl w:val="5FFFB1A7"/>
    <w:lvl w:ilvl="0" w:tentative="0">
      <w:start w:val="11"/>
      <w:numFmt w:val="decimal"/>
      <w:lvlText w:val="%1"/>
      <w:lvlJc w:val="left"/>
      <w:pPr>
        <w:ind w:left="660" w:hanging="704"/>
        <w:jc w:val="left"/>
      </w:pPr>
      <w:rPr>
        <w:rFonts w:hint="default"/>
        <w:lang w:val="zh-CN" w:eastAsia="zh-CN" w:bidi="zh-CN"/>
      </w:rPr>
    </w:lvl>
    <w:lvl w:ilvl="1" w:tentative="0">
      <w:start w:val="2"/>
      <w:numFmt w:val="decimal"/>
      <w:lvlText w:val="%1.%2"/>
      <w:lvlJc w:val="left"/>
      <w:pPr>
        <w:ind w:left="660" w:hanging="704"/>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2576" w:hanging="704"/>
      </w:pPr>
      <w:rPr>
        <w:rFonts w:hint="default"/>
        <w:lang w:val="zh-CN" w:eastAsia="zh-CN" w:bidi="zh-CN"/>
      </w:rPr>
    </w:lvl>
    <w:lvl w:ilvl="3" w:tentative="0">
      <w:start w:val="0"/>
      <w:numFmt w:val="bullet"/>
      <w:lvlText w:val="•"/>
      <w:lvlJc w:val="left"/>
      <w:pPr>
        <w:ind w:left="3534" w:hanging="704"/>
      </w:pPr>
      <w:rPr>
        <w:rFonts w:hint="default"/>
        <w:lang w:val="zh-CN" w:eastAsia="zh-CN" w:bidi="zh-CN"/>
      </w:rPr>
    </w:lvl>
    <w:lvl w:ilvl="4" w:tentative="0">
      <w:start w:val="0"/>
      <w:numFmt w:val="bullet"/>
      <w:lvlText w:val="•"/>
      <w:lvlJc w:val="left"/>
      <w:pPr>
        <w:ind w:left="4492" w:hanging="704"/>
      </w:pPr>
      <w:rPr>
        <w:rFonts w:hint="default"/>
        <w:lang w:val="zh-CN" w:eastAsia="zh-CN" w:bidi="zh-CN"/>
      </w:rPr>
    </w:lvl>
    <w:lvl w:ilvl="5" w:tentative="0">
      <w:start w:val="0"/>
      <w:numFmt w:val="bullet"/>
      <w:lvlText w:val="•"/>
      <w:lvlJc w:val="left"/>
      <w:pPr>
        <w:ind w:left="5450" w:hanging="704"/>
      </w:pPr>
      <w:rPr>
        <w:rFonts w:hint="default"/>
        <w:lang w:val="zh-CN" w:eastAsia="zh-CN" w:bidi="zh-CN"/>
      </w:rPr>
    </w:lvl>
    <w:lvl w:ilvl="6" w:tentative="0">
      <w:start w:val="0"/>
      <w:numFmt w:val="bullet"/>
      <w:lvlText w:val="•"/>
      <w:lvlJc w:val="left"/>
      <w:pPr>
        <w:ind w:left="6408" w:hanging="704"/>
      </w:pPr>
      <w:rPr>
        <w:rFonts w:hint="default"/>
        <w:lang w:val="zh-CN" w:eastAsia="zh-CN" w:bidi="zh-CN"/>
      </w:rPr>
    </w:lvl>
    <w:lvl w:ilvl="7" w:tentative="0">
      <w:start w:val="0"/>
      <w:numFmt w:val="bullet"/>
      <w:lvlText w:val="•"/>
      <w:lvlJc w:val="left"/>
      <w:pPr>
        <w:ind w:left="7366" w:hanging="704"/>
      </w:pPr>
      <w:rPr>
        <w:rFonts w:hint="default"/>
        <w:lang w:val="zh-CN" w:eastAsia="zh-CN" w:bidi="zh-CN"/>
      </w:rPr>
    </w:lvl>
    <w:lvl w:ilvl="8" w:tentative="0">
      <w:start w:val="0"/>
      <w:numFmt w:val="bullet"/>
      <w:lvlText w:val="•"/>
      <w:lvlJc w:val="left"/>
      <w:pPr>
        <w:ind w:left="8324" w:hanging="704"/>
      </w:pPr>
      <w:rPr>
        <w:rFonts w:hint="default"/>
        <w:lang w:val="zh-CN" w:eastAsia="zh-CN" w:bidi="zh-CN"/>
      </w:rPr>
    </w:lvl>
  </w:abstractNum>
  <w:abstractNum w:abstractNumId="52">
    <w:nsid w:val="60382F6E"/>
    <w:multiLevelType w:val="multilevel"/>
    <w:tmpl w:val="60382F6E"/>
    <w:lvl w:ilvl="0" w:tentative="0">
      <w:start w:val="8"/>
      <w:numFmt w:val="decimal"/>
      <w:lvlText w:val="%1"/>
      <w:lvlJc w:val="left"/>
      <w:pPr>
        <w:ind w:left="1207" w:hanging="485"/>
        <w:jc w:val="left"/>
      </w:pPr>
      <w:rPr>
        <w:rFonts w:hint="default"/>
        <w:lang w:val="zh-CN" w:eastAsia="zh-CN" w:bidi="zh-CN"/>
      </w:rPr>
    </w:lvl>
    <w:lvl w:ilvl="1" w:tentative="0">
      <w:start w:val="1"/>
      <w:numFmt w:val="decimal"/>
      <w:lvlText w:val="%1.%2"/>
      <w:lvlJc w:val="left"/>
      <w:pPr>
        <w:ind w:left="1207" w:hanging="485"/>
        <w:jc w:val="left"/>
      </w:pPr>
      <w:rPr>
        <w:rFonts w:hint="default" w:ascii="宋体" w:hAnsi="宋体" w:eastAsia="宋体" w:cs="宋体"/>
        <w:spacing w:val="0"/>
        <w:w w:val="99"/>
        <w:sz w:val="24"/>
        <w:szCs w:val="24"/>
        <w:lang w:val="zh-CN" w:eastAsia="zh-CN" w:bidi="zh-CN"/>
      </w:rPr>
    </w:lvl>
    <w:lvl w:ilvl="2" w:tentative="0">
      <w:start w:val="1"/>
      <w:numFmt w:val="decimal"/>
      <w:lvlText w:val="%1.%2.%3"/>
      <w:lvlJc w:val="left"/>
      <w:pPr>
        <w:ind w:left="660" w:hanging="720"/>
        <w:jc w:val="left"/>
      </w:pPr>
      <w:rPr>
        <w:rFonts w:hint="default" w:ascii="宋体" w:hAnsi="宋体" w:eastAsia="宋体" w:cs="宋体"/>
        <w:w w:val="99"/>
        <w:sz w:val="24"/>
        <w:szCs w:val="24"/>
        <w:lang w:val="zh-CN" w:eastAsia="zh-CN" w:bidi="zh-CN"/>
      </w:rPr>
    </w:lvl>
    <w:lvl w:ilvl="3" w:tentative="0">
      <w:start w:val="0"/>
      <w:numFmt w:val="bullet"/>
      <w:lvlText w:val="•"/>
      <w:lvlJc w:val="left"/>
      <w:pPr>
        <w:ind w:left="2907" w:hanging="720"/>
      </w:pPr>
      <w:rPr>
        <w:rFonts w:hint="default"/>
        <w:lang w:val="zh-CN" w:eastAsia="zh-CN" w:bidi="zh-CN"/>
      </w:rPr>
    </w:lvl>
    <w:lvl w:ilvl="4" w:tentative="0">
      <w:start w:val="0"/>
      <w:numFmt w:val="bullet"/>
      <w:lvlText w:val="•"/>
      <w:lvlJc w:val="left"/>
      <w:pPr>
        <w:ind w:left="3955" w:hanging="720"/>
      </w:pPr>
      <w:rPr>
        <w:rFonts w:hint="default"/>
        <w:lang w:val="zh-CN" w:eastAsia="zh-CN" w:bidi="zh-CN"/>
      </w:rPr>
    </w:lvl>
    <w:lvl w:ilvl="5" w:tentative="0">
      <w:start w:val="0"/>
      <w:numFmt w:val="bullet"/>
      <w:lvlText w:val="•"/>
      <w:lvlJc w:val="left"/>
      <w:pPr>
        <w:ind w:left="5002" w:hanging="720"/>
      </w:pPr>
      <w:rPr>
        <w:rFonts w:hint="default"/>
        <w:lang w:val="zh-CN" w:eastAsia="zh-CN" w:bidi="zh-CN"/>
      </w:rPr>
    </w:lvl>
    <w:lvl w:ilvl="6" w:tentative="0">
      <w:start w:val="0"/>
      <w:numFmt w:val="bullet"/>
      <w:lvlText w:val="•"/>
      <w:lvlJc w:val="left"/>
      <w:pPr>
        <w:ind w:left="6050" w:hanging="720"/>
      </w:pPr>
      <w:rPr>
        <w:rFonts w:hint="default"/>
        <w:lang w:val="zh-CN" w:eastAsia="zh-CN" w:bidi="zh-CN"/>
      </w:rPr>
    </w:lvl>
    <w:lvl w:ilvl="7" w:tentative="0">
      <w:start w:val="0"/>
      <w:numFmt w:val="bullet"/>
      <w:lvlText w:val="•"/>
      <w:lvlJc w:val="left"/>
      <w:pPr>
        <w:ind w:left="7097" w:hanging="720"/>
      </w:pPr>
      <w:rPr>
        <w:rFonts w:hint="default"/>
        <w:lang w:val="zh-CN" w:eastAsia="zh-CN" w:bidi="zh-CN"/>
      </w:rPr>
    </w:lvl>
    <w:lvl w:ilvl="8" w:tentative="0">
      <w:start w:val="0"/>
      <w:numFmt w:val="bullet"/>
      <w:lvlText w:val="•"/>
      <w:lvlJc w:val="left"/>
      <w:pPr>
        <w:ind w:left="8145" w:hanging="720"/>
      </w:pPr>
      <w:rPr>
        <w:rFonts w:hint="default"/>
        <w:lang w:val="zh-CN" w:eastAsia="zh-CN" w:bidi="zh-CN"/>
      </w:rPr>
    </w:lvl>
  </w:abstractNum>
  <w:abstractNum w:abstractNumId="53">
    <w:nsid w:val="65CD0074"/>
    <w:multiLevelType w:val="multilevel"/>
    <w:tmpl w:val="65CD0074"/>
    <w:lvl w:ilvl="0" w:tentative="0">
      <w:start w:val="14"/>
      <w:numFmt w:val="decimal"/>
      <w:lvlText w:val="%1"/>
      <w:lvlJc w:val="left"/>
      <w:pPr>
        <w:ind w:left="660" w:hanging="701"/>
        <w:jc w:val="left"/>
      </w:pPr>
      <w:rPr>
        <w:rFonts w:hint="default"/>
        <w:lang w:val="zh-CN" w:eastAsia="zh-CN" w:bidi="zh-CN"/>
      </w:rPr>
    </w:lvl>
    <w:lvl w:ilvl="1" w:tentative="0">
      <w:start w:val="2"/>
      <w:numFmt w:val="decimal"/>
      <w:lvlText w:val="%1.%2"/>
      <w:lvlJc w:val="left"/>
      <w:pPr>
        <w:ind w:left="660" w:hanging="701"/>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2576" w:hanging="701"/>
      </w:pPr>
      <w:rPr>
        <w:rFonts w:hint="default"/>
        <w:lang w:val="zh-CN" w:eastAsia="zh-CN" w:bidi="zh-CN"/>
      </w:rPr>
    </w:lvl>
    <w:lvl w:ilvl="3" w:tentative="0">
      <w:start w:val="0"/>
      <w:numFmt w:val="bullet"/>
      <w:lvlText w:val="•"/>
      <w:lvlJc w:val="left"/>
      <w:pPr>
        <w:ind w:left="3534" w:hanging="701"/>
      </w:pPr>
      <w:rPr>
        <w:rFonts w:hint="default"/>
        <w:lang w:val="zh-CN" w:eastAsia="zh-CN" w:bidi="zh-CN"/>
      </w:rPr>
    </w:lvl>
    <w:lvl w:ilvl="4" w:tentative="0">
      <w:start w:val="0"/>
      <w:numFmt w:val="bullet"/>
      <w:lvlText w:val="•"/>
      <w:lvlJc w:val="left"/>
      <w:pPr>
        <w:ind w:left="4492" w:hanging="701"/>
      </w:pPr>
      <w:rPr>
        <w:rFonts w:hint="default"/>
        <w:lang w:val="zh-CN" w:eastAsia="zh-CN" w:bidi="zh-CN"/>
      </w:rPr>
    </w:lvl>
    <w:lvl w:ilvl="5" w:tentative="0">
      <w:start w:val="0"/>
      <w:numFmt w:val="bullet"/>
      <w:lvlText w:val="•"/>
      <w:lvlJc w:val="left"/>
      <w:pPr>
        <w:ind w:left="5450" w:hanging="701"/>
      </w:pPr>
      <w:rPr>
        <w:rFonts w:hint="default"/>
        <w:lang w:val="zh-CN" w:eastAsia="zh-CN" w:bidi="zh-CN"/>
      </w:rPr>
    </w:lvl>
    <w:lvl w:ilvl="6" w:tentative="0">
      <w:start w:val="0"/>
      <w:numFmt w:val="bullet"/>
      <w:lvlText w:val="•"/>
      <w:lvlJc w:val="left"/>
      <w:pPr>
        <w:ind w:left="6408" w:hanging="701"/>
      </w:pPr>
      <w:rPr>
        <w:rFonts w:hint="default"/>
        <w:lang w:val="zh-CN" w:eastAsia="zh-CN" w:bidi="zh-CN"/>
      </w:rPr>
    </w:lvl>
    <w:lvl w:ilvl="7" w:tentative="0">
      <w:start w:val="0"/>
      <w:numFmt w:val="bullet"/>
      <w:lvlText w:val="•"/>
      <w:lvlJc w:val="left"/>
      <w:pPr>
        <w:ind w:left="7366" w:hanging="701"/>
      </w:pPr>
      <w:rPr>
        <w:rFonts w:hint="default"/>
        <w:lang w:val="zh-CN" w:eastAsia="zh-CN" w:bidi="zh-CN"/>
      </w:rPr>
    </w:lvl>
    <w:lvl w:ilvl="8" w:tentative="0">
      <w:start w:val="0"/>
      <w:numFmt w:val="bullet"/>
      <w:lvlText w:val="•"/>
      <w:lvlJc w:val="left"/>
      <w:pPr>
        <w:ind w:left="8324" w:hanging="701"/>
      </w:pPr>
      <w:rPr>
        <w:rFonts w:hint="default"/>
        <w:lang w:val="zh-CN" w:eastAsia="zh-CN" w:bidi="zh-CN"/>
      </w:rPr>
    </w:lvl>
  </w:abstractNum>
  <w:abstractNum w:abstractNumId="54">
    <w:nsid w:val="72183CF9"/>
    <w:multiLevelType w:val="multilevel"/>
    <w:tmpl w:val="72183CF9"/>
    <w:lvl w:ilvl="0" w:tentative="0">
      <w:start w:val="1"/>
      <w:numFmt w:val="decimal"/>
      <w:lvlText w:val="（%1）"/>
      <w:lvlJc w:val="left"/>
      <w:pPr>
        <w:ind w:left="1680" w:hanging="601"/>
        <w:jc w:val="left"/>
      </w:pPr>
      <w:rPr>
        <w:rFonts w:hint="default" w:ascii="宋体" w:hAnsi="宋体" w:eastAsia="宋体" w:cs="宋体"/>
        <w:w w:val="99"/>
        <w:sz w:val="22"/>
        <w:szCs w:val="22"/>
        <w:lang w:val="zh-CN" w:eastAsia="zh-CN" w:bidi="zh-CN"/>
      </w:rPr>
    </w:lvl>
    <w:lvl w:ilvl="1" w:tentative="0">
      <w:start w:val="0"/>
      <w:numFmt w:val="bullet"/>
      <w:lvlText w:val="•"/>
      <w:lvlJc w:val="left"/>
      <w:pPr>
        <w:ind w:left="2536" w:hanging="601"/>
      </w:pPr>
      <w:rPr>
        <w:rFonts w:hint="default"/>
        <w:lang w:val="zh-CN" w:eastAsia="zh-CN" w:bidi="zh-CN"/>
      </w:rPr>
    </w:lvl>
    <w:lvl w:ilvl="2" w:tentative="0">
      <w:start w:val="0"/>
      <w:numFmt w:val="bullet"/>
      <w:lvlText w:val="•"/>
      <w:lvlJc w:val="left"/>
      <w:pPr>
        <w:ind w:left="3392" w:hanging="601"/>
      </w:pPr>
      <w:rPr>
        <w:rFonts w:hint="default"/>
        <w:lang w:val="zh-CN" w:eastAsia="zh-CN" w:bidi="zh-CN"/>
      </w:rPr>
    </w:lvl>
    <w:lvl w:ilvl="3" w:tentative="0">
      <w:start w:val="0"/>
      <w:numFmt w:val="bullet"/>
      <w:lvlText w:val="•"/>
      <w:lvlJc w:val="left"/>
      <w:pPr>
        <w:ind w:left="4248" w:hanging="601"/>
      </w:pPr>
      <w:rPr>
        <w:rFonts w:hint="default"/>
        <w:lang w:val="zh-CN" w:eastAsia="zh-CN" w:bidi="zh-CN"/>
      </w:rPr>
    </w:lvl>
    <w:lvl w:ilvl="4" w:tentative="0">
      <w:start w:val="0"/>
      <w:numFmt w:val="bullet"/>
      <w:lvlText w:val="•"/>
      <w:lvlJc w:val="left"/>
      <w:pPr>
        <w:ind w:left="5104" w:hanging="601"/>
      </w:pPr>
      <w:rPr>
        <w:rFonts w:hint="default"/>
        <w:lang w:val="zh-CN" w:eastAsia="zh-CN" w:bidi="zh-CN"/>
      </w:rPr>
    </w:lvl>
    <w:lvl w:ilvl="5" w:tentative="0">
      <w:start w:val="0"/>
      <w:numFmt w:val="bullet"/>
      <w:lvlText w:val="•"/>
      <w:lvlJc w:val="left"/>
      <w:pPr>
        <w:ind w:left="5960" w:hanging="601"/>
      </w:pPr>
      <w:rPr>
        <w:rFonts w:hint="default"/>
        <w:lang w:val="zh-CN" w:eastAsia="zh-CN" w:bidi="zh-CN"/>
      </w:rPr>
    </w:lvl>
    <w:lvl w:ilvl="6" w:tentative="0">
      <w:start w:val="0"/>
      <w:numFmt w:val="bullet"/>
      <w:lvlText w:val="•"/>
      <w:lvlJc w:val="left"/>
      <w:pPr>
        <w:ind w:left="6816" w:hanging="601"/>
      </w:pPr>
      <w:rPr>
        <w:rFonts w:hint="default"/>
        <w:lang w:val="zh-CN" w:eastAsia="zh-CN" w:bidi="zh-CN"/>
      </w:rPr>
    </w:lvl>
    <w:lvl w:ilvl="7" w:tentative="0">
      <w:start w:val="0"/>
      <w:numFmt w:val="bullet"/>
      <w:lvlText w:val="•"/>
      <w:lvlJc w:val="left"/>
      <w:pPr>
        <w:ind w:left="7672" w:hanging="601"/>
      </w:pPr>
      <w:rPr>
        <w:rFonts w:hint="default"/>
        <w:lang w:val="zh-CN" w:eastAsia="zh-CN" w:bidi="zh-CN"/>
      </w:rPr>
    </w:lvl>
    <w:lvl w:ilvl="8" w:tentative="0">
      <w:start w:val="0"/>
      <w:numFmt w:val="bullet"/>
      <w:lvlText w:val="•"/>
      <w:lvlJc w:val="left"/>
      <w:pPr>
        <w:ind w:left="8528" w:hanging="601"/>
      </w:pPr>
      <w:rPr>
        <w:rFonts w:hint="default"/>
        <w:lang w:val="zh-CN" w:eastAsia="zh-CN" w:bidi="zh-CN"/>
      </w:rPr>
    </w:lvl>
  </w:abstractNum>
  <w:abstractNum w:abstractNumId="55">
    <w:nsid w:val="74C28B35"/>
    <w:multiLevelType w:val="multilevel"/>
    <w:tmpl w:val="74C28B35"/>
    <w:lvl w:ilvl="0" w:tentative="0">
      <w:start w:val="13"/>
      <w:numFmt w:val="decimal"/>
      <w:lvlText w:val="%1"/>
      <w:lvlJc w:val="left"/>
      <w:pPr>
        <w:ind w:left="660" w:hanging="704"/>
        <w:jc w:val="left"/>
      </w:pPr>
      <w:rPr>
        <w:rFonts w:hint="default"/>
        <w:lang w:val="zh-CN" w:eastAsia="zh-CN" w:bidi="zh-CN"/>
      </w:rPr>
    </w:lvl>
    <w:lvl w:ilvl="1" w:tentative="0">
      <w:start w:val="1"/>
      <w:numFmt w:val="decimal"/>
      <w:lvlText w:val="%1.%2"/>
      <w:lvlJc w:val="left"/>
      <w:pPr>
        <w:ind w:left="660" w:hanging="704"/>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2576" w:hanging="704"/>
      </w:pPr>
      <w:rPr>
        <w:rFonts w:hint="default"/>
        <w:lang w:val="zh-CN" w:eastAsia="zh-CN" w:bidi="zh-CN"/>
      </w:rPr>
    </w:lvl>
    <w:lvl w:ilvl="3" w:tentative="0">
      <w:start w:val="0"/>
      <w:numFmt w:val="bullet"/>
      <w:lvlText w:val="•"/>
      <w:lvlJc w:val="left"/>
      <w:pPr>
        <w:ind w:left="3534" w:hanging="704"/>
      </w:pPr>
      <w:rPr>
        <w:rFonts w:hint="default"/>
        <w:lang w:val="zh-CN" w:eastAsia="zh-CN" w:bidi="zh-CN"/>
      </w:rPr>
    </w:lvl>
    <w:lvl w:ilvl="4" w:tentative="0">
      <w:start w:val="0"/>
      <w:numFmt w:val="bullet"/>
      <w:lvlText w:val="•"/>
      <w:lvlJc w:val="left"/>
      <w:pPr>
        <w:ind w:left="4492" w:hanging="704"/>
      </w:pPr>
      <w:rPr>
        <w:rFonts w:hint="default"/>
        <w:lang w:val="zh-CN" w:eastAsia="zh-CN" w:bidi="zh-CN"/>
      </w:rPr>
    </w:lvl>
    <w:lvl w:ilvl="5" w:tentative="0">
      <w:start w:val="0"/>
      <w:numFmt w:val="bullet"/>
      <w:lvlText w:val="•"/>
      <w:lvlJc w:val="left"/>
      <w:pPr>
        <w:ind w:left="5450" w:hanging="704"/>
      </w:pPr>
      <w:rPr>
        <w:rFonts w:hint="default"/>
        <w:lang w:val="zh-CN" w:eastAsia="zh-CN" w:bidi="zh-CN"/>
      </w:rPr>
    </w:lvl>
    <w:lvl w:ilvl="6" w:tentative="0">
      <w:start w:val="0"/>
      <w:numFmt w:val="bullet"/>
      <w:lvlText w:val="•"/>
      <w:lvlJc w:val="left"/>
      <w:pPr>
        <w:ind w:left="6408" w:hanging="704"/>
      </w:pPr>
      <w:rPr>
        <w:rFonts w:hint="default"/>
        <w:lang w:val="zh-CN" w:eastAsia="zh-CN" w:bidi="zh-CN"/>
      </w:rPr>
    </w:lvl>
    <w:lvl w:ilvl="7" w:tentative="0">
      <w:start w:val="0"/>
      <w:numFmt w:val="bullet"/>
      <w:lvlText w:val="•"/>
      <w:lvlJc w:val="left"/>
      <w:pPr>
        <w:ind w:left="7366" w:hanging="704"/>
      </w:pPr>
      <w:rPr>
        <w:rFonts w:hint="default"/>
        <w:lang w:val="zh-CN" w:eastAsia="zh-CN" w:bidi="zh-CN"/>
      </w:rPr>
    </w:lvl>
    <w:lvl w:ilvl="8" w:tentative="0">
      <w:start w:val="0"/>
      <w:numFmt w:val="bullet"/>
      <w:lvlText w:val="•"/>
      <w:lvlJc w:val="left"/>
      <w:pPr>
        <w:ind w:left="8324" w:hanging="704"/>
      </w:pPr>
      <w:rPr>
        <w:rFonts w:hint="default"/>
        <w:lang w:val="zh-CN" w:eastAsia="zh-CN" w:bidi="zh-CN"/>
      </w:rPr>
    </w:lvl>
  </w:abstractNum>
  <w:abstractNum w:abstractNumId="56">
    <w:nsid w:val="79AA4FA4"/>
    <w:multiLevelType w:val="multilevel"/>
    <w:tmpl w:val="79AA4FA4"/>
    <w:lvl w:ilvl="0" w:tentative="0">
      <w:start w:val="1"/>
      <w:numFmt w:val="decimal"/>
      <w:lvlText w:val="%1."/>
      <w:lvlJc w:val="left"/>
      <w:pPr>
        <w:ind w:left="1085" w:hanging="424"/>
        <w:jc w:val="left"/>
      </w:pPr>
      <w:rPr>
        <w:rFonts w:hint="default" w:ascii="宋体" w:hAnsi="宋体" w:eastAsia="宋体" w:cs="宋体"/>
        <w:spacing w:val="0"/>
        <w:w w:val="100"/>
        <w:sz w:val="26"/>
        <w:szCs w:val="26"/>
        <w:lang w:val="zh-CN" w:eastAsia="zh-CN" w:bidi="zh-CN"/>
      </w:rPr>
    </w:lvl>
    <w:lvl w:ilvl="1" w:tentative="0">
      <w:start w:val="0"/>
      <w:numFmt w:val="bullet"/>
      <w:lvlText w:val="•"/>
      <w:lvlJc w:val="left"/>
      <w:pPr>
        <w:ind w:left="1996" w:hanging="424"/>
      </w:pPr>
      <w:rPr>
        <w:rFonts w:hint="default"/>
        <w:lang w:val="zh-CN" w:eastAsia="zh-CN" w:bidi="zh-CN"/>
      </w:rPr>
    </w:lvl>
    <w:lvl w:ilvl="2" w:tentative="0">
      <w:start w:val="0"/>
      <w:numFmt w:val="bullet"/>
      <w:lvlText w:val="•"/>
      <w:lvlJc w:val="left"/>
      <w:pPr>
        <w:ind w:left="2912" w:hanging="424"/>
      </w:pPr>
      <w:rPr>
        <w:rFonts w:hint="default"/>
        <w:lang w:val="zh-CN" w:eastAsia="zh-CN" w:bidi="zh-CN"/>
      </w:rPr>
    </w:lvl>
    <w:lvl w:ilvl="3" w:tentative="0">
      <w:start w:val="0"/>
      <w:numFmt w:val="bullet"/>
      <w:lvlText w:val="•"/>
      <w:lvlJc w:val="left"/>
      <w:pPr>
        <w:ind w:left="3828" w:hanging="424"/>
      </w:pPr>
      <w:rPr>
        <w:rFonts w:hint="default"/>
        <w:lang w:val="zh-CN" w:eastAsia="zh-CN" w:bidi="zh-CN"/>
      </w:rPr>
    </w:lvl>
    <w:lvl w:ilvl="4" w:tentative="0">
      <w:start w:val="0"/>
      <w:numFmt w:val="bullet"/>
      <w:lvlText w:val="•"/>
      <w:lvlJc w:val="left"/>
      <w:pPr>
        <w:ind w:left="4744" w:hanging="424"/>
      </w:pPr>
      <w:rPr>
        <w:rFonts w:hint="default"/>
        <w:lang w:val="zh-CN" w:eastAsia="zh-CN" w:bidi="zh-CN"/>
      </w:rPr>
    </w:lvl>
    <w:lvl w:ilvl="5" w:tentative="0">
      <w:start w:val="0"/>
      <w:numFmt w:val="bullet"/>
      <w:lvlText w:val="•"/>
      <w:lvlJc w:val="left"/>
      <w:pPr>
        <w:ind w:left="5660" w:hanging="424"/>
      </w:pPr>
      <w:rPr>
        <w:rFonts w:hint="default"/>
        <w:lang w:val="zh-CN" w:eastAsia="zh-CN" w:bidi="zh-CN"/>
      </w:rPr>
    </w:lvl>
    <w:lvl w:ilvl="6" w:tentative="0">
      <w:start w:val="0"/>
      <w:numFmt w:val="bullet"/>
      <w:lvlText w:val="•"/>
      <w:lvlJc w:val="left"/>
      <w:pPr>
        <w:ind w:left="6576" w:hanging="424"/>
      </w:pPr>
      <w:rPr>
        <w:rFonts w:hint="default"/>
        <w:lang w:val="zh-CN" w:eastAsia="zh-CN" w:bidi="zh-CN"/>
      </w:rPr>
    </w:lvl>
    <w:lvl w:ilvl="7" w:tentative="0">
      <w:start w:val="0"/>
      <w:numFmt w:val="bullet"/>
      <w:lvlText w:val="•"/>
      <w:lvlJc w:val="left"/>
      <w:pPr>
        <w:ind w:left="7492" w:hanging="424"/>
      </w:pPr>
      <w:rPr>
        <w:rFonts w:hint="default"/>
        <w:lang w:val="zh-CN" w:eastAsia="zh-CN" w:bidi="zh-CN"/>
      </w:rPr>
    </w:lvl>
    <w:lvl w:ilvl="8" w:tentative="0">
      <w:start w:val="0"/>
      <w:numFmt w:val="bullet"/>
      <w:lvlText w:val="•"/>
      <w:lvlJc w:val="left"/>
      <w:pPr>
        <w:ind w:left="8408" w:hanging="424"/>
      </w:pPr>
      <w:rPr>
        <w:rFonts w:hint="default"/>
        <w:lang w:val="zh-CN" w:eastAsia="zh-CN" w:bidi="zh-CN"/>
      </w:rPr>
    </w:lvl>
  </w:abstractNum>
  <w:abstractNum w:abstractNumId="57">
    <w:nsid w:val="7C246926"/>
    <w:multiLevelType w:val="multilevel"/>
    <w:tmpl w:val="7C246926"/>
    <w:lvl w:ilvl="0" w:tentative="0">
      <w:start w:val="4"/>
      <w:numFmt w:val="decimal"/>
      <w:lvlText w:val="(%1)"/>
      <w:lvlJc w:val="left"/>
      <w:pPr>
        <w:ind w:left="1440" w:hanging="361"/>
        <w:jc w:val="left"/>
      </w:pPr>
      <w:rPr>
        <w:rFonts w:hint="default" w:ascii="宋体" w:hAnsi="宋体" w:eastAsia="宋体" w:cs="宋体"/>
        <w:w w:val="99"/>
        <w:sz w:val="22"/>
        <w:szCs w:val="22"/>
        <w:lang w:val="zh-CN" w:eastAsia="zh-CN" w:bidi="zh-CN"/>
      </w:rPr>
    </w:lvl>
    <w:lvl w:ilvl="1" w:tentative="0">
      <w:start w:val="0"/>
      <w:numFmt w:val="bullet"/>
      <w:lvlText w:val="•"/>
      <w:lvlJc w:val="left"/>
      <w:pPr>
        <w:ind w:left="2320" w:hanging="361"/>
      </w:pPr>
      <w:rPr>
        <w:rFonts w:hint="default"/>
        <w:lang w:val="zh-CN" w:eastAsia="zh-CN" w:bidi="zh-CN"/>
      </w:rPr>
    </w:lvl>
    <w:lvl w:ilvl="2" w:tentative="0">
      <w:start w:val="0"/>
      <w:numFmt w:val="bullet"/>
      <w:lvlText w:val="•"/>
      <w:lvlJc w:val="left"/>
      <w:pPr>
        <w:ind w:left="3200" w:hanging="361"/>
      </w:pPr>
      <w:rPr>
        <w:rFonts w:hint="default"/>
        <w:lang w:val="zh-CN" w:eastAsia="zh-CN" w:bidi="zh-CN"/>
      </w:rPr>
    </w:lvl>
    <w:lvl w:ilvl="3" w:tentative="0">
      <w:start w:val="0"/>
      <w:numFmt w:val="bullet"/>
      <w:lvlText w:val="•"/>
      <w:lvlJc w:val="left"/>
      <w:pPr>
        <w:ind w:left="4080" w:hanging="361"/>
      </w:pPr>
      <w:rPr>
        <w:rFonts w:hint="default"/>
        <w:lang w:val="zh-CN" w:eastAsia="zh-CN" w:bidi="zh-CN"/>
      </w:rPr>
    </w:lvl>
    <w:lvl w:ilvl="4" w:tentative="0">
      <w:start w:val="0"/>
      <w:numFmt w:val="bullet"/>
      <w:lvlText w:val="•"/>
      <w:lvlJc w:val="left"/>
      <w:pPr>
        <w:ind w:left="4960" w:hanging="361"/>
      </w:pPr>
      <w:rPr>
        <w:rFonts w:hint="default"/>
        <w:lang w:val="zh-CN" w:eastAsia="zh-CN" w:bidi="zh-CN"/>
      </w:rPr>
    </w:lvl>
    <w:lvl w:ilvl="5" w:tentative="0">
      <w:start w:val="0"/>
      <w:numFmt w:val="bullet"/>
      <w:lvlText w:val="•"/>
      <w:lvlJc w:val="left"/>
      <w:pPr>
        <w:ind w:left="5840" w:hanging="361"/>
      </w:pPr>
      <w:rPr>
        <w:rFonts w:hint="default"/>
        <w:lang w:val="zh-CN" w:eastAsia="zh-CN" w:bidi="zh-CN"/>
      </w:rPr>
    </w:lvl>
    <w:lvl w:ilvl="6" w:tentative="0">
      <w:start w:val="0"/>
      <w:numFmt w:val="bullet"/>
      <w:lvlText w:val="•"/>
      <w:lvlJc w:val="left"/>
      <w:pPr>
        <w:ind w:left="6720" w:hanging="361"/>
      </w:pPr>
      <w:rPr>
        <w:rFonts w:hint="default"/>
        <w:lang w:val="zh-CN" w:eastAsia="zh-CN" w:bidi="zh-CN"/>
      </w:rPr>
    </w:lvl>
    <w:lvl w:ilvl="7" w:tentative="0">
      <w:start w:val="0"/>
      <w:numFmt w:val="bullet"/>
      <w:lvlText w:val="•"/>
      <w:lvlJc w:val="left"/>
      <w:pPr>
        <w:ind w:left="7600" w:hanging="361"/>
      </w:pPr>
      <w:rPr>
        <w:rFonts w:hint="default"/>
        <w:lang w:val="zh-CN" w:eastAsia="zh-CN" w:bidi="zh-CN"/>
      </w:rPr>
    </w:lvl>
    <w:lvl w:ilvl="8" w:tentative="0">
      <w:start w:val="0"/>
      <w:numFmt w:val="bullet"/>
      <w:lvlText w:val="•"/>
      <w:lvlJc w:val="left"/>
      <w:pPr>
        <w:ind w:left="8480" w:hanging="361"/>
      </w:pPr>
      <w:rPr>
        <w:rFonts w:hint="default"/>
        <w:lang w:val="zh-CN" w:eastAsia="zh-CN" w:bidi="zh-CN"/>
      </w:rPr>
    </w:lvl>
  </w:abstractNum>
  <w:abstractNum w:abstractNumId="58">
    <w:nsid w:val="7DEC2089"/>
    <w:multiLevelType w:val="multilevel"/>
    <w:tmpl w:val="7DEC2089"/>
    <w:lvl w:ilvl="0" w:tentative="0">
      <w:start w:val="1"/>
      <w:numFmt w:val="decimal"/>
      <w:lvlText w:val="%1."/>
      <w:lvlJc w:val="left"/>
      <w:pPr>
        <w:ind w:left="1147" w:hanging="485"/>
        <w:jc w:val="left"/>
      </w:pPr>
      <w:rPr>
        <w:rFonts w:hint="default" w:ascii="宋体" w:hAnsi="宋体" w:eastAsia="宋体" w:cs="宋体"/>
        <w:spacing w:val="0"/>
        <w:w w:val="99"/>
        <w:sz w:val="32"/>
        <w:szCs w:val="32"/>
        <w:lang w:val="zh-CN" w:eastAsia="zh-CN" w:bidi="zh-CN"/>
      </w:rPr>
    </w:lvl>
    <w:lvl w:ilvl="1" w:tentative="0">
      <w:start w:val="1"/>
      <w:numFmt w:val="decimal"/>
      <w:lvlText w:val="%1.%2"/>
      <w:lvlJc w:val="left"/>
      <w:pPr>
        <w:ind w:left="1500" w:hanging="420"/>
        <w:jc w:val="left"/>
      </w:pPr>
      <w:rPr>
        <w:rFonts w:hint="default" w:ascii="宋体" w:hAnsi="宋体" w:eastAsia="宋体" w:cs="宋体"/>
        <w:w w:val="99"/>
        <w:sz w:val="24"/>
        <w:szCs w:val="24"/>
        <w:lang w:val="zh-CN" w:eastAsia="zh-CN" w:bidi="zh-CN"/>
      </w:rPr>
    </w:lvl>
    <w:lvl w:ilvl="2" w:tentative="0">
      <w:start w:val="0"/>
      <w:numFmt w:val="bullet"/>
      <w:lvlText w:val="•"/>
      <w:lvlJc w:val="left"/>
      <w:pPr>
        <w:ind w:left="1500" w:hanging="420"/>
      </w:pPr>
      <w:rPr>
        <w:rFonts w:hint="default"/>
        <w:lang w:val="zh-CN" w:eastAsia="zh-CN" w:bidi="zh-CN"/>
      </w:rPr>
    </w:lvl>
    <w:lvl w:ilvl="3" w:tentative="0">
      <w:start w:val="0"/>
      <w:numFmt w:val="bullet"/>
      <w:lvlText w:val="•"/>
      <w:lvlJc w:val="left"/>
      <w:pPr>
        <w:ind w:left="2592" w:hanging="420"/>
      </w:pPr>
      <w:rPr>
        <w:rFonts w:hint="default"/>
        <w:lang w:val="zh-CN" w:eastAsia="zh-CN" w:bidi="zh-CN"/>
      </w:rPr>
    </w:lvl>
    <w:lvl w:ilvl="4" w:tentative="0">
      <w:start w:val="0"/>
      <w:numFmt w:val="bullet"/>
      <w:lvlText w:val="•"/>
      <w:lvlJc w:val="left"/>
      <w:pPr>
        <w:ind w:left="3685" w:hanging="420"/>
      </w:pPr>
      <w:rPr>
        <w:rFonts w:hint="default"/>
        <w:lang w:val="zh-CN" w:eastAsia="zh-CN" w:bidi="zh-CN"/>
      </w:rPr>
    </w:lvl>
    <w:lvl w:ilvl="5" w:tentative="0">
      <w:start w:val="0"/>
      <w:numFmt w:val="bullet"/>
      <w:lvlText w:val="•"/>
      <w:lvlJc w:val="left"/>
      <w:pPr>
        <w:ind w:left="4777" w:hanging="420"/>
      </w:pPr>
      <w:rPr>
        <w:rFonts w:hint="default"/>
        <w:lang w:val="zh-CN" w:eastAsia="zh-CN" w:bidi="zh-CN"/>
      </w:rPr>
    </w:lvl>
    <w:lvl w:ilvl="6" w:tentative="0">
      <w:start w:val="0"/>
      <w:numFmt w:val="bullet"/>
      <w:lvlText w:val="•"/>
      <w:lvlJc w:val="left"/>
      <w:pPr>
        <w:ind w:left="5870" w:hanging="420"/>
      </w:pPr>
      <w:rPr>
        <w:rFonts w:hint="default"/>
        <w:lang w:val="zh-CN" w:eastAsia="zh-CN" w:bidi="zh-CN"/>
      </w:rPr>
    </w:lvl>
    <w:lvl w:ilvl="7" w:tentative="0">
      <w:start w:val="0"/>
      <w:numFmt w:val="bullet"/>
      <w:lvlText w:val="•"/>
      <w:lvlJc w:val="left"/>
      <w:pPr>
        <w:ind w:left="6962" w:hanging="420"/>
      </w:pPr>
      <w:rPr>
        <w:rFonts w:hint="default"/>
        <w:lang w:val="zh-CN" w:eastAsia="zh-CN" w:bidi="zh-CN"/>
      </w:rPr>
    </w:lvl>
    <w:lvl w:ilvl="8" w:tentative="0">
      <w:start w:val="0"/>
      <w:numFmt w:val="bullet"/>
      <w:lvlText w:val="•"/>
      <w:lvlJc w:val="left"/>
      <w:pPr>
        <w:ind w:left="8055" w:hanging="420"/>
      </w:pPr>
      <w:rPr>
        <w:rFonts w:hint="default"/>
        <w:lang w:val="zh-CN" w:eastAsia="zh-CN" w:bidi="zh-CN"/>
      </w:rPr>
    </w:lvl>
  </w:abstractNum>
  <w:num w:numId="1">
    <w:abstractNumId w:val="15"/>
  </w:num>
  <w:num w:numId="2">
    <w:abstractNumId w:val="12"/>
  </w:num>
  <w:num w:numId="3">
    <w:abstractNumId w:val="9"/>
  </w:num>
  <w:num w:numId="4">
    <w:abstractNumId w:val="27"/>
  </w:num>
  <w:num w:numId="5">
    <w:abstractNumId w:val="37"/>
  </w:num>
  <w:num w:numId="6">
    <w:abstractNumId w:val="54"/>
  </w:num>
  <w:num w:numId="7">
    <w:abstractNumId w:val="24"/>
  </w:num>
  <w:num w:numId="8">
    <w:abstractNumId w:val="4"/>
  </w:num>
  <w:num w:numId="9">
    <w:abstractNumId w:val="38"/>
  </w:num>
  <w:num w:numId="10">
    <w:abstractNumId w:val="49"/>
  </w:num>
  <w:num w:numId="11">
    <w:abstractNumId w:val="14"/>
  </w:num>
  <w:num w:numId="12">
    <w:abstractNumId w:val="47"/>
  </w:num>
  <w:num w:numId="13">
    <w:abstractNumId w:val="22"/>
  </w:num>
  <w:num w:numId="14">
    <w:abstractNumId w:val="36"/>
  </w:num>
  <w:num w:numId="15">
    <w:abstractNumId w:val="19"/>
  </w:num>
  <w:num w:numId="16">
    <w:abstractNumId w:val="17"/>
  </w:num>
  <w:num w:numId="17">
    <w:abstractNumId w:val="6"/>
  </w:num>
  <w:num w:numId="18">
    <w:abstractNumId w:val="45"/>
  </w:num>
  <w:num w:numId="19">
    <w:abstractNumId w:val="52"/>
  </w:num>
  <w:num w:numId="20">
    <w:abstractNumId w:val="30"/>
  </w:num>
  <w:num w:numId="21">
    <w:abstractNumId w:val="44"/>
  </w:num>
  <w:num w:numId="22">
    <w:abstractNumId w:val="7"/>
  </w:num>
  <w:num w:numId="23">
    <w:abstractNumId w:val="57"/>
  </w:num>
  <w:num w:numId="24">
    <w:abstractNumId w:val="5"/>
  </w:num>
  <w:num w:numId="25">
    <w:abstractNumId w:val="25"/>
  </w:num>
  <w:num w:numId="26">
    <w:abstractNumId w:val="18"/>
  </w:num>
  <w:num w:numId="27">
    <w:abstractNumId w:val="58"/>
  </w:num>
  <w:num w:numId="28">
    <w:abstractNumId w:val="0"/>
  </w:num>
  <w:num w:numId="29">
    <w:abstractNumId w:val="35"/>
  </w:num>
  <w:num w:numId="30">
    <w:abstractNumId w:val="48"/>
  </w:num>
  <w:num w:numId="31">
    <w:abstractNumId w:val="23"/>
  </w:num>
  <w:num w:numId="32">
    <w:abstractNumId w:val="20"/>
  </w:num>
  <w:num w:numId="33">
    <w:abstractNumId w:val="39"/>
  </w:num>
  <w:num w:numId="34">
    <w:abstractNumId w:val="56"/>
  </w:num>
  <w:num w:numId="35">
    <w:abstractNumId w:val="11"/>
  </w:num>
  <w:num w:numId="36">
    <w:abstractNumId w:val="3"/>
  </w:num>
  <w:num w:numId="37">
    <w:abstractNumId w:val="10"/>
  </w:num>
  <w:num w:numId="38">
    <w:abstractNumId w:val="50"/>
  </w:num>
  <w:num w:numId="39">
    <w:abstractNumId w:val="1"/>
  </w:num>
  <w:num w:numId="40">
    <w:abstractNumId w:val="32"/>
  </w:num>
  <w:num w:numId="41">
    <w:abstractNumId w:val="2"/>
  </w:num>
  <w:num w:numId="42">
    <w:abstractNumId w:val="51"/>
  </w:num>
  <w:num w:numId="43">
    <w:abstractNumId w:val="55"/>
  </w:num>
  <w:num w:numId="44">
    <w:abstractNumId w:val="46"/>
  </w:num>
  <w:num w:numId="45">
    <w:abstractNumId w:val="40"/>
  </w:num>
  <w:num w:numId="46">
    <w:abstractNumId w:val="53"/>
  </w:num>
  <w:num w:numId="47">
    <w:abstractNumId w:val="28"/>
  </w:num>
  <w:num w:numId="48">
    <w:abstractNumId w:val="29"/>
  </w:num>
  <w:num w:numId="49">
    <w:abstractNumId w:val="16"/>
  </w:num>
  <w:num w:numId="50">
    <w:abstractNumId w:val="41"/>
  </w:num>
  <w:num w:numId="51">
    <w:abstractNumId w:val="33"/>
  </w:num>
  <w:num w:numId="52">
    <w:abstractNumId w:val="21"/>
  </w:num>
  <w:num w:numId="53">
    <w:abstractNumId w:val="34"/>
  </w:num>
  <w:num w:numId="54">
    <w:abstractNumId w:val="8"/>
  </w:num>
  <w:num w:numId="55">
    <w:abstractNumId w:val="43"/>
  </w:num>
  <w:num w:numId="56">
    <w:abstractNumId w:val="31"/>
  </w:num>
  <w:num w:numId="57">
    <w:abstractNumId w:val="42"/>
  </w:num>
  <w:num w:numId="58">
    <w:abstractNumId w:val="26"/>
  </w:num>
  <w:num w:numId="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97F7B"/>
    <w:rsid w:val="01C70E1A"/>
    <w:rsid w:val="03DB66BF"/>
    <w:rsid w:val="04511BF8"/>
    <w:rsid w:val="04934147"/>
    <w:rsid w:val="050342DF"/>
    <w:rsid w:val="05DE42DF"/>
    <w:rsid w:val="05F61BA8"/>
    <w:rsid w:val="068E26DE"/>
    <w:rsid w:val="06CC139E"/>
    <w:rsid w:val="07531CCC"/>
    <w:rsid w:val="08384FAD"/>
    <w:rsid w:val="08EA59A5"/>
    <w:rsid w:val="096D657E"/>
    <w:rsid w:val="09C91F14"/>
    <w:rsid w:val="0B501CFB"/>
    <w:rsid w:val="0C683C66"/>
    <w:rsid w:val="0C9E3CDD"/>
    <w:rsid w:val="0E9760B7"/>
    <w:rsid w:val="107C27F3"/>
    <w:rsid w:val="10815C9B"/>
    <w:rsid w:val="113352F2"/>
    <w:rsid w:val="116174C3"/>
    <w:rsid w:val="117E220E"/>
    <w:rsid w:val="12ED0FB1"/>
    <w:rsid w:val="1324161A"/>
    <w:rsid w:val="13320F11"/>
    <w:rsid w:val="135861C1"/>
    <w:rsid w:val="13B061EA"/>
    <w:rsid w:val="13DC7030"/>
    <w:rsid w:val="14A37B2F"/>
    <w:rsid w:val="15AA0979"/>
    <w:rsid w:val="15DD39AE"/>
    <w:rsid w:val="15E65162"/>
    <w:rsid w:val="169A5A00"/>
    <w:rsid w:val="183579A4"/>
    <w:rsid w:val="192060EA"/>
    <w:rsid w:val="19A12AEC"/>
    <w:rsid w:val="1A5C6289"/>
    <w:rsid w:val="1FA73F04"/>
    <w:rsid w:val="1FF819C2"/>
    <w:rsid w:val="20E80579"/>
    <w:rsid w:val="217E6C18"/>
    <w:rsid w:val="21F53F34"/>
    <w:rsid w:val="22DD2EA4"/>
    <w:rsid w:val="22ED5815"/>
    <w:rsid w:val="280B3495"/>
    <w:rsid w:val="28F50178"/>
    <w:rsid w:val="2B7C3E98"/>
    <w:rsid w:val="2CDC2FD2"/>
    <w:rsid w:val="2F545007"/>
    <w:rsid w:val="304D3505"/>
    <w:rsid w:val="31271D42"/>
    <w:rsid w:val="323E4E0B"/>
    <w:rsid w:val="32C97CA6"/>
    <w:rsid w:val="333D626B"/>
    <w:rsid w:val="33B05DC3"/>
    <w:rsid w:val="34673718"/>
    <w:rsid w:val="34F83962"/>
    <w:rsid w:val="36230CA0"/>
    <w:rsid w:val="3654194A"/>
    <w:rsid w:val="368771DE"/>
    <w:rsid w:val="36A04828"/>
    <w:rsid w:val="36C34FC7"/>
    <w:rsid w:val="378A2750"/>
    <w:rsid w:val="37F35A9C"/>
    <w:rsid w:val="39373652"/>
    <w:rsid w:val="3A1E733E"/>
    <w:rsid w:val="3B170E7D"/>
    <w:rsid w:val="3B336B0F"/>
    <w:rsid w:val="3B405415"/>
    <w:rsid w:val="3BEC7D03"/>
    <w:rsid w:val="3BED64EC"/>
    <w:rsid w:val="3C401C05"/>
    <w:rsid w:val="3C845CE9"/>
    <w:rsid w:val="3DA27C81"/>
    <w:rsid w:val="3F5B7AF2"/>
    <w:rsid w:val="406E5843"/>
    <w:rsid w:val="41034CAB"/>
    <w:rsid w:val="410E7E25"/>
    <w:rsid w:val="41970850"/>
    <w:rsid w:val="43254B00"/>
    <w:rsid w:val="439C77E2"/>
    <w:rsid w:val="450C48D1"/>
    <w:rsid w:val="45570A18"/>
    <w:rsid w:val="455A5B4C"/>
    <w:rsid w:val="463F77E8"/>
    <w:rsid w:val="46641009"/>
    <w:rsid w:val="46EF0C84"/>
    <w:rsid w:val="48CB4679"/>
    <w:rsid w:val="49CA4D9D"/>
    <w:rsid w:val="4A6E2250"/>
    <w:rsid w:val="4BA466BA"/>
    <w:rsid w:val="4BF91E79"/>
    <w:rsid w:val="4C951481"/>
    <w:rsid w:val="4D1F10CB"/>
    <w:rsid w:val="4D59107D"/>
    <w:rsid w:val="4DD03D0E"/>
    <w:rsid w:val="4F7C1EA3"/>
    <w:rsid w:val="512C4457"/>
    <w:rsid w:val="519A56A0"/>
    <w:rsid w:val="52C87B1B"/>
    <w:rsid w:val="5310368F"/>
    <w:rsid w:val="55690015"/>
    <w:rsid w:val="57F220EB"/>
    <w:rsid w:val="58B8431F"/>
    <w:rsid w:val="59A3202C"/>
    <w:rsid w:val="5AA04E3E"/>
    <w:rsid w:val="5AF71148"/>
    <w:rsid w:val="5B851AE8"/>
    <w:rsid w:val="5CF368E4"/>
    <w:rsid w:val="5CFC2BEA"/>
    <w:rsid w:val="5E5F6E1D"/>
    <w:rsid w:val="5E6E2A79"/>
    <w:rsid w:val="5F297850"/>
    <w:rsid w:val="602A2C76"/>
    <w:rsid w:val="602A2D2E"/>
    <w:rsid w:val="62E26106"/>
    <w:rsid w:val="634D0343"/>
    <w:rsid w:val="63AF3A13"/>
    <w:rsid w:val="65314EE7"/>
    <w:rsid w:val="655933A7"/>
    <w:rsid w:val="65A85F27"/>
    <w:rsid w:val="65D91B81"/>
    <w:rsid w:val="674531E0"/>
    <w:rsid w:val="67AD49BE"/>
    <w:rsid w:val="69066FE4"/>
    <w:rsid w:val="6A670AAC"/>
    <w:rsid w:val="6BBF43C1"/>
    <w:rsid w:val="6C5E31D9"/>
    <w:rsid w:val="6CFC19DB"/>
    <w:rsid w:val="6D2348E7"/>
    <w:rsid w:val="6E127940"/>
    <w:rsid w:val="6FA621F8"/>
    <w:rsid w:val="70252147"/>
    <w:rsid w:val="708475DC"/>
    <w:rsid w:val="71295C36"/>
    <w:rsid w:val="72AE5835"/>
    <w:rsid w:val="72B95B45"/>
    <w:rsid w:val="74140D0B"/>
    <w:rsid w:val="758204AB"/>
    <w:rsid w:val="772E3A9A"/>
    <w:rsid w:val="77F114EA"/>
    <w:rsid w:val="79447F8E"/>
    <w:rsid w:val="798C4474"/>
    <w:rsid w:val="7A4F4CA5"/>
    <w:rsid w:val="7B300861"/>
    <w:rsid w:val="7C7B64EB"/>
    <w:rsid w:val="7DE732C5"/>
    <w:rsid w:val="7E1B7D67"/>
    <w:rsid w:val="7E917588"/>
    <w:rsid w:val="7F07064A"/>
    <w:rsid w:val="7F3C3925"/>
    <w:rsid w:val="7F662F9B"/>
    <w:rsid w:val="7F6E26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6">
    <w:name w:val="heading 1"/>
    <w:basedOn w:val="1"/>
    <w:next w:val="1"/>
    <w:qFormat/>
    <w:uiPriority w:val="1"/>
    <w:pPr>
      <w:spacing w:before="10"/>
      <w:ind w:right="611"/>
      <w:jc w:val="center"/>
      <w:outlineLvl w:val="1"/>
    </w:pPr>
    <w:rPr>
      <w:rFonts w:ascii="宋体" w:hAnsi="宋体" w:eastAsia="宋体" w:cs="宋体"/>
      <w:sz w:val="44"/>
      <w:szCs w:val="44"/>
      <w:lang w:val="zh-CN" w:eastAsia="zh-CN" w:bidi="zh-CN"/>
    </w:rPr>
  </w:style>
  <w:style w:type="paragraph" w:styleId="7">
    <w:name w:val="heading 2"/>
    <w:basedOn w:val="1"/>
    <w:next w:val="1"/>
    <w:qFormat/>
    <w:uiPriority w:val="1"/>
    <w:pPr>
      <w:spacing w:before="31"/>
      <w:jc w:val="center"/>
      <w:outlineLvl w:val="2"/>
    </w:pPr>
    <w:rPr>
      <w:rFonts w:ascii="宋体" w:hAnsi="宋体" w:eastAsia="宋体" w:cs="宋体"/>
      <w:sz w:val="36"/>
      <w:szCs w:val="36"/>
      <w:lang w:val="zh-CN" w:eastAsia="zh-CN" w:bidi="zh-CN"/>
    </w:rPr>
  </w:style>
  <w:style w:type="paragraph" w:styleId="8">
    <w:name w:val="heading 3"/>
    <w:basedOn w:val="1"/>
    <w:next w:val="1"/>
    <w:qFormat/>
    <w:uiPriority w:val="1"/>
    <w:pPr>
      <w:ind w:left="662"/>
      <w:outlineLvl w:val="3"/>
    </w:pPr>
    <w:rPr>
      <w:rFonts w:ascii="宋体" w:hAnsi="宋体" w:eastAsia="宋体" w:cs="宋体"/>
      <w:sz w:val="32"/>
      <w:szCs w:val="32"/>
      <w:lang w:val="zh-CN" w:eastAsia="zh-CN" w:bidi="zh-CN"/>
    </w:rPr>
  </w:style>
  <w:style w:type="paragraph" w:styleId="9">
    <w:name w:val="heading 4"/>
    <w:basedOn w:val="1"/>
    <w:next w:val="1"/>
    <w:qFormat/>
    <w:uiPriority w:val="1"/>
    <w:pPr>
      <w:spacing w:before="42"/>
      <w:ind w:left="110"/>
      <w:outlineLvl w:val="4"/>
    </w:pPr>
    <w:rPr>
      <w:rFonts w:ascii="宋体" w:hAnsi="宋体" w:eastAsia="宋体" w:cs="宋体"/>
      <w:sz w:val="30"/>
      <w:szCs w:val="30"/>
      <w:lang w:val="zh-CN" w:eastAsia="zh-CN" w:bidi="zh-CN"/>
    </w:rPr>
  </w:style>
  <w:style w:type="paragraph" w:styleId="10">
    <w:name w:val="heading 5"/>
    <w:basedOn w:val="1"/>
    <w:next w:val="1"/>
    <w:qFormat/>
    <w:uiPriority w:val="1"/>
    <w:pPr>
      <w:ind w:left="660"/>
      <w:outlineLvl w:val="5"/>
    </w:pPr>
    <w:rPr>
      <w:rFonts w:ascii="宋体" w:hAnsi="宋体" w:eastAsia="宋体" w:cs="宋体"/>
      <w:sz w:val="28"/>
      <w:szCs w:val="28"/>
      <w:lang w:val="zh-CN" w:eastAsia="zh-CN" w:bidi="zh-CN"/>
    </w:rPr>
  </w:style>
  <w:style w:type="paragraph" w:styleId="11">
    <w:name w:val="heading 6"/>
    <w:basedOn w:val="1"/>
    <w:next w:val="1"/>
    <w:qFormat/>
    <w:uiPriority w:val="1"/>
    <w:pPr>
      <w:ind w:left="967"/>
      <w:outlineLvl w:val="6"/>
    </w:pPr>
    <w:rPr>
      <w:rFonts w:ascii="宋体" w:hAnsi="宋体" w:eastAsia="宋体" w:cs="宋体"/>
      <w:i/>
      <w:sz w:val="25"/>
      <w:szCs w:val="25"/>
      <w:lang w:val="zh-CN" w:eastAsia="zh-CN" w:bidi="zh-CN"/>
    </w:rPr>
  </w:style>
  <w:style w:type="character" w:default="1" w:styleId="18">
    <w:name w:val="Default Paragraph Font"/>
    <w:semiHidden/>
    <w:unhideWhenUsed/>
    <w:qFormat/>
    <w:uiPriority w:val="1"/>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0"/>
    <w:pPr>
      <w:ind w:left="200" w:firstLine="420" w:firstLineChars="200"/>
    </w:pPr>
  </w:style>
  <w:style w:type="paragraph" w:styleId="3">
    <w:name w:val="Body Text Indent"/>
    <w:basedOn w:val="1"/>
    <w:unhideWhenUsed/>
    <w:qFormat/>
    <w:uiPriority w:val="99"/>
    <w:pPr>
      <w:spacing w:after="120"/>
      <w:ind w:left="420" w:leftChars="200"/>
    </w:pPr>
  </w:style>
  <w:style w:type="paragraph" w:styleId="4">
    <w:name w:val="Body Text First Indent"/>
    <w:basedOn w:val="5"/>
    <w:unhideWhenUsed/>
    <w:qFormat/>
    <w:uiPriority w:val="0"/>
    <w:pPr>
      <w:spacing w:after="0" w:line="360" w:lineRule="auto"/>
      <w:ind w:firstLine="420" w:firstLineChars="100"/>
    </w:pPr>
    <w:rPr>
      <w:rFonts w:ascii="方正小标宋_GBK" w:hAnsi="方正小标宋_GBK" w:eastAsia="Calibri"/>
      <w:b/>
      <w:bCs/>
      <w:sz w:val="32"/>
      <w:szCs w:val="32"/>
    </w:rPr>
  </w:style>
  <w:style w:type="paragraph" w:styleId="5">
    <w:name w:val="Body Text"/>
    <w:basedOn w:val="1"/>
    <w:qFormat/>
    <w:uiPriority w:val="1"/>
    <w:rPr>
      <w:rFonts w:ascii="宋体" w:hAnsi="宋体" w:eastAsia="宋体" w:cs="宋体"/>
      <w:sz w:val="24"/>
      <w:szCs w:val="24"/>
      <w:lang w:val="zh-CN" w:eastAsia="zh-CN" w:bidi="zh-CN"/>
    </w:rPr>
  </w:style>
  <w:style w:type="paragraph" w:styleId="12">
    <w:name w:val="caption"/>
    <w:basedOn w:val="1"/>
    <w:next w:val="1"/>
    <w:semiHidden/>
    <w:unhideWhenUsed/>
    <w:qFormat/>
    <w:uiPriority w:val="0"/>
    <w:rPr>
      <w:rFonts w:ascii="Arial" w:hAnsi="Arial" w:eastAsia="黑体"/>
      <w:sz w:val="20"/>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next w:val="1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qFormat/>
    <w:uiPriority w:val="1"/>
    <w:pPr>
      <w:spacing w:before="186"/>
      <w:ind w:left="660"/>
    </w:pPr>
    <w:rPr>
      <w:rFonts w:ascii="宋体" w:hAnsi="宋体" w:eastAsia="宋体" w:cs="宋体"/>
      <w:sz w:val="28"/>
      <w:szCs w:val="28"/>
      <w:lang w:val="zh-CN" w:eastAsia="zh-CN" w:bidi="zh-CN"/>
    </w:rPr>
  </w:style>
  <w:style w:type="paragraph" w:styleId="16">
    <w:name w:val="Normal (Web)"/>
    <w:basedOn w:val="1"/>
    <w:qFormat/>
    <w:uiPriority w:val="0"/>
    <w:rPr>
      <w:sz w:val="24"/>
    </w:rPr>
  </w:style>
  <w:style w:type="table" w:customStyle="1" w:styleId="19">
    <w:name w:val="Table Normal"/>
    <w:semiHidden/>
    <w:unhideWhenUsed/>
    <w:qFormat/>
    <w:uiPriority w:val="2"/>
    <w:tblPr>
      <w:tblCellMar>
        <w:top w:w="0" w:type="dxa"/>
        <w:left w:w="0" w:type="dxa"/>
        <w:bottom w:w="0" w:type="dxa"/>
        <w:right w:w="0" w:type="dxa"/>
      </w:tblCellMar>
    </w:tblPr>
  </w:style>
  <w:style w:type="paragraph" w:styleId="20">
    <w:name w:val="List Paragraph"/>
    <w:basedOn w:val="1"/>
    <w:qFormat/>
    <w:uiPriority w:val="1"/>
    <w:pPr>
      <w:ind w:left="660" w:firstLine="559"/>
    </w:pPr>
    <w:rPr>
      <w:rFonts w:ascii="宋体" w:hAnsi="宋体" w:eastAsia="宋体" w:cs="宋体"/>
      <w:lang w:val="zh-CN" w:eastAsia="zh-CN" w:bidi="zh-CN"/>
    </w:rPr>
  </w:style>
  <w:style w:type="paragraph" w:customStyle="1" w:styleId="21">
    <w:name w:val="Table Paragraph"/>
    <w:basedOn w:val="1"/>
    <w:qFormat/>
    <w:uiPriority w:val="1"/>
    <w:rPr>
      <w:rFonts w:ascii="宋体" w:hAnsi="宋体" w:eastAsia="宋体" w:cs="宋体"/>
      <w:lang w:val="zh-CN" w:eastAsia="zh-CN" w:bidi="zh-CN"/>
    </w:rPr>
  </w:style>
  <w:style w:type="character" w:customStyle="1" w:styleId="22">
    <w:name w:val="font11"/>
    <w:basedOn w:val="18"/>
    <w:qFormat/>
    <w:uiPriority w:val="0"/>
    <w:rPr>
      <w:rFonts w:hint="eastAsia" w:ascii="宋体" w:hAnsi="宋体" w:eastAsia="宋体" w:cs="宋体"/>
      <w:color w:val="000000"/>
      <w:sz w:val="24"/>
      <w:szCs w:val="24"/>
      <w:u w:val="none"/>
    </w:rPr>
  </w:style>
  <w:style w:type="character" w:customStyle="1" w:styleId="23">
    <w:name w:val="font71"/>
    <w:basedOn w:val="18"/>
    <w:qFormat/>
    <w:uiPriority w:val="0"/>
    <w:rPr>
      <w:rFonts w:ascii="宋体" w:hAnsi="宋体" w:eastAsia="宋体" w:cs="宋体"/>
      <w:color w:val="000000"/>
      <w:sz w:val="24"/>
      <w:szCs w:val="24"/>
      <w:u w:val="none"/>
    </w:rPr>
  </w:style>
  <w:style w:type="character" w:customStyle="1" w:styleId="24">
    <w:name w:val="font31"/>
    <w:basedOn w:val="18"/>
    <w:qFormat/>
    <w:uiPriority w:val="0"/>
    <w:rPr>
      <w:rFonts w:hint="eastAsia" w:ascii="宋体" w:hAnsi="宋体" w:eastAsia="宋体" w:cs="宋体"/>
      <w:color w:val="000000"/>
      <w:sz w:val="21"/>
      <w:szCs w:val="21"/>
      <w:u w:val="none"/>
    </w:rPr>
  </w:style>
  <w:style w:type="character" w:customStyle="1" w:styleId="25">
    <w:name w:val="font151"/>
    <w:basedOn w:val="18"/>
    <w:qFormat/>
    <w:uiPriority w:val="0"/>
    <w:rPr>
      <w:rFonts w:ascii="Calibri" w:hAnsi="Calibri" w:cs="Calibri"/>
      <w:color w:val="000000"/>
      <w:sz w:val="21"/>
      <w:szCs w:val="21"/>
      <w:u w:val="none"/>
    </w:rPr>
  </w:style>
  <w:style w:type="character" w:customStyle="1" w:styleId="26">
    <w:name w:val="font01"/>
    <w:basedOn w:val="18"/>
    <w:qFormat/>
    <w:uiPriority w:val="0"/>
    <w:rPr>
      <w:rFonts w:hint="eastAsia" w:ascii="宋体" w:hAnsi="宋体" w:eastAsia="宋体" w:cs="宋体"/>
      <w:color w:val="000000"/>
      <w:sz w:val="22"/>
      <w:szCs w:val="22"/>
      <w:u w:val="none"/>
    </w:rPr>
  </w:style>
  <w:style w:type="character" w:customStyle="1" w:styleId="27">
    <w:name w:val="font112"/>
    <w:basedOn w:val="18"/>
    <w:qFormat/>
    <w:uiPriority w:val="0"/>
    <w:rPr>
      <w:rFonts w:hint="eastAsia" w:ascii="宋体" w:hAnsi="宋体" w:eastAsia="宋体" w:cs="宋体"/>
      <w:color w:val="000000"/>
      <w:sz w:val="20"/>
      <w:szCs w:val="20"/>
      <w:u w:val="none"/>
    </w:rPr>
  </w:style>
  <w:style w:type="character" w:customStyle="1" w:styleId="28">
    <w:name w:val="font121"/>
    <w:basedOn w:val="18"/>
    <w:qFormat/>
    <w:uiPriority w:val="0"/>
    <w:rPr>
      <w:rFonts w:hint="default" w:ascii="Times New Roman" w:hAnsi="Times New Roman" w:cs="Times New Roman"/>
      <w:color w:val="000000"/>
      <w:sz w:val="20"/>
      <w:szCs w:val="20"/>
      <w:u w:val="none"/>
    </w:rPr>
  </w:style>
  <w:style w:type="character" w:customStyle="1" w:styleId="29">
    <w:name w:val="font161"/>
    <w:basedOn w:val="18"/>
    <w:qFormat/>
    <w:uiPriority w:val="0"/>
    <w:rPr>
      <w:rFonts w:hint="eastAsia" w:ascii="宋体" w:hAnsi="宋体" w:eastAsia="宋体" w:cs="宋体"/>
      <w:color w:val="000000"/>
      <w:sz w:val="24"/>
      <w:szCs w:val="24"/>
      <w:u w:val="none"/>
      <w:vertAlign w:val="superscript"/>
    </w:rPr>
  </w:style>
  <w:style w:type="character" w:customStyle="1" w:styleId="30">
    <w:name w:val="font51"/>
    <w:basedOn w:val="18"/>
    <w:qFormat/>
    <w:uiPriority w:val="0"/>
    <w:rPr>
      <w:rFonts w:hint="eastAsia" w:ascii="宋体" w:hAnsi="宋体" w:eastAsia="宋体" w:cs="宋体"/>
      <w:color w:val="000000"/>
      <w:sz w:val="22"/>
      <w:szCs w:val="22"/>
      <w:u w:val="none"/>
    </w:rPr>
  </w:style>
  <w:style w:type="character" w:customStyle="1" w:styleId="31">
    <w:name w:val="font81"/>
    <w:basedOn w:val="18"/>
    <w:qFormat/>
    <w:uiPriority w:val="0"/>
    <w:rPr>
      <w:rFonts w:hint="eastAsia" w:ascii="宋体" w:hAnsi="宋体" w:eastAsia="宋体" w:cs="宋体"/>
      <w:color w:val="000000"/>
      <w:sz w:val="22"/>
      <w:szCs w:val="22"/>
      <w:u w:val="none"/>
      <w:vertAlign w:val="superscript"/>
    </w:rPr>
  </w:style>
  <w:style w:type="character" w:customStyle="1" w:styleId="32">
    <w:name w:val="font41"/>
    <w:basedOn w:val="18"/>
    <w:qFormat/>
    <w:uiPriority w:val="0"/>
    <w:rPr>
      <w:rFonts w:hint="eastAsia" w:ascii="宋体" w:hAnsi="宋体" w:eastAsia="宋体" w:cs="宋体"/>
      <w:color w:val="000000"/>
      <w:sz w:val="22"/>
      <w:szCs w:val="22"/>
      <w:u w:val="none"/>
    </w:rPr>
  </w:style>
  <w:style w:type="character" w:customStyle="1" w:styleId="33">
    <w:name w:val="font91"/>
    <w:basedOn w:val="18"/>
    <w:qFormat/>
    <w:uiPriority w:val="0"/>
    <w:rPr>
      <w:rFonts w:hint="default" w:ascii="Times New Roman" w:hAnsi="Times New Roman" w:cs="Times New Roman"/>
      <w:color w:val="000000"/>
      <w:sz w:val="22"/>
      <w:szCs w:val="22"/>
      <w:u w:val="none"/>
    </w:rPr>
  </w:style>
  <w:style w:type="character" w:customStyle="1" w:styleId="34">
    <w:name w:val="font131"/>
    <w:basedOn w:val="18"/>
    <w:qFormat/>
    <w:uiPriority w:val="0"/>
    <w:rPr>
      <w:rFonts w:hint="eastAsia" w:ascii="宋体" w:hAnsi="宋体" w:eastAsia="宋体" w:cs="宋体"/>
      <w:color w:val="000000"/>
      <w:sz w:val="20"/>
      <w:szCs w:val="20"/>
      <w:u w:val="none"/>
    </w:rPr>
  </w:style>
  <w:style w:type="character" w:customStyle="1" w:styleId="35">
    <w:name w:val="font141"/>
    <w:basedOn w:val="18"/>
    <w:qFormat/>
    <w:uiPriority w:val="0"/>
    <w:rPr>
      <w:rFonts w:hint="eastAsia" w:ascii="宋体" w:hAnsi="宋体" w:eastAsia="宋体" w:cs="宋体"/>
      <w:color w:val="000000"/>
      <w:sz w:val="18"/>
      <w:szCs w:val="18"/>
      <w:u w:val="none"/>
    </w:rPr>
  </w:style>
  <w:style w:type="character" w:customStyle="1" w:styleId="36">
    <w:name w:val="font101"/>
    <w:basedOn w:val="18"/>
    <w:qFormat/>
    <w:uiPriority w:val="0"/>
    <w:rPr>
      <w:rFonts w:hint="default" w:ascii="Tahoma" w:hAnsi="Tahoma" w:eastAsia="Tahoma" w:cs="Tahoma"/>
      <w:color w:val="000000"/>
      <w:sz w:val="18"/>
      <w:szCs w:val="18"/>
      <w:u w:val="none"/>
    </w:rPr>
  </w:style>
  <w:style w:type="character" w:customStyle="1" w:styleId="37">
    <w:name w:val="font61"/>
    <w:basedOn w:val="18"/>
    <w:qFormat/>
    <w:uiPriority w:val="0"/>
    <w:rPr>
      <w:rFonts w:ascii="宋体" w:hAnsi="宋体" w:eastAsia="宋体" w:cs="宋体"/>
      <w:color w:val="000000"/>
      <w:sz w:val="24"/>
      <w:szCs w:val="24"/>
      <w:u w:val="none"/>
    </w:rPr>
  </w:style>
  <w:style w:type="character" w:customStyle="1" w:styleId="38">
    <w:name w:val="font111"/>
    <w:basedOn w:val="18"/>
    <w:qFormat/>
    <w:uiPriority w:val="0"/>
    <w:rPr>
      <w:rFonts w:ascii="Tahoma" w:hAnsi="Tahoma" w:eastAsia="Tahoma" w:cs="Tahoma"/>
      <w:color w:val="000000"/>
      <w:sz w:val="22"/>
      <w:szCs w:val="22"/>
      <w:u w:val="none"/>
    </w:rPr>
  </w:style>
  <w:style w:type="character" w:customStyle="1" w:styleId="39">
    <w:name w:val="font21"/>
    <w:basedOn w:val="1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ScaleCrop>false</ScaleCrop>
  <LinksUpToDate>false</LinksUpToDate>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2021-03-23T03:32:00Z</dcterms:created>
  <dc:creator>Administrator</dc:creator>
  <cp:lastModifiedBy>A何生13580473295</cp:lastModifiedBy>
  <cp:lastPrinted>2021-04-21T08:35:00Z</cp:lastPrinted>
  <dcterms:modified xsi:type="dcterms:W3CDTF">2021-05-31T03:00:00Z</dcterms:modified>
  <dc:title>&lt;4D6963726F736F667420576F7264202D20CEE5D6B8C9BDCAD032303230C4EAB1A1B8C4D3EBC4DCC1A6CCE1C9FDCFEEC4BFC9FABBEEC9E8B1B8C9E8CAA9C0E0A3A843B0FCA3A9A3A8B6FEB4CED5D0B1EAA3A92D2DD5D0B1EACEC4BCFE2DB6A8B8E5&gt;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PDF24 Creator</vt:lpwstr>
  </property>
  <property fmtid="{D5CDD505-2E9C-101B-9397-08002B2CF9AE}" pid="4" name="LastSaved">
    <vt:filetime>2021-03-23T00:00:00Z</vt:filetime>
  </property>
  <property fmtid="{D5CDD505-2E9C-101B-9397-08002B2CF9AE}" pid="5" name="KSOProductBuildVer">
    <vt:lpwstr>2052-11.1.0.10495</vt:lpwstr>
  </property>
  <property fmtid="{D5CDD505-2E9C-101B-9397-08002B2CF9AE}" pid="6" name="ICV">
    <vt:lpwstr>FF214FF3DBA34666947CB57DB012B943</vt:lpwstr>
  </property>
</Properties>
</file>