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color w:val="auto"/>
        </w:rPr>
      </w:pPr>
      <w:r>
        <w:rPr>
          <w:rFonts w:hint="eastAsia" w:cs="宋体" w:asciiTheme="majorEastAsia" w:hAnsiTheme="majorEastAsia" w:eastAsiaTheme="majorEastAsia"/>
          <w:b/>
          <w:bCs/>
          <w:color w:val="auto"/>
          <w:sz w:val="52"/>
          <w:szCs w:val="52"/>
          <w:lang w:val="zh-TW" w:eastAsia="zh-TW"/>
        </w:rPr>
        <w:drawing>
          <wp:inline distT="0" distB="0" distL="114300" distR="114300">
            <wp:extent cx="5824220" cy="8388350"/>
            <wp:effectExtent l="0" t="0" r="5080" b="12700"/>
            <wp:docPr id="1" name="图片 1" descr="3fc422dc85fbe43bbdfdb2b1e6e1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fc422dc85fbe43bbdfdb2b1e6e1fe0"/>
                    <pic:cNvPicPr>
                      <a:picLocks noChangeAspect="1"/>
                    </pic:cNvPicPr>
                  </pic:nvPicPr>
                  <pic:blipFill>
                    <a:blip r:embed="rId7"/>
                    <a:stretch>
                      <a:fillRect/>
                    </a:stretch>
                  </pic:blipFill>
                  <pic:spPr>
                    <a:xfrm>
                      <a:off x="0" y="0"/>
                      <a:ext cx="5824220" cy="8388350"/>
                    </a:xfrm>
                    <a:prstGeom prst="rect">
                      <a:avLst/>
                    </a:prstGeom>
                  </pic:spPr>
                </pic:pic>
              </a:graphicData>
            </a:graphic>
          </wp:inline>
        </w:drawing>
      </w:r>
      <w:r>
        <w:rPr>
          <w:rFonts w:hint="eastAsia" w:cs="宋体" w:asciiTheme="majorEastAsia" w:hAnsiTheme="majorEastAsia" w:eastAsiaTheme="majorEastAsia"/>
          <w:b/>
          <w:bCs/>
          <w:color w:val="auto"/>
          <w:sz w:val="52"/>
          <w:szCs w:val="52"/>
          <w:lang w:val="zh-TW" w:eastAsia="zh-TW"/>
        </w:rPr>
        <w:t>目录</w:t>
      </w:r>
    </w:p>
    <w:p>
      <w:pPr>
        <w:rPr>
          <w:rFonts w:cs="宋体" w:asciiTheme="majorEastAsia" w:hAnsiTheme="majorEastAsia" w:eastAsiaTheme="majorEastAsia"/>
          <w:color w:val="auto"/>
        </w:rPr>
      </w:pPr>
    </w:p>
    <w:p>
      <w:pPr>
        <w:pStyle w:val="14"/>
        <w:tabs>
          <w:tab w:val="right" w:leader="dot" w:pos="9168"/>
        </w:tabs>
        <w:rPr>
          <w:rFonts w:asciiTheme="minorHAnsi" w:hAnsiTheme="minorHAnsi" w:eastAsiaTheme="minorEastAsia" w:cstheme="minorBidi"/>
          <w:color w:val="auto"/>
          <w:kern w:val="2"/>
          <w:sz w:val="21"/>
        </w:rPr>
      </w:pPr>
      <w:r>
        <w:rPr>
          <w:rFonts w:hint="eastAsia" w:cs="宋体" w:asciiTheme="majorEastAsia" w:hAnsiTheme="majorEastAsia" w:eastAsiaTheme="majorEastAsia"/>
          <w:b/>
          <w:color w:val="auto"/>
          <w:sz w:val="44"/>
          <w:szCs w:val="44"/>
        </w:rPr>
        <w:fldChar w:fldCharType="begin"/>
      </w:r>
      <w:r>
        <w:rPr>
          <w:rFonts w:hint="eastAsia" w:cs="宋体" w:asciiTheme="majorEastAsia" w:hAnsiTheme="majorEastAsia" w:eastAsiaTheme="majorEastAsia"/>
          <w:b/>
          <w:color w:val="auto"/>
          <w:sz w:val="44"/>
          <w:szCs w:val="44"/>
        </w:rPr>
        <w:instrText xml:space="preserve">TOC \o "1-3" \h \u </w:instrText>
      </w:r>
      <w:r>
        <w:rPr>
          <w:rFonts w:hint="eastAsia" w:cs="宋体" w:asciiTheme="majorEastAsia" w:hAnsiTheme="majorEastAsia" w:eastAsiaTheme="majorEastAsia"/>
          <w:b/>
          <w:color w:val="auto"/>
          <w:sz w:val="44"/>
          <w:szCs w:val="44"/>
        </w:rPr>
        <w:fldChar w:fldCharType="separate"/>
      </w:r>
      <w:r>
        <w:fldChar w:fldCharType="begin"/>
      </w:r>
      <w:r>
        <w:instrText xml:space="preserve"> HYPERLINK \l "_Toc71553215" </w:instrText>
      </w:r>
      <w:r>
        <w:fldChar w:fldCharType="separate"/>
      </w:r>
      <w:r>
        <w:rPr>
          <w:rStyle w:val="22"/>
          <w:rFonts w:hint="eastAsia" w:cs="宋体" w:asciiTheme="majorEastAsia" w:hAnsiTheme="majorEastAsia" w:eastAsiaTheme="majorEastAsia"/>
          <w:b/>
        </w:rPr>
        <w:t>第一章</w:t>
      </w:r>
      <w:r>
        <w:rPr>
          <w:rStyle w:val="22"/>
          <w:rFonts w:cs="宋体" w:asciiTheme="majorEastAsia" w:hAnsiTheme="majorEastAsia" w:eastAsiaTheme="majorEastAsia"/>
          <w:b/>
        </w:rPr>
        <w:t xml:space="preserve">  </w:t>
      </w:r>
      <w:r>
        <w:rPr>
          <w:rStyle w:val="22"/>
          <w:rFonts w:hint="eastAsia" w:cs="宋体" w:asciiTheme="majorEastAsia" w:hAnsiTheme="majorEastAsia" w:eastAsiaTheme="majorEastAsia"/>
          <w:b/>
        </w:rPr>
        <w:t>磋商公告</w:t>
      </w:r>
      <w:r>
        <w:tab/>
      </w:r>
      <w:r>
        <w:fldChar w:fldCharType="begin"/>
      </w:r>
      <w:r>
        <w:instrText xml:space="preserve"> PAGEREF _Toc71553215 \h </w:instrText>
      </w:r>
      <w:r>
        <w:fldChar w:fldCharType="separate"/>
      </w:r>
      <w:r>
        <w:t>1</w:t>
      </w:r>
      <w:r>
        <w:fldChar w:fldCharType="end"/>
      </w:r>
      <w:r>
        <w:fldChar w:fldCharType="end"/>
      </w:r>
    </w:p>
    <w:p>
      <w:pPr>
        <w:pStyle w:val="14"/>
        <w:tabs>
          <w:tab w:val="right" w:leader="dot" w:pos="9168"/>
        </w:tabs>
        <w:rPr>
          <w:rFonts w:asciiTheme="minorHAnsi" w:hAnsiTheme="minorHAnsi" w:eastAsiaTheme="minorEastAsia" w:cstheme="minorBidi"/>
          <w:color w:val="auto"/>
          <w:kern w:val="2"/>
          <w:sz w:val="21"/>
        </w:rPr>
      </w:pPr>
      <w:r>
        <w:fldChar w:fldCharType="begin"/>
      </w:r>
      <w:r>
        <w:instrText xml:space="preserve"> HYPERLINK \l "_Toc71553216" </w:instrText>
      </w:r>
      <w:r>
        <w:fldChar w:fldCharType="separate"/>
      </w:r>
      <w:r>
        <w:rPr>
          <w:rStyle w:val="22"/>
          <w:rFonts w:hint="eastAsia" w:cs="宋体" w:asciiTheme="majorEastAsia" w:hAnsiTheme="majorEastAsia" w:eastAsiaTheme="majorEastAsia"/>
          <w:b/>
        </w:rPr>
        <w:t>第二章</w:t>
      </w:r>
      <w:r>
        <w:rPr>
          <w:rStyle w:val="22"/>
          <w:rFonts w:cs="宋体" w:asciiTheme="majorEastAsia" w:hAnsiTheme="majorEastAsia" w:eastAsiaTheme="majorEastAsia"/>
          <w:b/>
        </w:rPr>
        <w:t xml:space="preserve">  </w:t>
      </w:r>
      <w:r>
        <w:rPr>
          <w:rStyle w:val="22"/>
          <w:rFonts w:hint="eastAsia" w:cs="宋体" w:asciiTheme="majorEastAsia" w:hAnsiTheme="majorEastAsia" w:eastAsiaTheme="majorEastAsia"/>
          <w:b/>
        </w:rPr>
        <w:t>供应商须知前附表</w:t>
      </w:r>
      <w:r>
        <w:tab/>
      </w:r>
      <w:r>
        <w:fldChar w:fldCharType="begin"/>
      </w:r>
      <w:r>
        <w:instrText xml:space="preserve"> PAGEREF _Toc71553216 \h </w:instrText>
      </w:r>
      <w:r>
        <w:fldChar w:fldCharType="separate"/>
      </w:r>
      <w:r>
        <w:t>4</w:t>
      </w:r>
      <w:r>
        <w:fldChar w:fldCharType="end"/>
      </w:r>
      <w:r>
        <w:fldChar w:fldCharType="end"/>
      </w:r>
    </w:p>
    <w:p>
      <w:pPr>
        <w:pStyle w:val="14"/>
        <w:tabs>
          <w:tab w:val="right" w:leader="dot" w:pos="9168"/>
        </w:tabs>
        <w:rPr>
          <w:rFonts w:asciiTheme="minorHAnsi" w:hAnsiTheme="minorHAnsi" w:eastAsiaTheme="minorEastAsia" w:cstheme="minorBidi"/>
          <w:color w:val="auto"/>
          <w:kern w:val="2"/>
          <w:sz w:val="21"/>
        </w:rPr>
      </w:pPr>
      <w:r>
        <w:fldChar w:fldCharType="begin"/>
      </w:r>
      <w:r>
        <w:instrText xml:space="preserve"> HYPERLINK \l "_Toc71553217" </w:instrText>
      </w:r>
      <w:r>
        <w:fldChar w:fldCharType="separate"/>
      </w:r>
      <w:r>
        <w:rPr>
          <w:rStyle w:val="22"/>
          <w:rFonts w:hint="eastAsia" w:cs="宋体" w:asciiTheme="majorEastAsia" w:hAnsiTheme="majorEastAsia" w:eastAsiaTheme="majorEastAsia"/>
          <w:b/>
        </w:rPr>
        <w:t>第三章</w:t>
      </w:r>
      <w:r>
        <w:rPr>
          <w:rStyle w:val="22"/>
          <w:rFonts w:cs="宋体" w:asciiTheme="majorEastAsia" w:hAnsiTheme="majorEastAsia" w:eastAsiaTheme="majorEastAsia"/>
          <w:b/>
        </w:rPr>
        <w:t xml:space="preserve">  </w:t>
      </w:r>
      <w:r>
        <w:rPr>
          <w:rStyle w:val="22"/>
          <w:rFonts w:hint="eastAsia" w:cs="宋体" w:asciiTheme="majorEastAsia" w:hAnsiTheme="majorEastAsia" w:eastAsiaTheme="majorEastAsia"/>
          <w:b/>
        </w:rPr>
        <w:t>供应商须知</w:t>
      </w:r>
      <w:r>
        <w:tab/>
      </w:r>
      <w:r>
        <w:fldChar w:fldCharType="begin"/>
      </w:r>
      <w:r>
        <w:instrText xml:space="preserve"> PAGEREF _Toc71553217 \h </w:instrText>
      </w:r>
      <w:r>
        <w:fldChar w:fldCharType="separate"/>
      </w:r>
      <w:r>
        <w:t>7</w:t>
      </w:r>
      <w:r>
        <w:fldChar w:fldCharType="end"/>
      </w:r>
      <w:r>
        <w:fldChar w:fldCharType="end"/>
      </w:r>
    </w:p>
    <w:p>
      <w:pPr>
        <w:pStyle w:val="14"/>
        <w:tabs>
          <w:tab w:val="right" w:leader="dot" w:pos="9168"/>
        </w:tabs>
        <w:rPr>
          <w:rFonts w:asciiTheme="minorHAnsi" w:hAnsiTheme="minorHAnsi" w:eastAsiaTheme="minorEastAsia" w:cstheme="minorBidi"/>
          <w:color w:val="auto"/>
          <w:kern w:val="2"/>
          <w:sz w:val="21"/>
        </w:rPr>
      </w:pPr>
      <w:r>
        <w:fldChar w:fldCharType="begin"/>
      </w:r>
      <w:r>
        <w:instrText xml:space="preserve"> HYPERLINK \l "_Toc71553218" </w:instrText>
      </w:r>
      <w:r>
        <w:fldChar w:fldCharType="separate"/>
      </w:r>
      <w:r>
        <w:rPr>
          <w:rStyle w:val="22"/>
          <w:rFonts w:hint="eastAsia" w:cs="宋体" w:asciiTheme="majorEastAsia" w:hAnsiTheme="majorEastAsia" w:eastAsiaTheme="majorEastAsia"/>
          <w:b/>
        </w:rPr>
        <w:t>第四章</w:t>
      </w:r>
      <w:r>
        <w:rPr>
          <w:rStyle w:val="22"/>
          <w:rFonts w:cs="宋体" w:asciiTheme="majorEastAsia" w:hAnsiTheme="majorEastAsia" w:eastAsiaTheme="majorEastAsia"/>
          <w:b/>
        </w:rPr>
        <w:t xml:space="preserve">  </w:t>
      </w:r>
      <w:r>
        <w:rPr>
          <w:rStyle w:val="22"/>
          <w:rFonts w:hint="eastAsia" w:cs="宋体" w:asciiTheme="majorEastAsia" w:hAnsiTheme="majorEastAsia" w:eastAsiaTheme="majorEastAsia"/>
          <w:b/>
        </w:rPr>
        <w:t>合同条款</w:t>
      </w:r>
      <w:r>
        <w:tab/>
      </w:r>
      <w:r>
        <w:fldChar w:fldCharType="begin"/>
      </w:r>
      <w:r>
        <w:instrText xml:space="preserve"> PAGEREF _Toc71553218 \h </w:instrText>
      </w:r>
      <w:r>
        <w:fldChar w:fldCharType="separate"/>
      </w:r>
      <w:r>
        <w:t>19</w:t>
      </w:r>
      <w:r>
        <w:fldChar w:fldCharType="end"/>
      </w:r>
      <w:r>
        <w:fldChar w:fldCharType="end"/>
      </w:r>
    </w:p>
    <w:p>
      <w:pPr>
        <w:pStyle w:val="14"/>
        <w:tabs>
          <w:tab w:val="right" w:leader="dot" w:pos="9168"/>
        </w:tabs>
        <w:rPr>
          <w:rFonts w:asciiTheme="minorHAnsi" w:hAnsiTheme="minorHAnsi" w:eastAsiaTheme="minorEastAsia" w:cstheme="minorBidi"/>
          <w:color w:val="auto"/>
          <w:kern w:val="2"/>
          <w:sz w:val="21"/>
        </w:rPr>
      </w:pPr>
      <w:r>
        <w:fldChar w:fldCharType="begin"/>
      </w:r>
      <w:r>
        <w:instrText xml:space="preserve"> HYPERLINK \l "_Toc71553219" </w:instrText>
      </w:r>
      <w:r>
        <w:fldChar w:fldCharType="separate"/>
      </w:r>
      <w:r>
        <w:rPr>
          <w:rStyle w:val="22"/>
          <w:rFonts w:hint="eastAsia" w:cs="宋体" w:asciiTheme="majorEastAsia" w:hAnsiTheme="majorEastAsia" w:eastAsiaTheme="majorEastAsia"/>
          <w:b/>
        </w:rPr>
        <w:t>第五章</w:t>
      </w:r>
      <w:r>
        <w:rPr>
          <w:rStyle w:val="22"/>
          <w:rFonts w:cs="宋体" w:asciiTheme="majorEastAsia" w:hAnsiTheme="majorEastAsia" w:eastAsiaTheme="majorEastAsia"/>
          <w:b/>
        </w:rPr>
        <w:t xml:space="preserve">  </w:t>
      </w:r>
      <w:r>
        <w:rPr>
          <w:rStyle w:val="22"/>
          <w:rFonts w:hint="eastAsia" w:cs="宋体" w:asciiTheme="majorEastAsia" w:hAnsiTheme="majorEastAsia" w:eastAsiaTheme="majorEastAsia"/>
          <w:b/>
        </w:rPr>
        <w:t>磋商响应文件格式</w:t>
      </w:r>
      <w:r>
        <w:tab/>
      </w:r>
      <w:r>
        <w:fldChar w:fldCharType="begin"/>
      </w:r>
      <w:r>
        <w:instrText xml:space="preserve"> PAGEREF _Toc71553219 \h </w:instrText>
      </w:r>
      <w:r>
        <w:fldChar w:fldCharType="separate"/>
      </w:r>
      <w:r>
        <w:t>20</w:t>
      </w:r>
      <w:r>
        <w:fldChar w:fldCharType="end"/>
      </w:r>
      <w:r>
        <w:fldChar w:fldCharType="end"/>
      </w:r>
    </w:p>
    <w:p>
      <w:pPr>
        <w:pStyle w:val="14"/>
        <w:tabs>
          <w:tab w:val="right" w:leader="dot" w:pos="9168"/>
        </w:tabs>
        <w:rPr>
          <w:rFonts w:asciiTheme="minorHAnsi" w:hAnsiTheme="minorHAnsi" w:eastAsiaTheme="minorEastAsia" w:cstheme="minorBidi"/>
          <w:color w:val="auto"/>
          <w:kern w:val="2"/>
          <w:sz w:val="21"/>
        </w:rPr>
      </w:pPr>
      <w:r>
        <w:fldChar w:fldCharType="begin"/>
      </w:r>
      <w:r>
        <w:instrText xml:space="preserve"> HYPERLINK \l "_Toc71553220" </w:instrText>
      </w:r>
      <w:r>
        <w:fldChar w:fldCharType="separate"/>
      </w:r>
      <w:r>
        <w:rPr>
          <w:rStyle w:val="22"/>
          <w:rFonts w:hint="eastAsia" w:cs="宋体" w:asciiTheme="majorEastAsia" w:hAnsiTheme="majorEastAsia" w:eastAsiaTheme="majorEastAsia"/>
          <w:b/>
        </w:rPr>
        <w:t>第六章</w:t>
      </w:r>
      <w:r>
        <w:rPr>
          <w:rStyle w:val="22"/>
          <w:rFonts w:cs="宋体" w:asciiTheme="majorEastAsia" w:hAnsiTheme="majorEastAsia" w:eastAsiaTheme="majorEastAsia"/>
          <w:b/>
        </w:rPr>
        <w:t xml:space="preserve">  </w:t>
      </w:r>
      <w:r>
        <w:rPr>
          <w:rStyle w:val="22"/>
          <w:rFonts w:hint="eastAsia" w:cs="宋体" w:asciiTheme="majorEastAsia" w:hAnsiTheme="majorEastAsia" w:eastAsiaTheme="majorEastAsia"/>
          <w:b/>
        </w:rPr>
        <w:t>用户需求书</w:t>
      </w:r>
      <w:r>
        <w:tab/>
      </w:r>
      <w:r>
        <w:fldChar w:fldCharType="begin"/>
      </w:r>
      <w:r>
        <w:instrText xml:space="preserve"> PAGEREF _Toc71553220 \h </w:instrText>
      </w:r>
      <w:r>
        <w:fldChar w:fldCharType="separate"/>
      </w:r>
      <w:r>
        <w:t>32</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"_Toc71553221" </w:instrText>
      </w:r>
      <w:r>
        <w:fldChar w:fldCharType="separate"/>
      </w:r>
      <w:r>
        <w:rPr>
          <w:rStyle w:val="22"/>
          <w:rFonts w:asciiTheme="majorEastAsia" w:hAnsiTheme="majorEastAsia" w:eastAsiaTheme="majorEastAsia"/>
        </w:rPr>
        <w:t>1</w:t>
      </w:r>
      <w:r>
        <w:rPr>
          <w:rStyle w:val="22"/>
          <w:rFonts w:hint="eastAsia" w:asciiTheme="majorEastAsia" w:hAnsiTheme="majorEastAsia" w:eastAsiaTheme="majorEastAsia"/>
        </w:rPr>
        <w:t>、项目名称</w:t>
      </w:r>
      <w:r>
        <w:tab/>
      </w:r>
      <w:r>
        <w:fldChar w:fldCharType="begin"/>
      </w:r>
      <w:r>
        <w:instrText xml:space="preserve"> PAGEREF _Toc71553221 \h </w:instrText>
      </w:r>
      <w:r>
        <w:fldChar w:fldCharType="separate"/>
      </w:r>
      <w:r>
        <w:t>32</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"_Toc71553222" </w:instrText>
      </w:r>
      <w:r>
        <w:fldChar w:fldCharType="separate"/>
      </w:r>
      <w:r>
        <w:rPr>
          <w:rStyle w:val="22"/>
          <w:rFonts w:asciiTheme="majorEastAsia" w:hAnsiTheme="majorEastAsia" w:eastAsiaTheme="majorEastAsia"/>
        </w:rPr>
        <w:t>2</w:t>
      </w:r>
      <w:r>
        <w:rPr>
          <w:rStyle w:val="22"/>
          <w:rFonts w:hint="eastAsia" w:asciiTheme="majorEastAsia" w:hAnsiTheme="majorEastAsia" w:eastAsiaTheme="majorEastAsia"/>
        </w:rPr>
        <w:t>、项目背景</w:t>
      </w:r>
      <w:r>
        <w:tab/>
      </w:r>
      <w:r>
        <w:fldChar w:fldCharType="begin"/>
      </w:r>
      <w:r>
        <w:instrText xml:space="preserve"> PAGEREF _Toc71553222 \h </w:instrText>
      </w:r>
      <w:r>
        <w:fldChar w:fldCharType="separate"/>
      </w:r>
      <w:r>
        <w:t>32</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"_Toc71553223" </w:instrText>
      </w:r>
      <w:r>
        <w:fldChar w:fldCharType="separate"/>
      </w:r>
      <w:r>
        <w:rPr>
          <w:rStyle w:val="22"/>
          <w:rFonts w:asciiTheme="majorEastAsia" w:hAnsiTheme="majorEastAsia" w:eastAsiaTheme="majorEastAsia"/>
        </w:rPr>
        <w:t>3</w:t>
      </w:r>
      <w:r>
        <w:rPr>
          <w:rStyle w:val="22"/>
          <w:rFonts w:hint="eastAsia" w:asciiTheme="majorEastAsia" w:hAnsiTheme="majorEastAsia" w:eastAsiaTheme="majorEastAsia"/>
        </w:rPr>
        <w:t>、项目目标</w:t>
      </w:r>
      <w:r>
        <w:tab/>
      </w:r>
      <w:r>
        <w:fldChar w:fldCharType="begin"/>
      </w:r>
      <w:r>
        <w:instrText xml:space="preserve"> PAGEREF _Toc71553223 \h </w:instrText>
      </w:r>
      <w:r>
        <w:fldChar w:fldCharType="separate"/>
      </w:r>
      <w:r>
        <w:t>32</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"_Toc71553224" </w:instrText>
      </w:r>
      <w:r>
        <w:fldChar w:fldCharType="separate"/>
      </w:r>
      <w:r>
        <w:rPr>
          <w:rStyle w:val="22"/>
          <w:rFonts w:asciiTheme="majorEastAsia" w:hAnsiTheme="majorEastAsia" w:eastAsiaTheme="majorEastAsia"/>
        </w:rPr>
        <w:t>4</w:t>
      </w:r>
      <w:r>
        <w:rPr>
          <w:rStyle w:val="22"/>
          <w:rFonts w:hint="eastAsia" w:asciiTheme="majorEastAsia" w:hAnsiTheme="majorEastAsia" w:eastAsiaTheme="majorEastAsia"/>
        </w:rPr>
        <w:t>、项目内容</w:t>
      </w:r>
      <w:r>
        <w:tab/>
      </w:r>
      <w:r>
        <w:fldChar w:fldCharType="begin"/>
      </w:r>
      <w:r>
        <w:instrText xml:space="preserve"> PAGEREF _Toc71553224 \h </w:instrText>
      </w:r>
      <w:r>
        <w:fldChar w:fldCharType="separate"/>
      </w:r>
      <w:r>
        <w:t>33</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"_Toc71553225" </w:instrText>
      </w:r>
      <w:r>
        <w:fldChar w:fldCharType="separate"/>
      </w:r>
      <w:r>
        <w:rPr>
          <w:rStyle w:val="22"/>
          <w:rFonts w:asciiTheme="majorEastAsia" w:hAnsiTheme="majorEastAsia" w:eastAsiaTheme="majorEastAsia"/>
        </w:rPr>
        <w:t>5</w:t>
      </w:r>
      <w:r>
        <w:rPr>
          <w:rStyle w:val="22"/>
          <w:rFonts w:hint="eastAsia" w:asciiTheme="majorEastAsia" w:hAnsiTheme="majorEastAsia" w:eastAsiaTheme="majorEastAsia"/>
        </w:rPr>
        <w:t>、项目总体要求</w:t>
      </w:r>
      <w:r>
        <w:tab/>
      </w:r>
      <w:r>
        <w:fldChar w:fldCharType="begin"/>
      </w:r>
      <w:r>
        <w:instrText xml:space="preserve"> PAGEREF _Toc71553225 \h </w:instrText>
      </w:r>
      <w:r>
        <w:fldChar w:fldCharType="separate"/>
      </w:r>
      <w:r>
        <w:t>33</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"_Toc71553226" </w:instrText>
      </w:r>
      <w:r>
        <w:fldChar w:fldCharType="separate"/>
      </w:r>
      <w:r>
        <w:rPr>
          <w:rStyle w:val="22"/>
          <w:rFonts w:hint="eastAsia" w:cs="Times New Roman" w:asciiTheme="majorEastAsia" w:hAnsiTheme="majorEastAsia" w:eastAsiaTheme="majorEastAsia"/>
        </w:rPr>
        <w:t>二、工程部分技术要求</w:t>
      </w:r>
      <w:r>
        <w:tab/>
      </w:r>
      <w:r>
        <w:fldChar w:fldCharType="begin"/>
      </w:r>
      <w:r>
        <w:instrText xml:space="preserve"> PAGEREF _Toc71553226 \h </w:instrText>
      </w:r>
      <w:r>
        <w:fldChar w:fldCharType="separate"/>
      </w:r>
      <w:r>
        <w:t>39</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"_Toc71553227" </w:instrText>
      </w:r>
      <w:r>
        <w:fldChar w:fldCharType="separate"/>
      </w:r>
      <w:r>
        <w:rPr>
          <w:rStyle w:val="22"/>
          <w:rFonts w:hint="eastAsia" w:cs="Times New Roman" w:asciiTheme="majorEastAsia" w:hAnsiTheme="majorEastAsia" w:eastAsiaTheme="majorEastAsia"/>
        </w:rPr>
        <w:t>三、施工方案和维保方案要求</w:t>
      </w:r>
      <w:r>
        <w:tab/>
      </w:r>
      <w:r>
        <w:fldChar w:fldCharType="begin"/>
      </w:r>
      <w:r>
        <w:instrText xml:space="preserve"> PAGEREF _Toc71553227 \h </w:instrText>
      </w:r>
      <w:r>
        <w:fldChar w:fldCharType="separate"/>
      </w:r>
      <w:r>
        <w:t>78</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"_Toc71553228" </w:instrText>
      </w:r>
      <w:r>
        <w:fldChar w:fldCharType="separate"/>
      </w:r>
      <w:r>
        <w:rPr>
          <w:rStyle w:val="22"/>
          <w:rFonts w:hint="eastAsia" w:cs="Times New Roman" w:asciiTheme="majorEastAsia" w:hAnsiTheme="majorEastAsia" w:eastAsiaTheme="majorEastAsia"/>
        </w:rPr>
        <w:t>★四、商务要求</w:t>
      </w:r>
      <w:r>
        <w:tab/>
      </w:r>
      <w:r>
        <w:fldChar w:fldCharType="begin"/>
      </w:r>
      <w:r>
        <w:instrText xml:space="preserve"> PAGEREF _Toc71553228 \h </w:instrText>
      </w:r>
      <w:r>
        <w:fldChar w:fldCharType="separate"/>
      </w:r>
      <w:r>
        <w:t>78</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"_Toc71553229" </w:instrText>
      </w:r>
      <w:r>
        <w:fldChar w:fldCharType="separate"/>
      </w:r>
      <w:r>
        <w:rPr>
          <w:rStyle w:val="22"/>
          <w:rFonts w:hint="eastAsia" w:cs="Times New Roman" w:asciiTheme="majorEastAsia" w:hAnsiTheme="majorEastAsia" w:eastAsiaTheme="majorEastAsia"/>
        </w:rPr>
        <w:t>★五、政府采购政策要求</w:t>
      </w:r>
      <w:r>
        <w:tab/>
      </w:r>
      <w:r>
        <w:fldChar w:fldCharType="begin"/>
      </w:r>
      <w:r>
        <w:instrText xml:space="preserve"> PAGEREF _Toc71553229 \h </w:instrText>
      </w:r>
      <w:r>
        <w:fldChar w:fldCharType="separate"/>
      </w:r>
      <w:r>
        <w:t>79</w:t>
      </w:r>
      <w:r>
        <w:fldChar w:fldCharType="end"/>
      </w:r>
      <w:r>
        <w:fldChar w:fldCharType="end"/>
      </w:r>
    </w:p>
    <w:p>
      <w:pPr>
        <w:pStyle w:val="14"/>
        <w:tabs>
          <w:tab w:val="right" w:leader="dot" w:pos="9168"/>
        </w:tabs>
        <w:rPr>
          <w:rFonts w:asciiTheme="minorHAnsi" w:hAnsiTheme="minorHAnsi" w:eastAsiaTheme="minorEastAsia" w:cstheme="minorBidi"/>
          <w:color w:val="auto"/>
          <w:kern w:val="2"/>
          <w:sz w:val="21"/>
        </w:rPr>
      </w:pPr>
      <w:r>
        <w:fldChar w:fldCharType="begin"/>
      </w:r>
      <w:r>
        <w:instrText xml:space="preserve"> HYPERLINK \l "_Toc71553230" </w:instrText>
      </w:r>
      <w:r>
        <w:fldChar w:fldCharType="separate"/>
      </w:r>
      <w:r>
        <w:rPr>
          <w:rStyle w:val="22"/>
          <w:rFonts w:hint="eastAsia" w:cs="宋体" w:asciiTheme="majorEastAsia" w:hAnsiTheme="majorEastAsia" w:eastAsiaTheme="majorEastAsia"/>
          <w:b/>
        </w:rPr>
        <w:t>第七章</w:t>
      </w:r>
      <w:r>
        <w:rPr>
          <w:rStyle w:val="22"/>
          <w:rFonts w:cs="宋体" w:asciiTheme="majorEastAsia" w:hAnsiTheme="majorEastAsia" w:eastAsiaTheme="majorEastAsia"/>
          <w:b/>
        </w:rPr>
        <w:t xml:space="preserve">  </w:t>
      </w:r>
      <w:r>
        <w:rPr>
          <w:rStyle w:val="22"/>
          <w:rFonts w:hint="eastAsia" w:cs="宋体" w:asciiTheme="majorEastAsia" w:hAnsiTheme="majorEastAsia" w:eastAsiaTheme="majorEastAsia"/>
          <w:b/>
        </w:rPr>
        <w:t>评审办法和程序</w:t>
      </w:r>
      <w:r>
        <w:tab/>
      </w:r>
      <w:r>
        <w:fldChar w:fldCharType="begin"/>
      </w:r>
      <w:r>
        <w:instrText xml:space="preserve"> PAGEREF _Toc71553230 \h </w:instrText>
      </w:r>
      <w:r>
        <w:fldChar w:fldCharType="separate"/>
      </w:r>
      <w:r>
        <w:t>81</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"_Toc71553231" </w:instrText>
      </w:r>
      <w:r>
        <w:fldChar w:fldCharType="separate"/>
      </w:r>
      <w:r>
        <w:rPr>
          <w:rStyle w:val="22"/>
          <w:rFonts w:hint="eastAsia" w:cs="宋体" w:asciiTheme="majorEastAsia" w:hAnsiTheme="majorEastAsia" w:eastAsiaTheme="majorEastAsia"/>
        </w:rPr>
        <w:t>一、评审原则</w:t>
      </w:r>
      <w:r>
        <w:tab/>
      </w:r>
      <w:r>
        <w:fldChar w:fldCharType="begin"/>
      </w:r>
      <w:r>
        <w:instrText xml:space="preserve"> PAGEREF _Toc71553231 \h </w:instrText>
      </w:r>
      <w:r>
        <w:fldChar w:fldCharType="separate"/>
      </w:r>
      <w:r>
        <w:t>81</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"_Toc71553232" </w:instrText>
      </w:r>
      <w:r>
        <w:fldChar w:fldCharType="separate"/>
      </w:r>
      <w:r>
        <w:rPr>
          <w:rStyle w:val="22"/>
          <w:rFonts w:hint="eastAsia" w:cs="宋体" w:asciiTheme="majorEastAsia" w:hAnsiTheme="majorEastAsia" w:eastAsiaTheme="majorEastAsia"/>
        </w:rPr>
        <w:t>二、评审程序和评审方法</w:t>
      </w:r>
      <w:r>
        <w:tab/>
      </w:r>
      <w:r>
        <w:fldChar w:fldCharType="begin"/>
      </w:r>
      <w:r>
        <w:instrText xml:space="preserve"> PAGEREF _Toc71553232 \h </w:instrText>
      </w:r>
      <w:r>
        <w:fldChar w:fldCharType="separate"/>
      </w:r>
      <w:r>
        <w:t>81</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"_Toc71553233" </w:instrText>
      </w:r>
      <w:r>
        <w:fldChar w:fldCharType="separate"/>
      </w:r>
      <w:r>
        <w:rPr>
          <w:rStyle w:val="22"/>
          <w:rFonts w:hint="eastAsia" w:cs="宋体" w:asciiTheme="majorEastAsia" w:hAnsiTheme="majorEastAsia" w:eastAsiaTheme="majorEastAsia"/>
        </w:rPr>
        <w:t>三、磋商、评审过程的保密性</w:t>
      </w:r>
      <w:r>
        <w:tab/>
      </w:r>
      <w:r>
        <w:fldChar w:fldCharType="begin"/>
      </w:r>
      <w:r>
        <w:instrText xml:space="preserve"> PAGEREF _Toc71553233 \h </w:instrText>
      </w:r>
      <w:r>
        <w:fldChar w:fldCharType="separate"/>
      </w:r>
      <w:r>
        <w:t>83</w:t>
      </w:r>
      <w:r>
        <w:fldChar w:fldCharType="end"/>
      </w:r>
      <w:r>
        <w:fldChar w:fldCharType="end"/>
      </w:r>
    </w:p>
    <w:p>
      <w:pPr>
        <w:pStyle w:val="16"/>
        <w:tabs>
          <w:tab w:val="right" w:leader="dot" w:pos="9168"/>
        </w:tabs>
        <w:ind w:left="440"/>
        <w:rPr>
          <w:rFonts w:asciiTheme="minorHAnsi" w:hAnsiTheme="minorHAnsi" w:eastAsiaTheme="minorEastAsia" w:cstheme="minorBidi"/>
          <w:color w:val="auto"/>
          <w:kern w:val="2"/>
          <w:sz w:val="21"/>
        </w:rPr>
      </w:pPr>
      <w:r>
        <w:fldChar w:fldCharType="begin"/>
      </w:r>
      <w:r>
        <w:instrText xml:space="preserve"> HYPERLINK \l "_Toc71553234" </w:instrText>
      </w:r>
      <w:r>
        <w:fldChar w:fldCharType="separate"/>
      </w:r>
      <w:r>
        <w:rPr>
          <w:rStyle w:val="22"/>
          <w:rFonts w:hint="eastAsia" w:cs="宋体" w:asciiTheme="majorEastAsia" w:hAnsiTheme="majorEastAsia" w:eastAsiaTheme="majorEastAsia"/>
        </w:rPr>
        <w:t>四、接受和拒绝任何或所有报价的权利</w:t>
      </w:r>
      <w:r>
        <w:tab/>
      </w:r>
      <w:r>
        <w:fldChar w:fldCharType="begin"/>
      </w:r>
      <w:r>
        <w:instrText xml:space="preserve"> PAGEREF _Toc71553234 \h </w:instrText>
      </w:r>
      <w:r>
        <w:fldChar w:fldCharType="separate"/>
      </w:r>
      <w:r>
        <w:t>83</w:t>
      </w:r>
      <w:r>
        <w:fldChar w:fldCharType="end"/>
      </w:r>
      <w:r>
        <w:fldChar w:fldCharType="end"/>
      </w:r>
    </w:p>
    <w:p>
      <w:pPr>
        <w:pStyle w:val="16"/>
        <w:tabs>
          <w:tab w:val="right" w:leader="dot" w:pos="9168"/>
        </w:tabs>
        <w:ind w:left="440"/>
        <w:rPr>
          <w:rFonts w:asciiTheme="majorEastAsia" w:hAnsiTheme="majorEastAsia" w:eastAsiaTheme="majorEastAsia"/>
          <w:color w:val="auto"/>
        </w:rPr>
      </w:pPr>
      <w:r>
        <w:fldChar w:fldCharType="begin"/>
      </w:r>
      <w:r>
        <w:instrText xml:space="preserve"> HYPERLINK \l "_Toc71553235" </w:instrText>
      </w:r>
      <w:r>
        <w:fldChar w:fldCharType="separate"/>
      </w:r>
      <w:r>
        <w:rPr>
          <w:rStyle w:val="22"/>
          <w:rFonts w:hint="eastAsia" w:cs="宋体" w:asciiTheme="majorEastAsia" w:hAnsiTheme="majorEastAsia" w:eastAsiaTheme="majorEastAsia"/>
        </w:rPr>
        <w:t>五、变更技术方案的权利</w:t>
      </w:r>
      <w:r>
        <w:tab/>
      </w:r>
      <w:r>
        <w:fldChar w:fldCharType="begin"/>
      </w:r>
      <w:r>
        <w:instrText xml:space="preserve"> PAGEREF _Toc71553235 \h </w:instrText>
      </w:r>
      <w:r>
        <w:fldChar w:fldCharType="separate"/>
      </w:r>
      <w:r>
        <w:t>83</w:t>
      </w:r>
      <w:r>
        <w:fldChar w:fldCharType="end"/>
      </w:r>
      <w:r>
        <w:fldChar w:fldCharType="end"/>
      </w:r>
      <w:r>
        <w:rPr>
          <w:rFonts w:hint="eastAsia" w:asciiTheme="majorEastAsia" w:hAnsiTheme="majorEastAsia" w:eastAsiaTheme="majorEastAsia"/>
          <w:color w:val="auto"/>
        </w:rPr>
        <w:fldChar w:fldCharType="end"/>
      </w:r>
    </w:p>
    <w:p>
      <w:pPr>
        <w:jc w:val="both"/>
        <w:outlineLvl w:val="0"/>
        <w:rPr>
          <w:rFonts w:cs="宋体" w:asciiTheme="majorEastAsia" w:hAnsiTheme="majorEastAsia" w:eastAsiaTheme="majorEastAsia"/>
          <w:b/>
          <w:color w:val="auto"/>
          <w:sz w:val="36"/>
          <w:szCs w:val="36"/>
        </w:rPr>
        <w:sectPr>
          <w:footerReference r:id="rId5" w:type="first"/>
          <w:footerReference r:id="rId4" w:type="default"/>
          <w:pgSz w:w="11900" w:h="16840"/>
          <w:pgMar w:top="1440" w:right="1361" w:bottom="1440" w:left="1361" w:header="709" w:footer="709" w:gutter="0"/>
          <w:pgNumType w:fmt="upperRoman" w:start="1" w:chapStyle="3"/>
          <w:cols w:space="720" w:num="1"/>
          <w:titlePg/>
          <w:docGrid w:linePitch="312" w:charSpace="0"/>
        </w:sectPr>
      </w:pPr>
    </w:p>
    <w:p>
      <w:pPr>
        <w:jc w:val="center"/>
        <w:outlineLvl w:val="0"/>
        <w:rPr>
          <w:rFonts w:cs="宋体" w:asciiTheme="majorEastAsia" w:hAnsiTheme="majorEastAsia" w:eastAsiaTheme="majorEastAsia"/>
          <w:b/>
          <w:color w:val="auto"/>
          <w:sz w:val="36"/>
          <w:szCs w:val="36"/>
        </w:rPr>
      </w:pPr>
      <w:bookmarkStart w:id="0" w:name="_Toc71553215"/>
      <w:r>
        <w:rPr>
          <w:rFonts w:hint="eastAsia" w:cs="宋体" w:asciiTheme="majorEastAsia" w:hAnsiTheme="majorEastAsia" w:eastAsiaTheme="majorEastAsia"/>
          <w:b/>
          <w:color w:val="auto"/>
          <w:sz w:val="36"/>
          <w:szCs w:val="36"/>
        </w:rPr>
        <w:t>第一章  磋商公告</w:t>
      </w:r>
      <w:bookmarkEnd w:id="0"/>
    </w:p>
    <w:p>
      <w:pPr>
        <w:spacing w:after="0" w:line="360" w:lineRule="auto"/>
        <w:ind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u w:val="single"/>
        </w:rPr>
        <w:t>海南鸿大中经建设项目咨询管理有限公司</w:t>
      </w:r>
      <w:r>
        <w:rPr>
          <w:rFonts w:hint="eastAsia" w:cs="宋体" w:asciiTheme="majorEastAsia" w:hAnsiTheme="majorEastAsia" w:eastAsiaTheme="majorEastAsia"/>
          <w:color w:val="auto"/>
          <w:sz w:val="24"/>
          <w:szCs w:val="24"/>
        </w:rPr>
        <w:t>受</w:t>
      </w:r>
      <w:r>
        <w:rPr>
          <w:rFonts w:hint="eastAsia" w:cs="宋体" w:asciiTheme="majorEastAsia" w:hAnsiTheme="majorEastAsia" w:eastAsiaTheme="majorEastAsia"/>
          <w:color w:val="auto"/>
          <w:sz w:val="24"/>
          <w:szCs w:val="24"/>
          <w:u w:val="single"/>
        </w:rPr>
        <w:t>海南省环境科学研究院</w:t>
      </w:r>
      <w:r>
        <w:rPr>
          <w:rFonts w:hint="eastAsia" w:cs="宋体" w:asciiTheme="majorEastAsia" w:hAnsiTheme="majorEastAsia" w:eastAsiaTheme="majorEastAsia"/>
          <w:color w:val="auto"/>
          <w:sz w:val="24"/>
          <w:szCs w:val="24"/>
        </w:rPr>
        <w:t>委托，对其</w:t>
      </w:r>
      <w:r>
        <w:rPr>
          <w:rFonts w:hint="eastAsia" w:cs="宋体" w:asciiTheme="majorEastAsia" w:hAnsiTheme="majorEastAsia" w:eastAsiaTheme="majorEastAsia"/>
          <w:color w:val="auto"/>
          <w:sz w:val="24"/>
          <w:szCs w:val="24"/>
          <w:u w:val="single"/>
        </w:rPr>
        <w:t>海南省环境科学研究院科研实验室建设——实验室装修改造项目(二次招标）</w:t>
      </w:r>
      <w:r>
        <w:rPr>
          <w:rFonts w:hint="eastAsia" w:cs="宋体" w:asciiTheme="majorEastAsia" w:hAnsiTheme="majorEastAsia" w:eastAsiaTheme="majorEastAsia"/>
          <w:color w:val="auto"/>
          <w:sz w:val="24"/>
          <w:szCs w:val="24"/>
        </w:rPr>
        <w:t>组织竞争性磋商，现邀请国内合格的供应商来参加密封投标。</w:t>
      </w:r>
    </w:p>
    <w:p>
      <w:pPr>
        <w:numPr>
          <w:ilvl w:val="0"/>
          <w:numId w:val="1"/>
        </w:numPr>
        <w:spacing w:after="0" w:line="360" w:lineRule="auto"/>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b/>
          <w:color w:val="auto"/>
          <w:sz w:val="24"/>
          <w:szCs w:val="24"/>
        </w:rPr>
        <w:t>项目编号</w:t>
      </w:r>
      <w:r>
        <w:rPr>
          <w:rFonts w:hint="eastAsia" w:cs="宋体" w:asciiTheme="majorEastAsia" w:hAnsiTheme="majorEastAsia" w:eastAsiaTheme="majorEastAsia"/>
          <w:color w:val="auto"/>
          <w:sz w:val="24"/>
          <w:szCs w:val="24"/>
        </w:rPr>
        <w:t>：HNHDZJ-2021-02（1）</w:t>
      </w:r>
    </w:p>
    <w:p>
      <w:pPr>
        <w:spacing w:after="0" w:line="360" w:lineRule="auto"/>
        <w:jc w:val="both"/>
        <w:rPr>
          <w:rFonts w:cs="宋体" w:asciiTheme="majorEastAsia" w:hAnsiTheme="majorEastAsia" w:eastAsiaTheme="majorEastAsia"/>
          <w:color w:val="auto"/>
          <w:sz w:val="24"/>
          <w:szCs w:val="24"/>
        </w:rPr>
      </w:pPr>
      <w:r>
        <w:rPr>
          <w:rFonts w:cs="宋体" w:asciiTheme="majorEastAsia" w:hAnsiTheme="majorEastAsia" w:eastAsiaTheme="majorEastAsia"/>
          <w:b/>
          <w:color w:val="auto"/>
          <w:sz w:val="24"/>
          <w:szCs w:val="24"/>
        </w:rPr>
        <w:t>2</w:t>
      </w:r>
      <w:r>
        <w:rPr>
          <w:rFonts w:hint="eastAsia" w:cs="宋体" w:asciiTheme="majorEastAsia" w:hAnsiTheme="majorEastAsia" w:eastAsiaTheme="majorEastAsia"/>
          <w:b/>
          <w:color w:val="auto"/>
          <w:sz w:val="24"/>
          <w:szCs w:val="24"/>
        </w:rPr>
        <w:t>、采购项目范围</w:t>
      </w:r>
    </w:p>
    <w:p>
      <w:pPr>
        <w:spacing w:after="0" w:line="360" w:lineRule="auto"/>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2.1</w:t>
      </w:r>
      <w:r>
        <w:rPr>
          <w:rFonts w:hint="eastAsia" w:cs="宋体" w:asciiTheme="majorEastAsia" w:hAnsiTheme="majorEastAsia" w:eastAsiaTheme="majorEastAsia"/>
          <w:color w:val="auto"/>
          <w:sz w:val="24"/>
          <w:szCs w:val="24"/>
        </w:rPr>
        <w:t>、名称：海南省环境科学研究院科研实验室建设——实验室装修改造项目(二次招标）；</w:t>
      </w:r>
    </w:p>
    <w:p>
      <w:pPr>
        <w:spacing w:after="0" w:line="360" w:lineRule="auto"/>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2.2</w:t>
      </w:r>
      <w:r>
        <w:rPr>
          <w:rFonts w:hint="eastAsia" w:cs="宋体" w:asciiTheme="majorEastAsia" w:hAnsiTheme="majorEastAsia" w:eastAsiaTheme="majorEastAsia"/>
          <w:color w:val="auto"/>
          <w:sz w:val="24"/>
          <w:szCs w:val="24"/>
        </w:rPr>
        <w:t>、工程地点：</w:t>
      </w:r>
      <w:r>
        <w:rPr>
          <w:rFonts w:cs="宋体" w:asciiTheme="majorEastAsia" w:hAnsiTheme="majorEastAsia" w:eastAsiaTheme="majorEastAsia"/>
          <w:color w:val="auto"/>
          <w:sz w:val="24"/>
          <w:szCs w:val="24"/>
        </w:rPr>
        <w:t>海口市美兰区桂林洋经济开发区灵桂路北侧罗牛山产业园检测大楼2楼201-218</w:t>
      </w:r>
      <w:r>
        <w:rPr>
          <w:rFonts w:hint="eastAsia" w:cs="宋体" w:asciiTheme="majorEastAsia" w:hAnsiTheme="majorEastAsia" w:eastAsiaTheme="majorEastAsia"/>
          <w:color w:val="auto"/>
          <w:sz w:val="24"/>
          <w:szCs w:val="24"/>
        </w:rPr>
        <w:t>；</w:t>
      </w:r>
    </w:p>
    <w:p>
      <w:pPr>
        <w:spacing w:after="0" w:line="360" w:lineRule="auto"/>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2.3</w:t>
      </w:r>
      <w:r>
        <w:rPr>
          <w:rFonts w:hint="eastAsia" w:cs="宋体" w:asciiTheme="majorEastAsia" w:hAnsiTheme="majorEastAsia" w:eastAsiaTheme="majorEastAsia"/>
          <w:color w:val="auto"/>
          <w:sz w:val="24"/>
          <w:szCs w:val="24"/>
        </w:rPr>
        <w:t>、数量、简要技术要求或招标项目的性质：一、</w:t>
      </w:r>
      <w:r>
        <w:rPr>
          <w:rFonts w:cs="宋体" w:asciiTheme="majorEastAsia" w:hAnsiTheme="majorEastAsia" w:eastAsiaTheme="majorEastAsia"/>
          <w:color w:val="auto"/>
          <w:sz w:val="24"/>
          <w:szCs w:val="24"/>
        </w:rPr>
        <w:t>实验室功能用房工艺深化设计</w:t>
      </w:r>
      <w:r>
        <w:rPr>
          <w:rFonts w:hint="eastAsia" w:cs="宋体" w:asciiTheme="majorEastAsia" w:hAnsiTheme="majorEastAsia" w:eastAsiaTheme="majorEastAsia"/>
          <w:color w:val="auto"/>
          <w:sz w:val="24"/>
          <w:szCs w:val="24"/>
        </w:rPr>
        <w:t>；二</w:t>
      </w:r>
      <w:r>
        <w:rPr>
          <w:rFonts w:cs="宋体" w:asciiTheme="majorEastAsia" w:hAnsiTheme="majorEastAsia" w:eastAsiaTheme="majorEastAsia"/>
          <w:color w:val="auto"/>
          <w:sz w:val="24"/>
          <w:szCs w:val="24"/>
        </w:rPr>
        <w:t>、装修装饰工程（含部分墙体拆除与新建、洁净室建造、铺设PVC地面、门窗玻璃隔断改造等工作）；</w:t>
      </w:r>
      <w:r>
        <w:rPr>
          <w:rFonts w:hint="eastAsia" w:cs="宋体" w:asciiTheme="majorEastAsia" w:hAnsiTheme="majorEastAsia" w:eastAsiaTheme="majorEastAsia"/>
          <w:color w:val="auto"/>
          <w:sz w:val="24"/>
          <w:szCs w:val="24"/>
        </w:rPr>
        <w:t>三</w:t>
      </w:r>
      <w:r>
        <w:rPr>
          <w:rFonts w:cs="宋体" w:asciiTheme="majorEastAsia" w:hAnsiTheme="majorEastAsia" w:eastAsiaTheme="majorEastAsia"/>
          <w:color w:val="auto"/>
          <w:sz w:val="24"/>
          <w:szCs w:val="24"/>
        </w:rPr>
        <w:t>、系统安装工程（实验室排风系统工程、洁净空调系统工程、暖通控制系统工程、实验室气体工程、给排水工程、电</w:t>
      </w:r>
      <w:r>
        <w:rPr>
          <w:rFonts w:hint="eastAsia" w:cs="宋体" w:asciiTheme="majorEastAsia" w:hAnsiTheme="majorEastAsia" w:eastAsiaTheme="majorEastAsia"/>
          <w:color w:val="auto"/>
          <w:sz w:val="24"/>
          <w:szCs w:val="24"/>
        </w:rPr>
        <w:t>力</w:t>
      </w:r>
      <w:r>
        <w:rPr>
          <w:rFonts w:cs="宋体" w:asciiTheme="majorEastAsia" w:hAnsiTheme="majorEastAsia" w:eastAsiaTheme="majorEastAsia"/>
          <w:color w:val="auto"/>
          <w:sz w:val="24"/>
          <w:szCs w:val="24"/>
        </w:rPr>
        <w:t>工程及配套定制设备等）。</w:t>
      </w:r>
      <w:r>
        <w:rPr>
          <w:rFonts w:hint="eastAsia" w:cs="宋体" w:asciiTheme="majorEastAsia" w:hAnsiTheme="majorEastAsia" w:eastAsiaTheme="majorEastAsia"/>
          <w:color w:val="auto"/>
          <w:sz w:val="24"/>
          <w:szCs w:val="24"/>
        </w:rPr>
        <w:t>项目本磋商文件“第六章 用户需求书”部分；</w:t>
      </w:r>
    </w:p>
    <w:p>
      <w:pPr>
        <w:spacing w:after="0" w:line="360" w:lineRule="auto"/>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2.4</w:t>
      </w:r>
      <w:r>
        <w:rPr>
          <w:rFonts w:hint="eastAsia" w:cs="宋体" w:asciiTheme="majorEastAsia" w:hAnsiTheme="majorEastAsia" w:eastAsiaTheme="majorEastAsia"/>
          <w:color w:val="auto"/>
          <w:sz w:val="24"/>
          <w:szCs w:val="24"/>
        </w:rPr>
        <w:t>、预算：人民币2500000.00元，超出采购预算金额的投标，按无效投标处理；</w:t>
      </w:r>
    </w:p>
    <w:p>
      <w:pPr>
        <w:spacing w:after="0" w:line="360" w:lineRule="auto"/>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2.5</w:t>
      </w:r>
      <w:r>
        <w:rPr>
          <w:rFonts w:hint="eastAsia" w:cs="宋体" w:asciiTheme="majorEastAsia" w:hAnsiTheme="majorEastAsia" w:eastAsiaTheme="majorEastAsia"/>
          <w:color w:val="auto"/>
          <w:sz w:val="24"/>
          <w:szCs w:val="24"/>
        </w:rPr>
        <w:t>、服务期限：</w:t>
      </w:r>
      <w:r>
        <w:rPr>
          <w:rFonts w:hint="eastAsia" w:cs="Courier New" w:asciiTheme="majorEastAsia" w:hAnsiTheme="majorEastAsia" w:eastAsiaTheme="majorEastAsia"/>
          <w:color w:val="auto"/>
          <w:sz w:val="24"/>
        </w:rPr>
        <w:t>90日历天</w:t>
      </w:r>
      <w:r>
        <w:rPr>
          <w:rFonts w:hint="eastAsia" w:cs="宋体" w:asciiTheme="majorEastAsia" w:hAnsiTheme="majorEastAsia" w:eastAsiaTheme="majorEastAsia"/>
          <w:color w:val="auto"/>
          <w:sz w:val="24"/>
          <w:szCs w:val="24"/>
        </w:rPr>
        <w:t>。</w:t>
      </w:r>
    </w:p>
    <w:p>
      <w:pPr>
        <w:pStyle w:val="2"/>
        <w:spacing w:line="360" w:lineRule="auto"/>
        <w:ind w:firstLine="480" w:firstLineChars="200"/>
        <w:rPr>
          <w:rFonts w:asciiTheme="majorEastAsia" w:hAnsiTheme="majorEastAsia" w:eastAsiaTheme="majorEastAsia"/>
          <w:color w:val="auto"/>
        </w:rPr>
      </w:pPr>
      <w:r>
        <w:rPr>
          <w:rFonts w:hint="eastAsia" w:asciiTheme="majorEastAsia" w:hAnsiTheme="majorEastAsia" w:eastAsiaTheme="majorEastAsia"/>
          <w:color w:val="auto"/>
        </w:rPr>
        <w:t>2</w:t>
      </w:r>
      <w:r>
        <w:rPr>
          <w:rFonts w:asciiTheme="majorEastAsia" w:hAnsiTheme="majorEastAsia" w:eastAsiaTheme="majorEastAsia"/>
          <w:color w:val="auto"/>
        </w:rPr>
        <w:t>.6</w:t>
      </w:r>
      <w:r>
        <w:rPr>
          <w:rFonts w:hint="eastAsia" w:asciiTheme="majorEastAsia" w:hAnsiTheme="majorEastAsia" w:eastAsiaTheme="majorEastAsia"/>
          <w:color w:val="auto"/>
        </w:rPr>
        <w:t>、</w:t>
      </w:r>
      <w:r>
        <w:rPr>
          <w:rFonts w:asciiTheme="majorEastAsia" w:hAnsiTheme="majorEastAsia" w:eastAsiaTheme="majorEastAsia"/>
          <w:color w:val="auto"/>
        </w:rPr>
        <w:t>承包方式：投标人根据</w:t>
      </w:r>
      <w:r>
        <w:rPr>
          <w:rFonts w:hint="eastAsia" w:asciiTheme="majorEastAsia" w:hAnsiTheme="majorEastAsia" w:eastAsiaTheme="majorEastAsia"/>
          <w:color w:val="auto"/>
        </w:rPr>
        <w:t>采购</w:t>
      </w:r>
      <w:r>
        <w:rPr>
          <w:rFonts w:asciiTheme="majorEastAsia" w:hAnsiTheme="majorEastAsia" w:eastAsiaTheme="majorEastAsia"/>
          <w:color w:val="auto"/>
        </w:rPr>
        <w:t>人的</w:t>
      </w:r>
      <w:r>
        <w:rPr>
          <w:rFonts w:hint="eastAsia" w:asciiTheme="majorEastAsia" w:hAnsiTheme="majorEastAsia" w:eastAsiaTheme="majorEastAsia"/>
          <w:color w:val="auto"/>
        </w:rPr>
        <w:t>磋商</w:t>
      </w:r>
      <w:r>
        <w:rPr>
          <w:rFonts w:asciiTheme="majorEastAsia" w:hAnsiTheme="majorEastAsia" w:eastAsiaTheme="majorEastAsia"/>
          <w:color w:val="auto"/>
        </w:rPr>
        <w:t>文件、实验室功能用房</w:t>
      </w:r>
      <w:r>
        <w:rPr>
          <w:rFonts w:hint="eastAsia" w:asciiTheme="majorEastAsia" w:hAnsiTheme="majorEastAsia" w:eastAsiaTheme="majorEastAsia"/>
          <w:color w:val="auto"/>
        </w:rPr>
        <w:t>分布图</w:t>
      </w:r>
      <w:r>
        <w:rPr>
          <w:rFonts w:asciiTheme="majorEastAsia" w:hAnsiTheme="majorEastAsia" w:eastAsiaTheme="majorEastAsia"/>
          <w:color w:val="auto"/>
        </w:rPr>
        <w:t>及工程量清单等规定范围内的工程内容，结合现场实际情况进行报价，由中标人包工、包料、包工期、包质量、包安全、包文明施工，达到验收规范要求。不得转包或违法分包。</w:t>
      </w:r>
    </w:p>
    <w:p>
      <w:pPr>
        <w:spacing w:after="0" w:line="360" w:lineRule="auto"/>
        <w:jc w:val="both"/>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3</w:t>
      </w:r>
      <w:r>
        <w:rPr>
          <w:rFonts w:hint="eastAsia" w:cs="宋体" w:asciiTheme="majorEastAsia" w:hAnsiTheme="majorEastAsia" w:eastAsiaTheme="majorEastAsia"/>
          <w:b/>
          <w:color w:val="auto"/>
          <w:sz w:val="24"/>
          <w:szCs w:val="24"/>
        </w:rPr>
        <w:t>、供应商资格要求</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3.1</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在中华人民共和国注册</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具有独立承担民事责任</w:t>
      </w:r>
      <w:r>
        <w:rPr>
          <w:rFonts w:hint="eastAsia" w:asciiTheme="majorEastAsia" w:hAnsiTheme="majorEastAsia" w:eastAsiaTheme="majorEastAsia"/>
          <w:color w:val="auto"/>
          <w:sz w:val="24"/>
          <w:szCs w:val="24"/>
        </w:rPr>
        <w:t>的</w:t>
      </w:r>
      <w:r>
        <w:rPr>
          <w:rFonts w:asciiTheme="majorEastAsia" w:hAnsiTheme="majorEastAsia" w:eastAsiaTheme="majorEastAsia"/>
          <w:color w:val="auto"/>
          <w:sz w:val="24"/>
          <w:szCs w:val="24"/>
        </w:rPr>
        <w:t>能力</w:t>
      </w:r>
      <w:r>
        <w:rPr>
          <w:rFonts w:hint="eastAsia" w:asciiTheme="majorEastAsia" w:hAnsiTheme="majorEastAsia" w:eastAsiaTheme="majorEastAsia"/>
          <w:color w:val="auto"/>
          <w:sz w:val="24"/>
          <w:szCs w:val="24"/>
        </w:rPr>
        <w:t>（提供营业执照副本、组织机构代码证副本、税务登记证副本或</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三证合一</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营业执照副本、事业单位需提供事业单位法人证书副本复印件加盖公章）；</w:t>
      </w:r>
    </w:p>
    <w:p>
      <w:pPr>
        <w:spacing w:line="360" w:lineRule="auto"/>
        <w:ind w:firstLine="480" w:firstLineChars="200"/>
        <w:rPr>
          <w:rFonts w:cs="宋体"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3.2</w:t>
      </w:r>
      <w:r>
        <w:rPr>
          <w:rFonts w:hint="eastAsia" w:cs="宋体" w:asciiTheme="majorEastAsia" w:hAnsiTheme="majorEastAsia" w:eastAsiaTheme="majorEastAsia"/>
          <w:color w:val="auto"/>
          <w:sz w:val="24"/>
          <w:szCs w:val="24"/>
        </w:rPr>
        <w:t>、具有良好的商业信誉和健全的财务会计制度（需提供202</w:t>
      </w: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年连续3个月企业纳税证明或者会计师事务所出具的2019年度财务审计报告）；</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3、具有依法缴纳税收和社会保障资金的良好记录（须提供202</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年连续3个月的纳税证明和社保缴费记录证明复印件加盖公章）；</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4、参加政府采购活动前三年内，在经营活动中没有重大违法记录（提供声明函加盖公章）；</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 xml:space="preserve">.5、供应商在“信用中国”网站（www.creditchina.gov.cn）没有被列入失信被执行人、重大税收违法案件当事人名单、政府采购严重违法失信行为记录名单和没有被列入“中国政府采购网”（www.ccgp.gov.cn）政府采购严重违法失信行为记录名单（网址证明截图加盖公章）；   </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3.6、购买本项目磋商文件并缴纳投标保证金；</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7、本项目不接受联合体投标；</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3.8</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投标人须具有建筑装修装饰工程专业承包二级及以上资质</w:t>
      </w:r>
      <w:r>
        <w:rPr>
          <w:rFonts w:hint="eastAsia" w:asciiTheme="majorEastAsia" w:hAnsiTheme="majorEastAsia" w:eastAsiaTheme="majorEastAsia"/>
          <w:color w:val="auto"/>
          <w:sz w:val="24"/>
          <w:szCs w:val="24"/>
        </w:rPr>
        <w:t>；</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3.9</w:t>
      </w:r>
      <w:r>
        <w:rPr>
          <w:rFonts w:hint="eastAsia" w:asciiTheme="majorEastAsia" w:hAnsiTheme="majorEastAsia" w:eastAsiaTheme="majorEastAsia"/>
          <w:color w:val="auto"/>
          <w:sz w:val="24"/>
          <w:szCs w:val="24"/>
        </w:rPr>
        <w:t>、投标人拟派项目负责人须具备二级以上注册建造师执业资格，</w:t>
      </w:r>
      <w:r>
        <w:rPr>
          <w:rFonts w:asciiTheme="majorEastAsia" w:hAnsiTheme="majorEastAsia" w:eastAsiaTheme="majorEastAsia"/>
          <w:color w:val="auto"/>
          <w:sz w:val="24"/>
          <w:szCs w:val="24"/>
        </w:rPr>
        <w:t>且安全生产B证</w:t>
      </w:r>
      <w:r>
        <w:rPr>
          <w:rFonts w:hint="eastAsia" w:asciiTheme="majorEastAsia" w:hAnsiTheme="majorEastAsia" w:eastAsiaTheme="majorEastAsia"/>
          <w:color w:val="auto"/>
          <w:sz w:val="24"/>
          <w:szCs w:val="24"/>
        </w:rPr>
        <w:t>；</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3.10、投标人须具有有效期内的安全生产许可证；</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3.11、投标人须具备《海南省建筑企业诚信档案手册》；</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3.12、符合法律、行政法规规定的其他条件。</w:t>
      </w:r>
    </w:p>
    <w:p>
      <w:pPr>
        <w:spacing w:after="0" w:line="440" w:lineRule="exact"/>
        <w:jc w:val="both"/>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4</w:t>
      </w:r>
      <w:r>
        <w:rPr>
          <w:rFonts w:hint="eastAsia" w:cs="宋体" w:asciiTheme="majorEastAsia" w:hAnsiTheme="majorEastAsia" w:eastAsiaTheme="majorEastAsia"/>
          <w:b/>
          <w:color w:val="auto"/>
          <w:sz w:val="24"/>
          <w:szCs w:val="24"/>
        </w:rPr>
        <w:t>、磋商文件的获取</w:t>
      </w:r>
    </w:p>
    <w:p>
      <w:pPr>
        <w:snapToGrid w:val="0"/>
        <w:spacing w:after="0" w:line="440" w:lineRule="exact"/>
        <w:ind w:right="-249" w:rightChars="-113"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4.1</w:t>
      </w:r>
      <w:r>
        <w:rPr>
          <w:rFonts w:hint="eastAsia" w:cs="宋体" w:asciiTheme="majorEastAsia" w:hAnsiTheme="majorEastAsia" w:eastAsiaTheme="majorEastAsia"/>
          <w:color w:val="auto"/>
          <w:sz w:val="24"/>
          <w:szCs w:val="24"/>
        </w:rPr>
        <w:t>、请于</w:t>
      </w:r>
      <w:r>
        <w:rPr>
          <w:rFonts w:cs="宋体" w:asciiTheme="majorEastAsia" w:hAnsiTheme="majorEastAsia" w:eastAsiaTheme="majorEastAsia"/>
          <w:color w:val="auto"/>
          <w:sz w:val="24"/>
          <w:szCs w:val="24"/>
        </w:rPr>
        <w:t>20</w:t>
      </w:r>
      <w:r>
        <w:rPr>
          <w:rFonts w:hint="eastAsia" w:cs="宋体" w:asciiTheme="majorEastAsia" w:hAnsiTheme="majorEastAsia" w:eastAsiaTheme="majorEastAsia"/>
          <w:color w:val="auto"/>
          <w:sz w:val="24"/>
          <w:szCs w:val="24"/>
        </w:rPr>
        <w:t>21年6月8日至</w:t>
      </w:r>
      <w:r>
        <w:rPr>
          <w:rFonts w:cs="宋体" w:asciiTheme="majorEastAsia" w:hAnsiTheme="majorEastAsia" w:eastAsiaTheme="majorEastAsia"/>
          <w:color w:val="auto"/>
          <w:sz w:val="24"/>
          <w:szCs w:val="24"/>
        </w:rPr>
        <w:t>20</w:t>
      </w:r>
      <w:r>
        <w:rPr>
          <w:rFonts w:hint="eastAsia" w:cs="宋体" w:asciiTheme="majorEastAsia" w:hAnsiTheme="majorEastAsia" w:eastAsiaTheme="majorEastAsia"/>
          <w:color w:val="auto"/>
          <w:sz w:val="24"/>
          <w:szCs w:val="24"/>
        </w:rPr>
        <w:t>21年6月16日</w:t>
      </w:r>
      <w:r>
        <w:rPr>
          <w:rFonts w:cs="宋体" w:asciiTheme="majorEastAsia" w:hAnsiTheme="majorEastAsia" w:eastAsiaTheme="majorEastAsia"/>
          <w:color w:val="auto"/>
          <w:sz w:val="24"/>
          <w:szCs w:val="24"/>
        </w:rPr>
        <w:t>08:30:00</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17:30:00</w:t>
      </w:r>
      <w:r>
        <w:rPr>
          <w:rFonts w:hint="eastAsia" w:cs="宋体" w:asciiTheme="majorEastAsia" w:hAnsiTheme="majorEastAsia" w:eastAsiaTheme="majorEastAsia"/>
          <w:color w:val="auto"/>
          <w:sz w:val="24"/>
          <w:szCs w:val="24"/>
        </w:rPr>
        <w:t>（节假日除外），在海南省海口市龙华区国贸玉沙路玉沙广场3栋502房购买标书。报名时须</w:t>
      </w:r>
      <w:r>
        <w:rPr>
          <w:rFonts w:hint="eastAsia" w:asciiTheme="majorEastAsia" w:hAnsiTheme="majorEastAsia" w:eastAsiaTheme="majorEastAsia"/>
          <w:color w:val="auto"/>
          <w:sz w:val="24"/>
          <w:szCs w:val="24"/>
        </w:rPr>
        <w:t>提供营业执照副本、组织机构代码证副本、税务登记证副本或</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三证合一</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营业执照副本、事业单位需提供事业单位法人证书副本</w:t>
      </w:r>
      <w:r>
        <w:rPr>
          <w:rFonts w:hint="eastAsia" w:cs="宋体" w:asciiTheme="majorEastAsia" w:hAnsiTheme="majorEastAsia" w:eastAsiaTheme="majorEastAsia"/>
          <w:color w:val="auto"/>
          <w:sz w:val="24"/>
          <w:szCs w:val="24"/>
        </w:rPr>
        <w:t>、法定代表人授权委托书（附法定代表人及授权委托人身份证复印件，授权委托人身份证需核对原件）、安全生产许可证、《海南省建筑企业诚信档案手册》（以上资料复印件均需加盖公章）。</w:t>
      </w:r>
    </w:p>
    <w:p>
      <w:pPr>
        <w:snapToGrid w:val="0"/>
        <w:spacing w:after="0" w:line="440" w:lineRule="exact"/>
        <w:ind w:right="-249" w:rightChars="-113"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4.2</w:t>
      </w:r>
      <w:r>
        <w:rPr>
          <w:rFonts w:hint="eastAsia" w:cs="宋体" w:asciiTheme="majorEastAsia" w:hAnsiTheme="majorEastAsia" w:eastAsiaTheme="majorEastAsia"/>
          <w:color w:val="auto"/>
          <w:sz w:val="24"/>
          <w:szCs w:val="24"/>
        </w:rPr>
        <w:t>、磋商文件售价</w:t>
      </w:r>
    </w:p>
    <w:p>
      <w:pPr>
        <w:snapToGrid w:val="0"/>
        <w:spacing w:after="0" w:line="440" w:lineRule="exact"/>
        <w:ind w:right="-249" w:rightChars="-113"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项目本身：磋商文件每套售价3</w:t>
      </w:r>
      <w:r>
        <w:rPr>
          <w:rFonts w:cs="宋体" w:asciiTheme="majorEastAsia" w:hAnsiTheme="majorEastAsia" w:eastAsiaTheme="majorEastAsia"/>
          <w:color w:val="auto"/>
          <w:sz w:val="24"/>
          <w:szCs w:val="24"/>
        </w:rPr>
        <w:t>00.00</w:t>
      </w:r>
      <w:r>
        <w:rPr>
          <w:rFonts w:hint="eastAsia" w:cs="宋体" w:asciiTheme="majorEastAsia" w:hAnsiTheme="majorEastAsia" w:eastAsiaTheme="majorEastAsia"/>
          <w:color w:val="auto"/>
          <w:sz w:val="24"/>
          <w:szCs w:val="24"/>
        </w:rPr>
        <w:t>元。</w:t>
      </w:r>
    </w:p>
    <w:p>
      <w:pPr>
        <w:pStyle w:val="8"/>
      </w:pPr>
    </w:p>
    <w:p>
      <w:pPr>
        <w:snapToGrid w:val="0"/>
        <w:spacing w:after="0" w:line="440" w:lineRule="exact"/>
        <w:ind w:right="-249" w:rightChars="-113"/>
        <w:jc w:val="both"/>
        <w:rPr>
          <w:rFonts w:cs="宋体" w:asciiTheme="majorEastAsia" w:hAnsiTheme="majorEastAsia" w:eastAsiaTheme="majorEastAsia"/>
          <w:color w:val="auto"/>
          <w:sz w:val="24"/>
          <w:szCs w:val="24"/>
        </w:rPr>
      </w:pPr>
      <w:r>
        <w:rPr>
          <w:rFonts w:cs="宋体" w:asciiTheme="majorEastAsia" w:hAnsiTheme="majorEastAsia" w:eastAsiaTheme="majorEastAsia"/>
          <w:b/>
          <w:color w:val="auto"/>
          <w:sz w:val="24"/>
          <w:szCs w:val="24"/>
        </w:rPr>
        <w:t>5</w:t>
      </w:r>
      <w:r>
        <w:rPr>
          <w:rFonts w:hint="eastAsia" w:cs="宋体" w:asciiTheme="majorEastAsia" w:hAnsiTheme="majorEastAsia" w:eastAsiaTheme="majorEastAsia"/>
          <w:b/>
          <w:color w:val="auto"/>
          <w:sz w:val="24"/>
          <w:szCs w:val="24"/>
        </w:rPr>
        <w:t>、响应文件递交截止时间、开启时间及地点</w:t>
      </w:r>
    </w:p>
    <w:p>
      <w:pPr>
        <w:snapToGrid w:val="0"/>
        <w:spacing w:after="0" w:line="440" w:lineRule="exact"/>
        <w:ind w:right="-249" w:rightChars="-113" w:firstLine="480" w:firstLineChars="200"/>
        <w:jc w:val="both"/>
        <w:rPr>
          <w:rFonts w:cs="宋体" w:asciiTheme="majorEastAsia" w:hAnsiTheme="majorEastAsia" w:eastAsiaTheme="majorEastAsia"/>
          <w:color w:val="C00000"/>
          <w:sz w:val="24"/>
          <w:szCs w:val="24"/>
        </w:rPr>
      </w:pPr>
      <w:r>
        <w:rPr>
          <w:rFonts w:cs="宋体" w:asciiTheme="majorEastAsia" w:hAnsiTheme="majorEastAsia" w:eastAsiaTheme="majorEastAsia"/>
          <w:color w:val="auto"/>
          <w:sz w:val="24"/>
          <w:szCs w:val="24"/>
        </w:rPr>
        <w:t>5.1</w:t>
      </w:r>
      <w:r>
        <w:rPr>
          <w:rFonts w:hint="eastAsia" w:cs="宋体" w:asciiTheme="majorEastAsia" w:hAnsiTheme="majorEastAsia" w:eastAsiaTheme="majorEastAsia"/>
          <w:color w:val="auto"/>
          <w:sz w:val="24"/>
          <w:szCs w:val="24"/>
        </w:rPr>
        <w:t>、响应文件递交截止时间：</w:t>
      </w:r>
      <w:r>
        <w:rPr>
          <w:rFonts w:cs="宋体" w:asciiTheme="majorEastAsia" w:hAnsiTheme="majorEastAsia" w:eastAsiaTheme="majorEastAsia"/>
          <w:color w:val="auto"/>
          <w:sz w:val="24"/>
          <w:szCs w:val="24"/>
        </w:rPr>
        <w:t>20</w:t>
      </w:r>
      <w:r>
        <w:rPr>
          <w:rFonts w:hint="eastAsia" w:cs="宋体" w:asciiTheme="majorEastAsia" w:hAnsiTheme="majorEastAsia" w:eastAsiaTheme="majorEastAsia"/>
          <w:color w:val="auto"/>
          <w:sz w:val="24"/>
          <w:szCs w:val="24"/>
        </w:rPr>
        <w:t>21年6月21日9</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0</w:t>
      </w:r>
      <w:r>
        <w:rPr>
          <w:rFonts w:cs="宋体" w:asciiTheme="majorEastAsia" w:hAnsiTheme="majorEastAsia" w:eastAsiaTheme="majorEastAsia"/>
          <w:color w:val="auto"/>
          <w:sz w:val="24"/>
          <w:szCs w:val="24"/>
        </w:rPr>
        <w:t>0:00</w:t>
      </w:r>
      <w:r>
        <w:rPr>
          <w:rFonts w:hint="eastAsia" w:cs="宋体" w:asciiTheme="majorEastAsia" w:hAnsiTheme="majorEastAsia" w:eastAsiaTheme="majorEastAsia"/>
          <w:color w:val="auto"/>
          <w:sz w:val="24"/>
          <w:szCs w:val="24"/>
        </w:rPr>
        <w:t>；</w:t>
      </w:r>
    </w:p>
    <w:p>
      <w:pPr>
        <w:snapToGrid w:val="0"/>
        <w:spacing w:after="0" w:line="440" w:lineRule="exact"/>
        <w:ind w:right="-249" w:rightChars="-113" w:firstLine="480" w:firstLineChars="200"/>
        <w:jc w:val="both"/>
        <w:rPr>
          <w:rFonts w:asciiTheme="majorEastAsia" w:hAnsiTheme="majorEastAsia" w:eastAsiaTheme="majorEastAsia"/>
          <w:color w:val="000000" w:themeColor="text1"/>
          <w:sz w:val="24"/>
        </w:rPr>
      </w:pPr>
      <w:r>
        <w:rPr>
          <w:rFonts w:cs="宋体" w:asciiTheme="majorEastAsia" w:hAnsiTheme="majorEastAsia" w:eastAsiaTheme="majorEastAsia"/>
          <w:color w:val="auto"/>
          <w:sz w:val="24"/>
          <w:szCs w:val="24"/>
        </w:rPr>
        <w:t>5.2</w:t>
      </w:r>
      <w:r>
        <w:rPr>
          <w:rFonts w:hint="eastAsia" w:cs="宋体" w:asciiTheme="majorEastAsia" w:hAnsiTheme="majorEastAsia" w:eastAsiaTheme="majorEastAsia"/>
          <w:color w:val="auto"/>
          <w:sz w:val="24"/>
          <w:szCs w:val="24"/>
        </w:rPr>
        <w:t>、响应文件递交地点：</w:t>
      </w:r>
      <w:r>
        <w:rPr>
          <w:rFonts w:hint="eastAsia" w:asciiTheme="majorEastAsia" w:hAnsiTheme="majorEastAsia" w:eastAsiaTheme="majorEastAsia"/>
          <w:color w:val="auto"/>
          <w:sz w:val="24"/>
          <w:lang w:val="zh-CN"/>
        </w:rPr>
        <w:t>海口市</w:t>
      </w:r>
      <w:r>
        <w:rPr>
          <w:rFonts w:hint="eastAsia" w:asciiTheme="majorEastAsia" w:hAnsiTheme="majorEastAsia" w:eastAsiaTheme="majorEastAsia"/>
          <w:color w:val="000000" w:themeColor="text1"/>
          <w:sz w:val="24"/>
        </w:rPr>
        <w:t>美兰区蓝天路51号京航大酒店5楼海南招协招标采购交易平台</w:t>
      </w:r>
      <w:r>
        <w:rPr>
          <w:rFonts w:hint="eastAsia" w:asciiTheme="majorEastAsia" w:hAnsiTheme="majorEastAsia" w:eastAsiaTheme="majorEastAsia"/>
          <w:color w:val="auto"/>
          <w:sz w:val="24"/>
        </w:rPr>
        <w:t>开标5；</w:t>
      </w:r>
    </w:p>
    <w:p>
      <w:pPr>
        <w:snapToGrid w:val="0"/>
        <w:spacing w:after="0" w:line="440" w:lineRule="exact"/>
        <w:ind w:right="-249" w:rightChars="-113"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5.3</w:t>
      </w:r>
      <w:r>
        <w:rPr>
          <w:rFonts w:hint="eastAsia" w:cs="宋体" w:asciiTheme="majorEastAsia" w:hAnsiTheme="majorEastAsia" w:eastAsiaTheme="majorEastAsia"/>
          <w:color w:val="auto"/>
          <w:sz w:val="24"/>
          <w:szCs w:val="24"/>
        </w:rPr>
        <w:t>、响应文件开启时间：</w:t>
      </w:r>
      <w:r>
        <w:rPr>
          <w:rFonts w:cs="宋体" w:asciiTheme="majorEastAsia" w:hAnsiTheme="majorEastAsia" w:eastAsiaTheme="majorEastAsia"/>
          <w:color w:val="auto"/>
          <w:sz w:val="24"/>
          <w:szCs w:val="24"/>
        </w:rPr>
        <w:t>20</w:t>
      </w:r>
      <w:r>
        <w:rPr>
          <w:rFonts w:hint="eastAsia" w:cs="宋体" w:asciiTheme="majorEastAsia" w:hAnsiTheme="majorEastAsia" w:eastAsiaTheme="majorEastAsia"/>
          <w:color w:val="auto"/>
          <w:sz w:val="24"/>
          <w:szCs w:val="24"/>
        </w:rPr>
        <w:t>21年6月21日9</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0</w:t>
      </w:r>
      <w:r>
        <w:rPr>
          <w:rFonts w:cs="宋体" w:asciiTheme="majorEastAsia" w:hAnsiTheme="majorEastAsia" w:eastAsiaTheme="majorEastAsia"/>
          <w:color w:val="auto"/>
          <w:sz w:val="24"/>
          <w:szCs w:val="24"/>
        </w:rPr>
        <w:t>0:00</w:t>
      </w:r>
      <w:r>
        <w:rPr>
          <w:rFonts w:hint="eastAsia" w:cs="宋体" w:asciiTheme="majorEastAsia" w:hAnsiTheme="majorEastAsia" w:eastAsiaTheme="majorEastAsia"/>
          <w:color w:val="auto"/>
          <w:sz w:val="24"/>
          <w:szCs w:val="24"/>
        </w:rPr>
        <w:t>；</w:t>
      </w:r>
    </w:p>
    <w:p>
      <w:pPr>
        <w:snapToGrid w:val="0"/>
        <w:spacing w:after="0" w:line="440" w:lineRule="exact"/>
        <w:ind w:right="-249" w:rightChars="-113" w:firstLine="480" w:firstLineChars="200"/>
        <w:jc w:val="both"/>
        <w:rPr>
          <w:rFonts w:asciiTheme="majorEastAsia" w:hAnsiTheme="majorEastAsia" w:eastAsiaTheme="majorEastAsia"/>
          <w:color w:val="auto"/>
          <w:sz w:val="24"/>
        </w:rPr>
      </w:pPr>
      <w:r>
        <w:rPr>
          <w:rFonts w:cs="宋体" w:asciiTheme="majorEastAsia" w:hAnsiTheme="majorEastAsia" w:eastAsiaTheme="majorEastAsia"/>
          <w:color w:val="auto"/>
          <w:sz w:val="24"/>
          <w:szCs w:val="24"/>
        </w:rPr>
        <w:t>5.4</w:t>
      </w:r>
      <w:r>
        <w:rPr>
          <w:rFonts w:hint="eastAsia" w:cs="宋体" w:asciiTheme="majorEastAsia" w:hAnsiTheme="majorEastAsia" w:eastAsiaTheme="majorEastAsia"/>
          <w:color w:val="auto"/>
          <w:sz w:val="24"/>
          <w:szCs w:val="24"/>
        </w:rPr>
        <w:t>、响应文件开启地点：</w:t>
      </w:r>
      <w:r>
        <w:rPr>
          <w:rFonts w:hint="eastAsia" w:asciiTheme="majorEastAsia" w:hAnsiTheme="majorEastAsia" w:eastAsiaTheme="majorEastAsia"/>
          <w:color w:val="auto"/>
          <w:sz w:val="24"/>
          <w:lang w:val="zh-CN"/>
        </w:rPr>
        <w:t>海口市</w:t>
      </w:r>
      <w:r>
        <w:rPr>
          <w:rFonts w:hint="eastAsia" w:asciiTheme="majorEastAsia" w:hAnsiTheme="majorEastAsia" w:eastAsiaTheme="majorEastAsia"/>
          <w:color w:val="000000" w:themeColor="text1"/>
          <w:sz w:val="24"/>
        </w:rPr>
        <w:t>美兰区蓝天路51号京航大酒店5楼海南招协招标采购交易平</w:t>
      </w:r>
      <w:r>
        <w:rPr>
          <w:rFonts w:hint="eastAsia" w:asciiTheme="majorEastAsia" w:hAnsiTheme="majorEastAsia" w:eastAsiaTheme="majorEastAsia"/>
          <w:color w:val="auto"/>
          <w:sz w:val="24"/>
        </w:rPr>
        <w:t>台开标5评标2</w:t>
      </w:r>
    </w:p>
    <w:p>
      <w:pPr>
        <w:snapToGrid w:val="0"/>
        <w:spacing w:after="0" w:line="440" w:lineRule="exact"/>
        <w:ind w:right="-249" w:rightChars="-113"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5.5</w:t>
      </w:r>
      <w:r>
        <w:rPr>
          <w:rFonts w:hint="eastAsia" w:cs="宋体" w:asciiTheme="majorEastAsia" w:hAnsiTheme="majorEastAsia" w:eastAsiaTheme="majorEastAsia"/>
          <w:color w:val="auto"/>
          <w:sz w:val="24"/>
          <w:szCs w:val="24"/>
        </w:rPr>
        <w:t>、公告发布媒介：全国公共资源交易平台（海南省）、中国海南政府采购网。</w:t>
      </w:r>
    </w:p>
    <w:p>
      <w:pPr>
        <w:snapToGrid w:val="0"/>
        <w:spacing w:after="0" w:line="440" w:lineRule="exact"/>
        <w:ind w:right="-249" w:rightChars="-113"/>
        <w:jc w:val="both"/>
        <w:rPr>
          <w:rFonts w:cs="宋体" w:asciiTheme="majorEastAsia" w:hAnsiTheme="majorEastAsia" w:eastAsiaTheme="majorEastAsia"/>
          <w:color w:val="auto"/>
          <w:sz w:val="24"/>
          <w:szCs w:val="24"/>
        </w:rPr>
      </w:pPr>
      <w:r>
        <w:rPr>
          <w:rFonts w:cs="宋体" w:asciiTheme="majorEastAsia" w:hAnsiTheme="majorEastAsia" w:eastAsiaTheme="majorEastAsia"/>
          <w:b/>
          <w:color w:val="auto"/>
          <w:sz w:val="24"/>
          <w:szCs w:val="24"/>
        </w:rPr>
        <w:t>6</w:t>
      </w:r>
      <w:r>
        <w:rPr>
          <w:rFonts w:hint="eastAsia" w:cs="宋体" w:asciiTheme="majorEastAsia" w:hAnsiTheme="majorEastAsia" w:eastAsiaTheme="majorEastAsia"/>
          <w:b/>
          <w:color w:val="auto"/>
          <w:sz w:val="24"/>
          <w:szCs w:val="24"/>
        </w:rPr>
        <w:t>、联系方式</w:t>
      </w:r>
    </w:p>
    <w:p>
      <w:pPr>
        <w:spacing w:after="0" w:line="440" w:lineRule="exact"/>
        <w:ind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采购单位：海南省环境科学研究院 </w:t>
      </w:r>
    </w:p>
    <w:p>
      <w:pPr>
        <w:spacing w:after="0" w:line="440" w:lineRule="exact"/>
        <w:ind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项目联系人：唐工</w:t>
      </w:r>
    </w:p>
    <w:p>
      <w:pPr>
        <w:spacing w:after="0" w:line="440" w:lineRule="exact"/>
        <w:ind w:firstLine="480" w:firstLineChars="200"/>
        <w:jc w:val="both"/>
        <w:rPr>
          <w:rFonts w:asciiTheme="majorEastAsia" w:hAnsiTheme="majorEastAsia" w:eastAsiaTheme="majorEastAsia"/>
          <w:color w:val="auto"/>
          <w:szCs w:val="21"/>
        </w:rPr>
      </w:pPr>
      <w:r>
        <w:rPr>
          <w:rFonts w:hint="eastAsia" w:cs="宋体" w:asciiTheme="majorEastAsia" w:hAnsiTheme="majorEastAsia" w:eastAsiaTheme="majorEastAsia"/>
          <w:color w:val="auto"/>
          <w:sz w:val="24"/>
          <w:szCs w:val="24"/>
        </w:rPr>
        <w:t>联系电话：0898-65968106</w:t>
      </w:r>
    </w:p>
    <w:p>
      <w:pPr>
        <w:spacing w:after="0" w:line="440" w:lineRule="exact"/>
        <w:ind w:firstLine="480" w:firstLineChars="200"/>
        <w:jc w:val="both"/>
        <w:rPr>
          <w:rFonts w:cs="宋体" w:asciiTheme="majorEastAsia" w:hAnsiTheme="majorEastAsia" w:eastAsiaTheme="majorEastAsia"/>
          <w:color w:val="auto"/>
          <w:sz w:val="24"/>
          <w:szCs w:val="24"/>
          <w:lang w:val="zh-TW"/>
        </w:rPr>
      </w:pPr>
      <w:r>
        <w:rPr>
          <w:rFonts w:hint="eastAsia" w:cs="宋体" w:asciiTheme="majorEastAsia" w:hAnsiTheme="majorEastAsia" w:eastAsiaTheme="majorEastAsia"/>
          <w:color w:val="auto"/>
          <w:sz w:val="24"/>
          <w:szCs w:val="24"/>
        </w:rPr>
        <w:t>地址：</w:t>
      </w:r>
      <w:r>
        <w:rPr>
          <w:rFonts w:cs="宋体" w:asciiTheme="majorEastAsia" w:hAnsiTheme="majorEastAsia" w:eastAsiaTheme="majorEastAsia"/>
          <w:color w:val="auto"/>
          <w:sz w:val="24"/>
          <w:szCs w:val="24"/>
          <w:lang w:val="zh-TW"/>
        </w:rPr>
        <w:t>海口市白驹大道98号</w:t>
      </w:r>
    </w:p>
    <w:p>
      <w:pPr>
        <w:spacing w:after="0" w:line="440" w:lineRule="exact"/>
        <w:ind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采购代理：海南鸿大中经建设项目咨询管理有限公司</w:t>
      </w:r>
    </w:p>
    <w:p>
      <w:pPr>
        <w:spacing w:after="0" w:line="440" w:lineRule="exact"/>
        <w:ind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联系人： 温工</w:t>
      </w:r>
    </w:p>
    <w:p>
      <w:pPr>
        <w:spacing w:after="0" w:line="440" w:lineRule="exact"/>
        <w:ind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联系电话：0898-68593030  </w:t>
      </w:r>
    </w:p>
    <w:p>
      <w:pPr>
        <w:spacing w:after="0" w:line="440" w:lineRule="exact"/>
        <w:ind w:firstLine="480" w:firstLineChars="200"/>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地址：海南省海口市龙华区国贸玉沙路玉沙广场3栋502房</w:t>
      </w:r>
    </w:p>
    <w:p>
      <w:pPr>
        <w:spacing w:after="0" w:line="440" w:lineRule="exact"/>
        <w:ind w:firstLine="440" w:firstLineChars="200"/>
        <w:jc w:val="both"/>
        <w:rPr>
          <w:rFonts w:asciiTheme="majorEastAsia" w:hAnsiTheme="majorEastAsia" w:eastAsiaTheme="majorEastAsia"/>
          <w:color w:val="auto"/>
        </w:rPr>
      </w:pPr>
    </w:p>
    <w:p>
      <w:pPr>
        <w:rPr>
          <w:rFonts w:asciiTheme="majorEastAsia" w:hAnsiTheme="majorEastAsia" w:eastAsiaTheme="majorEastAsia"/>
          <w:color w:val="auto"/>
        </w:rPr>
        <w:sectPr>
          <w:pgSz w:w="11900" w:h="16840"/>
          <w:pgMar w:top="1440" w:right="1361" w:bottom="1440" w:left="1361" w:header="709" w:footer="709" w:gutter="0"/>
          <w:pgNumType w:start="1" w:chapStyle="3"/>
          <w:cols w:space="720" w:num="1"/>
          <w:titlePg/>
          <w:docGrid w:linePitch="312" w:charSpace="0"/>
        </w:sectPr>
      </w:pPr>
    </w:p>
    <w:p>
      <w:pPr>
        <w:spacing w:after="0" w:line="480" w:lineRule="exact"/>
        <w:jc w:val="center"/>
        <w:outlineLvl w:val="0"/>
        <w:rPr>
          <w:rFonts w:cs="宋体" w:asciiTheme="majorEastAsia" w:hAnsiTheme="majorEastAsia" w:eastAsiaTheme="majorEastAsia"/>
          <w:b/>
          <w:color w:val="auto"/>
          <w:sz w:val="36"/>
          <w:szCs w:val="36"/>
        </w:rPr>
      </w:pPr>
      <w:bookmarkStart w:id="1" w:name="_Toc71553216"/>
      <w:r>
        <w:rPr>
          <w:rFonts w:hint="eastAsia" w:cs="宋体" w:asciiTheme="majorEastAsia" w:hAnsiTheme="majorEastAsia" w:eastAsiaTheme="majorEastAsia"/>
          <w:b/>
          <w:color w:val="auto"/>
          <w:sz w:val="36"/>
          <w:szCs w:val="36"/>
        </w:rPr>
        <w:t>第二章  供应商须知前附表</w:t>
      </w:r>
      <w:bookmarkEnd w:id="1"/>
    </w:p>
    <w:p>
      <w:pPr>
        <w:pStyle w:val="15"/>
        <w:spacing w:after="0" w:line="360" w:lineRule="auto"/>
        <w:ind w:left="0" w:firstLine="480"/>
        <w:rPr>
          <w:rFonts w:asciiTheme="majorEastAsia" w:hAnsiTheme="majorEastAsia" w:eastAsiaTheme="majorEastAsia"/>
          <w:color w:val="auto"/>
          <w:sz w:val="24"/>
          <w:szCs w:val="21"/>
        </w:rPr>
      </w:pPr>
      <w:r>
        <w:rPr>
          <w:rFonts w:hint="eastAsia" w:asciiTheme="majorEastAsia" w:hAnsiTheme="majorEastAsia" w:eastAsiaTheme="majorEastAsia"/>
          <w:color w:val="auto"/>
          <w:sz w:val="24"/>
          <w:szCs w:val="21"/>
          <w:lang w:val="zh-TW" w:eastAsia="zh-TW"/>
        </w:rPr>
        <w:t>本表关于采购</w:t>
      </w:r>
      <w:r>
        <w:rPr>
          <w:rFonts w:hint="eastAsia" w:asciiTheme="majorEastAsia" w:hAnsiTheme="majorEastAsia" w:eastAsiaTheme="majorEastAsia"/>
          <w:color w:val="auto"/>
          <w:sz w:val="24"/>
          <w:szCs w:val="21"/>
          <w:lang w:val="zh-TW"/>
        </w:rPr>
        <w:t>服务</w:t>
      </w:r>
      <w:r>
        <w:rPr>
          <w:rFonts w:hint="eastAsia" w:asciiTheme="majorEastAsia" w:hAnsiTheme="majorEastAsia" w:eastAsiaTheme="majorEastAsia"/>
          <w:color w:val="auto"/>
          <w:sz w:val="24"/>
          <w:szCs w:val="21"/>
          <w:lang w:val="zh-TW" w:eastAsia="zh-TW"/>
        </w:rPr>
        <w:t>的具体要求是对供应商须知的具体补充和修改，如有矛盾，应以本表为准。</w:t>
      </w:r>
    </w:p>
    <w:tbl>
      <w:tblPr>
        <w:tblStyle w:val="18"/>
        <w:tblW w:w="989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078"/>
        <w:gridCol w:w="882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60" w:lineRule="exact"/>
              <w:jc w:val="center"/>
              <w:rPr>
                <w:rFonts w:cs="宋体" w:asciiTheme="majorEastAsia" w:hAnsiTheme="majorEastAsia" w:eastAsiaTheme="majorEastAsia"/>
                <w:b/>
                <w:color w:val="auto"/>
              </w:rPr>
            </w:pPr>
            <w:r>
              <w:rPr>
                <w:rFonts w:hint="eastAsia" w:cs="宋体" w:asciiTheme="majorEastAsia" w:hAnsiTheme="majorEastAsia" w:eastAsiaTheme="majorEastAsia"/>
                <w:b/>
                <w:color w:val="auto"/>
                <w:sz w:val="24"/>
                <w:szCs w:val="24"/>
                <w:lang w:val="zh-TW" w:eastAsia="zh-TW"/>
              </w:rPr>
              <w:t>序号</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60" w:lineRule="exact"/>
              <w:jc w:val="center"/>
              <w:rPr>
                <w:rFonts w:cs="宋体" w:asciiTheme="majorEastAsia" w:hAnsiTheme="majorEastAsia" w:eastAsiaTheme="majorEastAsia"/>
                <w:b/>
                <w:color w:val="auto"/>
              </w:rPr>
            </w:pPr>
            <w:r>
              <w:rPr>
                <w:rFonts w:hint="eastAsia" w:cs="宋体" w:asciiTheme="majorEastAsia" w:hAnsiTheme="majorEastAsia" w:eastAsiaTheme="majorEastAsia"/>
                <w:b/>
                <w:color w:val="auto"/>
                <w:sz w:val="24"/>
                <w:szCs w:val="24"/>
                <w:lang w:val="zh-TW" w:eastAsia="zh-TW"/>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1"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color w:val="auto"/>
                <w:sz w:val="24"/>
                <w:szCs w:val="24"/>
              </w:rPr>
            </w:pPr>
            <w:r>
              <w:rPr>
                <w:rFonts w:cs="宋体" w:asciiTheme="majorEastAsia" w:hAnsiTheme="majorEastAsia" w:eastAsiaTheme="majorEastAsia"/>
                <w:bCs/>
                <w:color w:val="auto"/>
                <w:sz w:val="24"/>
                <w:szCs w:val="24"/>
              </w:rPr>
              <w:t>1</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采购人名称：海南省环境科学研究院 </w:t>
            </w:r>
          </w:p>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项目联系人：唐工</w:t>
            </w:r>
          </w:p>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联系电话：0898-65968106</w:t>
            </w:r>
          </w:p>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地址：</w:t>
            </w:r>
            <w:r>
              <w:rPr>
                <w:rFonts w:cs="宋体" w:asciiTheme="majorEastAsia" w:hAnsiTheme="majorEastAsia" w:eastAsiaTheme="majorEastAsia"/>
                <w:color w:val="auto"/>
                <w:sz w:val="24"/>
                <w:szCs w:val="24"/>
                <w:lang w:val="zh-TW"/>
              </w:rPr>
              <w:t>海口市白驹大道98号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9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采购代理：海南鸿大中经建设项目咨询管理有限公司</w:t>
            </w:r>
          </w:p>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联系人：温工</w:t>
            </w:r>
          </w:p>
          <w:p>
            <w:pPr>
              <w:spacing w:after="0" w:line="440" w:lineRule="exact"/>
              <w:jc w:val="both"/>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联系电话：0898-68593030  </w:t>
            </w:r>
          </w:p>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地址：海南省海口市龙华区国贸玉沙路玉沙广场3栋502房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3</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供应商资格要求：详见磋商公告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1"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4</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磋商文件的澄清：提交响应文件截止之日</w:t>
            </w:r>
            <w:r>
              <w:rPr>
                <w:rFonts w:cs="宋体" w:asciiTheme="majorEastAsia" w:hAnsiTheme="majorEastAsia" w:eastAsiaTheme="majorEastAsia"/>
                <w:color w:val="auto"/>
                <w:sz w:val="24"/>
                <w:szCs w:val="24"/>
              </w:rPr>
              <w:t>5</w:t>
            </w:r>
            <w:r>
              <w:rPr>
                <w:rFonts w:hint="eastAsia" w:cs="宋体" w:asciiTheme="majorEastAsia" w:hAnsiTheme="majorEastAsia" w:eastAsiaTheme="majorEastAsia"/>
                <w:color w:val="auto"/>
                <w:sz w:val="24"/>
                <w:szCs w:val="24"/>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5</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磋商文件的修改：提交响应文件截止之日</w:t>
            </w:r>
            <w:r>
              <w:rPr>
                <w:rFonts w:cs="宋体" w:asciiTheme="majorEastAsia" w:hAnsiTheme="majorEastAsia" w:eastAsiaTheme="majorEastAsia"/>
                <w:color w:val="auto"/>
                <w:sz w:val="24"/>
                <w:szCs w:val="24"/>
              </w:rPr>
              <w:t>5</w:t>
            </w:r>
            <w:r>
              <w:rPr>
                <w:rFonts w:hint="eastAsia" w:cs="宋体" w:asciiTheme="majorEastAsia" w:hAnsiTheme="majorEastAsia" w:eastAsiaTheme="majorEastAsia"/>
                <w:color w:val="auto"/>
                <w:sz w:val="24"/>
                <w:szCs w:val="24"/>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6</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CN"/>
              </w:rPr>
              <w:t>现场踏勘时间：</w:t>
            </w:r>
            <w:r>
              <w:rPr>
                <w:rFonts w:hint="eastAsia" w:cs="宋体" w:asciiTheme="majorEastAsia" w:hAnsiTheme="majorEastAsia" w:eastAsiaTheme="majorEastAsia"/>
                <w:color w:val="auto"/>
                <w:sz w:val="24"/>
                <w:szCs w:val="24"/>
              </w:rPr>
              <w:t>2021年6月17日9:00:00</w:t>
            </w:r>
          </w:p>
          <w:p>
            <w:pPr>
              <w:pStyle w:val="2"/>
              <w:ind w:firstLine="0"/>
              <w:rPr>
                <w:rFonts w:eastAsiaTheme="majorEastAsia"/>
              </w:rPr>
            </w:pPr>
            <w:r>
              <w:rPr>
                <w:rFonts w:hint="eastAsia" w:asciiTheme="majorEastAsia" w:hAnsiTheme="majorEastAsia" w:eastAsiaTheme="majorEastAsia"/>
                <w:color w:val="auto"/>
                <w:lang w:val="zh-CN"/>
              </w:rPr>
              <w:t>现场踏勘地点：海南省</w:t>
            </w:r>
            <w:r>
              <w:rPr>
                <w:rFonts w:asciiTheme="majorEastAsia" w:hAnsiTheme="majorEastAsia" w:eastAsiaTheme="majorEastAsia"/>
                <w:color w:val="auto"/>
                <w:lang w:val="zh-TW"/>
              </w:rPr>
              <w:t>海口市白驹大道98号</w:t>
            </w:r>
            <w:r>
              <w:rPr>
                <w:rFonts w:hint="eastAsia" w:asciiTheme="majorEastAsia" w:hAnsiTheme="majorEastAsia" w:eastAsiaTheme="majorEastAsia"/>
                <w:color w:val="auto"/>
                <w:lang w:val="zh-TW"/>
              </w:rPr>
              <w:t>（</w:t>
            </w:r>
            <w:r>
              <w:rPr>
                <w:rFonts w:hint="eastAsia" w:asciiTheme="majorEastAsia" w:hAnsiTheme="majorEastAsia" w:eastAsiaTheme="majorEastAsia"/>
                <w:color w:val="auto"/>
              </w:rPr>
              <w:t>海南省环境科学研究院</w:t>
            </w:r>
            <w:r>
              <w:rPr>
                <w:rFonts w:hint="eastAsia" w:asciiTheme="majorEastAsia" w:hAnsiTheme="majorEastAsia" w:eastAsiaTheme="majorEastAsia"/>
                <w:color w:val="C0000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56"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7</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2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供应商提供的磋商响应文件应由以下内容组成，实际响应中如有必要，供应商可对未涉及的部分予以补充</w:t>
            </w:r>
            <w:r>
              <w:rPr>
                <w:rFonts w:cs="宋体" w:asciiTheme="majorEastAsia" w:hAnsiTheme="majorEastAsia" w:eastAsiaTheme="majorEastAsia"/>
                <w:color w:val="auto"/>
                <w:sz w:val="24"/>
                <w:szCs w:val="24"/>
              </w:rPr>
              <w:t>:</w:t>
            </w:r>
          </w:p>
          <w:p>
            <w:pPr>
              <w:snapToGrid w:val="0"/>
              <w:spacing w:after="0" w:line="460" w:lineRule="exact"/>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rPr>
              <w:t>一、商务部分</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、报价函</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、报价一览表</w:t>
            </w:r>
          </w:p>
          <w:p>
            <w:pPr>
              <w:pStyle w:val="2"/>
              <w:spacing w:beforeLines="50"/>
              <w:ind w:firstLine="0"/>
              <w:rPr>
                <w:rFonts w:eastAsiaTheme="majorEastAsia"/>
              </w:rPr>
            </w:pPr>
            <w:r>
              <w:rPr>
                <w:rFonts w:hint="eastAsia" w:asciiTheme="majorEastAsia" w:hAnsiTheme="majorEastAsia" w:eastAsiaTheme="majorEastAsia"/>
                <w:color w:val="auto"/>
              </w:rPr>
              <w:t>3、分项报价明细表</w:t>
            </w:r>
          </w:p>
          <w:p>
            <w:pPr>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4、服务要求响应表</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5、法定代表人身份证明书</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6、授权委托书</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7、供应商基本情况表</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8、营业执照副本、组织机构代码证副本、税务登记证副本或</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三证合一</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营业执照副本、事业单位需提供事业单位法人证书副本复印件加盖公章</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9、社保和纳税证明（复印件加盖公章）</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10、</w:t>
            </w:r>
            <w:r>
              <w:rPr>
                <w:rFonts w:cs="宋体" w:asciiTheme="majorEastAsia" w:hAnsiTheme="majorEastAsia" w:eastAsiaTheme="majorEastAsia"/>
                <w:color w:val="auto"/>
                <w:sz w:val="24"/>
                <w:szCs w:val="24"/>
              </w:rPr>
              <w:t>供应商</w:t>
            </w:r>
            <w:r>
              <w:rPr>
                <w:rFonts w:hint="eastAsia" w:cs="宋体" w:asciiTheme="majorEastAsia" w:hAnsiTheme="majorEastAsia" w:eastAsiaTheme="majorEastAsia"/>
                <w:color w:val="auto"/>
                <w:sz w:val="24"/>
                <w:szCs w:val="24"/>
              </w:rPr>
              <w:t>的</w:t>
            </w:r>
            <w:r>
              <w:rPr>
                <w:rFonts w:cs="宋体" w:asciiTheme="majorEastAsia" w:hAnsiTheme="majorEastAsia" w:eastAsiaTheme="majorEastAsia"/>
                <w:color w:val="auto"/>
                <w:sz w:val="24"/>
                <w:szCs w:val="24"/>
              </w:rPr>
              <w:t>类似项目业绩一览表</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11、参加政府采购活动前三年内，在经营活动中没有重大违法记录（提供声明函加盖公章）</w:t>
            </w:r>
          </w:p>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w:t>
            </w: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、中小企业声明函</w:t>
            </w:r>
          </w:p>
          <w:p>
            <w:pPr>
              <w:snapToGrid w:val="0"/>
              <w:spacing w:after="0" w:line="460" w:lineRule="exact"/>
              <w:rPr>
                <w:rFonts w:cs="宋体" w:asciiTheme="majorEastAsia" w:hAnsiTheme="majorEastAsia" w:eastAsiaTheme="majorEastAsia"/>
                <w:color w:val="auto"/>
                <w:sz w:val="24"/>
                <w:szCs w:val="24"/>
              </w:rPr>
            </w:pPr>
            <w:bookmarkStart w:id="2" w:name="_Hlk70615310"/>
            <w:r>
              <w:rPr>
                <w:rFonts w:cs="宋体" w:asciiTheme="majorEastAsia" w:hAnsiTheme="majorEastAsia" w:eastAsiaTheme="majorEastAsia"/>
                <w:color w:val="auto"/>
                <w:sz w:val="24"/>
                <w:szCs w:val="24"/>
              </w:rPr>
              <w:t>13</w:t>
            </w:r>
            <w:r>
              <w:rPr>
                <w:rFonts w:hint="eastAsia" w:cs="宋体" w:asciiTheme="majorEastAsia" w:hAnsiTheme="majorEastAsia" w:eastAsiaTheme="majorEastAsia"/>
                <w:color w:val="auto"/>
                <w:sz w:val="24"/>
                <w:szCs w:val="24"/>
              </w:rPr>
              <w:t>、供应商认为需要提供的用于参与评审的其他材料</w:t>
            </w:r>
          </w:p>
          <w:bookmarkEnd w:id="2"/>
          <w:p>
            <w:pPr>
              <w:snapToGrid w:val="0"/>
              <w:spacing w:after="0" w:line="46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注：供应商编制上述文件时，本磋商文件第五章已提供格式的文件须按格式要求填写。</w:t>
            </w:r>
          </w:p>
          <w:p>
            <w:pPr>
              <w:snapToGrid w:val="0"/>
              <w:spacing w:after="0" w:line="460" w:lineRule="exact"/>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rPr>
              <w:t>二、技术部分</w:t>
            </w:r>
            <w:r>
              <w:rPr>
                <w:rFonts w:cs="宋体" w:asciiTheme="majorEastAsia" w:hAnsiTheme="majorEastAsia" w:eastAsiaTheme="majorEastAsia"/>
                <w:color w:val="auto"/>
                <w:sz w:val="24"/>
                <w:szCs w:val="24"/>
              </w:rPr>
              <w:t>（包括但不限于以下内容）：</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针对本工程特点的详细施工技术方案等；</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施工质量、工期控制及保证措施；</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安全、文明、环境保护等保证措施；</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项目管理机构、管理体系；</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施工中所涉及的各类风险的应急预案；</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主要附图、附表等；</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7</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施工协调管理措施；</w:t>
            </w:r>
          </w:p>
          <w:p>
            <w:pPr>
              <w:snapToGrid w:val="0"/>
              <w:spacing w:after="0" w:line="46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8</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本</w:t>
            </w:r>
            <w:r>
              <w:rPr>
                <w:rFonts w:hint="eastAsia" w:cs="宋体" w:asciiTheme="majorEastAsia" w:hAnsiTheme="majorEastAsia" w:eastAsiaTheme="majorEastAsia"/>
                <w:color w:val="auto"/>
                <w:sz w:val="24"/>
                <w:szCs w:val="24"/>
              </w:rPr>
              <w:t>磋商文件</w:t>
            </w:r>
            <w:r>
              <w:rPr>
                <w:rFonts w:cs="宋体" w:asciiTheme="majorEastAsia" w:hAnsiTheme="majorEastAsia" w:eastAsiaTheme="majorEastAsia"/>
                <w:color w:val="auto"/>
                <w:sz w:val="24"/>
                <w:szCs w:val="24"/>
              </w:rPr>
              <w:t>规定的其他材料。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3" w:hRule="atLeast"/>
          <w:jc w:val="center"/>
        </w:trPr>
        <w:tc>
          <w:tcPr>
            <w:tcW w:w="1078" w:type="dxa"/>
            <w:tcBorders>
              <w:top w:val="single" w:color="auto"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8</w:t>
            </w:r>
          </w:p>
        </w:tc>
        <w:tc>
          <w:tcPr>
            <w:tcW w:w="8820" w:type="dxa"/>
            <w:tcBorders>
              <w:top w:val="single" w:color="auto"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服务期限：</w:t>
            </w:r>
            <w:r>
              <w:rPr>
                <w:rFonts w:hint="eastAsia" w:cs="Courier New" w:asciiTheme="majorEastAsia" w:hAnsiTheme="majorEastAsia" w:eastAsiaTheme="majorEastAsia"/>
                <w:color w:val="auto"/>
                <w:sz w:val="24"/>
              </w:rPr>
              <w:t>90日历天</w:t>
            </w:r>
          </w:p>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地点：采购人指定地点。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0"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9</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本项目不允许分包，不接受联合体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7"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10</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备选方案：不接受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92"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1</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磋商保证金金额：人民币：贰万元整。</w:t>
            </w:r>
          </w:p>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海南鸿大中经建设项目咨询管理有限公司银行账号</w:t>
            </w:r>
          </w:p>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户名：海南鸿大中经建设项目咨询管理有限公司</w:t>
            </w:r>
          </w:p>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开户银行：中国建设银行股份有限公司海口京华城支行</w:t>
            </w:r>
          </w:p>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 xml:space="preserve">帐号：46050100523700000969 </w:t>
            </w:r>
          </w:p>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注：</w:t>
            </w: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、磋商保证金必须由供应商单位账户转出；</w:t>
            </w:r>
          </w:p>
          <w:p>
            <w:pPr>
              <w:spacing w:after="0" w:line="30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2、用途须注明项目编号；</w:t>
            </w:r>
          </w:p>
          <w:p>
            <w:pPr>
              <w:spacing w:after="0" w:line="300" w:lineRule="exact"/>
              <w:ind w:firstLine="480" w:firstLineChars="200"/>
              <w:rPr>
                <w:rFonts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3、磋商保证金到账截止时间：2021年6月21日9:00:00。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7"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2</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投标有效期：自投标截止之日起</w:t>
            </w:r>
            <w:r>
              <w:rPr>
                <w:rFonts w:cs="宋体" w:asciiTheme="majorEastAsia" w:hAnsiTheme="majorEastAsia" w:eastAsiaTheme="majorEastAsia"/>
                <w:color w:val="auto"/>
                <w:sz w:val="24"/>
                <w:szCs w:val="24"/>
              </w:rPr>
              <w:t>60</w:t>
            </w:r>
            <w:r>
              <w:rPr>
                <w:rFonts w:hint="eastAsia" w:cs="宋体" w:asciiTheme="majorEastAsia" w:hAnsiTheme="majorEastAsia" w:eastAsiaTheme="majorEastAsia"/>
                <w:color w:val="auto"/>
                <w:sz w:val="24"/>
                <w:szCs w:val="24"/>
              </w:rPr>
              <w:t>日历天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3</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响应文件份数：正本壹份，副本贰份，可读取的电子文档一份U盘（供应商提供的可读取的响应文件电子文档(U盘)，内容包括响应文件的所有内容，文件格式仅限*.doc, .xIs,.jpg，.pdf,.ppt。）</w:t>
            </w:r>
          </w:p>
          <w:p>
            <w:pPr>
              <w:pStyle w:val="2"/>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0"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4</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响应文件递交地点：详见磋商公告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1"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5</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供应商在递交磋商响应文件的同时，应将报价函、报价一览表、磋商保证金缴纳凭证密封在一个唱标信封内，单独递交。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6</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响应文件递交截止时间：</w:t>
            </w:r>
            <w:r>
              <w:rPr>
                <w:rFonts w:cs="宋体" w:asciiTheme="majorEastAsia" w:hAnsiTheme="majorEastAsia" w:eastAsiaTheme="majorEastAsia"/>
                <w:color w:val="auto"/>
                <w:sz w:val="24"/>
                <w:szCs w:val="24"/>
              </w:rPr>
              <w:t>20</w:t>
            </w:r>
            <w:r>
              <w:rPr>
                <w:rFonts w:hint="eastAsia" w:cs="宋体" w:asciiTheme="majorEastAsia" w:hAnsiTheme="majorEastAsia" w:eastAsiaTheme="majorEastAsia"/>
                <w:color w:val="auto"/>
                <w:sz w:val="24"/>
                <w:szCs w:val="24"/>
              </w:rPr>
              <w:t>21年6月21日9</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0</w:t>
            </w:r>
            <w:r>
              <w:rPr>
                <w:rFonts w:cs="宋体" w:asciiTheme="majorEastAsia" w:hAnsiTheme="majorEastAsia" w:eastAsiaTheme="majorEastAsia"/>
                <w:color w:val="auto"/>
                <w:sz w:val="24"/>
                <w:szCs w:val="24"/>
              </w:rPr>
              <w:t xml:space="preserve">0:00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83"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7</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响应文件开启时间：</w:t>
            </w:r>
            <w:r>
              <w:rPr>
                <w:rFonts w:cs="宋体" w:asciiTheme="majorEastAsia" w:hAnsiTheme="majorEastAsia" w:eastAsiaTheme="majorEastAsia"/>
                <w:color w:val="auto"/>
                <w:sz w:val="24"/>
                <w:szCs w:val="24"/>
              </w:rPr>
              <w:t>20</w:t>
            </w:r>
            <w:r>
              <w:rPr>
                <w:rFonts w:hint="eastAsia" w:cs="宋体" w:asciiTheme="majorEastAsia" w:hAnsiTheme="majorEastAsia" w:eastAsiaTheme="majorEastAsia"/>
                <w:color w:val="auto"/>
                <w:sz w:val="24"/>
                <w:szCs w:val="24"/>
              </w:rPr>
              <w:t>21年6月21日9</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0</w:t>
            </w:r>
            <w:r>
              <w:rPr>
                <w:rFonts w:cs="宋体" w:asciiTheme="majorEastAsia" w:hAnsiTheme="majorEastAsia" w:eastAsiaTheme="majorEastAsia"/>
                <w:color w:val="auto"/>
                <w:sz w:val="24"/>
                <w:szCs w:val="24"/>
              </w:rPr>
              <w:t>0:00</w:t>
            </w:r>
            <w:r>
              <w:rPr>
                <w:rFonts w:hint="eastAsia" w:cs="宋体" w:asciiTheme="majorEastAsia" w:hAnsiTheme="majorEastAsia" w:eastAsiaTheme="majorEastAsia"/>
                <w:color w:val="auto"/>
                <w:sz w:val="24"/>
                <w:szCs w:val="24"/>
              </w:rPr>
              <w:t>；</w:t>
            </w:r>
          </w:p>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响应文件开启地点：</w:t>
            </w:r>
            <w:r>
              <w:rPr>
                <w:rFonts w:hint="eastAsia" w:cs="宋体" w:asciiTheme="majorEastAsia" w:hAnsiTheme="majorEastAsia" w:eastAsiaTheme="majorEastAsia"/>
                <w:color w:val="auto"/>
                <w:sz w:val="24"/>
                <w:szCs w:val="24"/>
                <w:lang w:val="zh-CN"/>
              </w:rPr>
              <w:t>海口市</w:t>
            </w:r>
            <w:r>
              <w:rPr>
                <w:rFonts w:hint="eastAsia" w:cs="宋体" w:asciiTheme="majorEastAsia" w:hAnsiTheme="majorEastAsia" w:eastAsiaTheme="majorEastAsia"/>
                <w:color w:val="auto"/>
                <w:sz w:val="24"/>
                <w:szCs w:val="24"/>
                <w:u w:val="single" w:color="FFFFFF" w:themeColor="background1"/>
              </w:rPr>
              <w:t>美兰区蓝天路51号京航大酒店5楼海南招协招标采购交易平台开标5</w:t>
            </w:r>
            <w:r>
              <w:rPr>
                <w:rFonts w:hint="eastAsia" w:cs="宋体" w:asciiTheme="majorEastAsia" w:hAnsiTheme="majorEastAsia" w:eastAsiaTheme="majorEastAsia"/>
                <w:color w:val="auto"/>
                <w:sz w:val="24"/>
                <w:szCs w:val="24"/>
              </w:rPr>
              <w:t>评标2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24"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8</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出现以下情况将可导致供应商的投标被拒绝：</w:t>
            </w:r>
          </w:p>
          <w:p>
            <w:pPr>
              <w:spacing w:after="0" w:line="3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、磋商响应文件的密封、签署、盖章不符合磋商文件的要求；</w:t>
            </w:r>
          </w:p>
          <w:p>
            <w:pPr>
              <w:spacing w:after="0" w:line="3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、供应商的资格证明文件不符合磋商文件的要求；</w:t>
            </w:r>
          </w:p>
          <w:p>
            <w:pPr>
              <w:spacing w:after="0" w:line="3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w:t>
            </w:r>
            <w:r>
              <w:rPr>
                <w:rFonts w:hint="eastAsia" w:cs="宋体" w:asciiTheme="majorEastAsia" w:hAnsiTheme="majorEastAsia" w:eastAsiaTheme="majorEastAsia"/>
                <w:color w:val="auto"/>
                <w:sz w:val="24"/>
                <w:szCs w:val="24"/>
              </w:rPr>
              <w:t>、报价函或投标报价不符合磋商文件的要求；</w:t>
            </w:r>
          </w:p>
          <w:p>
            <w:pPr>
              <w:spacing w:after="0" w:line="3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w:t>
            </w:r>
            <w:r>
              <w:rPr>
                <w:rFonts w:hint="eastAsia" w:cs="宋体" w:asciiTheme="majorEastAsia" w:hAnsiTheme="majorEastAsia" w:eastAsiaTheme="majorEastAsia"/>
                <w:color w:val="auto"/>
                <w:sz w:val="24"/>
                <w:szCs w:val="24"/>
              </w:rPr>
              <w:t>、磋商保证金不符合磋商文件递交的要求；</w:t>
            </w:r>
          </w:p>
          <w:p>
            <w:pPr>
              <w:spacing w:after="0" w:line="3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w:t>
            </w:r>
            <w:r>
              <w:rPr>
                <w:rFonts w:hint="eastAsia" w:cs="宋体" w:asciiTheme="majorEastAsia" w:hAnsiTheme="majorEastAsia" w:eastAsiaTheme="majorEastAsia"/>
                <w:color w:val="auto"/>
                <w:sz w:val="24"/>
                <w:szCs w:val="24"/>
              </w:rPr>
              <w:t>、磋商响应文件的响应与磋商文件的实质性要求存在重大偏离；</w:t>
            </w:r>
          </w:p>
          <w:p>
            <w:pPr>
              <w:spacing w:after="0" w:line="300" w:lineRule="exact"/>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w:t>
            </w:r>
            <w:r>
              <w:rPr>
                <w:rFonts w:hint="eastAsia" w:cs="宋体" w:asciiTheme="majorEastAsia" w:hAnsiTheme="majorEastAsia" w:eastAsiaTheme="majorEastAsia"/>
                <w:color w:val="auto"/>
                <w:sz w:val="24"/>
                <w:szCs w:val="24"/>
              </w:rPr>
              <w:t>、不符合法律、法规和磋商文件中规定的其他实质性要求。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9"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1</w:t>
            </w:r>
            <w:r>
              <w:rPr>
                <w:rFonts w:hint="eastAsia" w:cs="宋体" w:asciiTheme="majorEastAsia" w:hAnsiTheme="majorEastAsia" w:eastAsiaTheme="majorEastAsia"/>
                <w:bCs/>
                <w:color w:val="auto"/>
                <w:sz w:val="24"/>
                <w:szCs w:val="24"/>
              </w:rPr>
              <w:t>9</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磋商小组由</w:t>
            </w: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名采购人代表，</w:t>
            </w: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名专家组成，</w:t>
            </w:r>
            <w:r>
              <w:rPr>
                <w:rFonts w:cs="宋体" w:asciiTheme="majorEastAsia" w:hAnsiTheme="majorEastAsia" w:eastAsiaTheme="majorEastAsia"/>
                <w:color w:val="auto"/>
                <w:sz w:val="24"/>
                <w:szCs w:val="24"/>
              </w:rPr>
              <w:t>专家按规定在海南省综合评审专家库中抽取,</w:t>
            </w:r>
            <w:r>
              <w:rPr>
                <w:rFonts w:hint="eastAsia" w:cs="宋体" w:asciiTheme="majorEastAsia" w:hAnsiTheme="majorEastAsia" w:eastAsiaTheme="majorEastAsia"/>
                <w:color w:val="auto"/>
                <w:sz w:val="24"/>
                <w:szCs w:val="24"/>
              </w:rPr>
              <w:t>采购人另外派遣</w:t>
            </w:r>
            <w:r>
              <w:rPr>
                <w:rFonts w:cs="宋体" w:asciiTheme="majorEastAsia" w:hAnsiTheme="majorEastAsia" w:eastAsiaTheme="majorEastAsia"/>
                <w:color w:val="auto"/>
                <w:sz w:val="24"/>
                <w:szCs w:val="24"/>
              </w:rPr>
              <w:t>1名业主代表和1名纪检员</w:t>
            </w:r>
            <w:r>
              <w:rPr>
                <w:rFonts w:hint="eastAsia" w:cs="宋体" w:asciiTheme="majorEastAsia" w:hAnsiTheme="majorEastAsia" w:eastAsiaTheme="majorEastAsia"/>
                <w:color w:val="auto"/>
                <w:sz w:val="24"/>
                <w:szCs w:val="24"/>
              </w:rPr>
              <w:t>参与评标过程。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5"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20</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推荐成交候选人</w:t>
            </w:r>
            <w:r>
              <w:rPr>
                <w:rFonts w:cs="宋体" w:asciiTheme="majorEastAsia" w:hAnsiTheme="majorEastAsia" w:eastAsiaTheme="majorEastAsia"/>
                <w:color w:val="auto"/>
                <w:sz w:val="24"/>
                <w:szCs w:val="24"/>
              </w:rPr>
              <w:t>3</w:t>
            </w:r>
            <w:r>
              <w:rPr>
                <w:rFonts w:hint="eastAsia" w:cs="宋体" w:asciiTheme="majorEastAsia" w:hAnsiTheme="majorEastAsia" w:eastAsiaTheme="majorEastAsia"/>
                <w:color w:val="auto"/>
                <w:sz w:val="24"/>
                <w:szCs w:val="24"/>
              </w:rPr>
              <w:t>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5"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w:t>
            </w:r>
            <w:r>
              <w:rPr>
                <w:rFonts w:hint="eastAsia" w:cs="宋体" w:asciiTheme="majorEastAsia" w:hAnsiTheme="majorEastAsia" w:eastAsiaTheme="majorEastAsia"/>
                <w:bCs/>
                <w:color w:val="auto"/>
                <w:sz w:val="24"/>
                <w:szCs w:val="24"/>
              </w:rPr>
              <w:t>1</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预算：人民币2500000.00元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12" w:hRule="atLeast"/>
          <w:jc w:val="center"/>
        </w:trPr>
        <w:tc>
          <w:tcPr>
            <w:tcW w:w="10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2</w:t>
            </w:r>
            <w:r>
              <w:rPr>
                <w:rFonts w:hint="eastAsia" w:cs="宋体" w:asciiTheme="majorEastAsia" w:hAnsiTheme="majorEastAsia" w:eastAsiaTheme="majorEastAsia"/>
                <w:bCs/>
                <w:color w:val="auto"/>
                <w:sz w:val="24"/>
                <w:szCs w:val="24"/>
              </w:rPr>
              <w:t>2</w:t>
            </w:r>
          </w:p>
        </w:tc>
        <w:tc>
          <w:tcPr>
            <w:tcW w:w="88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3" w:type="dxa"/>
            </w:tcMar>
            <w:vAlign w:val="center"/>
          </w:tcPr>
          <w:p>
            <w:pPr>
              <w:tabs>
                <w:tab w:val="left" w:pos="5352"/>
              </w:tabs>
              <w:spacing w:after="0" w:line="300" w:lineRule="exact"/>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采购代理服务费由成交供应商依据成交价参照《国家计委关于印发〈采购代理服务收费管理暂行办法〉的通知》（计价格［</w:t>
            </w:r>
            <w:r>
              <w:rPr>
                <w:rFonts w:cs="宋体" w:asciiTheme="majorEastAsia" w:hAnsiTheme="majorEastAsia" w:eastAsiaTheme="majorEastAsia"/>
                <w:color w:val="auto"/>
                <w:sz w:val="24"/>
                <w:szCs w:val="24"/>
              </w:rPr>
              <w:t>2002</w:t>
            </w: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1980</w:t>
            </w:r>
            <w:r>
              <w:rPr>
                <w:rFonts w:hint="eastAsia" w:cs="宋体" w:asciiTheme="majorEastAsia" w:hAnsiTheme="majorEastAsia" w:eastAsiaTheme="majorEastAsia"/>
                <w:color w:val="auto"/>
                <w:sz w:val="24"/>
                <w:szCs w:val="24"/>
              </w:rPr>
              <w:t>号）和《国家发展改革委办公厅印发〈关于采购代理服务收费有关问题的通知〉》（发改办价格</w:t>
            </w:r>
            <w:r>
              <w:rPr>
                <w:rFonts w:cs="宋体" w:asciiTheme="majorEastAsia" w:hAnsiTheme="majorEastAsia" w:eastAsiaTheme="majorEastAsia"/>
                <w:color w:val="auto"/>
                <w:sz w:val="24"/>
                <w:szCs w:val="24"/>
              </w:rPr>
              <w:t>[2003]857</w:t>
            </w:r>
            <w:r>
              <w:rPr>
                <w:rFonts w:hint="eastAsia" w:cs="宋体" w:asciiTheme="majorEastAsia" w:hAnsiTheme="majorEastAsia" w:eastAsiaTheme="majorEastAsia"/>
                <w:color w:val="auto"/>
                <w:sz w:val="24"/>
                <w:szCs w:val="24"/>
              </w:rPr>
              <w:t>号）计取支付采购代理服务费。于成交通知书签发前一次性付清。</w:t>
            </w:r>
          </w:p>
        </w:tc>
      </w:tr>
    </w:tbl>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199" w:firstLineChars="83"/>
        <w:rPr>
          <w:rFonts w:asciiTheme="majorEastAsia" w:hAnsiTheme="majorEastAsia" w:eastAsiaTheme="majorEastAsia"/>
          <w:color w:val="auto"/>
        </w:rPr>
        <w:sectPr>
          <w:pgSz w:w="11900" w:h="16840"/>
          <w:pgMar w:top="1440" w:right="1361" w:bottom="1440" w:left="1361" w:header="709" w:footer="709" w:gutter="0"/>
          <w:pgNumType w:chapStyle="3"/>
          <w:cols w:space="720" w:num="1"/>
          <w:titlePg/>
          <w:docGrid w:linePitch="312" w:charSpace="0"/>
        </w:sectPr>
      </w:pPr>
    </w:p>
    <w:p>
      <w:pPr>
        <w:spacing w:after="0" w:line="480" w:lineRule="exact"/>
        <w:jc w:val="center"/>
        <w:outlineLvl w:val="0"/>
        <w:rPr>
          <w:rFonts w:cs="宋体" w:asciiTheme="majorEastAsia" w:hAnsiTheme="majorEastAsia" w:eastAsiaTheme="majorEastAsia"/>
          <w:b/>
          <w:color w:val="auto"/>
          <w:sz w:val="36"/>
          <w:szCs w:val="36"/>
        </w:rPr>
      </w:pPr>
      <w:bookmarkStart w:id="3" w:name="_Toc71553217"/>
      <w:r>
        <w:rPr>
          <w:rFonts w:hint="eastAsia" w:cs="宋体" w:asciiTheme="majorEastAsia" w:hAnsiTheme="majorEastAsia" w:eastAsiaTheme="majorEastAsia"/>
          <w:b/>
          <w:color w:val="auto"/>
          <w:sz w:val="36"/>
          <w:szCs w:val="36"/>
        </w:rPr>
        <w:t>第三章  供应商须知</w:t>
      </w:r>
      <w:bookmarkEnd w:id="3"/>
    </w:p>
    <w:p>
      <w:pPr>
        <w:spacing w:after="0" w:line="460" w:lineRule="exact"/>
        <w:jc w:val="cente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一、总 则</w:t>
      </w:r>
    </w:p>
    <w:p>
      <w:pPr>
        <w:spacing w:after="0" w:line="460" w:lineRule="exact"/>
        <w:jc w:val="both"/>
        <w:rPr>
          <w:rFonts w:asciiTheme="majorEastAsia" w:hAnsiTheme="majorEastAsia" w:eastAsiaTheme="majorEastAsia"/>
          <w:color w:val="auto"/>
          <w:sz w:val="24"/>
          <w:szCs w:val="24"/>
        </w:rPr>
      </w:pPr>
      <w:r>
        <w:rPr>
          <w:rFonts w:asciiTheme="majorEastAsia" w:hAnsiTheme="majorEastAsia" w:eastAsiaTheme="majorEastAsia"/>
          <w:b/>
          <w:color w:val="auto"/>
          <w:sz w:val="24"/>
          <w:szCs w:val="24"/>
        </w:rPr>
        <w:t>1</w:t>
      </w:r>
      <w:r>
        <w:rPr>
          <w:rFonts w:hint="eastAsia" w:asciiTheme="majorEastAsia" w:hAnsiTheme="majorEastAsia" w:eastAsiaTheme="majorEastAsia"/>
          <w:b/>
          <w:color w:val="auto"/>
          <w:sz w:val="24"/>
          <w:szCs w:val="24"/>
        </w:rPr>
        <w:t>、资金来源</w:t>
      </w:r>
      <w:r>
        <w:rPr>
          <w:rFonts w:hint="eastAsia" w:asciiTheme="majorEastAsia" w:hAnsiTheme="majorEastAsia" w:eastAsiaTheme="majorEastAsia"/>
          <w:color w:val="auto"/>
          <w:sz w:val="24"/>
          <w:szCs w:val="24"/>
        </w:rPr>
        <w:t>：财政资金。</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采购人：见《供应商须知前附表》</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采购代理机构：见《供应商须知前附表》</w:t>
      </w:r>
    </w:p>
    <w:p>
      <w:pPr>
        <w:spacing w:after="0" w:line="460" w:lineRule="exact"/>
        <w:jc w:val="both"/>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2、合格的供应商</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2.1</w:t>
      </w:r>
      <w:r>
        <w:rPr>
          <w:rFonts w:hint="eastAsia" w:asciiTheme="majorEastAsia" w:hAnsiTheme="majorEastAsia" w:eastAsiaTheme="majorEastAsia"/>
          <w:color w:val="auto"/>
          <w:sz w:val="24"/>
          <w:szCs w:val="24"/>
        </w:rPr>
        <w:t>、合格的供应商：见《磋商公告》及《供应商须知前附表》中规定的内容。</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w:t>
      </w:r>
      <w:r>
        <w:rPr>
          <w:rFonts w:hint="eastAsia" w:asciiTheme="majorEastAsia" w:hAnsiTheme="majorEastAsia" w:eastAsiaTheme="majorEastAsia"/>
          <w:color w:val="auto"/>
          <w:sz w:val="24"/>
          <w:szCs w:val="24"/>
        </w:rPr>
        <w:t>、联合体投标</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本次采购不接受联合体。</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2.3</w:t>
      </w:r>
      <w:r>
        <w:rPr>
          <w:rFonts w:hint="eastAsia" w:asciiTheme="majorEastAsia" w:hAnsiTheme="majorEastAsia" w:eastAsiaTheme="majorEastAsia"/>
          <w:color w:val="auto"/>
          <w:sz w:val="24"/>
          <w:szCs w:val="24"/>
        </w:rPr>
        <w:t>、合格的服务：合同规定的服务指其来源符合磋商文件要求的服务。</w:t>
      </w:r>
      <w:bookmarkStart w:id="4" w:name="_Toc533354138"/>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2.4</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bookmarkEnd w:id="4"/>
      <w:bookmarkStart w:id="5" w:name="_Toc533354139"/>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2.5</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如为信息系统采购项目，供应商不得为该整体项目或其中分项目前期工作提供过设计、编制、管理等服务的法人及附属单位。</w:t>
      </w:r>
      <w:bookmarkEnd w:id="5"/>
      <w:bookmarkStart w:id="6" w:name="_Toc533354140"/>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2.6</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招标（采购）文件中未明确规定允许进口产品参加的，均视为拒绝进口产品参加。（进口产品是指通过中国海关报关验放进入中国境内且产自关境外的产品）。</w:t>
      </w:r>
      <w:bookmarkEnd w:id="6"/>
      <w:bookmarkStart w:id="7" w:name="_Toc533354141"/>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w:t>
      </w:r>
      <w:bookmarkEnd w:id="7"/>
      <w:r>
        <w:rPr>
          <w:rFonts w:hint="eastAsia" w:asciiTheme="majorEastAsia" w:hAnsiTheme="majorEastAsia" w:eastAsiaTheme="majorEastAsia"/>
          <w:color w:val="auto"/>
          <w:sz w:val="24"/>
          <w:szCs w:val="24"/>
        </w:rPr>
        <w:t>7、信用记录以</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信用中国</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网站（</w:t>
      </w:r>
      <w:r>
        <w:fldChar w:fldCharType="begin"/>
      </w:r>
      <w:r>
        <w:instrText xml:space="preserve"> HYPERLINK "file:///C:\\Users\\Administrator\\Desktop\\www.creditchina.gov.cn" </w:instrText>
      </w:r>
      <w:r>
        <w:fldChar w:fldCharType="separate"/>
      </w:r>
      <w:r>
        <w:rPr>
          <w:rFonts w:asciiTheme="majorEastAsia" w:hAnsiTheme="majorEastAsia" w:eastAsiaTheme="majorEastAsia"/>
          <w:color w:val="auto"/>
          <w:sz w:val="24"/>
          <w:szCs w:val="24"/>
        </w:rPr>
        <w:t>www.creditchina.gov.cn</w:t>
      </w:r>
      <w:r>
        <w:rPr>
          <w:rFonts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）和</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中国政府采购网</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w:t>
      </w:r>
      <w:r>
        <w:fldChar w:fldCharType="begin"/>
      </w:r>
      <w:r>
        <w:instrText xml:space="preserve"> HYPERLINK "file:///C:\\Users\\Administrator\\Desktop\\www.ccgp.gov.cn" </w:instrText>
      </w:r>
      <w:r>
        <w:fldChar w:fldCharType="separate"/>
      </w:r>
      <w:r>
        <w:rPr>
          <w:rFonts w:asciiTheme="majorEastAsia" w:hAnsiTheme="majorEastAsia" w:eastAsiaTheme="majorEastAsia"/>
          <w:color w:val="auto"/>
          <w:sz w:val="24"/>
          <w:szCs w:val="24"/>
        </w:rPr>
        <w:t>www.ccgp.gov.cn</w:t>
      </w:r>
      <w:r>
        <w:rPr>
          <w:rFonts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）上公布的信用记录为准（网址证明截图需加盖公章）。</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w:t>
      </w:r>
      <w:r>
        <w:rPr>
          <w:rFonts w:hint="eastAsia" w:asciiTheme="majorEastAsia" w:hAnsiTheme="majorEastAsia" w:eastAsiaTheme="majorEastAsia"/>
          <w:b/>
          <w:color w:val="auto"/>
          <w:sz w:val="24"/>
          <w:szCs w:val="24"/>
        </w:rPr>
        <w:t>投标费用</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br w:type="page"/>
      </w:r>
    </w:p>
    <w:p>
      <w:pPr>
        <w:spacing w:after="0" w:line="460" w:lineRule="exact"/>
        <w:jc w:val="cente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二、磋商文件</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4</w:t>
      </w:r>
      <w:r>
        <w:rPr>
          <w:rFonts w:hint="eastAsia" w:asciiTheme="majorEastAsia" w:hAnsiTheme="majorEastAsia" w:eastAsiaTheme="majorEastAsia"/>
          <w:b/>
          <w:color w:val="auto"/>
          <w:sz w:val="24"/>
          <w:szCs w:val="24"/>
        </w:rPr>
        <w:t>、磋商文件的构成</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4.1</w:t>
      </w:r>
      <w:r>
        <w:rPr>
          <w:rFonts w:hint="eastAsia" w:asciiTheme="majorEastAsia" w:hAnsiTheme="majorEastAsia" w:eastAsiaTheme="majorEastAsia"/>
          <w:color w:val="auto"/>
          <w:sz w:val="24"/>
          <w:szCs w:val="24"/>
        </w:rPr>
        <w:t>、磋商文件包括：</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第一章  磋商公告</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第二章  供应商须知前附表</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第三章  供应商须知</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第四章  合同条款</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第五章  磋商响应文件格式</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第六章  用户需求书</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第七章  评审办法和程序</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4.2</w:t>
      </w:r>
      <w:r>
        <w:rPr>
          <w:rFonts w:hint="eastAsia" w:asciiTheme="majorEastAsia" w:hAnsiTheme="majorEastAsia" w:eastAsiaTheme="majorEastAsia"/>
          <w:color w:val="auto"/>
          <w:sz w:val="24"/>
          <w:szCs w:val="24"/>
        </w:rPr>
        <w:t>、供应商应审阅磋商文件中所有须知、格式、条款和规格。供应商未按采购文件要求提供全部资料或提交的磋商文件未对磋商文件作出实质性响应，供应商将承担其风险并有可能根据磋商文件要求导致磋商响应文件被拒绝。</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5、</w:t>
      </w:r>
      <w:r>
        <w:rPr>
          <w:rFonts w:hint="eastAsia" w:asciiTheme="majorEastAsia" w:hAnsiTheme="majorEastAsia" w:eastAsiaTheme="majorEastAsia"/>
          <w:b/>
          <w:color w:val="auto"/>
          <w:sz w:val="24"/>
          <w:szCs w:val="24"/>
        </w:rPr>
        <w:t>磋商文件的澄清</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任何对磋商文件提出澄清的供应商，应在《供应商须知前附表》中规定的提交响应文件截止之日前</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日以书面形式通知采购代理机构。采购机构将视情况对提交响应文件截止之日前</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日收到的澄清要求采用适当方式或以书面形式予以答复，并在其认为必要时，将不标明查询来源的书面答复发给每一已购买磋商文件的潜在供应商。</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6</w:t>
      </w:r>
      <w:r>
        <w:rPr>
          <w:rFonts w:hint="eastAsia" w:asciiTheme="majorEastAsia" w:hAnsiTheme="majorEastAsia" w:eastAsiaTheme="majorEastAsia"/>
          <w:b/>
          <w:color w:val="auto"/>
          <w:sz w:val="24"/>
          <w:szCs w:val="24"/>
        </w:rPr>
        <w:t>、磋商文件的修改</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在提交响应文件截止之日前</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日的任何时候，无论何故，采购人可主动地或在答复供应商提出澄清的问题时对磋商文件进行修改。</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磋商文件的修改将以书面形式通知所有购买磋商文件的供应商，并对其具有约束力。供应商在接收后</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日内应立即以传真的形式确认已收到该修改。</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为使供应商在准备磋商文件时有合理的时间考虑磋商文件的修改，采购人可酌情推迟第</w:t>
      </w:r>
      <w:r>
        <w:rPr>
          <w:rFonts w:asciiTheme="majorEastAsia" w:hAnsiTheme="majorEastAsia" w:eastAsiaTheme="majorEastAsia"/>
          <w:color w:val="auto"/>
          <w:sz w:val="24"/>
          <w:szCs w:val="24"/>
        </w:rPr>
        <w:t>18</w:t>
      </w:r>
      <w:r>
        <w:rPr>
          <w:rFonts w:hint="eastAsia" w:asciiTheme="majorEastAsia" w:hAnsiTheme="majorEastAsia" w:eastAsiaTheme="majorEastAsia"/>
          <w:color w:val="auto"/>
          <w:sz w:val="24"/>
          <w:szCs w:val="24"/>
        </w:rPr>
        <w:t>款中规定的提交响应文件截止之日。</w:t>
      </w:r>
    </w:p>
    <w:p>
      <w:pP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br w:type="page"/>
      </w:r>
    </w:p>
    <w:p>
      <w:pPr>
        <w:spacing w:after="0" w:line="460" w:lineRule="exact"/>
        <w:jc w:val="center"/>
        <w:rPr>
          <w:rFonts w:asciiTheme="majorEastAsia" w:hAnsiTheme="majorEastAsia" w:eastAsiaTheme="majorEastAsia"/>
          <w:b/>
          <w:color w:val="auto"/>
          <w:sz w:val="28"/>
          <w:szCs w:val="28"/>
        </w:rPr>
      </w:pPr>
      <w:bookmarkStart w:id="8" w:name="_投标文件的编制"/>
      <w:bookmarkEnd w:id="8"/>
      <w:r>
        <w:rPr>
          <w:rFonts w:hint="eastAsia" w:asciiTheme="majorEastAsia" w:hAnsiTheme="majorEastAsia" w:eastAsiaTheme="majorEastAsia"/>
          <w:b/>
          <w:color w:val="auto"/>
          <w:sz w:val="28"/>
          <w:szCs w:val="28"/>
        </w:rPr>
        <w:t>三、磋商响应文件的编制</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7</w:t>
      </w:r>
      <w:r>
        <w:rPr>
          <w:rFonts w:hint="eastAsia" w:asciiTheme="majorEastAsia" w:hAnsiTheme="majorEastAsia" w:eastAsiaTheme="majorEastAsia"/>
          <w:b/>
          <w:color w:val="auto"/>
          <w:sz w:val="24"/>
          <w:szCs w:val="24"/>
        </w:rPr>
        <w:t>、投标使用的文字</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磋商响应文件所有部分均应以中文编制。响应文件部分内容必须使用其他文字的，应当附有该文字的中文译本。供应商承担未附中文译本或中文译本不准确而引起不利后果</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8</w:t>
      </w:r>
      <w:r>
        <w:rPr>
          <w:rFonts w:hint="eastAsia" w:asciiTheme="majorEastAsia" w:hAnsiTheme="majorEastAsia" w:eastAsiaTheme="majorEastAsia"/>
          <w:b/>
          <w:color w:val="auto"/>
          <w:sz w:val="24"/>
          <w:szCs w:val="24"/>
        </w:rPr>
        <w:t>、磋商响应文件的组成</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8.1</w:t>
      </w:r>
      <w:r>
        <w:rPr>
          <w:rFonts w:hint="eastAsia" w:asciiTheme="majorEastAsia" w:hAnsiTheme="majorEastAsia" w:eastAsiaTheme="majorEastAsia"/>
          <w:color w:val="auto"/>
          <w:sz w:val="24"/>
          <w:szCs w:val="24"/>
        </w:rPr>
        <w:t>、供应商准备的磋商响应文件应包括以下部分：</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）按第五章磋商响应文件格式填写的报价函及报价一览表。报价一览表与报价函总价不符，以报价一览表为准。</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）按</w:t>
      </w:r>
      <w:r>
        <w:fldChar w:fldCharType="begin"/>
      </w:r>
      <w:r>
        <w:instrText xml:space="preserve"> HYPERLINK \l "bookmark"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13</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出具的，证明供应商有资格投标以及如果成交有能力履行合同的证明文件。</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）按</w:t>
      </w:r>
      <w:r>
        <w:fldChar w:fldCharType="begin"/>
      </w:r>
      <w:r>
        <w:instrText xml:space="preserve"> HYPERLINK \l "bookmark1"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14</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出具的磋商保证金。</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8.2</w:t>
      </w:r>
      <w:r>
        <w:rPr>
          <w:rFonts w:hint="eastAsia" w:asciiTheme="majorEastAsia" w:hAnsiTheme="majorEastAsia" w:eastAsiaTheme="majorEastAsia"/>
          <w:color w:val="auto"/>
          <w:sz w:val="24"/>
          <w:szCs w:val="24"/>
        </w:rPr>
        <w:t>、供应商应按第五章《磋商响应文件格式》中规定结构和顺序编制磋商响应文件。</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9</w:t>
      </w:r>
      <w:r>
        <w:rPr>
          <w:rFonts w:hint="eastAsia" w:asciiTheme="majorEastAsia" w:hAnsiTheme="majorEastAsia" w:eastAsiaTheme="majorEastAsia"/>
          <w:b/>
          <w:color w:val="auto"/>
          <w:sz w:val="24"/>
          <w:szCs w:val="24"/>
        </w:rPr>
        <w:t>、磋商响应文件格式</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供应商应按磋商文件第五章提供的磋商响应文件格式编制磋商响应文件。</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10</w:t>
      </w:r>
      <w:r>
        <w:rPr>
          <w:rFonts w:hint="eastAsia" w:asciiTheme="majorEastAsia" w:hAnsiTheme="majorEastAsia" w:eastAsiaTheme="majorEastAsia"/>
          <w:b/>
          <w:color w:val="auto"/>
          <w:sz w:val="24"/>
          <w:szCs w:val="24"/>
        </w:rPr>
        <w:t>、响应报价</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10.1</w:t>
      </w:r>
      <w:r>
        <w:rPr>
          <w:rFonts w:hint="eastAsia" w:asciiTheme="majorEastAsia" w:hAnsiTheme="majorEastAsia" w:eastAsiaTheme="majorEastAsia"/>
          <w:color w:val="auto"/>
          <w:sz w:val="24"/>
          <w:szCs w:val="24"/>
        </w:rPr>
        <w:t>、本项目为固定预算采购，任何有选择报价将不予接受，只允许有一个报价。</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10.2</w:t>
      </w:r>
      <w:r>
        <w:rPr>
          <w:rFonts w:hint="eastAsia" w:asciiTheme="majorEastAsia" w:hAnsiTheme="majorEastAsia" w:eastAsiaTheme="majorEastAsia"/>
          <w:color w:val="auto"/>
          <w:sz w:val="24"/>
          <w:szCs w:val="24"/>
        </w:rPr>
        <w:t>、响应总报价及分项报价应包括：采购内容的全部费用。</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10.</w:t>
      </w:r>
      <w:r>
        <w:rPr>
          <w:rFonts w:hint="eastAsia" w:asciiTheme="majorEastAsia" w:hAnsiTheme="majorEastAsia" w:eastAsiaTheme="majorEastAsia"/>
          <w:color w:val="auto"/>
          <w:sz w:val="24"/>
          <w:szCs w:val="24"/>
        </w:rPr>
        <w:t>3、报价函和报价一览表中所填的价格在合同执行过程中是固定不变的；除非另有规定，非固定的投标价将根据</w:t>
      </w:r>
      <w:r>
        <w:fldChar w:fldCharType="begin"/>
      </w:r>
      <w:r>
        <w:instrText xml:space="preserve"> HYPERLINK \l "bookmark2"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22</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规定被采购人拒绝。</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10.</w:t>
      </w:r>
      <w:r>
        <w:rPr>
          <w:rFonts w:hint="eastAsia" w:asciiTheme="majorEastAsia" w:hAnsiTheme="majorEastAsia" w:eastAsiaTheme="majorEastAsia"/>
          <w:color w:val="auto"/>
          <w:sz w:val="24"/>
          <w:szCs w:val="24"/>
        </w:rPr>
        <w:t>4、其他要求见《供应商须知前附表》。</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11</w:t>
      </w:r>
      <w:r>
        <w:rPr>
          <w:rFonts w:hint="eastAsia" w:asciiTheme="majorEastAsia" w:hAnsiTheme="majorEastAsia" w:eastAsiaTheme="majorEastAsia"/>
          <w:b/>
          <w:color w:val="auto"/>
          <w:sz w:val="24"/>
          <w:szCs w:val="24"/>
        </w:rPr>
        <w:t>、报价货币</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本次采购的服务以人民币进行报价，以其它货币标价的投标将被拒绝。</w:t>
      </w:r>
    </w:p>
    <w:p>
      <w:pPr>
        <w:spacing w:after="0" w:line="460" w:lineRule="exact"/>
        <w:jc w:val="both"/>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12、供应商的合格性和资格的声明文件</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12.1</w:t>
      </w:r>
      <w:r>
        <w:rPr>
          <w:rFonts w:hint="eastAsia" w:asciiTheme="majorEastAsia" w:hAnsiTheme="majorEastAsia" w:eastAsiaTheme="majorEastAsia"/>
          <w:color w:val="auto"/>
          <w:sz w:val="24"/>
          <w:szCs w:val="24"/>
        </w:rPr>
        <w:t>、根据</w:t>
      </w:r>
      <w:r>
        <w:fldChar w:fldCharType="begin"/>
      </w:r>
      <w:r>
        <w:instrText xml:space="preserve"> HYPERLINK \l "bookmark3"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13.2</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规定，供应商须提交证明其有资格进行投标和有能力履行合同的文件，做为磋商响应文件的一部分。</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12.2</w:t>
      </w:r>
      <w:r>
        <w:rPr>
          <w:rFonts w:hint="eastAsia" w:asciiTheme="majorEastAsia" w:hAnsiTheme="majorEastAsia" w:eastAsiaTheme="majorEastAsia"/>
          <w:color w:val="auto"/>
          <w:sz w:val="24"/>
          <w:szCs w:val="24"/>
        </w:rPr>
        <w:t>、供应商提供的履行合同的资格声明文件应使采购人满意：</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）供应商具有履行合同所需的财务、技术和生产能力；</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）供应商应填写并提交磋商文件第五章上所附的“资格证明文件”中的所有内容。</w:t>
      </w:r>
    </w:p>
    <w:p>
      <w:pPr>
        <w:spacing w:after="0" w:line="460" w:lineRule="exact"/>
        <w:jc w:val="both"/>
        <w:rPr>
          <w:rFonts w:asciiTheme="majorEastAsia" w:hAnsiTheme="majorEastAsia" w:eastAsiaTheme="majorEastAsia"/>
          <w:b/>
          <w:color w:val="auto"/>
          <w:sz w:val="24"/>
          <w:szCs w:val="24"/>
        </w:rPr>
      </w:pP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13</w:t>
      </w:r>
      <w:r>
        <w:rPr>
          <w:rFonts w:hint="eastAsia" w:asciiTheme="majorEastAsia" w:hAnsiTheme="majorEastAsia" w:eastAsiaTheme="majorEastAsia"/>
          <w:b/>
          <w:color w:val="auto"/>
          <w:sz w:val="24"/>
          <w:szCs w:val="24"/>
        </w:rPr>
        <w:t>、服务的合格性及符合磋商文件规定的证明文件</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13.1</w:t>
      </w:r>
      <w:r>
        <w:rPr>
          <w:rFonts w:hint="eastAsia" w:asciiTheme="majorEastAsia" w:hAnsiTheme="majorEastAsia" w:eastAsiaTheme="majorEastAsia"/>
          <w:color w:val="auto"/>
          <w:sz w:val="24"/>
          <w:szCs w:val="24"/>
        </w:rPr>
        <w:t>、供应商须提交证明其提供服务的合格性并符合磋商文件规定的证明文件，作为磋商响应文件的一部分。证明文件可以是文字资料、彩页和数据。</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13.2</w:t>
      </w:r>
      <w:r>
        <w:rPr>
          <w:rFonts w:hint="eastAsia" w:asciiTheme="majorEastAsia" w:hAnsiTheme="majorEastAsia" w:eastAsiaTheme="majorEastAsia"/>
          <w:color w:val="auto"/>
          <w:sz w:val="24"/>
          <w:szCs w:val="24"/>
        </w:rPr>
        <w:t>、磋商文件规定的其他必要文件。</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14</w:t>
      </w:r>
      <w:r>
        <w:rPr>
          <w:rFonts w:hint="eastAsia" w:asciiTheme="majorEastAsia" w:hAnsiTheme="majorEastAsia" w:eastAsiaTheme="majorEastAsia"/>
          <w:b/>
          <w:color w:val="auto"/>
          <w:sz w:val="24"/>
          <w:szCs w:val="24"/>
        </w:rPr>
        <w:t>、磋商保证金</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14.</w:t>
      </w:r>
      <w:r>
        <w:rPr>
          <w:rFonts w:hint="eastAsia" w:asciiTheme="majorEastAsia" w:hAnsiTheme="majorEastAsia" w:eastAsiaTheme="majorEastAsia"/>
          <w:color w:val="auto"/>
          <w:sz w:val="24"/>
          <w:szCs w:val="24"/>
        </w:rPr>
        <w:t>1、供应商投标时需按《供应商须知前附表》中的规定提交磋商保证金。</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14.2</w:t>
      </w:r>
      <w:r>
        <w:rPr>
          <w:rFonts w:hint="eastAsia" w:asciiTheme="majorEastAsia" w:hAnsiTheme="majorEastAsia" w:eastAsiaTheme="majorEastAsia"/>
          <w:color w:val="auto"/>
          <w:sz w:val="24"/>
          <w:szCs w:val="24"/>
        </w:rPr>
        <w:t>、磋商保证金是用于保护本次采购免受供应商的行为而引起的风险，根据第</w:t>
      </w:r>
      <w:r>
        <w:rPr>
          <w:rFonts w:asciiTheme="majorEastAsia" w:hAnsiTheme="majorEastAsia" w:eastAsiaTheme="majorEastAsia"/>
          <w:color w:val="auto"/>
          <w:sz w:val="24"/>
          <w:szCs w:val="24"/>
        </w:rPr>
        <w:t>14.6</w:t>
      </w:r>
      <w:r>
        <w:rPr>
          <w:rFonts w:hint="eastAsia" w:asciiTheme="majorEastAsia" w:hAnsiTheme="majorEastAsia" w:eastAsiaTheme="majorEastAsia"/>
          <w:color w:val="auto"/>
          <w:sz w:val="24"/>
          <w:szCs w:val="24"/>
        </w:rPr>
        <w:t>款规定，发生下述行为予以没收磋商保证金。</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14.3</w:t>
      </w:r>
      <w:r>
        <w:rPr>
          <w:rFonts w:hint="eastAsia" w:asciiTheme="majorEastAsia" w:hAnsiTheme="majorEastAsia" w:eastAsiaTheme="majorEastAsia"/>
          <w:color w:val="auto"/>
          <w:sz w:val="24"/>
          <w:szCs w:val="24"/>
        </w:rPr>
        <w:t>、磋商保证金使用投标货币表示，只能采取下列形式：电汇或转账。</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14.4</w:t>
      </w:r>
      <w:r>
        <w:rPr>
          <w:rFonts w:hint="eastAsia" w:asciiTheme="majorEastAsia" w:hAnsiTheme="majorEastAsia" w:eastAsiaTheme="majorEastAsia"/>
          <w:color w:val="auto"/>
          <w:sz w:val="24"/>
          <w:szCs w:val="24"/>
        </w:rPr>
        <w:t>、任何未按第</w:t>
      </w:r>
      <w:r>
        <w:rPr>
          <w:rFonts w:asciiTheme="majorEastAsia" w:hAnsiTheme="majorEastAsia" w:eastAsiaTheme="majorEastAsia"/>
          <w:color w:val="auto"/>
          <w:sz w:val="24"/>
          <w:szCs w:val="24"/>
        </w:rPr>
        <w:t>14.1</w:t>
      </w:r>
      <w:r>
        <w:rPr>
          <w:rFonts w:hint="eastAsia" w:asciiTheme="majorEastAsia" w:hAnsiTheme="majorEastAsia" w:eastAsiaTheme="majorEastAsia"/>
          <w:color w:val="auto"/>
          <w:sz w:val="24"/>
          <w:szCs w:val="24"/>
        </w:rPr>
        <w:t>款和第</w:t>
      </w:r>
      <w:r>
        <w:rPr>
          <w:rFonts w:asciiTheme="majorEastAsia" w:hAnsiTheme="majorEastAsia" w:eastAsiaTheme="majorEastAsia"/>
          <w:color w:val="auto"/>
          <w:sz w:val="24"/>
          <w:szCs w:val="24"/>
        </w:rPr>
        <w:t>14.3</w:t>
      </w:r>
      <w:r>
        <w:rPr>
          <w:rFonts w:hint="eastAsia" w:asciiTheme="majorEastAsia" w:hAnsiTheme="majorEastAsia" w:eastAsiaTheme="majorEastAsia"/>
          <w:color w:val="auto"/>
          <w:sz w:val="24"/>
          <w:szCs w:val="24"/>
        </w:rPr>
        <w:t>款规定提交磋商保证金的投标，将被视为非响应性投标而按</w:t>
      </w:r>
      <w:r>
        <w:fldChar w:fldCharType="begin"/>
      </w:r>
      <w:r>
        <w:instrText xml:space="preserve"> HYPERLINK \l "bookmark5"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22</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予以拒绝。</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14.5</w:t>
      </w:r>
      <w:r>
        <w:rPr>
          <w:rFonts w:hint="eastAsia" w:asciiTheme="majorEastAsia" w:hAnsiTheme="majorEastAsia" w:eastAsiaTheme="majorEastAsia"/>
          <w:color w:val="auto"/>
          <w:sz w:val="24"/>
          <w:szCs w:val="24"/>
        </w:rPr>
        <w:t>、未成交供应商的保证金在成交通知书发出后</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个工作日退还，成交供应商的保证金在采购合同签订后</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个工作日退还。</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14.6</w:t>
      </w:r>
      <w:r>
        <w:rPr>
          <w:rFonts w:hint="eastAsia" w:asciiTheme="majorEastAsia" w:hAnsiTheme="majorEastAsia" w:eastAsiaTheme="majorEastAsia"/>
          <w:color w:val="auto"/>
          <w:sz w:val="24"/>
          <w:szCs w:val="24"/>
        </w:rPr>
        <w:t>、若发生下列情况，采购人在书面通知后有权没收磋商保证金：</w:t>
      </w:r>
    </w:p>
    <w:p>
      <w:pPr>
        <w:spacing w:after="0" w:line="460" w:lineRule="exact"/>
        <w:ind w:firstLine="360" w:firstLineChars="15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）供应商在提交响应文件截止时间后撤回响应文件的；</w:t>
      </w:r>
    </w:p>
    <w:p>
      <w:pPr>
        <w:spacing w:after="0" w:line="460" w:lineRule="exact"/>
        <w:ind w:firstLine="360" w:firstLineChars="15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）供应商在响应文件中提供虚假材料的；</w:t>
      </w:r>
    </w:p>
    <w:p>
      <w:pPr>
        <w:spacing w:after="0" w:line="460" w:lineRule="exact"/>
        <w:ind w:firstLine="360" w:firstLineChars="15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）除因不可抗力或磋商文件、磋商公告认可的情形以外，成交供应商不与采购人签订合同的；</w:t>
      </w:r>
    </w:p>
    <w:p>
      <w:pPr>
        <w:spacing w:after="0" w:line="460" w:lineRule="exact"/>
        <w:ind w:firstLine="360" w:firstLineChars="15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4</w:t>
      </w:r>
      <w:r>
        <w:rPr>
          <w:rFonts w:hint="eastAsia" w:asciiTheme="majorEastAsia" w:hAnsiTheme="majorEastAsia" w:eastAsiaTheme="majorEastAsia"/>
          <w:color w:val="auto"/>
          <w:sz w:val="24"/>
          <w:szCs w:val="24"/>
        </w:rPr>
        <w:t>）供应商与采购人、其他供应商或者采购代理机构恶意串通的；</w:t>
      </w:r>
    </w:p>
    <w:p>
      <w:pPr>
        <w:spacing w:after="0" w:line="460" w:lineRule="exact"/>
        <w:ind w:firstLine="360" w:firstLineChars="15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）成交后未按规定缴付采购代理服务费的；</w:t>
      </w:r>
    </w:p>
    <w:p>
      <w:pPr>
        <w:spacing w:after="0" w:line="460" w:lineRule="exact"/>
        <w:ind w:firstLine="360" w:firstLineChars="15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6</w:t>
      </w:r>
      <w:r>
        <w:rPr>
          <w:rFonts w:hint="eastAsia" w:asciiTheme="majorEastAsia" w:hAnsiTheme="majorEastAsia" w:eastAsiaTheme="majorEastAsia"/>
          <w:color w:val="auto"/>
          <w:sz w:val="24"/>
          <w:szCs w:val="24"/>
        </w:rPr>
        <w:t>）磋商文件对履约保证金有要求，而成交供应商未按规定提交履约保证金。</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15</w:t>
      </w:r>
      <w:r>
        <w:rPr>
          <w:rFonts w:hint="eastAsia" w:asciiTheme="majorEastAsia" w:hAnsiTheme="majorEastAsia" w:eastAsiaTheme="majorEastAsia"/>
          <w:b/>
          <w:color w:val="auto"/>
          <w:sz w:val="24"/>
          <w:szCs w:val="24"/>
        </w:rPr>
        <w:t>、投标有效期</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15.1</w:t>
      </w:r>
      <w:r>
        <w:rPr>
          <w:rFonts w:hint="eastAsia" w:asciiTheme="majorEastAsia" w:hAnsiTheme="majorEastAsia" w:eastAsiaTheme="majorEastAsia"/>
          <w:color w:val="auto"/>
          <w:sz w:val="24"/>
          <w:szCs w:val="24"/>
        </w:rPr>
        <w:t>、磋商响应文件将在投标截止之日，《供应商须知前附表》中规定的时间内有效。投标有效期比规定短的可以视为非响应标予以拒绝。</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15.2</w:t>
      </w:r>
      <w:r>
        <w:rPr>
          <w:rFonts w:hint="eastAsia" w:asciiTheme="majorEastAsia" w:hAnsiTheme="majorEastAsia" w:eastAsiaTheme="majorEastAsia"/>
          <w:color w:val="auto"/>
          <w:sz w:val="24"/>
          <w:szCs w:val="24"/>
        </w:rPr>
        <w:t>、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after="0" w:line="460" w:lineRule="exact"/>
        <w:jc w:val="both"/>
        <w:rPr>
          <w:rFonts w:asciiTheme="majorEastAsia" w:hAnsiTheme="majorEastAsia" w:eastAsiaTheme="majorEastAsia"/>
          <w:b/>
          <w:color w:val="auto"/>
          <w:sz w:val="24"/>
          <w:szCs w:val="24"/>
        </w:rPr>
      </w:pPr>
    </w:p>
    <w:p>
      <w:pPr>
        <w:spacing w:after="0" w:line="460" w:lineRule="exact"/>
        <w:jc w:val="both"/>
        <w:rPr>
          <w:rFonts w:asciiTheme="majorEastAsia" w:hAnsiTheme="majorEastAsia" w:eastAsiaTheme="majorEastAsia"/>
          <w:b/>
          <w:color w:val="auto"/>
          <w:sz w:val="24"/>
          <w:szCs w:val="24"/>
        </w:rPr>
      </w:pP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16</w:t>
      </w:r>
      <w:r>
        <w:rPr>
          <w:rFonts w:hint="eastAsia" w:asciiTheme="majorEastAsia" w:hAnsiTheme="majorEastAsia" w:eastAsiaTheme="majorEastAsia"/>
          <w:b/>
          <w:color w:val="auto"/>
          <w:sz w:val="24"/>
          <w:szCs w:val="24"/>
        </w:rPr>
        <w:t>、响应文件的式样和签署</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16.1</w:t>
      </w:r>
      <w:r>
        <w:rPr>
          <w:rFonts w:hint="eastAsia" w:asciiTheme="majorEastAsia" w:hAnsiTheme="majorEastAsia" w:eastAsiaTheme="majorEastAsia"/>
          <w:color w:val="auto"/>
          <w:sz w:val="24"/>
          <w:szCs w:val="24"/>
        </w:rPr>
        <w:t>、供应商应按《供应商须知前附表》中规定的数量递交磋商响应文件，每一份磋商响应文件必须装订成册。并要明确注明“正本”和“副本”，如正本和副本或电子文档有差异，以正本为准。</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16.2</w:t>
      </w:r>
      <w:r>
        <w:rPr>
          <w:rFonts w:hint="eastAsia" w:asciiTheme="majorEastAsia" w:hAnsiTheme="majorEastAsia" w:eastAsiaTheme="majorEastAsia"/>
          <w:color w:val="auto"/>
          <w:sz w:val="24"/>
          <w:szCs w:val="24"/>
        </w:rPr>
        <w:t>、磋商响应文件正本和副本须打印或用不退色墨水书写并由供应商或经正式授权并对供应商有合同约束力的人签字，后者须将“授权委托书”以书面形式附在磋商响应文件中。</w:t>
      </w:r>
      <w:r>
        <w:rPr>
          <w:rFonts w:hint="eastAsia" w:asciiTheme="majorEastAsia" w:hAnsiTheme="majorEastAsia" w:eastAsiaTheme="majorEastAsia"/>
          <w:b/>
          <w:bCs/>
          <w:color w:val="auto"/>
          <w:sz w:val="24"/>
          <w:szCs w:val="24"/>
        </w:rPr>
        <w:t>响应文件的正本须经法定代表人或授权代表逐页签署和加盖供应商公章，并须加盖骑缝章</w:t>
      </w:r>
      <w:r>
        <w:rPr>
          <w:rFonts w:hint="eastAsia" w:asciiTheme="majorEastAsia" w:hAnsiTheme="majorEastAsia" w:eastAsiaTheme="majorEastAsia"/>
          <w:color w:val="auto"/>
          <w:sz w:val="24"/>
          <w:szCs w:val="24"/>
        </w:rPr>
        <w:t>。磋商响应文件副本可以是正本的复印件。</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16.3</w:t>
      </w:r>
      <w:r>
        <w:rPr>
          <w:rFonts w:hint="eastAsia" w:asciiTheme="majorEastAsia" w:hAnsiTheme="majorEastAsia" w:eastAsiaTheme="majorEastAsia"/>
          <w:color w:val="auto"/>
          <w:sz w:val="24"/>
          <w:szCs w:val="24"/>
        </w:rPr>
        <w:t>、除供应商对错处作必要修改外，磋商响应文件中不许有加行、涂抹或改写。若有修改须由签署磋商响应文件的人进行签字，并加盖公章，否则视为无效。</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16.4</w:t>
      </w:r>
      <w:r>
        <w:rPr>
          <w:rFonts w:hint="eastAsia" w:asciiTheme="majorEastAsia" w:hAnsiTheme="majorEastAsia" w:eastAsiaTheme="majorEastAsia"/>
          <w:color w:val="auto"/>
          <w:sz w:val="24"/>
          <w:szCs w:val="24"/>
        </w:rPr>
        <w:t>、传真投标、邮寄投标概不接受。</w:t>
      </w:r>
    </w:p>
    <w:p>
      <w:pP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br w:type="page"/>
      </w:r>
    </w:p>
    <w:p>
      <w:pPr>
        <w:spacing w:after="0" w:line="460" w:lineRule="exact"/>
        <w:jc w:val="center"/>
        <w:rPr>
          <w:rFonts w:asciiTheme="majorEastAsia" w:hAnsiTheme="majorEastAsia" w:eastAsiaTheme="majorEastAsia"/>
          <w:b/>
          <w:color w:val="auto"/>
          <w:sz w:val="28"/>
          <w:szCs w:val="28"/>
        </w:rPr>
      </w:pPr>
      <w:bookmarkStart w:id="9" w:name="_投标文件的递交"/>
      <w:bookmarkEnd w:id="9"/>
      <w:r>
        <w:rPr>
          <w:rFonts w:hint="eastAsia" w:asciiTheme="majorEastAsia" w:hAnsiTheme="majorEastAsia" w:eastAsiaTheme="majorEastAsia"/>
          <w:b/>
          <w:color w:val="auto"/>
          <w:sz w:val="28"/>
          <w:szCs w:val="28"/>
        </w:rPr>
        <w:t>四、磋商响应文件的递交</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17</w:t>
      </w:r>
      <w:r>
        <w:rPr>
          <w:rFonts w:hint="eastAsia" w:asciiTheme="majorEastAsia" w:hAnsiTheme="majorEastAsia" w:eastAsiaTheme="majorEastAsia"/>
          <w:b/>
          <w:color w:val="auto"/>
          <w:sz w:val="24"/>
          <w:szCs w:val="24"/>
        </w:rPr>
        <w:t>、磋商响应文件的密封和标记</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17.</w:t>
      </w:r>
      <w:r>
        <w:rPr>
          <w:rFonts w:hint="eastAsia" w:asciiTheme="majorEastAsia" w:hAnsiTheme="majorEastAsia" w:eastAsiaTheme="majorEastAsia"/>
          <w:color w:val="auto"/>
          <w:sz w:val="24"/>
          <w:szCs w:val="24"/>
        </w:rPr>
        <w:t>1、供应商应将磋商响应文件正本和副本分别密封在两个投标专用袋（箱）中，并标明“正本”或“副本”，</w:t>
      </w:r>
      <w:r>
        <w:rPr>
          <w:rFonts w:asciiTheme="majorEastAsia" w:hAnsiTheme="majorEastAsia" w:eastAsiaTheme="majorEastAsia"/>
          <w:color w:val="auto"/>
          <w:sz w:val="24"/>
          <w:szCs w:val="24"/>
        </w:rPr>
        <w:t>并在</w:t>
      </w:r>
      <w:r>
        <w:rPr>
          <w:rFonts w:hint="eastAsia" w:asciiTheme="majorEastAsia" w:hAnsiTheme="majorEastAsia" w:eastAsiaTheme="majorEastAsia"/>
          <w:color w:val="auto"/>
          <w:sz w:val="24"/>
          <w:szCs w:val="24"/>
        </w:rPr>
        <w:t>文件</w:t>
      </w:r>
      <w:r>
        <w:rPr>
          <w:rFonts w:asciiTheme="majorEastAsia" w:hAnsiTheme="majorEastAsia" w:eastAsiaTheme="majorEastAsia"/>
          <w:color w:val="auto"/>
          <w:sz w:val="24"/>
          <w:szCs w:val="24"/>
        </w:rPr>
        <w:t>专用袋（箱）上标明“正本”“副本”字样，所有外层密封袋的封口处应加盖骑缝章和法定代表人或者授权代表签名，</w:t>
      </w:r>
      <w:r>
        <w:rPr>
          <w:rFonts w:hint="eastAsia" w:asciiTheme="majorEastAsia" w:hAnsiTheme="majorEastAsia" w:eastAsiaTheme="majorEastAsia"/>
          <w:color w:val="auto"/>
          <w:sz w:val="24"/>
          <w:szCs w:val="24"/>
        </w:rPr>
        <w:t>响应文件递交截止时间</w:t>
      </w:r>
      <w:r>
        <w:rPr>
          <w:rFonts w:asciiTheme="majorEastAsia" w:hAnsiTheme="majorEastAsia" w:eastAsiaTheme="majorEastAsia"/>
          <w:color w:val="auto"/>
          <w:sz w:val="24"/>
          <w:szCs w:val="24"/>
        </w:rPr>
        <w:t>和</w:t>
      </w:r>
      <w:r>
        <w:rPr>
          <w:rFonts w:hint="eastAsia" w:asciiTheme="majorEastAsia" w:hAnsiTheme="majorEastAsia" w:eastAsiaTheme="majorEastAsia"/>
          <w:color w:val="auto"/>
          <w:sz w:val="24"/>
          <w:szCs w:val="24"/>
        </w:rPr>
        <w:t>响应文件开启</w:t>
      </w:r>
      <w:r>
        <w:rPr>
          <w:rFonts w:asciiTheme="majorEastAsia" w:hAnsiTheme="majorEastAsia" w:eastAsiaTheme="majorEastAsia"/>
          <w:color w:val="auto"/>
          <w:sz w:val="24"/>
          <w:szCs w:val="24"/>
        </w:rPr>
        <w:t>时间由</w:t>
      </w:r>
      <w:r>
        <w:rPr>
          <w:rFonts w:hint="eastAsia" w:asciiTheme="majorEastAsia" w:hAnsiTheme="majorEastAsia" w:eastAsiaTheme="majorEastAsia"/>
          <w:color w:val="auto"/>
          <w:sz w:val="24"/>
          <w:szCs w:val="24"/>
        </w:rPr>
        <w:t>采购</w:t>
      </w:r>
      <w:r>
        <w:rPr>
          <w:rFonts w:asciiTheme="majorEastAsia" w:hAnsiTheme="majorEastAsia" w:eastAsiaTheme="majorEastAsia"/>
          <w:color w:val="auto"/>
          <w:sz w:val="24"/>
          <w:szCs w:val="24"/>
        </w:rPr>
        <w:t>人和</w:t>
      </w:r>
      <w:r>
        <w:rPr>
          <w:rFonts w:hint="eastAsia" w:asciiTheme="majorEastAsia" w:hAnsiTheme="majorEastAsia" w:eastAsiaTheme="majorEastAsia"/>
          <w:color w:val="auto"/>
          <w:sz w:val="24"/>
          <w:szCs w:val="24"/>
        </w:rPr>
        <w:t>供应商</w:t>
      </w:r>
      <w:r>
        <w:rPr>
          <w:rFonts w:asciiTheme="majorEastAsia" w:hAnsiTheme="majorEastAsia" w:eastAsiaTheme="majorEastAsia"/>
          <w:color w:val="auto"/>
          <w:sz w:val="24"/>
          <w:szCs w:val="24"/>
        </w:rPr>
        <w:t>代表共同检查，未按要求签署和密封，视为不合格投标，</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文件将被拒绝接受。</w:t>
      </w:r>
      <w:r>
        <w:rPr>
          <w:rFonts w:hint="eastAsia" w:asciiTheme="majorEastAsia" w:hAnsiTheme="majorEastAsia" w:eastAsiaTheme="majorEastAsia"/>
          <w:color w:val="auto"/>
          <w:sz w:val="24"/>
          <w:szCs w:val="24"/>
        </w:rPr>
        <w:t>《报价函》、《报价一览表》、磋商保证金缴纳凭证和电子文档应另多制一份单独密封一份于“唱标信封”内，独立于磋商响应文件之外一同递交。</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供应商</w:t>
      </w:r>
      <w:r>
        <w:rPr>
          <w:rFonts w:asciiTheme="majorEastAsia" w:hAnsiTheme="majorEastAsia" w:eastAsiaTheme="majorEastAsia"/>
          <w:color w:val="auto"/>
          <w:sz w:val="24"/>
          <w:szCs w:val="24"/>
        </w:rPr>
        <w:t>务必在开标时提交电子版和</w:t>
      </w:r>
      <w:r>
        <w:rPr>
          <w:rFonts w:hint="eastAsia" w:asciiTheme="majorEastAsia" w:hAnsiTheme="majorEastAsia" w:eastAsiaTheme="majorEastAsia"/>
          <w:color w:val="auto"/>
          <w:sz w:val="24"/>
          <w:szCs w:val="24"/>
        </w:rPr>
        <w:t>纸质</w:t>
      </w:r>
      <w:r>
        <w:rPr>
          <w:rFonts w:asciiTheme="majorEastAsia" w:hAnsiTheme="majorEastAsia" w:eastAsiaTheme="majorEastAsia"/>
          <w:color w:val="auto"/>
          <w:sz w:val="24"/>
          <w:szCs w:val="24"/>
        </w:rPr>
        <w:t>版</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文件，电子版</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文件（PDF格式）的递交：电子版</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文件（PDF）密封，随纸质版</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文件一起递交，否则视为无效</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供应商</w:t>
      </w:r>
      <w:r>
        <w:rPr>
          <w:rFonts w:asciiTheme="majorEastAsia" w:hAnsiTheme="majorEastAsia" w:eastAsiaTheme="majorEastAsia"/>
          <w:color w:val="auto"/>
          <w:sz w:val="24"/>
          <w:szCs w:val="24"/>
        </w:rPr>
        <w:t>提供的电子版</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文件（PDF格式）必须与纸质版</w:t>
      </w:r>
      <w:r>
        <w:rPr>
          <w:rFonts w:hint="eastAsia" w:asciiTheme="majorEastAsia" w:hAnsiTheme="majorEastAsia" w:eastAsiaTheme="majorEastAsia"/>
          <w:color w:val="auto"/>
          <w:sz w:val="24"/>
          <w:szCs w:val="24"/>
        </w:rPr>
        <w:t>响应</w:t>
      </w:r>
      <w:r>
        <w:rPr>
          <w:rFonts w:asciiTheme="majorEastAsia" w:hAnsiTheme="majorEastAsia" w:eastAsiaTheme="majorEastAsia"/>
          <w:color w:val="auto"/>
          <w:sz w:val="24"/>
          <w:szCs w:val="24"/>
        </w:rPr>
        <w:t xml:space="preserve">文件的正本保持一致，否则自行承担由此带来的一切风险。 </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）按《供应商须知前附表》所示注明开标地点。</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）注明项目名称、项目编号、正本、副本或唱标信封及在磋商公告规定的响应文件开启日期及时间前注明“不准启封”的字样。</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）写明供应商名称、地址、联系人和联系方式。</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17.2</w:t>
      </w:r>
      <w:r>
        <w:rPr>
          <w:rFonts w:hint="eastAsia" w:asciiTheme="majorEastAsia" w:hAnsiTheme="majorEastAsia" w:eastAsiaTheme="majorEastAsia"/>
          <w:color w:val="auto"/>
          <w:sz w:val="24"/>
          <w:szCs w:val="24"/>
        </w:rPr>
        <w:t>、如果未按第</w:t>
      </w:r>
      <w:r>
        <w:rPr>
          <w:rFonts w:asciiTheme="majorEastAsia" w:hAnsiTheme="majorEastAsia" w:eastAsiaTheme="majorEastAsia"/>
          <w:color w:val="auto"/>
          <w:sz w:val="24"/>
          <w:szCs w:val="24"/>
        </w:rPr>
        <w:t>17.1</w:t>
      </w:r>
      <w:r>
        <w:rPr>
          <w:rFonts w:hint="eastAsia" w:asciiTheme="majorEastAsia" w:hAnsiTheme="majorEastAsia" w:eastAsiaTheme="majorEastAsia"/>
          <w:color w:val="auto"/>
          <w:sz w:val="24"/>
          <w:szCs w:val="24"/>
        </w:rPr>
        <w:t>款规定密封和标记，采购人对磋商响应文件的误投或提前拆封不负责任。对由此造成提前开封的磋商响应文件，采购人将予以拒绝，并退回供应商。</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18</w:t>
      </w:r>
      <w:r>
        <w:rPr>
          <w:rFonts w:hint="eastAsia" w:asciiTheme="majorEastAsia" w:hAnsiTheme="majorEastAsia" w:eastAsiaTheme="majorEastAsia"/>
          <w:b/>
          <w:color w:val="auto"/>
          <w:sz w:val="24"/>
          <w:szCs w:val="24"/>
        </w:rPr>
        <w:t>、递交磋商响应文件的截止日期</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18.1</w:t>
      </w:r>
      <w:r>
        <w:rPr>
          <w:rFonts w:hint="eastAsia" w:asciiTheme="majorEastAsia" w:hAnsiTheme="majorEastAsia" w:eastAsiaTheme="majorEastAsia"/>
          <w:color w:val="auto"/>
          <w:sz w:val="24"/>
          <w:szCs w:val="24"/>
        </w:rPr>
        <w:t>、采购人收到磋商响应文件的时间不得迟于《供应商须知前附表》中规定的截止时间。</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18.2</w:t>
      </w:r>
      <w:r>
        <w:rPr>
          <w:rFonts w:hint="eastAsia" w:asciiTheme="majorEastAsia" w:hAnsiTheme="majorEastAsia" w:eastAsiaTheme="majorEastAsia"/>
          <w:color w:val="auto"/>
          <w:sz w:val="24"/>
          <w:szCs w:val="24"/>
        </w:rPr>
        <w:t>、采购人可按照第</w:t>
      </w:r>
      <w:r>
        <w:rPr>
          <w:rFonts w:asciiTheme="majorEastAsia" w:hAnsiTheme="majorEastAsia" w:eastAsiaTheme="majorEastAsia"/>
          <w:color w:val="auto"/>
          <w:sz w:val="24"/>
          <w:szCs w:val="24"/>
        </w:rPr>
        <w:t>6</w:t>
      </w:r>
      <w:r>
        <w:rPr>
          <w:rFonts w:hint="eastAsia" w:asciiTheme="majorEastAsia" w:hAnsiTheme="majorEastAsia" w:eastAsiaTheme="majorEastAsia"/>
          <w:color w:val="auto"/>
          <w:sz w:val="24"/>
          <w:szCs w:val="24"/>
        </w:rPr>
        <w:t>款的规定修改磋商响应文件并酌情延长提交磋商响应文件的截止时间，因此，业已规定的采购代理机构和供应商的一切权利和义务将按延期后的磋商响应文件递交截止时间履行。</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19</w:t>
      </w:r>
      <w:r>
        <w:rPr>
          <w:rFonts w:hint="eastAsia" w:asciiTheme="majorEastAsia" w:hAnsiTheme="majorEastAsia" w:eastAsiaTheme="majorEastAsia"/>
          <w:b/>
          <w:color w:val="auto"/>
          <w:sz w:val="24"/>
          <w:szCs w:val="24"/>
        </w:rPr>
        <w:t>、迟交的磋商响应文件</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根据第</w:t>
      </w:r>
      <w:r>
        <w:rPr>
          <w:rFonts w:asciiTheme="majorEastAsia" w:hAnsiTheme="majorEastAsia" w:eastAsiaTheme="majorEastAsia"/>
          <w:color w:val="auto"/>
          <w:sz w:val="24"/>
          <w:szCs w:val="24"/>
        </w:rPr>
        <w:t>19</w:t>
      </w:r>
      <w:r>
        <w:rPr>
          <w:rFonts w:hint="eastAsia" w:asciiTheme="majorEastAsia" w:hAnsiTheme="majorEastAsia" w:eastAsiaTheme="majorEastAsia"/>
          <w:color w:val="auto"/>
          <w:sz w:val="24"/>
          <w:szCs w:val="24"/>
        </w:rPr>
        <w:t>款规定，采购人将拒绝接收任何迟于《供应商须知前附表》中规定的截止时间递交的磋商响应文件。</w:t>
      </w:r>
    </w:p>
    <w:p>
      <w:pPr>
        <w:spacing w:after="0" w:line="460" w:lineRule="exact"/>
        <w:jc w:val="both"/>
        <w:rPr>
          <w:rFonts w:asciiTheme="majorEastAsia" w:hAnsiTheme="majorEastAsia" w:eastAsiaTheme="majorEastAsia"/>
          <w:b/>
          <w:color w:val="auto"/>
          <w:sz w:val="24"/>
          <w:szCs w:val="24"/>
        </w:rPr>
      </w:pPr>
    </w:p>
    <w:p>
      <w:pPr>
        <w:spacing w:after="0" w:line="460" w:lineRule="exact"/>
        <w:jc w:val="both"/>
        <w:rPr>
          <w:rFonts w:asciiTheme="majorEastAsia" w:hAnsiTheme="majorEastAsia" w:eastAsiaTheme="majorEastAsia"/>
          <w:b/>
          <w:color w:val="auto"/>
          <w:sz w:val="24"/>
          <w:szCs w:val="24"/>
        </w:rPr>
      </w:pP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20</w:t>
      </w:r>
      <w:r>
        <w:rPr>
          <w:rFonts w:hint="eastAsia" w:asciiTheme="majorEastAsia" w:hAnsiTheme="majorEastAsia" w:eastAsiaTheme="majorEastAsia"/>
          <w:b/>
          <w:color w:val="auto"/>
          <w:sz w:val="24"/>
          <w:szCs w:val="24"/>
        </w:rPr>
        <w:t>、磋商响应文件的修改和撤回</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20.1</w:t>
      </w:r>
      <w:r>
        <w:rPr>
          <w:rFonts w:hint="eastAsia" w:asciiTheme="majorEastAsia" w:hAnsiTheme="majorEastAsia" w:eastAsiaTheme="majorEastAsia"/>
          <w:color w:val="auto"/>
          <w:sz w:val="24"/>
          <w:szCs w:val="24"/>
        </w:rPr>
        <w:t>、供应商在提交磋商响应文件后可对其磋商文件进行修改或撤回，但采购人须在提交响应文件截止之日前收到该修改或撤回的书面通知。</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20.2</w:t>
      </w:r>
      <w:r>
        <w:rPr>
          <w:rFonts w:hint="eastAsia" w:asciiTheme="majorEastAsia" w:hAnsiTheme="majorEastAsia" w:eastAsiaTheme="majorEastAsia"/>
          <w:color w:val="auto"/>
          <w:sz w:val="24"/>
          <w:szCs w:val="24"/>
        </w:rPr>
        <w:t>、供应商对磋商响应文件的修改或撤回的通知应按</w:t>
      </w:r>
      <w:r>
        <w:fldChar w:fldCharType="begin"/>
      </w:r>
      <w:r>
        <w:instrText xml:space="preserve"> HYPERLINK \l "bookmark6"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17</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和</w:t>
      </w:r>
      <w:r>
        <w:fldChar w:fldCharType="begin"/>
      </w:r>
      <w:r>
        <w:instrText xml:space="preserve"> HYPERLINK \l "bookmark7"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18</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规定进行准备、密封、标注和递送。</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20.3</w:t>
      </w:r>
      <w:r>
        <w:rPr>
          <w:rFonts w:hint="eastAsia" w:asciiTheme="majorEastAsia" w:hAnsiTheme="majorEastAsia" w:eastAsiaTheme="majorEastAsia"/>
          <w:color w:val="auto"/>
          <w:sz w:val="24"/>
          <w:szCs w:val="24"/>
        </w:rPr>
        <w:t>、磋商响应文件递交截止时间后不得修改磋商响应文件。</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20.4</w:t>
      </w:r>
      <w:r>
        <w:rPr>
          <w:rFonts w:hint="eastAsia" w:asciiTheme="majorEastAsia" w:hAnsiTheme="majorEastAsia" w:eastAsiaTheme="majorEastAsia"/>
          <w:color w:val="auto"/>
          <w:sz w:val="24"/>
          <w:szCs w:val="24"/>
        </w:rPr>
        <w:t>、供应商不得在磋商响应文件递交截止日起至</w:t>
      </w:r>
      <w:r>
        <w:fldChar w:fldCharType="begin"/>
      </w:r>
      <w:r>
        <w:instrText xml:space="preserve"> HYPERLINK \l "bookmark8"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15</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规定的磋商响应文件有效期期满前撤销磋商响应文件。否则采购人将按</w:t>
      </w:r>
      <w:r>
        <w:fldChar w:fldCharType="begin"/>
      </w:r>
      <w:r>
        <w:instrText xml:space="preserve"> HYPERLINK \l "bookmark9"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14.6</w:t>
      </w:r>
      <w:r>
        <w:rPr>
          <w:rStyle w:val="22"/>
          <w:rFonts w:hint="eastAsia" w:asciiTheme="majorEastAsia" w:hAnsiTheme="majorEastAsia" w:eastAsiaTheme="majorEastAsia"/>
          <w:color w:val="auto"/>
          <w:sz w:val="24"/>
          <w:szCs w:val="24"/>
        </w:rPr>
        <w:t>（</w:t>
      </w:r>
      <w:r>
        <w:rPr>
          <w:rStyle w:val="22"/>
          <w:rFonts w:asciiTheme="majorEastAsia" w:hAnsiTheme="majorEastAsia" w:eastAsiaTheme="majorEastAsia"/>
          <w:color w:val="auto"/>
          <w:sz w:val="24"/>
          <w:szCs w:val="24"/>
        </w:rPr>
        <w:t>1</w:t>
      </w:r>
      <w:r>
        <w:rPr>
          <w:rStyle w:val="22"/>
          <w:rFonts w:hint="eastAsia" w:asciiTheme="majorEastAsia" w:hAnsiTheme="majorEastAsia" w:eastAsiaTheme="majorEastAsia"/>
          <w:color w:val="auto"/>
          <w:sz w:val="24"/>
          <w:szCs w:val="24"/>
        </w:rPr>
        <w:t>）</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款规定没收其磋商保证金。</w:t>
      </w:r>
    </w:p>
    <w:p>
      <w:pPr>
        <w:spacing w:after="0" w:line="460" w:lineRule="exact"/>
        <w:jc w:val="center"/>
        <w:rPr>
          <w:rFonts w:asciiTheme="majorEastAsia" w:hAnsiTheme="majorEastAsia" w:eastAsiaTheme="majorEastAsia"/>
          <w:b/>
          <w:color w:val="auto"/>
          <w:sz w:val="28"/>
          <w:szCs w:val="28"/>
        </w:rPr>
      </w:pPr>
      <w:bookmarkStart w:id="10" w:name="_开标与评标细则参见财政部_政府采购招标投标管理暂行办法_及中华人民共和国3"/>
      <w:bookmarkEnd w:id="10"/>
      <w:r>
        <w:rPr>
          <w:rFonts w:hint="eastAsia" w:asciiTheme="majorEastAsia" w:hAnsiTheme="majorEastAsia" w:eastAsiaTheme="majorEastAsia"/>
          <w:b/>
          <w:color w:val="auto"/>
          <w:sz w:val="28"/>
          <w:szCs w:val="28"/>
        </w:rPr>
        <w:t>五、开标与评审</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21</w:t>
      </w:r>
      <w:r>
        <w:rPr>
          <w:rFonts w:hint="eastAsia" w:asciiTheme="majorEastAsia" w:hAnsiTheme="majorEastAsia" w:eastAsiaTheme="majorEastAsia"/>
          <w:b/>
          <w:color w:val="auto"/>
          <w:sz w:val="24"/>
          <w:szCs w:val="24"/>
        </w:rPr>
        <w:t>、开标</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21.1</w:t>
      </w:r>
      <w:r>
        <w:rPr>
          <w:rFonts w:hint="eastAsia" w:asciiTheme="majorEastAsia" w:hAnsiTheme="majorEastAsia" w:eastAsiaTheme="majorEastAsia"/>
          <w:color w:val="auto"/>
          <w:sz w:val="24"/>
          <w:szCs w:val="24"/>
        </w:rPr>
        <w:t>、采购人在供应商代表自愿出席的情况下，在《供应商须知前附表》规定的地点和时间开标</w:t>
      </w:r>
      <w:r>
        <w:rPr>
          <w:rFonts w:asciiTheme="majorEastAsia" w:hAnsiTheme="majorEastAsia" w:eastAsiaTheme="majorEastAsia"/>
          <w:color w:val="auto"/>
          <w:sz w:val="24"/>
          <w:szCs w:val="24"/>
        </w:rPr>
        <w:t xml:space="preserve">, </w:t>
      </w:r>
      <w:r>
        <w:rPr>
          <w:rFonts w:hint="eastAsia" w:asciiTheme="majorEastAsia" w:hAnsiTheme="majorEastAsia" w:eastAsiaTheme="majorEastAsia"/>
          <w:color w:val="auto"/>
          <w:sz w:val="24"/>
          <w:szCs w:val="24"/>
        </w:rPr>
        <w:t>出席代表需登记以示出席。</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21.2</w:t>
      </w:r>
      <w:r>
        <w:rPr>
          <w:rFonts w:hint="eastAsia" w:asciiTheme="majorEastAsia" w:hAnsiTheme="majorEastAsia" w:eastAsiaTheme="majorEastAsia"/>
          <w:color w:val="auto"/>
          <w:sz w:val="24"/>
          <w:szCs w:val="24"/>
        </w:rPr>
        <w:t>、按照第</w:t>
      </w:r>
      <w:r>
        <w:rPr>
          <w:rFonts w:asciiTheme="majorEastAsia" w:hAnsiTheme="majorEastAsia" w:eastAsiaTheme="majorEastAsia"/>
          <w:color w:val="auto"/>
          <w:sz w:val="24"/>
          <w:szCs w:val="24"/>
        </w:rPr>
        <w:t>20</w:t>
      </w:r>
      <w:r>
        <w:rPr>
          <w:rFonts w:hint="eastAsia" w:asciiTheme="majorEastAsia" w:hAnsiTheme="majorEastAsia" w:eastAsiaTheme="majorEastAsia"/>
          <w:color w:val="auto"/>
          <w:sz w:val="24"/>
          <w:szCs w:val="24"/>
        </w:rPr>
        <w:t>款规定，提交了可接受的“撤回”通知的磋商文件将不予开封。</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21.3</w:t>
      </w:r>
      <w:r>
        <w:rPr>
          <w:rFonts w:hint="eastAsia" w:asciiTheme="majorEastAsia" w:hAnsiTheme="majorEastAsia" w:eastAsiaTheme="majorEastAsia"/>
          <w:color w:val="auto"/>
          <w:sz w:val="24"/>
          <w:szCs w:val="24"/>
        </w:rPr>
        <w:t>、开标时，采购代理机构将当众宣读报价一览表中供应商名称、投标总价、服务期限、是否提交磋商保证金，以及采购人认为合适的其他内容，只有在开标时唱出的投标声明（如进一步折扣等）评审时才能考虑。</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21.4</w:t>
      </w:r>
      <w:r>
        <w:rPr>
          <w:rFonts w:hint="eastAsia" w:asciiTheme="majorEastAsia" w:hAnsiTheme="majorEastAsia" w:eastAsiaTheme="majorEastAsia"/>
          <w:color w:val="auto"/>
          <w:sz w:val="24"/>
          <w:szCs w:val="24"/>
        </w:rPr>
        <w:t>、采购代理机构将做开标记录，开标记录包括按第</w:t>
      </w:r>
      <w:r>
        <w:rPr>
          <w:rFonts w:asciiTheme="majorEastAsia" w:hAnsiTheme="majorEastAsia" w:eastAsiaTheme="majorEastAsia"/>
          <w:color w:val="auto"/>
          <w:sz w:val="24"/>
          <w:szCs w:val="24"/>
        </w:rPr>
        <w:t>22.3</w:t>
      </w:r>
      <w:r>
        <w:rPr>
          <w:rFonts w:hint="eastAsia" w:asciiTheme="majorEastAsia" w:hAnsiTheme="majorEastAsia" w:eastAsiaTheme="majorEastAsia"/>
          <w:color w:val="auto"/>
          <w:sz w:val="24"/>
          <w:szCs w:val="24"/>
        </w:rPr>
        <w:t>款的规定在开标时宣读的全部内容。</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22</w:t>
      </w:r>
      <w:r>
        <w:rPr>
          <w:rFonts w:hint="eastAsia" w:asciiTheme="majorEastAsia" w:hAnsiTheme="majorEastAsia" w:eastAsiaTheme="majorEastAsia"/>
          <w:b/>
          <w:color w:val="auto"/>
          <w:sz w:val="24"/>
          <w:szCs w:val="24"/>
        </w:rPr>
        <w:t>、磋商响应文件的初审</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22.1</w:t>
      </w:r>
      <w:r>
        <w:rPr>
          <w:rFonts w:hint="eastAsia" w:asciiTheme="majorEastAsia" w:hAnsiTheme="majorEastAsia" w:eastAsiaTheme="majorEastAsia"/>
          <w:color w:val="auto"/>
          <w:sz w:val="24"/>
          <w:szCs w:val="24"/>
        </w:rPr>
        <w:t>、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）磋商小组将审查磋商文件是否完整、有无提供所需的磋商保证金、是否恰当地签署、是否大致编排有序等；</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）根据第</w:t>
      </w:r>
      <w:r>
        <w:rPr>
          <w:rFonts w:asciiTheme="majorEastAsia" w:hAnsiTheme="majorEastAsia" w:eastAsiaTheme="majorEastAsia"/>
          <w:color w:val="auto"/>
          <w:sz w:val="24"/>
          <w:szCs w:val="24"/>
        </w:rPr>
        <w:t>25</w:t>
      </w:r>
      <w:r>
        <w:rPr>
          <w:rFonts w:hint="eastAsia" w:asciiTheme="majorEastAsia" w:hAnsiTheme="majorEastAsia" w:eastAsiaTheme="majorEastAsia"/>
          <w:color w:val="auto"/>
          <w:sz w:val="24"/>
          <w:szCs w:val="24"/>
        </w:rPr>
        <w:t>款规定对磋商文件进行详细评估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w:t>
      </w:r>
      <w:r>
        <w:rPr>
          <w:rFonts w:asciiTheme="majorEastAsia" w:hAnsiTheme="majorEastAsia" w:eastAsiaTheme="majorEastAsia"/>
          <w:color w:val="auto"/>
          <w:sz w:val="24"/>
          <w:szCs w:val="24"/>
        </w:rPr>
        <w:t xml:space="preserve">, </w:t>
      </w:r>
      <w:r>
        <w:rPr>
          <w:rFonts w:hint="eastAsia" w:asciiTheme="majorEastAsia" w:hAnsiTheme="majorEastAsia" w:eastAsiaTheme="majorEastAsia"/>
          <w:color w:val="auto"/>
          <w:sz w:val="24"/>
          <w:szCs w:val="24"/>
        </w:rPr>
        <w:t>或对该重大偏离的修改对提交实质性响应投标的供应商将不公平。磋商小组决定磋商文件的响应性是基于磋商文件的内容本身而不靠外部的证据。</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22.2、</w:t>
      </w:r>
      <w:r>
        <w:rPr>
          <w:rFonts w:hint="eastAsia" w:asciiTheme="majorEastAsia" w:hAnsiTheme="majorEastAsia" w:eastAsiaTheme="majorEastAsia"/>
          <w:color w:val="auto"/>
          <w:sz w:val="24"/>
          <w:szCs w:val="24"/>
        </w:rPr>
        <w:t>磋商小组将拒绝被定为非响应性的投标，供应商不能通过修正或撤销不符之处而使其投标成为响应性投标。</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在采购采购中，出现下列情形之一的，应予废标：</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（1）符合专业条件的供应商或者对磋商文件作实质响应的供应商不足三家的；</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（2）出现影响采购公正的违法、违规行为的；</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（3）供应商的报价均超过了采购预算，采购人不能支付的；</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（4）因重大变故，采购任务取消的。</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废标后，采购人或采购代理机构应当将废标理由通知所有供应商。</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22.3</w:t>
      </w:r>
      <w:r>
        <w:rPr>
          <w:rFonts w:hint="eastAsia" w:asciiTheme="majorEastAsia" w:hAnsiTheme="majorEastAsia" w:eastAsiaTheme="majorEastAsia"/>
          <w:color w:val="auto"/>
          <w:sz w:val="24"/>
          <w:szCs w:val="24"/>
        </w:rPr>
        <w:t>、磋商小组将对确定为实质上响应的投标进行审核，看其是否有计算上和累加上的算术错误，修正错误的原则如下：</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）磋商文件中报价一览表</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报价表</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内容与磋商文件中明细表内容不一致的，以报价一览表</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报价表</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为准；</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）磋商文件的大写金额和小写金额不一致的，以大写金额为准；</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）总价金额与按单价汇总金额不一致的，以单价金额计算结果为准；单价金额小数点有明显错位的，应以总价为准，并修改单价；</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4</w:t>
      </w:r>
      <w:r>
        <w:rPr>
          <w:rFonts w:hint="eastAsia" w:asciiTheme="majorEastAsia" w:hAnsiTheme="majorEastAsia" w:eastAsiaTheme="majorEastAsia"/>
          <w:color w:val="auto"/>
          <w:sz w:val="24"/>
          <w:szCs w:val="24"/>
        </w:rPr>
        <w:t>）对不同文字文本磋商文件的解释发生异议的，以中文文本为准。</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22.4</w:t>
      </w:r>
      <w:r>
        <w:rPr>
          <w:rFonts w:hint="eastAsia" w:asciiTheme="majorEastAsia" w:hAnsiTheme="majorEastAsia" w:eastAsiaTheme="majorEastAsia"/>
          <w:color w:val="auto"/>
          <w:sz w:val="24"/>
          <w:szCs w:val="24"/>
        </w:rPr>
        <w:t>、磋商小组将按上述修正错误的方法调整磋商文件中的响应报价，调整后的价格应对供应商具有约束力。如果供应商不接受修正后的价格，则其投标将被拒绝，其磋商保证金将被没收。</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22.5</w:t>
      </w:r>
      <w:r>
        <w:rPr>
          <w:rFonts w:hint="eastAsia" w:asciiTheme="majorEastAsia" w:hAnsiTheme="majorEastAsia" w:eastAsiaTheme="majorEastAsia"/>
          <w:color w:val="auto"/>
          <w:sz w:val="24"/>
          <w:szCs w:val="24"/>
        </w:rPr>
        <w:t>、对供应商报价经过上述修正和调整（包括缺漏项调整）后所得出的价格构成其“评审价”。</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22.6</w:t>
      </w:r>
      <w:r>
        <w:rPr>
          <w:rFonts w:hint="eastAsia" w:asciiTheme="majorEastAsia" w:hAnsiTheme="majorEastAsia" w:eastAsiaTheme="majorEastAsia"/>
          <w:color w:val="auto"/>
          <w:sz w:val="24"/>
          <w:szCs w:val="24"/>
        </w:rPr>
        <w:t>、磋商小组将允许修正磋商文件中不构成重大偏离的、微小的、非正规的、不一致的或不规则的地方，但这些修正不能影响任何供应商相应的名次排列。</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22.7</w:t>
      </w:r>
      <w:r>
        <w:rPr>
          <w:rFonts w:hint="eastAsia" w:asciiTheme="majorEastAsia" w:hAnsiTheme="majorEastAsia" w:eastAsiaTheme="majorEastAsia"/>
          <w:color w:val="auto"/>
          <w:sz w:val="24"/>
          <w:szCs w:val="24"/>
        </w:rPr>
        <w:t>、本项目非专门面向中小企业的项目，对小型和微型企业产品的价格给予</w:t>
      </w:r>
      <w:r>
        <w:rPr>
          <w:rFonts w:asciiTheme="majorEastAsia" w:hAnsiTheme="majorEastAsia" w:eastAsiaTheme="majorEastAsia"/>
          <w:color w:val="auto"/>
          <w:sz w:val="24"/>
          <w:szCs w:val="24"/>
        </w:rPr>
        <w:t>6%</w:t>
      </w:r>
      <w:r>
        <w:rPr>
          <w:rFonts w:hint="eastAsia" w:asciiTheme="majorEastAsia" w:hAnsiTheme="majorEastAsia" w:eastAsiaTheme="majorEastAsia"/>
          <w:color w:val="auto"/>
          <w:sz w:val="24"/>
          <w:szCs w:val="24"/>
        </w:rPr>
        <w:t>的扣除，用扣除后的价格参与评审。</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23</w:t>
      </w:r>
      <w:r>
        <w:rPr>
          <w:rFonts w:hint="eastAsia" w:asciiTheme="majorEastAsia" w:hAnsiTheme="majorEastAsia" w:eastAsiaTheme="majorEastAsia"/>
          <w:b/>
          <w:color w:val="auto"/>
          <w:sz w:val="24"/>
          <w:szCs w:val="24"/>
        </w:rPr>
        <w:t>、磋商响应文件的澄清</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after="0" w:line="460" w:lineRule="exact"/>
        <w:jc w:val="both"/>
        <w:rPr>
          <w:rFonts w:asciiTheme="majorEastAsia" w:hAnsiTheme="majorEastAsia" w:eastAsiaTheme="majorEastAsia"/>
          <w:color w:val="auto"/>
          <w:sz w:val="24"/>
          <w:szCs w:val="24"/>
        </w:rPr>
      </w:pPr>
      <w:r>
        <w:rPr>
          <w:rFonts w:asciiTheme="majorEastAsia" w:hAnsiTheme="majorEastAsia" w:eastAsiaTheme="majorEastAsia"/>
          <w:b/>
          <w:color w:val="auto"/>
          <w:sz w:val="24"/>
          <w:szCs w:val="24"/>
        </w:rPr>
        <w:t>24</w:t>
      </w:r>
      <w:r>
        <w:rPr>
          <w:rFonts w:hint="eastAsia" w:asciiTheme="majorEastAsia" w:hAnsiTheme="majorEastAsia" w:eastAsiaTheme="majorEastAsia"/>
          <w:b/>
          <w:color w:val="auto"/>
          <w:sz w:val="24"/>
          <w:szCs w:val="24"/>
        </w:rPr>
        <w:t>、磋商响应文件的详细评审</w:t>
      </w:r>
      <w:r>
        <w:rPr>
          <w:rFonts w:hint="eastAsia" w:asciiTheme="majorEastAsia" w:hAnsiTheme="majorEastAsia" w:eastAsiaTheme="majorEastAsia"/>
          <w:color w:val="auto"/>
          <w:sz w:val="24"/>
          <w:szCs w:val="24"/>
        </w:rPr>
        <w:t>：详见第七章《评审办法和程序》。</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25</w:t>
      </w:r>
      <w:r>
        <w:rPr>
          <w:rFonts w:hint="eastAsia" w:asciiTheme="majorEastAsia" w:hAnsiTheme="majorEastAsia" w:eastAsiaTheme="majorEastAsia"/>
          <w:b/>
          <w:color w:val="auto"/>
          <w:sz w:val="24"/>
          <w:szCs w:val="24"/>
        </w:rPr>
        <w:t>、确定成交供应商</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磋商小组根据综合评分情况，按照评审得分由高到低顺序推荐</w:t>
      </w: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名成交候选供应商。评审得分相同的，按照最后报价由低到高的顺序推荐。评审得分且最后报价相同的，按照技术指标优劣顺序推荐。采购代理机构应当在评审结束后</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个工作日内将评审报告送采购人确认。采购人应当在收到评审报告后</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个工作日内，在财政部门指定的政府采购信息发布媒体上公告成交结果，同时向成交供应商发出成交通知书。</w:t>
      </w:r>
    </w:p>
    <w:p>
      <w:pPr>
        <w:spacing w:after="0" w:line="460" w:lineRule="exact"/>
        <w:jc w:val="cente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六、授予合同</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26</w:t>
      </w:r>
      <w:r>
        <w:rPr>
          <w:rFonts w:hint="eastAsia" w:asciiTheme="majorEastAsia" w:hAnsiTheme="majorEastAsia" w:eastAsiaTheme="majorEastAsia"/>
          <w:b/>
          <w:color w:val="auto"/>
          <w:sz w:val="24"/>
          <w:szCs w:val="24"/>
        </w:rPr>
        <w:t>、授予合同的准则</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26.</w:t>
      </w:r>
      <w:r>
        <w:rPr>
          <w:rFonts w:hint="eastAsia" w:asciiTheme="majorEastAsia" w:hAnsiTheme="majorEastAsia" w:eastAsiaTheme="majorEastAsia"/>
          <w:color w:val="auto"/>
          <w:sz w:val="24"/>
          <w:szCs w:val="24"/>
        </w:rPr>
        <w:t>1、除</w:t>
      </w:r>
      <w:r>
        <w:fldChar w:fldCharType="begin"/>
      </w:r>
      <w:r>
        <w:instrText xml:space="preserve"> HYPERLINK \l "bookmark10"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30</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规定外，合同将授予采购人确定的成交供应商。成交供应商放弃成交、或因不可抗力提出不能履行合同，或者磋商文件规定应当提交履约保证金而在规定的期限内未能提交的，采购人可以与排位其后第一位的供应商签订合同，以此类推。</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26.2</w:t>
      </w:r>
      <w:r>
        <w:rPr>
          <w:rFonts w:hint="eastAsia" w:asciiTheme="majorEastAsia" w:hAnsiTheme="majorEastAsia" w:eastAsiaTheme="majorEastAsia"/>
          <w:color w:val="auto"/>
          <w:sz w:val="24"/>
          <w:szCs w:val="24"/>
        </w:rPr>
        <w:t>、如采购人发现成交供应商在投标、提供资料时有弄虚作假的行为，经核实，采购人有权拒绝该成交供应商的投标。</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26.3</w:t>
      </w:r>
      <w:r>
        <w:rPr>
          <w:rFonts w:hint="eastAsia" w:asciiTheme="majorEastAsia" w:hAnsiTheme="majorEastAsia" w:eastAsiaTheme="majorEastAsia"/>
          <w:color w:val="auto"/>
          <w:sz w:val="24"/>
          <w:szCs w:val="24"/>
        </w:rPr>
        <w:t>、其他规定见《供应商须知前附表》。</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27</w:t>
      </w:r>
      <w:r>
        <w:rPr>
          <w:rFonts w:hint="eastAsia" w:asciiTheme="majorEastAsia" w:hAnsiTheme="majorEastAsia" w:eastAsiaTheme="majorEastAsia"/>
          <w:b/>
          <w:color w:val="auto"/>
          <w:sz w:val="24"/>
          <w:szCs w:val="24"/>
        </w:rPr>
        <w:t>、资格后审</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供应商的财务、技术、和服务能力及信誉，确定其是否有资格能圆满地履行合同。如果审查通过，则将合同授予该供应商；如果审查没有通过，则拒绝其投标。在此情况下，磋商小组将对排位其后第一位的供应商的能力做类似的审查。</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28</w:t>
      </w:r>
      <w:r>
        <w:rPr>
          <w:rFonts w:hint="eastAsia" w:asciiTheme="majorEastAsia" w:hAnsiTheme="majorEastAsia" w:eastAsiaTheme="majorEastAsia"/>
          <w:b/>
          <w:color w:val="auto"/>
          <w:sz w:val="24"/>
          <w:szCs w:val="24"/>
        </w:rPr>
        <w:t>、在授予合同时变更采购服务数量的权利（适用）</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29</w:t>
      </w:r>
      <w:r>
        <w:rPr>
          <w:rFonts w:hint="eastAsia" w:asciiTheme="majorEastAsia" w:hAnsiTheme="majorEastAsia" w:eastAsiaTheme="majorEastAsia"/>
          <w:b/>
          <w:color w:val="auto"/>
          <w:sz w:val="24"/>
          <w:szCs w:val="24"/>
        </w:rPr>
        <w:t>、接受和拒绝任何投标或所有投标的权利（适用）</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29.1</w:t>
      </w:r>
      <w:r>
        <w:rPr>
          <w:rFonts w:hint="eastAsia" w:asciiTheme="majorEastAsia" w:hAnsiTheme="majorEastAsia" w:eastAsiaTheme="majorEastAsia"/>
          <w:color w:val="auto"/>
          <w:sz w:val="24"/>
          <w:szCs w:val="24"/>
        </w:rPr>
        <w:t>、供应商的报价均超过了采购预算，且采购人不能支付的，将予以废标；</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29.2</w:t>
      </w:r>
      <w:r>
        <w:rPr>
          <w:rFonts w:hint="eastAsia" w:asciiTheme="majorEastAsia" w:hAnsiTheme="majorEastAsia" w:eastAsiaTheme="majorEastAsia"/>
          <w:color w:val="auto"/>
          <w:sz w:val="24"/>
          <w:szCs w:val="24"/>
        </w:rPr>
        <w:t>、因重大变故或为维护国家利益，采购人在授予合同之前仍保留接受或拒绝任何投标或所有投标的权利。</w:t>
      </w:r>
    </w:p>
    <w:p>
      <w:pPr>
        <w:spacing w:after="0" w:line="460" w:lineRule="exact"/>
        <w:jc w:val="both"/>
        <w:rPr>
          <w:rFonts w:asciiTheme="majorEastAsia" w:hAnsiTheme="majorEastAsia" w:eastAsiaTheme="majorEastAsia"/>
          <w:b/>
          <w:color w:val="auto"/>
          <w:sz w:val="24"/>
          <w:szCs w:val="24"/>
        </w:rPr>
      </w:pP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30</w:t>
      </w:r>
      <w:r>
        <w:rPr>
          <w:rFonts w:hint="eastAsia" w:asciiTheme="majorEastAsia" w:hAnsiTheme="majorEastAsia" w:eastAsiaTheme="majorEastAsia"/>
          <w:b/>
          <w:color w:val="auto"/>
          <w:sz w:val="24"/>
          <w:szCs w:val="24"/>
        </w:rPr>
        <w:t>、成交通知</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30.1</w:t>
      </w:r>
      <w:r>
        <w:rPr>
          <w:rFonts w:hint="eastAsia" w:asciiTheme="majorEastAsia" w:hAnsiTheme="majorEastAsia" w:eastAsiaTheme="majorEastAsia"/>
          <w:color w:val="auto"/>
          <w:sz w:val="24"/>
          <w:szCs w:val="24"/>
        </w:rPr>
        <w:t>、磋商文件有效期期满前，采购人将以书面形式通知成交供应商其投标被接受。</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30.2</w:t>
      </w:r>
      <w:r>
        <w:rPr>
          <w:rFonts w:hint="eastAsia" w:asciiTheme="majorEastAsia" w:hAnsiTheme="majorEastAsia" w:eastAsiaTheme="majorEastAsia"/>
          <w:color w:val="auto"/>
          <w:sz w:val="24"/>
          <w:szCs w:val="24"/>
        </w:rPr>
        <w:t>、采购人向成交供应商发出书面通知的同时，采购人通知落选的供应商其投标未被接受，并按</w:t>
      </w:r>
      <w:r>
        <w:fldChar w:fldCharType="begin"/>
      </w:r>
      <w:r>
        <w:instrText xml:space="preserve"> HYPERLINK \l "bookmark11" </w:instrText>
      </w:r>
      <w:r>
        <w:fldChar w:fldCharType="separate"/>
      </w:r>
      <w:r>
        <w:rPr>
          <w:rStyle w:val="22"/>
          <w:rFonts w:hint="eastAsia" w:asciiTheme="majorEastAsia" w:hAnsiTheme="majorEastAsia" w:eastAsiaTheme="majorEastAsia"/>
          <w:color w:val="auto"/>
          <w:sz w:val="24"/>
          <w:szCs w:val="24"/>
        </w:rPr>
        <w:t>第</w:t>
      </w:r>
      <w:r>
        <w:rPr>
          <w:rStyle w:val="22"/>
          <w:rFonts w:asciiTheme="majorEastAsia" w:hAnsiTheme="majorEastAsia" w:eastAsiaTheme="majorEastAsia"/>
          <w:color w:val="auto"/>
          <w:sz w:val="24"/>
          <w:szCs w:val="24"/>
        </w:rPr>
        <w:t>15</w:t>
      </w:r>
      <w:r>
        <w:rPr>
          <w:rStyle w:val="22"/>
          <w:rFonts w:hint="eastAsia" w:asciiTheme="majorEastAsia" w:hAnsiTheme="majorEastAsia" w:eastAsiaTheme="majorEastAsia"/>
          <w:color w:val="auto"/>
          <w:sz w:val="24"/>
          <w:szCs w:val="24"/>
        </w:rPr>
        <w:t>款</w:t>
      </w:r>
      <w:r>
        <w:rPr>
          <w:rStyle w:val="22"/>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color w:val="auto"/>
          <w:sz w:val="24"/>
          <w:szCs w:val="24"/>
        </w:rPr>
        <w:t>规定退还其磋商保证金。</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30.3</w:t>
      </w:r>
      <w:r>
        <w:rPr>
          <w:rFonts w:hint="eastAsia" w:asciiTheme="majorEastAsia" w:hAnsiTheme="majorEastAsia" w:eastAsiaTheme="majorEastAsia"/>
          <w:color w:val="auto"/>
          <w:sz w:val="24"/>
          <w:szCs w:val="24"/>
        </w:rPr>
        <w:t>、成交通知书是合同的一个组成部分。</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31</w:t>
      </w:r>
      <w:r>
        <w:rPr>
          <w:rFonts w:hint="eastAsia" w:asciiTheme="majorEastAsia" w:hAnsiTheme="majorEastAsia" w:eastAsiaTheme="majorEastAsia"/>
          <w:b/>
          <w:color w:val="auto"/>
          <w:sz w:val="24"/>
          <w:szCs w:val="24"/>
        </w:rPr>
        <w:t>、签署合同</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31.1</w:t>
      </w:r>
      <w:r>
        <w:rPr>
          <w:rFonts w:hint="eastAsia" w:asciiTheme="majorEastAsia" w:hAnsiTheme="majorEastAsia" w:eastAsiaTheme="majorEastAsia"/>
          <w:color w:val="auto"/>
          <w:sz w:val="24"/>
          <w:szCs w:val="24"/>
        </w:rPr>
        <w:t>、采购人通知成交供应商成交时，将提供磋商文件中的合同格式，包括双方之间的有关协议给成交供应商。</w:t>
      </w:r>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31.2</w:t>
      </w:r>
      <w:r>
        <w:rPr>
          <w:rFonts w:hint="eastAsia" w:asciiTheme="majorEastAsia" w:hAnsiTheme="majorEastAsia" w:eastAsiaTheme="majorEastAsia"/>
          <w:color w:val="auto"/>
          <w:sz w:val="24"/>
          <w:szCs w:val="24"/>
        </w:rPr>
        <w:t>、成交供应商在收到成交通知书和合同格式后，在成交通知书上规定的时间内，应派授权代表前往采购人指定地点签订合同。</w:t>
      </w:r>
    </w:p>
    <w:p>
      <w:pPr>
        <w:spacing w:after="0" w:line="460" w:lineRule="exact"/>
        <w:jc w:val="both"/>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33、履约保证金</w:t>
      </w:r>
    </w:p>
    <w:p>
      <w:pPr>
        <w:pStyle w:val="2"/>
      </w:pPr>
      <w:r>
        <w:rPr>
          <w:rFonts w:hint="eastAsia" w:asciiTheme="majorEastAsia" w:hAnsiTheme="majorEastAsia" w:eastAsiaTheme="majorEastAsia"/>
          <w:color w:val="auto"/>
        </w:rPr>
        <w:t>将按采购有关要求提供必要的履约保证金。</w:t>
      </w:r>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w:t>
      </w:r>
      <w:r>
        <w:rPr>
          <w:rFonts w:hint="eastAsia" w:asciiTheme="majorEastAsia" w:hAnsiTheme="majorEastAsia" w:eastAsiaTheme="majorEastAsia"/>
          <w:b/>
          <w:color w:val="auto"/>
          <w:sz w:val="24"/>
          <w:szCs w:val="24"/>
        </w:rPr>
        <w:t>4、采购代理服务费</w:t>
      </w:r>
    </w:p>
    <w:p>
      <w:pPr>
        <w:spacing w:after="0" w:line="460" w:lineRule="exact"/>
        <w:ind w:firstLine="480" w:firstLineChars="200"/>
        <w:jc w:val="both"/>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采购代理服务费支付方式：由成交供应商支付。</w:t>
      </w:r>
    </w:p>
    <w:p>
      <w:pPr>
        <w:spacing w:after="0" w:line="460" w:lineRule="exact"/>
        <w:jc w:val="both"/>
        <w:rPr>
          <w:rFonts w:asciiTheme="majorEastAsia" w:hAnsiTheme="majorEastAsia" w:eastAsiaTheme="majorEastAsia"/>
          <w:b/>
          <w:color w:val="auto"/>
          <w:sz w:val="24"/>
          <w:szCs w:val="24"/>
        </w:rPr>
      </w:pPr>
      <w:bookmarkStart w:id="11" w:name="_Toc483396320"/>
      <w:bookmarkStart w:id="12" w:name="_Toc531882596"/>
      <w:bookmarkStart w:id="13" w:name="_Toc238907033"/>
      <w:bookmarkStart w:id="14" w:name="_Toc483396408"/>
      <w:r>
        <w:rPr>
          <w:rFonts w:asciiTheme="majorEastAsia" w:hAnsiTheme="majorEastAsia" w:eastAsiaTheme="majorEastAsia"/>
          <w:b/>
          <w:color w:val="auto"/>
          <w:sz w:val="24"/>
          <w:szCs w:val="24"/>
        </w:rPr>
        <w:t>3</w:t>
      </w:r>
      <w:r>
        <w:rPr>
          <w:rFonts w:hint="eastAsia" w:asciiTheme="majorEastAsia" w:hAnsiTheme="majorEastAsia" w:eastAsiaTheme="majorEastAsia"/>
          <w:b/>
          <w:color w:val="auto"/>
          <w:sz w:val="24"/>
          <w:szCs w:val="24"/>
        </w:rPr>
        <w:t>5、质疑和投诉</w:t>
      </w:r>
      <w:bookmarkEnd w:id="11"/>
      <w:bookmarkEnd w:id="12"/>
      <w:bookmarkEnd w:id="13"/>
      <w:bookmarkEnd w:id="14"/>
      <w:bookmarkStart w:id="15" w:name="_Toc531861717"/>
    </w:p>
    <w:p>
      <w:pPr>
        <w:spacing w:after="0" w:line="460" w:lineRule="exact"/>
        <w:ind w:firstLine="480" w:firstLineChars="200"/>
        <w:jc w:val="both"/>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1、</w:t>
      </w:r>
      <w:r>
        <w:rPr>
          <w:rFonts w:asciiTheme="majorEastAsia" w:hAnsiTheme="majorEastAsia" w:eastAsiaTheme="majorEastAsia"/>
          <w:color w:val="auto"/>
          <w:sz w:val="24"/>
          <w:szCs w:val="24"/>
        </w:rPr>
        <w:t>质疑、投诉的接收和处理严格按照《中华人民共和国政府采购法》、《中华人共和国政府采购法实施条例》、《政府采购质疑和投诉办法》、《财政部关于加强政府采购供应商投诉受理审查工作的通知》的规定办理。</w:t>
      </w:r>
      <w:bookmarkEnd w:id="15"/>
    </w:p>
    <w:p>
      <w:pPr>
        <w:spacing w:after="0" w:line="460" w:lineRule="exact"/>
        <w:ind w:firstLine="480" w:firstLineChars="200"/>
        <w:jc w:val="both"/>
        <w:rPr>
          <w:rFonts w:asciiTheme="majorEastAsia" w:hAnsiTheme="majorEastAsia" w:eastAsiaTheme="majorEastAsia"/>
          <w:color w:val="auto"/>
          <w:sz w:val="24"/>
          <w:szCs w:val="24"/>
        </w:rPr>
      </w:pPr>
      <w:bookmarkStart w:id="16" w:name="_Toc531861718"/>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供应商对政府采购活动事项有疑问的，可以向采购人或采购代理机构提出询问，采购人或采购代理机构应当及时作出答复，但答复的内容不得涉及商业秘密。</w:t>
      </w:r>
      <w:bookmarkEnd w:id="16"/>
    </w:p>
    <w:p>
      <w:pPr>
        <w:spacing w:after="0" w:line="460" w:lineRule="exact"/>
        <w:ind w:firstLine="480" w:firstLineChars="200"/>
        <w:jc w:val="both"/>
        <w:rPr>
          <w:rFonts w:asciiTheme="majorEastAsia" w:hAnsiTheme="majorEastAsia" w:eastAsiaTheme="majorEastAsia"/>
          <w:color w:val="auto"/>
          <w:sz w:val="24"/>
          <w:szCs w:val="24"/>
        </w:rPr>
      </w:pPr>
      <w:bookmarkStart w:id="17" w:name="_Toc531861719"/>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供应商认为采购文件、采购过程和中标、成交结果使自己的权益受到损害的，可以以书面形式向采购人或采购代理机构提出质疑。</w:t>
      </w:r>
      <w:bookmarkEnd w:id="17"/>
    </w:p>
    <w:p>
      <w:pPr>
        <w:spacing w:after="0" w:line="460" w:lineRule="exact"/>
        <w:ind w:firstLine="480" w:firstLineChars="200"/>
        <w:jc w:val="both"/>
        <w:rPr>
          <w:rFonts w:asciiTheme="majorEastAsia" w:hAnsiTheme="majorEastAsia" w:eastAsiaTheme="majorEastAsia"/>
          <w:color w:val="auto"/>
          <w:sz w:val="24"/>
          <w:szCs w:val="24"/>
        </w:rPr>
      </w:pPr>
      <w:bookmarkStart w:id="18" w:name="_Toc531861720"/>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4、</w:t>
      </w:r>
      <w:r>
        <w:rPr>
          <w:rFonts w:asciiTheme="majorEastAsia" w:hAnsiTheme="majorEastAsia" w:eastAsiaTheme="majorEastAsia"/>
          <w:color w:val="auto"/>
          <w:sz w:val="24"/>
          <w:szCs w:val="24"/>
        </w:rPr>
        <w:t>采购人或采购代理机构应当在收到供应商的书面质疑后7个工作日内作出答复，并以书面形式通知质疑供应商和其他有关供应商，但答复的内容不得涉及商业秘密。</w:t>
      </w:r>
      <w:bookmarkEnd w:id="18"/>
    </w:p>
    <w:p>
      <w:pPr>
        <w:spacing w:after="0" w:line="460" w:lineRule="exact"/>
        <w:ind w:firstLine="480" w:firstLineChars="200"/>
        <w:jc w:val="both"/>
        <w:rPr>
          <w:rFonts w:asciiTheme="majorEastAsia" w:hAnsiTheme="majorEastAsia" w:eastAsiaTheme="majorEastAsia"/>
          <w:color w:val="auto"/>
          <w:sz w:val="24"/>
          <w:szCs w:val="24"/>
        </w:rPr>
      </w:pPr>
      <w:bookmarkStart w:id="19" w:name="_Toc531861721"/>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质疑供应商对采购人、采购代理机构的答复不满意或者采购人、采购代理机构在规定的时间内作出答复的，可以在答复期满后15个工作日内向同级政府采购监督管理部门投诉。</w:t>
      </w:r>
      <w:bookmarkEnd w:id="19"/>
    </w:p>
    <w:p>
      <w:pPr>
        <w:spacing w:after="0" w:line="460" w:lineRule="exact"/>
        <w:ind w:firstLine="480" w:firstLineChars="200"/>
        <w:jc w:val="both"/>
        <w:rPr>
          <w:rFonts w:asciiTheme="majorEastAsia" w:hAnsiTheme="majorEastAsia" w:eastAsiaTheme="majorEastAsia"/>
          <w:color w:val="auto"/>
          <w:sz w:val="24"/>
          <w:szCs w:val="24"/>
        </w:rPr>
      </w:pPr>
      <w:bookmarkStart w:id="20" w:name="_Toc531861722"/>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.6</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政府采购监督管理部门应当在收到投诉后30个工作日内，对投诉事项作出处理决定，并以书面形式通知投诉人和与投诉事项有关的当事人。</w:t>
      </w:r>
      <w:bookmarkEnd w:id="20"/>
    </w:p>
    <w:p>
      <w:pPr>
        <w:spacing w:after="0" w:line="460" w:lineRule="exact"/>
        <w:ind w:firstLine="480" w:firstLineChars="200"/>
        <w:jc w:val="both"/>
        <w:rPr>
          <w:rFonts w:asciiTheme="majorEastAsia" w:hAnsiTheme="majorEastAsia" w:eastAsiaTheme="majorEastAsia"/>
          <w:color w:val="auto"/>
          <w:sz w:val="24"/>
          <w:szCs w:val="24"/>
        </w:rPr>
      </w:pPr>
      <w:bookmarkStart w:id="21" w:name="_Toc531861723"/>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.7</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政府采购监督管理部门在处理投诉事项期间，可以视具体情况书面通知采购人暂停采购活动，但暂停时间最长不得超过30日。</w:t>
      </w:r>
      <w:bookmarkEnd w:id="21"/>
    </w:p>
    <w:p>
      <w:pPr>
        <w:spacing w:after="0" w:line="460" w:lineRule="exact"/>
        <w:ind w:firstLine="480" w:firstLineChars="200"/>
        <w:jc w:val="both"/>
        <w:rPr>
          <w:rFonts w:asciiTheme="majorEastAsia" w:hAnsiTheme="majorEastAsia" w:eastAsiaTheme="majorEastAsia"/>
          <w:color w:val="auto"/>
          <w:sz w:val="24"/>
          <w:szCs w:val="24"/>
        </w:rPr>
      </w:pPr>
      <w:bookmarkStart w:id="22" w:name="_Toc531861724"/>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.8</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投诉人对政府采购监督管理部门的投诉处理决定不服或者政府采购监督管理部门逾期未作处理的，可以依法申请行政复议或者向人民法院提起行政诉。</w:t>
      </w:r>
      <w:bookmarkEnd w:id="22"/>
    </w:p>
    <w:p>
      <w:pPr>
        <w:spacing w:after="0" w:line="460" w:lineRule="exact"/>
        <w:ind w:firstLine="480" w:firstLineChars="200"/>
        <w:jc w:val="both"/>
        <w:rPr>
          <w:rFonts w:asciiTheme="majorEastAsia" w:hAnsiTheme="majorEastAsia" w:eastAsiaTheme="majorEastAsia"/>
          <w:color w:val="auto"/>
          <w:sz w:val="24"/>
          <w:szCs w:val="24"/>
        </w:rPr>
      </w:pPr>
      <w:bookmarkStart w:id="23" w:name="_Toc531861725"/>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5</w:t>
      </w:r>
      <w:r>
        <w:rPr>
          <w:rFonts w:asciiTheme="majorEastAsia" w:hAnsiTheme="majorEastAsia" w:eastAsiaTheme="majorEastAsia"/>
          <w:color w:val="auto"/>
          <w:sz w:val="24"/>
          <w:szCs w:val="24"/>
        </w:rPr>
        <w:t>.9</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供应商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bookmarkEnd w:id="23"/>
    </w:p>
    <w:p>
      <w:pPr>
        <w:spacing w:after="0" w:line="460" w:lineRule="exact"/>
        <w:jc w:val="both"/>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w:t>
      </w:r>
      <w:r>
        <w:rPr>
          <w:rFonts w:hint="eastAsia" w:asciiTheme="majorEastAsia" w:hAnsiTheme="majorEastAsia" w:eastAsiaTheme="majorEastAsia"/>
          <w:b/>
          <w:color w:val="auto"/>
          <w:sz w:val="24"/>
          <w:szCs w:val="24"/>
        </w:rPr>
        <w:t>6、政策功能</w:t>
      </w:r>
    </w:p>
    <w:p>
      <w:pPr>
        <w:spacing w:after="0" w:line="460" w:lineRule="exact"/>
        <w:ind w:firstLine="480" w:firstLineChars="200"/>
        <w:jc w:val="both"/>
        <w:rPr>
          <w:rFonts w:asciiTheme="majorEastAsia" w:hAnsiTheme="majorEastAsia" w:eastAsiaTheme="majorEastAsia"/>
          <w:color w:val="auto"/>
          <w:sz w:val="24"/>
          <w:szCs w:val="24"/>
        </w:rPr>
      </w:pPr>
      <w:bookmarkStart w:id="24" w:name="_Toc531861735"/>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本次招标优先选购中华人民共和国财政部公布的《政府采购自主创新产品目录》和《节能环保产品目录》的标的物。</w:t>
      </w:r>
      <w:bookmarkEnd w:id="24"/>
    </w:p>
    <w:p>
      <w:pPr>
        <w:spacing w:after="0" w:line="460" w:lineRule="exact"/>
        <w:ind w:firstLine="480" w:firstLineChars="200"/>
        <w:jc w:val="both"/>
        <w:rPr>
          <w:rFonts w:asciiTheme="majorEastAsia" w:hAnsiTheme="majorEastAsia" w:eastAsiaTheme="majorEastAsia"/>
          <w:color w:val="auto"/>
          <w:sz w:val="24"/>
          <w:szCs w:val="24"/>
        </w:rPr>
      </w:pPr>
      <w:bookmarkStart w:id="25" w:name="_Toc531861736"/>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bookmarkEnd w:id="25"/>
    </w:p>
    <w:p>
      <w:pPr>
        <w:spacing w:after="0" w:line="460" w:lineRule="exact"/>
        <w:ind w:firstLine="480" w:firstLineChars="200"/>
        <w:jc w:val="both"/>
        <w:rPr>
          <w:rFonts w:asciiTheme="majorEastAsia" w:hAnsiTheme="majorEastAsia" w:eastAsiaTheme="majorEastAsia"/>
          <w:color w:val="auto"/>
          <w:sz w:val="24"/>
          <w:szCs w:val="24"/>
        </w:rPr>
      </w:pPr>
      <w:bookmarkStart w:id="26" w:name="_Toc531861737"/>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投标产品属于信息安全产品的，供应商应当选择经国家认证的信息安全产品投标，并提供由中国信息安全认证中心按国家标准颁发的有效认证证书复印件。</w:t>
      </w:r>
      <w:bookmarkEnd w:id="26"/>
    </w:p>
    <w:p>
      <w:pPr>
        <w:spacing w:after="0" w:line="460" w:lineRule="exact"/>
        <w:ind w:firstLine="480" w:firstLineChars="200"/>
        <w:jc w:val="both"/>
        <w:rPr>
          <w:rFonts w:asciiTheme="majorEastAsia" w:hAnsiTheme="majorEastAsia" w:eastAsiaTheme="majorEastAsia"/>
          <w:color w:val="auto"/>
          <w:sz w:val="24"/>
          <w:szCs w:val="24"/>
        </w:rPr>
      </w:pPr>
      <w:bookmarkStart w:id="27" w:name="_Toc531861738"/>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4</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投标产品属于政府强制采购节能产品的，供应商应当选择《节能产品政府采购清单》中的产品投标，并提供有效的节能产品认证证书复印件。</w:t>
      </w:r>
      <w:bookmarkEnd w:id="27"/>
    </w:p>
    <w:p>
      <w:pPr>
        <w:spacing w:after="0" w:line="460" w:lineRule="exact"/>
        <w:ind w:firstLine="480" w:firstLineChars="200"/>
        <w:jc w:val="both"/>
        <w:rPr>
          <w:rFonts w:asciiTheme="majorEastAsia" w:hAnsiTheme="majorEastAsia" w:eastAsiaTheme="majorEastAsia"/>
          <w:color w:val="auto"/>
          <w:sz w:val="24"/>
          <w:szCs w:val="24"/>
        </w:rPr>
      </w:pPr>
      <w:bookmarkStart w:id="28" w:name="_Toc531861740"/>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5</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供应商为小型和微型企业（含联合体）的情况：</w:t>
      </w:r>
      <w:bookmarkEnd w:id="28"/>
    </w:p>
    <w:p>
      <w:pPr>
        <w:spacing w:after="0" w:line="460" w:lineRule="exact"/>
        <w:ind w:firstLine="480" w:firstLineChars="200"/>
        <w:jc w:val="both"/>
        <w:rPr>
          <w:rFonts w:asciiTheme="majorEastAsia" w:hAnsiTheme="majorEastAsia" w:eastAsiaTheme="majorEastAsia"/>
          <w:color w:val="auto"/>
          <w:sz w:val="24"/>
          <w:szCs w:val="24"/>
        </w:rPr>
      </w:pPr>
      <w:bookmarkStart w:id="29" w:name="_Toc531861741"/>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.5.1</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中小企业的认定标准：</w:t>
      </w:r>
      <w:bookmarkEnd w:id="29"/>
    </w:p>
    <w:p>
      <w:pPr>
        <w:spacing w:after="0" w:line="460" w:lineRule="exact"/>
        <w:ind w:firstLine="480" w:firstLineChars="200"/>
        <w:jc w:val="both"/>
        <w:rPr>
          <w:rFonts w:asciiTheme="majorEastAsia" w:hAnsiTheme="majorEastAsia" w:eastAsiaTheme="majorEastAsia"/>
          <w:color w:val="auto"/>
          <w:sz w:val="24"/>
          <w:szCs w:val="24"/>
        </w:rPr>
      </w:pPr>
      <w:bookmarkStart w:id="30" w:name="_Toc531861742"/>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1）提供本企业制造的货物、承担的工程或者服务，或者提供其他中小企业制造的货物，不包括提供或使用大型企业注册商标的货物；</w:t>
      </w:r>
      <w:bookmarkEnd w:id="30"/>
    </w:p>
    <w:p>
      <w:pPr>
        <w:spacing w:after="0" w:line="460" w:lineRule="exact"/>
        <w:ind w:firstLine="480" w:firstLineChars="200"/>
        <w:jc w:val="both"/>
        <w:rPr>
          <w:rFonts w:asciiTheme="majorEastAsia" w:hAnsiTheme="majorEastAsia" w:eastAsiaTheme="majorEastAsia"/>
          <w:color w:val="auto"/>
          <w:sz w:val="24"/>
          <w:szCs w:val="24"/>
        </w:rPr>
      </w:pPr>
      <w:bookmarkStart w:id="31" w:name="_Toc531861743"/>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2）本规定所称中小企业划分标准，是指国务院有关部门根据企业从业人员、营业收入、资产总额等指标制定的中小企业划型标准（工信部联企业〔2011〕300号）；</w:t>
      </w:r>
      <w:bookmarkEnd w:id="31"/>
    </w:p>
    <w:p>
      <w:pPr>
        <w:spacing w:after="0" w:line="460" w:lineRule="exact"/>
        <w:ind w:firstLine="480" w:firstLineChars="200"/>
        <w:jc w:val="both"/>
        <w:rPr>
          <w:rFonts w:asciiTheme="majorEastAsia" w:hAnsiTheme="majorEastAsia" w:eastAsiaTheme="majorEastAsia"/>
          <w:color w:val="auto"/>
          <w:sz w:val="24"/>
          <w:szCs w:val="24"/>
        </w:rPr>
      </w:pPr>
      <w:bookmarkStart w:id="32" w:name="_Toc531861744"/>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3）小型、微型企业提供有中型企业制造的货物的，视同为中型企业；小型、微型、中型企业提供有大型企业制造的货物的，视同为大型企业；</w:t>
      </w:r>
      <w:bookmarkEnd w:id="32"/>
    </w:p>
    <w:p>
      <w:pPr>
        <w:spacing w:after="0" w:line="460" w:lineRule="exact"/>
        <w:ind w:firstLine="480" w:firstLineChars="200"/>
        <w:jc w:val="both"/>
        <w:rPr>
          <w:rFonts w:asciiTheme="majorEastAsia" w:hAnsiTheme="majorEastAsia" w:eastAsiaTheme="majorEastAsia"/>
          <w:color w:val="auto"/>
          <w:sz w:val="24"/>
          <w:szCs w:val="24"/>
        </w:rPr>
      </w:pPr>
      <w:bookmarkStart w:id="33" w:name="_Toc531861745"/>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4)根据财库〔2014〕68号《财政部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bookmarkEnd w:id="33"/>
    </w:p>
    <w:p>
      <w:pPr>
        <w:spacing w:after="0" w:line="460" w:lineRule="exact"/>
        <w:ind w:firstLine="480" w:firstLineChars="200"/>
        <w:jc w:val="both"/>
        <w:rPr>
          <w:rFonts w:asciiTheme="majorEastAsia" w:hAnsiTheme="majorEastAsia" w:eastAsiaTheme="majorEastAsia"/>
          <w:color w:val="auto"/>
          <w:sz w:val="24"/>
          <w:szCs w:val="24"/>
        </w:rPr>
      </w:pPr>
      <w:bookmarkStart w:id="34" w:name="_Toc531861746"/>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5)根据财库〔2017〕141号《财政部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bookmarkEnd w:id="34"/>
    </w:p>
    <w:p>
      <w:pPr>
        <w:spacing w:after="0" w:line="460" w:lineRule="exact"/>
        <w:ind w:firstLine="480" w:firstLineChars="200"/>
        <w:jc w:val="both"/>
        <w:rPr>
          <w:rFonts w:asciiTheme="majorEastAsia" w:hAnsiTheme="majorEastAsia" w:eastAsiaTheme="majorEastAsia"/>
          <w:color w:val="auto"/>
          <w:sz w:val="24"/>
          <w:szCs w:val="24"/>
        </w:rPr>
      </w:pPr>
      <w:bookmarkStart w:id="35" w:name="_Toc531861747"/>
      <w:r>
        <w:rPr>
          <w:rFonts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6</w:t>
      </w:r>
      <w:r>
        <w:rPr>
          <w:rFonts w:asciiTheme="majorEastAsia" w:hAnsiTheme="majorEastAsia" w:eastAsiaTheme="majorEastAsia"/>
          <w:color w:val="auto"/>
          <w:sz w:val="24"/>
          <w:szCs w:val="24"/>
        </w:rPr>
        <w:t>.5.2</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具体评审价说明：</w:t>
      </w:r>
      <w:bookmarkEnd w:id="35"/>
    </w:p>
    <w:p>
      <w:pPr>
        <w:spacing w:after="0" w:line="460" w:lineRule="exact"/>
        <w:ind w:firstLine="480" w:firstLineChars="200"/>
        <w:jc w:val="both"/>
        <w:rPr>
          <w:rFonts w:asciiTheme="majorEastAsia" w:hAnsiTheme="majorEastAsia" w:eastAsiaTheme="majorEastAsia"/>
          <w:color w:val="auto"/>
          <w:sz w:val="24"/>
          <w:szCs w:val="24"/>
        </w:rPr>
      </w:pPr>
      <w:bookmarkStart w:id="36" w:name="_Toc531861748"/>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1）供应商为小型或微型企业，其评审价=投标报价*（1-6%）；</w:t>
      </w:r>
      <w:bookmarkEnd w:id="36"/>
    </w:p>
    <w:p>
      <w:pPr>
        <w:spacing w:after="0" w:line="460" w:lineRule="exact"/>
        <w:ind w:firstLine="480" w:firstLineChars="200"/>
        <w:jc w:val="both"/>
        <w:rPr>
          <w:rFonts w:asciiTheme="majorEastAsia" w:hAnsiTheme="majorEastAsia" w:eastAsiaTheme="majorEastAsia"/>
          <w:color w:val="auto"/>
          <w:sz w:val="24"/>
          <w:szCs w:val="24"/>
        </w:rPr>
      </w:pPr>
      <w:bookmarkStart w:id="37" w:name="_Toc531861749"/>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2）供应商为联合体投标，联合体中有小型或微型企业且联合协议中约定小型、微型企业的协议合同金额占到联合体协议合同总金额30％以上的，其评审价=投标报价*（1-2%）。</w:t>
      </w:r>
      <w:bookmarkEnd w:id="37"/>
    </w:p>
    <w:p>
      <w:pPr>
        <w:spacing w:after="0" w:line="460" w:lineRule="exact"/>
        <w:ind w:firstLine="480" w:firstLineChars="200"/>
        <w:jc w:val="both"/>
        <w:rPr>
          <w:rFonts w:asciiTheme="majorEastAsia" w:hAnsiTheme="majorEastAsia" w:eastAsiaTheme="majorEastAsia"/>
          <w:color w:val="auto"/>
          <w:sz w:val="24"/>
          <w:szCs w:val="24"/>
        </w:rPr>
      </w:pPr>
      <w:bookmarkStart w:id="38" w:name="_Toc531861750"/>
      <w:r>
        <w:rPr>
          <w:rFonts w:asciiTheme="majorEastAsia" w:hAnsiTheme="majorEastAsia" w:eastAsiaTheme="majorEastAsia"/>
          <w:color w:val="auto"/>
          <w:sz w:val="24"/>
          <w:szCs w:val="24"/>
        </w:rPr>
        <w:t>(3)供应商为工信部联企业〔2011〕300号文规定的小型和微型企业（含联合体）的，必须如实填写“中小企业声明函”（内容、格式见财库〔2011〕181号），并提供中小企业声明函，否则无效。</w:t>
      </w:r>
      <w:bookmarkEnd w:id="38"/>
    </w:p>
    <w:p>
      <w:pPr>
        <w:spacing w:after="0" w:line="460" w:lineRule="exact"/>
        <w:ind w:firstLine="482" w:firstLineChars="200"/>
        <w:jc w:val="both"/>
        <w:rPr>
          <w:rFonts w:asciiTheme="majorEastAsia" w:hAnsiTheme="majorEastAsia" w:eastAsiaTheme="majorEastAsia"/>
          <w:b/>
          <w:color w:val="auto"/>
          <w:sz w:val="24"/>
          <w:szCs w:val="24"/>
        </w:rPr>
      </w:pPr>
      <w:bookmarkStart w:id="39" w:name="_Toc531861751"/>
      <w:r>
        <w:rPr>
          <w:rFonts w:asciiTheme="majorEastAsia" w:hAnsiTheme="majorEastAsia" w:eastAsiaTheme="majorEastAsia"/>
          <w:b/>
          <w:color w:val="auto"/>
          <w:sz w:val="24"/>
          <w:szCs w:val="24"/>
        </w:rPr>
        <w:t>如有虚假骗取政策性加分，将依法承担相应责任。</w:t>
      </w:r>
      <w:bookmarkEnd w:id="39"/>
    </w:p>
    <w:p>
      <w:pPr>
        <w:spacing w:after="0" w:line="460" w:lineRule="exact"/>
        <w:jc w:val="both"/>
        <w:rPr>
          <w:rFonts w:asciiTheme="majorEastAsia" w:hAnsiTheme="majorEastAsia" w:eastAsiaTheme="majorEastAsia"/>
          <w:color w:val="auto"/>
          <w:sz w:val="24"/>
          <w:szCs w:val="24"/>
        </w:rPr>
        <w:sectPr>
          <w:pgSz w:w="11900" w:h="16840"/>
          <w:pgMar w:top="1440" w:right="1361" w:bottom="1440" w:left="1361" w:header="709" w:footer="709" w:gutter="0"/>
          <w:pgNumType w:chapStyle="3"/>
          <w:cols w:space="720" w:num="1"/>
          <w:titlePg/>
          <w:docGrid w:linePitch="312" w:charSpace="0"/>
        </w:sectPr>
      </w:pPr>
    </w:p>
    <w:p>
      <w:pPr>
        <w:ind w:firstLine="2891" w:firstLineChars="800"/>
        <w:jc w:val="both"/>
        <w:outlineLvl w:val="0"/>
        <w:rPr>
          <w:rFonts w:cs="宋体" w:asciiTheme="majorEastAsia" w:hAnsiTheme="majorEastAsia" w:eastAsiaTheme="majorEastAsia"/>
          <w:b/>
          <w:color w:val="auto"/>
          <w:sz w:val="36"/>
          <w:szCs w:val="36"/>
        </w:rPr>
      </w:pPr>
      <w:bookmarkStart w:id="40" w:name="_Toc71553218"/>
      <w:r>
        <w:rPr>
          <w:rFonts w:hint="eastAsia" w:cs="宋体" w:asciiTheme="majorEastAsia" w:hAnsiTheme="majorEastAsia" w:eastAsiaTheme="majorEastAsia"/>
          <w:b/>
          <w:color w:val="auto"/>
          <w:sz w:val="36"/>
          <w:szCs w:val="36"/>
        </w:rPr>
        <w:t>第四章  合同条款</w:t>
      </w:r>
      <w:bookmarkEnd w:id="40"/>
    </w:p>
    <w:p>
      <w:pPr>
        <w:spacing w:after="0" w:line="440" w:lineRule="exact"/>
        <w:ind w:firstLine="480" w:firstLineChars="200"/>
        <w:jc w:val="both"/>
        <w:rPr>
          <w:rFonts w:asciiTheme="majorEastAsia" w:hAnsiTheme="majorEastAsia" w:eastAsiaTheme="majorEastAsia"/>
          <w:color w:val="auto"/>
          <w:sz w:val="24"/>
          <w:szCs w:val="24"/>
        </w:rPr>
      </w:pPr>
    </w:p>
    <w:p>
      <w:pPr>
        <w:spacing w:after="0" w:line="440" w:lineRule="exact"/>
        <w:ind w:firstLine="480" w:firstLineChars="200"/>
        <w:jc w:val="both"/>
        <w:rPr>
          <w:rFonts w:asciiTheme="majorEastAsia" w:hAnsiTheme="majorEastAsia" w:eastAsiaTheme="majorEastAsia"/>
          <w:color w:val="auto"/>
          <w:sz w:val="24"/>
          <w:szCs w:val="24"/>
        </w:rPr>
      </w:pPr>
    </w:p>
    <w:p>
      <w:pPr>
        <w:pStyle w:val="2"/>
        <w:rPr>
          <w:rFonts w:asciiTheme="majorEastAsia" w:hAnsiTheme="majorEastAsia" w:eastAsiaTheme="majorEastAsia"/>
          <w:color w:val="auto"/>
        </w:rPr>
      </w:pPr>
    </w:p>
    <w:p>
      <w:pPr>
        <w:pStyle w:val="2"/>
        <w:rPr>
          <w:rFonts w:asciiTheme="majorEastAsia" w:hAnsiTheme="majorEastAsia" w:eastAsiaTheme="majorEastAsia"/>
          <w:color w:val="auto"/>
        </w:rPr>
      </w:pPr>
    </w:p>
    <w:p>
      <w:pPr>
        <w:spacing w:after="0" w:line="440" w:lineRule="exact"/>
        <w:ind w:firstLine="480" w:firstLineChars="200"/>
        <w:jc w:val="both"/>
        <w:rPr>
          <w:rFonts w:asciiTheme="majorEastAsia" w:hAnsiTheme="majorEastAsia" w:eastAsiaTheme="majorEastAsia"/>
          <w:color w:val="auto"/>
          <w:sz w:val="24"/>
          <w:szCs w:val="24"/>
        </w:rPr>
      </w:pPr>
    </w:p>
    <w:p>
      <w:pPr>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（由招标人和中标人自行签订，其中付款方式详见“第六章 用户需求书”“</w:t>
      </w:r>
      <w:r>
        <w:rPr>
          <w:rFonts w:asciiTheme="majorEastAsia" w:hAnsiTheme="majorEastAsia" w:eastAsiaTheme="majorEastAsia"/>
          <w:color w:val="auto"/>
          <w:sz w:val="24"/>
          <w:szCs w:val="24"/>
        </w:rPr>
        <w:t>四、商务要求</w:t>
      </w:r>
      <w:r>
        <w:rPr>
          <w:rFonts w:hint="eastAsia" w:asciiTheme="majorEastAsia" w:hAnsiTheme="majorEastAsia" w:eastAsiaTheme="majorEastAsia"/>
          <w:color w:val="auto"/>
          <w:sz w:val="24"/>
          <w:szCs w:val="24"/>
        </w:rPr>
        <w:t>”第2、</w:t>
      </w:r>
      <w:r>
        <w:rPr>
          <w:rFonts w:hint="eastAsia" w:asciiTheme="majorEastAsia" w:hAnsiTheme="majorEastAsia" w:eastAsiaTheme="majorEastAsia"/>
          <w:color w:val="auto"/>
          <w:sz w:val="24"/>
        </w:rPr>
        <w:t>付款方式和条件</w:t>
      </w:r>
      <w:r>
        <w:rPr>
          <w:rFonts w:hint="eastAsia" w:asciiTheme="majorEastAsia" w:hAnsiTheme="majorEastAsia" w:eastAsiaTheme="majorEastAsia"/>
          <w:color w:val="auto"/>
          <w:sz w:val="24"/>
          <w:szCs w:val="24"/>
        </w:rPr>
        <w:t>）</w:t>
      </w:r>
    </w:p>
    <w:p>
      <w:pPr>
        <w:rPr>
          <w:rFonts w:asciiTheme="majorEastAsia" w:hAnsiTheme="majorEastAsia" w:eastAsiaTheme="majorEastAsia"/>
          <w:b/>
          <w:color w:val="auto"/>
        </w:rPr>
      </w:pPr>
    </w:p>
    <w:p>
      <w:pPr>
        <w:spacing w:after="0" w:line="440" w:lineRule="exact"/>
        <w:ind w:firstLine="480" w:firstLineChars="200"/>
        <w:jc w:val="both"/>
        <w:rPr>
          <w:rFonts w:asciiTheme="majorEastAsia" w:hAnsiTheme="majorEastAsia" w:eastAsiaTheme="majorEastAsia"/>
          <w:color w:val="auto"/>
          <w:sz w:val="24"/>
          <w:szCs w:val="24"/>
        </w:rPr>
      </w:pPr>
    </w:p>
    <w:p>
      <w:pPr>
        <w:spacing w:after="0" w:line="440" w:lineRule="exact"/>
        <w:ind w:firstLine="480" w:firstLineChars="200"/>
        <w:jc w:val="both"/>
        <w:rPr>
          <w:rFonts w:asciiTheme="majorEastAsia" w:hAnsiTheme="majorEastAsia" w:eastAsiaTheme="majorEastAsia"/>
          <w:color w:val="auto"/>
          <w:sz w:val="24"/>
          <w:szCs w:val="24"/>
        </w:rPr>
      </w:pPr>
    </w:p>
    <w:p>
      <w:pPr>
        <w:spacing w:after="0" w:line="440" w:lineRule="exact"/>
        <w:ind w:firstLine="480" w:firstLineChars="200"/>
        <w:jc w:val="both"/>
        <w:rPr>
          <w:rFonts w:asciiTheme="majorEastAsia" w:hAnsiTheme="majorEastAsia" w:eastAsiaTheme="majorEastAsia"/>
          <w:color w:val="auto"/>
          <w:sz w:val="24"/>
          <w:szCs w:val="24"/>
        </w:rPr>
      </w:pPr>
    </w:p>
    <w:p>
      <w:pPr>
        <w:spacing w:after="0" w:line="440" w:lineRule="exact"/>
        <w:ind w:firstLine="480" w:firstLineChars="200"/>
        <w:jc w:val="both"/>
        <w:rPr>
          <w:rFonts w:asciiTheme="majorEastAsia" w:hAnsiTheme="majorEastAsia" w:eastAsiaTheme="majorEastAsia"/>
          <w:color w:val="auto"/>
          <w:sz w:val="24"/>
          <w:szCs w:val="24"/>
        </w:rPr>
      </w:pPr>
    </w:p>
    <w:p>
      <w:pPr>
        <w:spacing w:after="0" w:line="440" w:lineRule="exact"/>
        <w:ind w:firstLine="480" w:firstLineChars="200"/>
        <w:jc w:val="both"/>
        <w:rPr>
          <w:rFonts w:asciiTheme="majorEastAsia" w:hAnsiTheme="majorEastAsia" w:eastAsiaTheme="majorEastAsia"/>
          <w:color w:val="auto"/>
          <w:sz w:val="24"/>
          <w:szCs w:val="24"/>
        </w:rPr>
      </w:pPr>
    </w:p>
    <w:p>
      <w:pPr>
        <w:spacing w:after="0" w:line="440" w:lineRule="exact"/>
        <w:ind w:firstLine="480" w:firstLineChars="200"/>
        <w:jc w:val="both"/>
        <w:rPr>
          <w:rFonts w:asciiTheme="majorEastAsia" w:hAnsiTheme="majorEastAsia" w:eastAsiaTheme="majorEastAsia"/>
          <w:color w:val="auto"/>
          <w:sz w:val="24"/>
          <w:szCs w:val="24"/>
        </w:rPr>
      </w:pPr>
    </w:p>
    <w:p>
      <w:pPr>
        <w:spacing w:after="0" w:line="440" w:lineRule="exact"/>
        <w:ind w:firstLine="480" w:firstLineChars="200"/>
        <w:jc w:val="both"/>
        <w:rPr>
          <w:rFonts w:asciiTheme="majorEastAsia" w:hAnsiTheme="majorEastAsia" w:eastAsiaTheme="majorEastAsia"/>
          <w:color w:val="auto"/>
          <w:sz w:val="24"/>
          <w:szCs w:val="24"/>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sectPr>
          <w:pgSz w:w="11900" w:h="16840"/>
          <w:pgMar w:top="1440" w:right="1361" w:bottom="1440" w:left="1361" w:header="709" w:footer="709" w:gutter="0"/>
          <w:pgNumType w:chapStyle="3"/>
          <w:cols w:space="720" w:num="1"/>
          <w:titlePg/>
          <w:docGrid w:linePitch="312" w:charSpace="0"/>
        </w:sectPr>
      </w:pPr>
    </w:p>
    <w:p>
      <w:pPr>
        <w:jc w:val="center"/>
        <w:outlineLvl w:val="0"/>
        <w:rPr>
          <w:rFonts w:cs="宋体" w:asciiTheme="majorEastAsia" w:hAnsiTheme="majorEastAsia" w:eastAsiaTheme="majorEastAsia"/>
          <w:b/>
          <w:color w:val="auto"/>
          <w:sz w:val="36"/>
          <w:szCs w:val="36"/>
        </w:rPr>
      </w:pPr>
      <w:bookmarkStart w:id="41" w:name="_Toc71553219"/>
      <w:r>
        <w:rPr>
          <w:rFonts w:hint="eastAsia" w:cs="宋体" w:asciiTheme="majorEastAsia" w:hAnsiTheme="majorEastAsia" w:eastAsiaTheme="majorEastAsia"/>
          <w:b/>
          <w:color w:val="auto"/>
          <w:sz w:val="36"/>
          <w:szCs w:val="36"/>
        </w:rPr>
        <w:t>第五章  磋商响应文件格式</w:t>
      </w:r>
      <w:bookmarkEnd w:id="41"/>
    </w:p>
    <w:p>
      <w:pPr>
        <w:snapToGrid w:val="0"/>
        <w:spacing w:after="0" w:line="460" w:lineRule="exact"/>
        <w:ind w:firstLine="480" w:firstLineChars="200"/>
        <w:rPr>
          <w:rFonts w:asciiTheme="majorEastAsia" w:hAnsiTheme="majorEastAsia" w:eastAsiaTheme="majorEastAsia"/>
          <w:color w:val="auto"/>
          <w:sz w:val="24"/>
        </w:rPr>
      </w:pPr>
      <w:bookmarkStart w:id="42" w:name="_Ref467988698"/>
      <w:r>
        <w:rPr>
          <w:rFonts w:hint="eastAsia" w:asciiTheme="majorEastAsia" w:hAnsiTheme="majorEastAsia" w:eastAsiaTheme="majorEastAsia"/>
          <w:color w:val="auto"/>
          <w:sz w:val="24"/>
        </w:rPr>
        <w:t>注：请供应商按照以下文件的要求格式、内容，顺序制作响应文件，并请编制目录及页码，否则可能将影响对响应文件的评价。</w:t>
      </w:r>
    </w:p>
    <w:p>
      <w:pPr>
        <w:snapToGrid w:val="0"/>
        <w:spacing w:after="0" w:line="460" w:lineRule="exact"/>
        <w:ind w:firstLine="562" w:firstLineChars="200"/>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一、商务部分</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、报价函</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、报价一览表</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3、分项报价明细表</w:t>
      </w:r>
    </w:p>
    <w:p>
      <w:pPr>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4、服务要求响应表</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5、法定代表人身份证明书</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6、授权委托书</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7、供应商基本情况表</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8、营业执照副本、组织机构代码证副本、税务登记证副本或</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三证合一</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或</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三证合一</w:t>
      </w:r>
      <w:r>
        <w:rPr>
          <w:rFonts w:cs="宋体"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营业执照副本、事业单位需提供事业单位法人证书副本复印件加盖公章</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9、社保和纳税证明（复印件加盖公章）</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10、</w:t>
      </w:r>
      <w:r>
        <w:rPr>
          <w:rFonts w:cs="宋体" w:asciiTheme="majorEastAsia" w:hAnsiTheme="majorEastAsia" w:eastAsiaTheme="majorEastAsia"/>
          <w:color w:val="auto"/>
          <w:sz w:val="24"/>
          <w:szCs w:val="24"/>
        </w:rPr>
        <w:t>供应商</w:t>
      </w:r>
      <w:r>
        <w:rPr>
          <w:rFonts w:hint="eastAsia" w:cs="宋体" w:asciiTheme="majorEastAsia" w:hAnsiTheme="majorEastAsia" w:eastAsiaTheme="majorEastAsia"/>
          <w:color w:val="auto"/>
          <w:sz w:val="24"/>
          <w:szCs w:val="24"/>
        </w:rPr>
        <w:t>的</w:t>
      </w:r>
      <w:r>
        <w:rPr>
          <w:rFonts w:cs="宋体" w:asciiTheme="majorEastAsia" w:hAnsiTheme="majorEastAsia" w:eastAsiaTheme="majorEastAsia"/>
          <w:color w:val="auto"/>
          <w:sz w:val="24"/>
          <w:szCs w:val="24"/>
        </w:rPr>
        <w:t>类似项目业绩一览表</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11、参加政府采购活动前三年内，在经营活动中没有重大违法记录（提供声明函加盖公章）</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12、中小企业声明函</w:t>
      </w:r>
    </w:p>
    <w:p>
      <w:pPr>
        <w:snapToGrid w:val="0"/>
        <w:spacing w:after="0" w:line="460" w:lineRule="exact"/>
        <w:ind w:firstLine="720" w:firstLineChars="3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13、供应商认为需要提供的用于参与评审的其他材料</w:t>
      </w:r>
    </w:p>
    <w:p>
      <w:pPr>
        <w:snapToGrid w:val="0"/>
        <w:spacing w:after="0" w:line="460" w:lineRule="exact"/>
        <w:ind w:right="-44" w:rightChars="-20"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注：供应商编制上述文件时，本磋商文件第五章已提供格式的文件须按格式要求填写。</w:t>
      </w:r>
    </w:p>
    <w:p>
      <w:pPr>
        <w:snapToGrid w:val="0"/>
        <w:spacing w:after="0" w:line="460" w:lineRule="exact"/>
        <w:ind w:firstLine="562" w:firstLineChars="200"/>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二、技术部分</w:t>
      </w:r>
    </w:p>
    <w:p>
      <w:pPr>
        <w:snapToGrid w:val="0"/>
        <w:spacing w:after="0"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供应商编制实施方案，其文件格式自定。</w:t>
      </w:r>
    </w:p>
    <w:p>
      <w:pPr>
        <w:snapToGrid w:val="0"/>
        <w:spacing w:after="0" w:line="460" w:lineRule="exact"/>
        <w:ind w:firstLine="480" w:firstLineChars="200"/>
        <w:rPr>
          <w:rFonts w:asciiTheme="majorEastAsia" w:hAnsiTheme="majorEastAsia" w:eastAsiaTheme="majorEastAsia"/>
          <w:color w:val="auto"/>
          <w:sz w:val="24"/>
        </w:rPr>
      </w:pPr>
    </w:p>
    <w:p>
      <w:pPr>
        <w:rPr>
          <w:rFonts w:asciiTheme="majorEastAsia" w:hAnsiTheme="majorEastAsia" w:eastAsiaTheme="majorEastAsia"/>
          <w:color w:val="auto"/>
          <w:sz w:val="24"/>
        </w:rPr>
      </w:pPr>
      <w:r>
        <w:rPr>
          <w:rFonts w:asciiTheme="majorEastAsia" w:hAnsiTheme="majorEastAsia" w:eastAsiaTheme="majorEastAsia"/>
          <w:color w:val="auto"/>
          <w:sz w:val="24"/>
        </w:rPr>
        <w:br w:type="page"/>
      </w:r>
    </w:p>
    <w:p>
      <w:pPr>
        <w:snapToGrid w:val="0"/>
        <w:spacing w:after="0" w:line="460" w:lineRule="exact"/>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一、商务部分</w:t>
      </w:r>
    </w:p>
    <w:p>
      <w:pPr>
        <w:snapToGrid w:val="0"/>
        <w:spacing w:after="0" w:line="460" w:lineRule="exact"/>
        <w:rPr>
          <w:rFonts w:asciiTheme="majorEastAsia" w:hAnsiTheme="majorEastAsia" w:eastAsiaTheme="majorEastAsia"/>
          <w:b/>
          <w:color w:val="auto"/>
          <w:sz w:val="24"/>
        </w:rPr>
      </w:pPr>
      <w:r>
        <w:rPr>
          <w:rFonts w:asciiTheme="majorEastAsia" w:hAnsiTheme="majorEastAsia" w:eastAsiaTheme="majorEastAsia"/>
          <w:b/>
          <w:color w:val="auto"/>
          <w:sz w:val="24"/>
        </w:rPr>
        <w:t>1</w:t>
      </w:r>
      <w:r>
        <w:rPr>
          <w:rFonts w:hint="eastAsia" w:asciiTheme="majorEastAsia" w:hAnsiTheme="majorEastAsia" w:eastAsiaTheme="majorEastAsia"/>
          <w:b/>
          <w:color w:val="auto"/>
          <w:sz w:val="24"/>
        </w:rPr>
        <w:t>、</w:t>
      </w:r>
      <w:bookmarkEnd w:id="42"/>
      <w:r>
        <w:rPr>
          <w:rFonts w:hint="eastAsia" w:asciiTheme="majorEastAsia" w:hAnsiTheme="majorEastAsia" w:eastAsiaTheme="majorEastAsia"/>
          <w:b/>
          <w:color w:val="auto"/>
          <w:sz w:val="24"/>
        </w:rPr>
        <w:t>报价函</w:t>
      </w:r>
    </w:p>
    <w:p>
      <w:pPr>
        <w:snapToGrid w:val="0"/>
        <w:spacing w:after="0" w:line="460" w:lineRule="exact"/>
        <w:ind w:firstLine="482" w:firstLineChars="200"/>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报价函</w:t>
      </w:r>
    </w:p>
    <w:p>
      <w:pPr>
        <w:snapToGrid w:val="0"/>
        <w:spacing w:after="0" w:line="4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致：</w:t>
      </w:r>
      <w:r>
        <w:rPr>
          <w:rFonts w:hint="eastAsia" w:cs="宋体" w:asciiTheme="majorEastAsia" w:hAnsiTheme="majorEastAsia" w:eastAsiaTheme="majorEastAsia"/>
          <w:color w:val="auto"/>
          <w:sz w:val="24"/>
          <w:szCs w:val="24"/>
        </w:rPr>
        <w:t xml:space="preserve">海南省环境科学研究院 </w:t>
      </w:r>
    </w:p>
    <w:p>
      <w:pPr>
        <w:spacing w:after="0" w:line="460" w:lineRule="exact"/>
        <w:ind w:firstLine="480" w:firstLineChars="200"/>
        <w:rPr>
          <w:rFonts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贵公司</w:t>
      </w:r>
      <w:r>
        <w:rPr>
          <w:rFonts w:hint="eastAsia" w:cs="宋体" w:asciiTheme="majorEastAsia" w:hAnsiTheme="majorEastAsia" w:eastAsiaTheme="majorEastAsia"/>
          <w:color w:val="auto"/>
          <w:sz w:val="24"/>
          <w:szCs w:val="24"/>
          <w:u w:val="single"/>
        </w:rPr>
        <w:t>海南省环境科学研究院科研实验室建设——实验室装修改造项目(二次招标）</w:t>
      </w:r>
      <w:r>
        <w:rPr>
          <w:rFonts w:hint="eastAsia" w:cs="宋体" w:asciiTheme="majorEastAsia" w:hAnsiTheme="majorEastAsia" w:eastAsiaTheme="majorEastAsia"/>
          <w:color w:val="auto"/>
          <w:sz w:val="24"/>
          <w:szCs w:val="24"/>
        </w:rPr>
        <w:t>磋商文件（包括更正公告，如果有的话）收悉，我们经详细审阅和研究，现决定参加投标。</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、我们郑重承诺：我们是符合《政府采购法》第</w:t>
      </w:r>
      <w:r>
        <w:rPr>
          <w:rFonts w:asciiTheme="majorEastAsia" w:hAnsiTheme="majorEastAsia" w:eastAsiaTheme="majorEastAsia"/>
          <w:color w:val="auto"/>
          <w:sz w:val="24"/>
          <w:szCs w:val="24"/>
        </w:rPr>
        <w:t>22</w:t>
      </w:r>
      <w:r>
        <w:rPr>
          <w:rFonts w:hint="eastAsia" w:cs="宋体" w:asciiTheme="majorEastAsia" w:hAnsiTheme="majorEastAsia" w:eastAsiaTheme="majorEastAsia"/>
          <w:color w:val="auto"/>
          <w:sz w:val="24"/>
          <w:szCs w:val="24"/>
        </w:rPr>
        <w:t>条规定的供应商，并严格遵守《政府采购法》第</w:t>
      </w:r>
      <w:r>
        <w:rPr>
          <w:rFonts w:asciiTheme="majorEastAsia" w:hAnsiTheme="majorEastAsia" w:eastAsiaTheme="majorEastAsia"/>
          <w:color w:val="auto"/>
          <w:sz w:val="24"/>
          <w:szCs w:val="24"/>
        </w:rPr>
        <w:t>77</w:t>
      </w:r>
      <w:r>
        <w:rPr>
          <w:rFonts w:hint="eastAsia" w:cs="宋体" w:asciiTheme="majorEastAsia" w:hAnsiTheme="majorEastAsia" w:eastAsiaTheme="majorEastAsia"/>
          <w:color w:val="auto"/>
          <w:sz w:val="24"/>
          <w:szCs w:val="24"/>
        </w:rPr>
        <w:t>条的规定。</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、我们接受磋商文件的所有的条款和规定。</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3</w:t>
      </w:r>
      <w:r>
        <w:rPr>
          <w:rFonts w:hint="eastAsia" w:cs="宋体" w:asciiTheme="majorEastAsia" w:hAnsiTheme="majorEastAsia" w:eastAsiaTheme="majorEastAsia"/>
          <w:color w:val="auto"/>
          <w:sz w:val="24"/>
          <w:szCs w:val="24"/>
        </w:rPr>
        <w:t>、以形式出具的磋商保证金，金额为人民币（大写） 元整（</w:t>
      </w:r>
      <w:r>
        <w:rPr>
          <w:rFonts w:hint="eastAsia"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元）。</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4</w:t>
      </w:r>
      <w:r>
        <w:rPr>
          <w:rFonts w:hint="eastAsia" w:cs="宋体" w:asciiTheme="majorEastAsia" w:hAnsiTheme="majorEastAsia" w:eastAsiaTheme="majorEastAsia"/>
          <w:color w:val="auto"/>
          <w:sz w:val="24"/>
          <w:szCs w:val="24"/>
        </w:rPr>
        <w:t>、附投标价格表中规定的应提交和交付的服务投标报价为（用文字和数字表示的投标总价）。</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5</w:t>
      </w:r>
      <w:r>
        <w:rPr>
          <w:rFonts w:hint="eastAsia" w:cs="宋体" w:asciiTheme="majorEastAsia" w:hAnsiTheme="majorEastAsia" w:eastAsiaTheme="majorEastAsia"/>
          <w:color w:val="auto"/>
          <w:sz w:val="24"/>
          <w:szCs w:val="24"/>
        </w:rPr>
        <w:t>、我们同意按照磋商文件第二部分</w:t>
      </w:r>
      <w:r>
        <w:rPr>
          <w:rFonts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供应商须知</w:t>
      </w:r>
      <w:r>
        <w:rPr>
          <w:rFonts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第</w:t>
      </w:r>
      <w:r>
        <w:rPr>
          <w:rFonts w:asciiTheme="majorEastAsia" w:hAnsiTheme="majorEastAsia" w:eastAsiaTheme="majorEastAsia"/>
          <w:color w:val="auto"/>
          <w:sz w:val="24"/>
          <w:szCs w:val="24"/>
        </w:rPr>
        <w:t>16.1</w:t>
      </w:r>
      <w:r>
        <w:rPr>
          <w:rFonts w:hint="eastAsia" w:cs="宋体" w:asciiTheme="majorEastAsia" w:hAnsiTheme="majorEastAsia" w:eastAsiaTheme="majorEastAsia"/>
          <w:color w:val="auto"/>
          <w:sz w:val="24"/>
          <w:szCs w:val="24"/>
        </w:rPr>
        <w:t>款的规定，本磋商文件的有效期为自投标截止之日起</w:t>
      </w:r>
      <w:r>
        <w:rPr>
          <w:rFonts w:cs="宋体" w:asciiTheme="majorEastAsia" w:hAnsiTheme="majorEastAsia" w:eastAsiaTheme="majorEastAsia"/>
          <w:color w:val="auto"/>
          <w:sz w:val="24"/>
          <w:szCs w:val="24"/>
          <w:u w:val="single"/>
        </w:rPr>
        <w:t>60</w:t>
      </w:r>
      <w:r>
        <w:rPr>
          <w:rFonts w:hint="eastAsia" w:cs="宋体" w:asciiTheme="majorEastAsia" w:hAnsiTheme="majorEastAsia" w:eastAsiaTheme="majorEastAsia"/>
          <w:color w:val="auto"/>
          <w:sz w:val="24"/>
          <w:szCs w:val="24"/>
        </w:rPr>
        <w:t>日历天，在此期间，本磋商文件将始终对我们具有约束力，并可随时被接受。如果我们成交，本磋商文件在此期间之后将继续保持有效。</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6</w:t>
      </w:r>
      <w:r>
        <w:rPr>
          <w:rFonts w:hint="eastAsia" w:cs="宋体" w:asciiTheme="majorEastAsia" w:hAnsiTheme="majorEastAsia" w:eastAsiaTheme="majorEastAsia"/>
          <w:color w:val="auto"/>
          <w:sz w:val="24"/>
          <w:szCs w:val="24"/>
        </w:rPr>
        <w:t>、我们同意提供采购人要求的有关本次采购的所有资料。</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7</w:t>
      </w:r>
      <w:r>
        <w:rPr>
          <w:rFonts w:hint="eastAsia" w:cs="宋体" w:asciiTheme="majorEastAsia" w:hAnsiTheme="majorEastAsia" w:eastAsiaTheme="majorEastAsia"/>
          <w:color w:val="auto"/>
          <w:sz w:val="24"/>
          <w:szCs w:val="24"/>
        </w:rPr>
        <w:t>、我们理解，你们无义务必须接受投标价最低的投标，并有权拒绝所有的投</w:t>
      </w:r>
      <w:r>
        <w:rPr>
          <w:rFonts w:hint="eastAsia" w:asciiTheme="majorEastAsia" w:hAnsiTheme="majorEastAsia" w:eastAsiaTheme="majorEastAsia"/>
          <w:color w:val="auto"/>
          <w:sz w:val="24"/>
          <w:szCs w:val="24"/>
        </w:rPr>
        <w:t>标，</w:t>
      </w:r>
      <w:r>
        <w:rPr>
          <w:rFonts w:hint="eastAsia" w:cs="宋体" w:asciiTheme="majorEastAsia" w:hAnsiTheme="majorEastAsia" w:eastAsiaTheme="majorEastAsia"/>
          <w:color w:val="auto"/>
          <w:sz w:val="24"/>
          <w:szCs w:val="24"/>
        </w:rPr>
        <w:t>同时也理解你们不承担我们本次投标的费用。</w:t>
      </w:r>
    </w:p>
    <w:p>
      <w:pPr>
        <w:spacing w:after="0" w:line="460" w:lineRule="exact"/>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8</w:t>
      </w:r>
      <w:r>
        <w:rPr>
          <w:rFonts w:hint="eastAsia" w:cs="宋体" w:asciiTheme="majorEastAsia" w:hAnsiTheme="majorEastAsia" w:eastAsiaTheme="majorEastAsia"/>
          <w:color w:val="auto"/>
          <w:sz w:val="24"/>
          <w:szCs w:val="24"/>
        </w:rPr>
        <w:t>、如果我们成交，为执行合同，我们将按采购有关要求提供必要的履约保证金</w:t>
      </w:r>
      <w:r>
        <w:rPr>
          <w:rFonts w:hint="eastAsia" w:asciiTheme="majorEastAsia" w:hAnsiTheme="majorEastAsia" w:eastAsiaTheme="majorEastAsia"/>
          <w:color w:val="auto"/>
          <w:sz w:val="24"/>
          <w:szCs w:val="24"/>
        </w:rPr>
        <w:t>。</w:t>
      </w:r>
    </w:p>
    <w:p>
      <w:pPr>
        <w:snapToGrid w:val="0"/>
        <w:spacing w:after="0" w:line="460" w:lineRule="exact"/>
        <w:ind w:firstLine="480" w:firstLineChars="200"/>
        <w:rPr>
          <w:rFonts w:asciiTheme="majorEastAsia" w:hAnsiTheme="majorEastAsia" w:eastAsiaTheme="majorEastAsia"/>
          <w:color w:val="auto"/>
          <w:sz w:val="24"/>
        </w:rPr>
      </w:pPr>
    </w:p>
    <w:p>
      <w:pPr>
        <w:snapToGrid w:val="0"/>
        <w:spacing w:after="0" w:line="460" w:lineRule="exact"/>
        <w:ind w:firstLine="480" w:firstLineChars="200"/>
        <w:rPr>
          <w:rFonts w:asciiTheme="majorEastAsia" w:hAnsiTheme="majorEastAsia" w:eastAsiaTheme="majorEastAsia"/>
          <w:color w:val="auto"/>
          <w:sz w:val="24"/>
        </w:rPr>
      </w:pPr>
    </w:p>
    <w:p>
      <w:pPr>
        <w:snapToGrid w:val="0"/>
        <w:spacing w:after="0" w:line="520" w:lineRule="exact"/>
        <w:ind w:firstLine="2040" w:firstLineChars="85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供应商名称</w:t>
      </w:r>
      <w:r>
        <w:rPr>
          <w:rFonts w:asciiTheme="majorEastAsia" w:hAnsiTheme="majorEastAsia" w:eastAsiaTheme="majorEastAsia"/>
          <w:color w:val="auto"/>
          <w:sz w:val="24"/>
        </w:rPr>
        <w:t xml:space="preserve">: </w:t>
      </w:r>
      <w:r>
        <w:rPr>
          <w:rFonts w:hint="eastAsia" w:asciiTheme="majorEastAsia" w:hAnsiTheme="majorEastAsia" w:eastAsiaTheme="majorEastAsia"/>
          <w:color w:val="auto"/>
          <w:sz w:val="24"/>
        </w:rPr>
        <w:t>（公章）</w:t>
      </w:r>
    </w:p>
    <w:p>
      <w:pPr>
        <w:snapToGrid w:val="0"/>
        <w:spacing w:after="0" w:line="520" w:lineRule="exact"/>
        <w:ind w:firstLine="2040" w:firstLineChars="85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供应商授权代表签字：（签字或盖章）</w:t>
      </w:r>
    </w:p>
    <w:p>
      <w:pPr>
        <w:snapToGrid w:val="0"/>
        <w:spacing w:after="0" w:line="520" w:lineRule="exact"/>
        <w:ind w:firstLine="2040" w:firstLineChars="850"/>
        <w:rPr>
          <w:rFonts w:asciiTheme="majorEastAsia" w:hAnsiTheme="majorEastAsia" w:eastAsiaTheme="majorEastAsia"/>
          <w:color w:val="auto"/>
          <w:sz w:val="24"/>
        </w:rPr>
      </w:pPr>
      <w:r>
        <w:rPr>
          <w:rFonts w:hint="eastAsia" w:asciiTheme="majorEastAsia" w:hAnsiTheme="majorEastAsia" w:eastAsiaTheme="majorEastAsia"/>
          <w:color w:val="auto"/>
          <w:sz w:val="24"/>
        </w:rPr>
        <w:t>日期：</w:t>
      </w:r>
    </w:p>
    <w:p>
      <w:pPr>
        <w:spacing w:line="520" w:lineRule="exact"/>
        <w:ind w:firstLine="352" w:firstLineChars="147"/>
        <w:rPr>
          <w:rFonts w:asciiTheme="majorEastAsia" w:hAnsiTheme="majorEastAsia" w:eastAsiaTheme="majorEastAsia"/>
          <w:color w:val="auto"/>
          <w:sz w:val="24"/>
        </w:rPr>
      </w:pPr>
    </w:p>
    <w:p>
      <w:pPr>
        <w:rPr>
          <w:rFonts w:asciiTheme="majorEastAsia" w:hAnsiTheme="majorEastAsia" w:eastAsiaTheme="majorEastAsia"/>
          <w:color w:val="auto"/>
          <w:sz w:val="24"/>
        </w:rPr>
      </w:pPr>
      <w:r>
        <w:rPr>
          <w:rFonts w:asciiTheme="majorEastAsia" w:hAnsiTheme="majorEastAsia" w:eastAsiaTheme="majorEastAsia"/>
          <w:color w:val="auto"/>
          <w:sz w:val="24"/>
        </w:rPr>
        <w:br w:type="page"/>
      </w:r>
    </w:p>
    <w:p>
      <w:pPr>
        <w:spacing w:line="52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2、报价一览表</w:t>
      </w:r>
    </w:p>
    <w:p>
      <w:pPr>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报价一览表</w:t>
      </w:r>
    </w:p>
    <w:p>
      <w:pPr>
        <w:snapToGrid w:val="0"/>
        <w:spacing w:after="0"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项目编号：HNHDZJ-2021-02（1）</w:t>
      </w:r>
    </w:p>
    <w:tbl>
      <w:tblPr>
        <w:tblStyle w:val="18"/>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trHeight w:val="788" w:hRule="exact"/>
          <w:jc w:val="center"/>
        </w:trPr>
        <w:tc>
          <w:tcPr>
            <w:tcW w:w="88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ajorEastAsia" w:hAnsiTheme="majorEastAsia" w:eastAsiaTheme="majorEastAsia"/>
                <w:b/>
                <w:bCs/>
                <w:color w:val="auto"/>
                <w:sz w:val="24"/>
                <w:szCs w:val="24"/>
              </w:rPr>
            </w:pPr>
            <w:r>
              <w:rPr>
                <w:rFonts w:hint="eastAsia" w:cs="宋体" w:asciiTheme="majorEastAsia" w:hAnsiTheme="majorEastAsia" w:eastAsiaTheme="majorEastAsia"/>
                <w:b/>
                <w:bCs/>
                <w:color w:val="auto"/>
                <w:sz w:val="24"/>
              </w:rPr>
              <w:t>海南省环境科学研究院科研实验室建设——实验室装修改造项目(二次招标）</w:t>
            </w:r>
          </w:p>
        </w:tc>
      </w:tr>
      <w:tr>
        <w:tblPrEx>
          <w:tblCellMar>
            <w:top w:w="0" w:type="dxa"/>
            <w:left w:w="30" w:type="dxa"/>
            <w:bottom w:w="0" w:type="dxa"/>
            <w:right w:w="30" w:type="dxa"/>
          </w:tblCellMar>
        </w:tblPrEx>
        <w:trPr>
          <w:cantSplit/>
          <w:trHeight w:val="873" w:hRule="exact"/>
          <w:jc w:val="center"/>
        </w:trPr>
        <w:tc>
          <w:tcPr>
            <w:tcW w:w="233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Theme="majorEastAsia" w:hAnsiTheme="majorEastAsia" w:eastAsiaTheme="majorEastAsia"/>
                <w:b/>
                <w:bCs/>
                <w:color w:val="auto"/>
                <w:sz w:val="24"/>
              </w:rPr>
            </w:pPr>
            <w:r>
              <w:rPr>
                <w:rFonts w:hint="eastAsia" w:cs="宋体" w:asciiTheme="majorEastAsia" w:hAnsiTheme="majorEastAsia" w:eastAsiaTheme="majorEastAsia"/>
                <w:b/>
                <w:bCs/>
                <w:color w:val="auto"/>
                <w:sz w:val="24"/>
              </w:rPr>
              <w:t>投标总报价</w:t>
            </w:r>
          </w:p>
          <w:p>
            <w:pPr>
              <w:autoSpaceDE w:val="0"/>
              <w:autoSpaceDN w:val="0"/>
              <w:adjustRightInd w:val="0"/>
              <w:jc w:val="center"/>
              <w:rPr>
                <w:rFonts w:asciiTheme="majorEastAsia" w:hAnsiTheme="majorEastAsia" w:eastAsiaTheme="majorEastAsia"/>
                <w:color w:val="auto"/>
                <w:sz w:val="24"/>
              </w:rPr>
            </w:pPr>
            <w:r>
              <w:rPr>
                <w:rFonts w:hint="eastAsia" w:cs="宋体" w:asciiTheme="majorEastAsia" w:hAnsiTheme="majorEastAsia" w:eastAsiaTheme="majorEastAsia"/>
                <w:b/>
                <w:bCs/>
                <w:color w:val="auto"/>
                <w:sz w:val="24"/>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Theme="majorEastAsia" w:hAnsiTheme="majorEastAsia" w:eastAsiaTheme="majorEastAsia"/>
                <w:color w:val="auto"/>
                <w:sz w:val="24"/>
              </w:rPr>
            </w:pPr>
            <w:r>
              <w:rPr>
                <w:rFonts w:hint="eastAsia" w:cs="宋体" w:asciiTheme="majorEastAsia" w:hAnsiTheme="majorEastAsia" w:eastAsiaTheme="majorEastAsia"/>
                <w:b/>
                <w:bCs/>
                <w:color w:val="auto"/>
                <w:sz w:val="24"/>
              </w:rPr>
              <w:t>（小写）：</w:t>
            </w:r>
          </w:p>
        </w:tc>
      </w:tr>
      <w:tr>
        <w:tblPrEx>
          <w:tblCellMar>
            <w:top w:w="0" w:type="dxa"/>
            <w:left w:w="30" w:type="dxa"/>
            <w:bottom w:w="0" w:type="dxa"/>
            <w:right w:w="30" w:type="dxa"/>
          </w:tblCellMar>
        </w:tblPrEx>
        <w:trPr>
          <w:cantSplit/>
          <w:trHeight w:val="843" w:hRule="exact"/>
          <w:jc w:val="center"/>
        </w:trPr>
        <w:tc>
          <w:tcPr>
            <w:tcW w:w="2331"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Theme="majorEastAsia" w:hAnsiTheme="majorEastAsia" w:eastAsiaTheme="majorEastAsia"/>
                <w:color w:val="auto"/>
                <w:sz w:val="24"/>
              </w:rPr>
            </w:pP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Theme="majorEastAsia" w:hAnsiTheme="majorEastAsia" w:eastAsiaTheme="majorEastAsia"/>
                <w:color w:val="auto"/>
                <w:sz w:val="24"/>
              </w:rPr>
            </w:pPr>
            <w:r>
              <w:rPr>
                <w:rFonts w:hint="eastAsia" w:cs="宋体" w:asciiTheme="majorEastAsia" w:hAnsiTheme="majorEastAsia" w:eastAsiaTheme="majorEastAsia"/>
                <w:b/>
                <w:bCs/>
                <w:color w:val="auto"/>
                <w:sz w:val="24"/>
              </w:rPr>
              <w:t>（大写）：</w:t>
            </w:r>
          </w:p>
        </w:tc>
      </w:tr>
      <w:tr>
        <w:tblPrEx>
          <w:tblCellMar>
            <w:top w:w="0" w:type="dxa"/>
            <w:left w:w="30" w:type="dxa"/>
            <w:bottom w:w="0" w:type="dxa"/>
            <w:right w:w="30" w:type="dxa"/>
          </w:tblCellMar>
        </w:tblPrEx>
        <w:trPr>
          <w:cantSplit/>
          <w:trHeight w:val="854"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jc w:val="center"/>
              <w:rPr>
                <w:rFonts w:asciiTheme="majorEastAsia" w:hAnsiTheme="majorEastAsia" w:eastAsiaTheme="majorEastAsia"/>
                <w:b/>
                <w:bCs/>
                <w:color w:val="auto"/>
                <w:sz w:val="24"/>
              </w:rPr>
            </w:pPr>
            <w:r>
              <w:rPr>
                <w:rFonts w:hint="eastAsia" w:cs="宋体" w:asciiTheme="majorEastAsia" w:hAnsiTheme="majorEastAsia" w:eastAsiaTheme="majorEastAsia"/>
                <w:b/>
                <w:bCs/>
                <w:color w:val="auto"/>
                <w:sz w:val="24"/>
              </w:rPr>
              <w:t>服务期限</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Theme="majorEastAsia" w:hAnsiTheme="majorEastAsia" w:eastAsiaTheme="majorEastAsia"/>
                <w:bCs/>
                <w:color w:val="auto"/>
                <w:sz w:val="24"/>
              </w:rPr>
            </w:pPr>
          </w:p>
        </w:tc>
      </w:tr>
    </w:tbl>
    <w:p>
      <w:pPr>
        <w:rPr>
          <w:rFonts w:asciiTheme="majorEastAsia" w:hAnsiTheme="majorEastAsia" w:eastAsiaTheme="majorEastAsia"/>
          <w:b/>
          <w:color w:val="auto"/>
          <w:sz w:val="21"/>
          <w:szCs w:val="21"/>
        </w:rPr>
      </w:pPr>
    </w:p>
    <w:p>
      <w:pPr>
        <w:snapToGrid w:val="0"/>
        <w:spacing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供应商名称（公章 ）：</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法定代表人或被授权人（签字或盖章）：</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日期：</w:t>
      </w:r>
    </w:p>
    <w:p>
      <w:pPr>
        <w:spacing w:after="0" w:line="460" w:lineRule="exact"/>
        <w:ind w:firstLine="420" w:firstLineChars="200"/>
        <w:rPr>
          <w:rFonts w:cs="宋体" w:asciiTheme="majorEastAsia" w:hAnsiTheme="majorEastAsia" w:eastAsiaTheme="majorEastAsia"/>
          <w:color w:val="auto"/>
          <w:sz w:val="21"/>
          <w:szCs w:val="21"/>
        </w:rPr>
      </w:pPr>
      <w:r>
        <w:rPr>
          <w:rFonts w:hint="eastAsia" w:cs="宋体" w:asciiTheme="majorEastAsia" w:hAnsiTheme="majorEastAsia" w:eastAsiaTheme="majorEastAsia"/>
          <w:color w:val="auto"/>
          <w:sz w:val="21"/>
          <w:szCs w:val="21"/>
        </w:rPr>
        <w:t>注</w:t>
      </w:r>
      <w:r>
        <w:rPr>
          <w:rFonts w:cs="宋体" w:asciiTheme="majorEastAsia" w:hAnsiTheme="majorEastAsia" w:eastAsiaTheme="majorEastAsia"/>
          <w:color w:val="auto"/>
          <w:sz w:val="21"/>
          <w:szCs w:val="21"/>
        </w:rPr>
        <w:t>:</w:t>
      </w:r>
    </w:p>
    <w:p>
      <w:pPr>
        <w:spacing w:after="0" w:line="460" w:lineRule="exact"/>
        <w:ind w:firstLine="420" w:firstLineChars="200"/>
        <w:rPr>
          <w:rFonts w:cs="宋体" w:asciiTheme="majorEastAsia" w:hAnsiTheme="majorEastAsia" w:eastAsiaTheme="majorEastAsia"/>
          <w:color w:val="auto"/>
          <w:sz w:val="21"/>
          <w:szCs w:val="21"/>
        </w:rPr>
      </w:pPr>
      <w:r>
        <w:rPr>
          <w:rFonts w:cs="宋体" w:asciiTheme="majorEastAsia" w:hAnsiTheme="majorEastAsia" w:eastAsiaTheme="majorEastAsia"/>
          <w:color w:val="auto"/>
          <w:sz w:val="21"/>
          <w:szCs w:val="21"/>
        </w:rPr>
        <w:t>1</w:t>
      </w:r>
      <w:r>
        <w:rPr>
          <w:rFonts w:hint="eastAsia" w:cs="宋体" w:asciiTheme="majorEastAsia" w:hAnsiTheme="majorEastAsia" w:eastAsiaTheme="majorEastAsia"/>
          <w:color w:val="auto"/>
          <w:sz w:val="21"/>
          <w:szCs w:val="21"/>
        </w:rPr>
        <w:t>、投标报价应包括磋商文件所规定的采购范围的全部内容；</w:t>
      </w:r>
    </w:p>
    <w:p>
      <w:pPr>
        <w:spacing w:after="0" w:line="460" w:lineRule="exact"/>
        <w:ind w:firstLine="420" w:firstLineChars="200"/>
        <w:rPr>
          <w:rFonts w:cs="宋体" w:asciiTheme="majorEastAsia" w:hAnsiTheme="majorEastAsia" w:eastAsiaTheme="majorEastAsia"/>
          <w:color w:val="auto"/>
          <w:sz w:val="21"/>
          <w:szCs w:val="21"/>
        </w:rPr>
      </w:pPr>
      <w:r>
        <w:rPr>
          <w:rFonts w:cs="宋体" w:asciiTheme="majorEastAsia" w:hAnsiTheme="majorEastAsia" w:eastAsiaTheme="majorEastAsia"/>
          <w:color w:val="auto"/>
          <w:sz w:val="21"/>
          <w:szCs w:val="21"/>
        </w:rPr>
        <w:t>2</w:t>
      </w:r>
      <w:r>
        <w:rPr>
          <w:rFonts w:hint="eastAsia" w:cs="宋体" w:asciiTheme="majorEastAsia" w:hAnsiTheme="majorEastAsia" w:eastAsiaTheme="majorEastAsia"/>
          <w:color w:val="auto"/>
          <w:sz w:val="21"/>
          <w:szCs w:val="21"/>
        </w:rPr>
        <w:t>、磋商小组发现供应商的报价明显低于其他响应报价，或者其响应报价可能低于其成本的，应当要求该供应商作出书面说明并提供相应的证明材料。供应商不能合理说明或者不能提供相应证明材料的，由磋商小组认定该供应商以低于成本报价竞标的，其投标作废标处理。</w:t>
      </w:r>
    </w:p>
    <w:p>
      <w:pPr>
        <w:spacing w:line="520" w:lineRule="exact"/>
        <w:ind w:firstLine="360" w:firstLineChars="150"/>
        <w:rPr>
          <w:rFonts w:asciiTheme="majorEastAsia" w:hAnsiTheme="majorEastAsia" w:eastAsiaTheme="majorEastAsia"/>
          <w:color w:val="auto"/>
          <w:sz w:val="24"/>
        </w:rPr>
      </w:pPr>
    </w:p>
    <w:p>
      <w:pPr>
        <w:spacing w:line="520" w:lineRule="exact"/>
        <w:rPr>
          <w:rFonts w:asciiTheme="majorEastAsia" w:hAnsiTheme="majorEastAsia" w:eastAsiaTheme="majorEastAsia"/>
          <w:b/>
          <w:color w:val="auto"/>
          <w:sz w:val="24"/>
        </w:rPr>
      </w:pPr>
    </w:p>
    <w:p>
      <w:pPr>
        <w:spacing w:line="520" w:lineRule="exact"/>
        <w:rPr>
          <w:rFonts w:asciiTheme="majorEastAsia" w:hAnsiTheme="majorEastAsia" w:eastAsiaTheme="majorEastAsia"/>
          <w:b/>
          <w:color w:val="auto"/>
          <w:sz w:val="24"/>
        </w:rPr>
      </w:pPr>
    </w:p>
    <w:p>
      <w:pPr>
        <w:spacing w:line="520" w:lineRule="exact"/>
        <w:rPr>
          <w:rFonts w:asciiTheme="majorEastAsia" w:hAnsiTheme="majorEastAsia" w:eastAsiaTheme="majorEastAsia"/>
          <w:b/>
          <w:color w:val="auto"/>
          <w:sz w:val="24"/>
        </w:rPr>
      </w:pPr>
    </w:p>
    <w:p>
      <w:pPr>
        <w:spacing w:after="0" w:line="460" w:lineRule="exact"/>
        <w:rPr>
          <w:rFonts w:asciiTheme="majorEastAsia" w:hAnsiTheme="majorEastAsia" w:eastAsiaTheme="majorEastAsia"/>
          <w:b/>
          <w:color w:val="auto"/>
          <w:sz w:val="24"/>
        </w:rPr>
      </w:pPr>
    </w:p>
    <w:p>
      <w:pPr>
        <w:rPr>
          <w:rFonts w:asciiTheme="majorEastAsia" w:hAnsiTheme="majorEastAsia" w:eastAsiaTheme="majorEastAsia"/>
          <w:b/>
          <w:color w:val="auto"/>
          <w:sz w:val="24"/>
        </w:rPr>
      </w:pPr>
      <w:r>
        <w:rPr>
          <w:rFonts w:asciiTheme="majorEastAsia" w:hAnsiTheme="majorEastAsia" w:eastAsiaTheme="majorEastAsia"/>
          <w:b/>
          <w:color w:val="auto"/>
          <w:sz w:val="24"/>
        </w:rPr>
        <w:br w:type="page"/>
      </w:r>
    </w:p>
    <w:p>
      <w:pPr>
        <w:spacing w:after="0" w:line="46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3、分项报价明细表</w:t>
      </w:r>
    </w:p>
    <w:p>
      <w:pPr>
        <w:spacing w:line="520" w:lineRule="exact"/>
        <w:jc w:val="center"/>
        <w:rPr>
          <w:rFonts w:asciiTheme="majorEastAsia" w:hAnsiTheme="majorEastAsia" w:eastAsiaTheme="majorEastAsia"/>
          <w:b/>
          <w:color w:val="auto"/>
          <w:sz w:val="24"/>
        </w:rPr>
      </w:pPr>
      <w:r>
        <w:rPr>
          <w:rFonts w:asciiTheme="majorEastAsia" w:hAnsiTheme="majorEastAsia" w:eastAsiaTheme="majorEastAsia"/>
          <w:b/>
          <w:color w:val="auto"/>
          <w:sz w:val="24"/>
        </w:rPr>
        <w:t>分项报价明细表</w:t>
      </w:r>
    </w:p>
    <w:p>
      <w:pPr>
        <w:spacing w:line="520" w:lineRule="exact"/>
      </w:pPr>
      <w:r>
        <w:rPr>
          <w:rFonts w:asciiTheme="majorEastAsia" w:hAnsiTheme="majorEastAsia" w:eastAsiaTheme="majorEastAsia"/>
          <w:b/>
          <w:color w:val="auto"/>
          <w:sz w:val="24"/>
        </w:rPr>
        <w:t xml:space="preserve">项目名称： </w:t>
      </w:r>
      <w:r>
        <w:rPr>
          <w:rFonts w:asciiTheme="majorEastAsia" w:hAnsiTheme="majorEastAsia" w:eastAsiaTheme="majorEastAsia"/>
          <w:b/>
          <w:color w:val="auto"/>
          <w:sz w:val="24"/>
        </w:rPr>
        <w:tab/>
      </w:r>
      <w:r>
        <w:rPr>
          <w:rFonts w:asciiTheme="majorEastAsia" w:hAnsiTheme="majorEastAsia" w:eastAsiaTheme="majorEastAsia"/>
          <w:b/>
          <w:color w:val="auto"/>
          <w:sz w:val="24"/>
        </w:rPr>
        <w:tab/>
      </w:r>
      <w:r>
        <w:tab/>
      </w:r>
    </w:p>
    <w:tbl>
      <w:tblPr>
        <w:tblStyle w:val="18"/>
        <w:tblW w:w="101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1477"/>
        <w:gridCol w:w="1179"/>
        <w:gridCol w:w="1513"/>
        <w:gridCol w:w="1478"/>
        <w:gridCol w:w="1536"/>
        <w:gridCol w:w="1491"/>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jc w:val="center"/>
        </w:trPr>
        <w:tc>
          <w:tcPr>
            <w:tcW w:w="713" w:type="dxa"/>
            <w:vAlign w:val="center"/>
          </w:tcPr>
          <w:p>
            <w:pPr>
              <w:pStyle w:val="44"/>
              <w:spacing w:before="1"/>
              <w:rPr>
                <w:rFonts w:asciiTheme="majorEastAsia" w:hAnsiTheme="majorEastAsia" w:eastAsiaTheme="majorEastAsia"/>
                <w:sz w:val="19"/>
              </w:rPr>
            </w:pPr>
          </w:p>
          <w:p>
            <w:pPr>
              <w:pStyle w:val="44"/>
              <w:spacing w:before="1"/>
              <w:ind w:left="165"/>
              <w:rPr>
                <w:rFonts w:asciiTheme="majorEastAsia" w:hAnsiTheme="majorEastAsia" w:eastAsiaTheme="majorEastAsia"/>
                <w:sz w:val="24"/>
              </w:rPr>
            </w:pPr>
            <w:r>
              <w:rPr>
                <w:rFonts w:asciiTheme="majorEastAsia" w:hAnsiTheme="majorEastAsia" w:eastAsiaTheme="majorEastAsia"/>
                <w:sz w:val="24"/>
              </w:rPr>
              <w:t>序号</w:t>
            </w:r>
          </w:p>
        </w:tc>
        <w:tc>
          <w:tcPr>
            <w:tcW w:w="1477" w:type="dxa"/>
            <w:vAlign w:val="center"/>
          </w:tcPr>
          <w:p>
            <w:pPr>
              <w:pStyle w:val="44"/>
              <w:spacing w:before="1"/>
              <w:rPr>
                <w:rFonts w:asciiTheme="majorEastAsia" w:hAnsiTheme="majorEastAsia" w:eastAsiaTheme="majorEastAsia"/>
                <w:sz w:val="19"/>
              </w:rPr>
            </w:pPr>
          </w:p>
          <w:p>
            <w:pPr>
              <w:pStyle w:val="44"/>
              <w:spacing w:before="1"/>
              <w:ind w:left="340"/>
              <w:rPr>
                <w:rFonts w:asciiTheme="majorEastAsia" w:hAnsiTheme="majorEastAsia" w:eastAsiaTheme="majorEastAsia"/>
                <w:sz w:val="24"/>
              </w:rPr>
            </w:pPr>
            <w:r>
              <w:rPr>
                <w:rFonts w:asciiTheme="majorEastAsia" w:hAnsiTheme="majorEastAsia" w:eastAsiaTheme="majorEastAsia"/>
                <w:sz w:val="24"/>
              </w:rPr>
              <w:t>单位名称</w:t>
            </w:r>
          </w:p>
        </w:tc>
        <w:tc>
          <w:tcPr>
            <w:tcW w:w="1179" w:type="dxa"/>
            <w:vAlign w:val="center"/>
          </w:tcPr>
          <w:p>
            <w:pPr>
              <w:pStyle w:val="44"/>
              <w:spacing w:before="1"/>
              <w:rPr>
                <w:rFonts w:asciiTheme="majorEastAsia" w:hAnsiTheme="majorEastAsia" w:eastAsiaTheme="majorEastAsia"/>
                <w:sz w:val="19"/>
              </w:rPr>
            </w:pPr>
          </w:p>
          <w:p>
            <w:pPr>
              <w:pStyle w:val="44"/>
              <w:spacing w:before="1"/>
              <w:ind w:left="159"/>
              <w:rPr>
                <w:rFonts w:asciiTheme="majorEastAsia" w:hAnsiTheme="majorEastAsia" w:eastAsiaTheme="majorEastAsia"/>
                <w:sz w:val="24"/>
              </w:rPr>
            </w:pPr>
            <w:r>
              <w:rPr>
                <w:rFonts w:asciiTheme="majorEastAsia" w:hAnsiTheme="majorEastAsia" w:eastAsiaTheme="majorEastAsia"/>
                <w:sz w:val="24"/>
              </w:rPr>
              <w:t>服务内容</w:t>
            </w:r>
          </w:p>
        </w:tc>
        <w:tc>
          <w:tcPr>
            <w:tcW w:w="1513" w:type="dxa"/>
            <w:vAlign w:val="center"/>
          </w:tcPr>
          <w:p>
            <w:pPr>
              <w:pStyle w:val="44"/>
              <w:spacing w:before="1"/>
              <w:rPr>
                <w:rFonts w:asciiTheme="majorEastAsia" w:hAnsiTheme="majorEastAsia" w:eastAsiaTheme="majorEastAsia"/>
                <w:sz w:val="19"/>
              </w:rPr>
            </w:pPr>
          </w:p>
          <w:p>
            <w:pPr>
              <w:pStyle w:val="44"/>
              <w:spacing w:before="1"/>
              <w:ind w:left="293"/>
              <w:rPr>
                <w:rFonts w:asciiTheme="majorEastAsia" w:hAnsiTheme="majorEastAsia" w:eastAsiaTheme="majorEastAsia"/>
                <w:sz w:val="24"/>
              </w:rPr>
            </w:pPr>
            <w:r>
              <w:rPr>
                <w:rFonts w:asciiTheme="majorEastAsia" w:hAnsiTheme="majorEastAsia" w:eastAsiaTheme="majorEastAsia"/>
                <w:sz w:val="24"/>
              </w:rPr>
              <w:t>服务期限</w:t>
            </w:r>
          </w:p>
        </w:tc>
        <w:tc>
          <w:tcPr>
            <w:tcW w:w="1478" w:type="dxa"/>
            <w:vAlign w:val="center"/>
          </w:tcPr>
          <w:p>
            <w:pPr>
              <w:pStyle w:val="44"/>
              <w:spacing w:before="1"/>
              <w:rPr>
                <w:rFonts w:asciiTheme="majorEastAsia" w:hAnsiTheme="majorEastAsia" w:eastAsiaTheme="majorEastAsia"/>
                <w:sz w:val="19"/>
              </w:rPr>
            </w:pPr>
          </w:p>
          <w:p>
            <w:pPr>
              <w:pStyle w:val="44"/>
              <w:spacing w:before="1"/>
              <w:ind w:left="199"/>
              <w:rPr>
                <w:rFonts w:asciiTheme="majorEastAsia" w:hAnsiTheme="majorEastAsia" w:eastAsiaTheme="majorEastAsia"/>
                <w:sz w:val="24"/>
              </w:rPr>
            </w:pPr>
            <w:r>
              <w:rPr>
                <w:rFonts w:asciiTheme="majorEastAsia" w:hAnsiTheme="majorEastAsia" w:eastAsiaTheme="majorEastAsia"/>
                <w:sz w:val="24"/>
              </w:rPr>
              <w:t>数量/单位</w:t>
            </w:r>
          </w:p>
        </w:tc>
        <w:tc>
          <w:tcPr>
            <w:tcW w:w="1536" w:type="dxa"/>
            <w:vAlign w:val="center"/>
          </w:tcPr>
          <w:p>
            <w:pPr>
              <w:pStyle w:val="44"/>
              <w:spacing w:before="1"/>
              <w:rPr>
                <w:rFonts w:asciiTheme="majorEastAsia" w:hAnsiTheme="majorEastAsia" w:eastAsiaTheme="majorEastAsia"/>
                <w:sz w:val="19"/>
              </w:rPr>
            </w:pPr>
          </w:p>
          <w:p>
            <w:pPr>
              <w:pStyle w:val="44"/>
              <w:spacing w:before="1"/>
              <w:ind w:left="503" w:right="502"/>
              <w:jc w:val="center"/>
              <w:rPr>
                <w:rFonts w:asciiTheme="majorEastAsia" w:hAnsiTheme="majorEastAsia" w:eastAsiaTheme="majorEastAsia"/>
                <w:sz w:val="24"/>
              </w:rPr>
            </w:pPr>
            <w:r>
              <w:rPr>
                <w:rFonts w:asciiTheme="majorEastAsia" w:hAnsiTheme="majorEastAsia" w:eastAsiaTheme="majorEastAsia"/>
                <w:sz w:val="24"/>
              </w:rPr>
              <w:t>单价</w:t>
            </w:r>
          </w:p>
        </w:tc>
        <w:tc>
          <w:tcPr>
            <w:tcW w:w="1491" w:type="dxa"/>
            <w:vAlign w:val="center"/>
          </w:tcPr>
          <w:p>
            <w:pPr>
              <w:pStyle w:val="44"/>
              <w:spacing w:before="1"/>
              <w:rPr>
                <w:rFonts w:asciiTheme="majorEastAsia" w:hAnsiTheme="majorEastAsia" w:eastAsiaTheme="majorEastAsia"/>
                <w:sz w:val="19"/>
              </w:rPr>
            </w:pPr>
          </w:p>
          <w:p>
            <w:pPr>
              <w:pStyle w:val="44"/>
              <w:spacing w:before="1"/>
              <w:ind w:left="264"/>
              <w:rPr>
                <w:rFonts w:asciiTheme="majorEastAsia" w:hAnsiTheme="majorEastAsia" w:eastAsiaTheme="majorEastAsia"/>
                <w:sz w:val="24"/>
              </w:rPr>
            </w:pPr>
            <w:r>
              <w:rPr>
                <w:rFonts w:asciiTheme="majorEastAsia" w:hAnsiTheme="majorEastAsia" w:eastAsiaTheme="majorEastAsia"/>
                <w:sz w:val="24"/>
              </w:rPr>
              <w:t>单项总价</w:t>
            </w:r>
          </w:p>
        </w:tc>
        <w:tc>
          <w:tcPr>
            <w:tcW w:w="760" w:type="dxa"/>
            <w:vAlign w:val="center"/>
          </w:tcPr>
          <w:p>
            <w:pPr>
              <w:pStyle w:val="44"/>
              <w:spacing w:before="1"/>
              <w:rPr>
                <w:rFonts w:asciiTheme="majorEastAsia" w:hAnsiTheme="majorEastAsia" w:eastAsiaTheme="majorEastAsia"/>
                <w:sz w:val="19"/>
              </w:rPr>
            </w:pPr>
          </w:p>
          <w:p>
            <w:pPr>
              <w:pStyle w:val="44"/>
              <w:spacing w:before="1"/>
              <w:ind w:left="206"/>
              <w:rPr>
                <w:rFonts w:asciiTheme="majorEastAsia" w:hAnsiTheme="majorEastAsia" w:eastAsiaTheme="majorEastAsia"/>
                <w:sz w:val="24"/>
              </w:rPr>
            </w:pPr>
            <w:r>
              <w:rPr>
                <w:rFonts w:asciiTheme="majorEastAsia" w:hAnsiTheme="majorEastAsia" w:eastAsiaTheme="maj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713" w:type="dxa"/>
            <w:vAlign w:val="center"/>
          </w:tcPr>
          <w:p>
            <w:pPr>
              <w:pStyle w:val="44"/>
              <w:rPr>
                <w:rFonts w:asciiTheme="majorEastAsia" w:hAnsiTheme="majorEastAsia" w:eastAsiaTheme="majorEastAsia"/>
                <w:sz w:val="26"/>
              </w:rPr>
            </w:pPr>
          </w:p>
        </w:tc>
        <w:tc>
          <w:tcPr>
            <w:tcW w:w="1477" w:type="dxa"/>
            <w:vAlign w:val="center"/>
          </w:tcPr>
          <w:p>
            <w:pPr>
              <w:pStyle w:val="44"/>
              <w:rPr>
                <w:rFonts w:asciiTheme="majorEastAsia" w:hAnsiTheme="majorEastAsia" w:eastAsiaTheme="majorEastAsia"/>
                <w:sz w:val="26"/>
              </w:rPr>
            </w:pPr>
          </w:p>
        </w:tc>
        <w:tc>
          <w:tcPr>
            <w:tcW w:w="1179" w:type="dxa"/>
            <w:vAlign w:val="center"/>
          </w:tcPr>
          <w:p>
            <w:pPr>
              <w:pStyle w:val="44"/>
              <w:rPr>
                <w:rFonts w:asciiTheme="majorEastAsia" w:hAnsiTheme="majorEastAsia" w:eastAsiaTheme="majorEastAsia"/>
                <w:sz w:val="26"/>
              </w:rPr>
            </w:pPr>
          </w:p>
        </w:tc>
        <w:tc>
          <w:tcPr>
            <w:tcW w:w="1513" w:type="dxa"/>
            <w:vAlign w:val="center"/>
          </w:tcPr>
          <w:p>
            <w:pPr>
              <w:pStyle w:val="44"/>
              <w:rPr>
                <w:rFonts w:asciiTheme="majorEastAsia" w:hAnsiTheme="majorEastAsia" w:eastAsiaTheme="majorEastAsia"/>
                <w:sz w:val="26"/>
              </w:rPr>
            </w:pPr>
          </w:p>
        </w:tc>
        <w:tc>
          <w:tcPr>
            <w:tcW w:w="1478" w:type="dxa"/>
            <w:vAlign w:val="center"/>
          </w:tcPr>
          <w:p>
            <w:pPr>
              <w:pStyle w:val="44"/>
              <w:rPr>
                <w:rFonts w:asciiTheme="majorEastAsia" w:hAnsiTheme="majorEastAsia" w:eastAsiaTheme="majorEastAsia"/>
                <w:sz w:val="26"/>
              </w:rPr>
            </w:pPr>
          </w:p>
        </w:tc>
        <w:tc>
          <w:tcPr>
            <w:tcW w:w="1536" w:type="dxa"/>
            <w:vAlign w:val="center"/>
          </w:tcPr>
          <w:p>
            <w:pPr>
              <w:pStyle w:val="44"/>
              <w:rPr>
                <w:rFonts w:asciiTheme="majorEastAsia" w:hAnsiTheme="majorEastAsia" w:eastAsiaTheme="majorEastAsia"/>
                <w:sz w:val="26"/>
              </w:rPr>
            </w:pPr>
          </w:p>
        </w:tc>
        <w:tc>
          <w:tcPr>
            <w:tcW w:w="1491" w:type="dxa"/>
            <w:vAlign w:val="center"/>
          </w:tcPr>
          <w:p>
            <w:pPr>
              <w:pStyle w:val="44"/>
              <w:rPr>
                <w:rFonts w:asciiTheme="majorEastAsia" w:hAnsiTheme="majorEastAsia" w:eastAsiaTheme="majorEastAsia"/>
                <w:sz w:val="26"/>
              </w:rPr>
            </w:pPr>
          </w:p>
        </w:tc>
        <w:tc>
          <w:tcPr>
            <w:tcW w:w="760" w:type="dxa"/>
            <w:vAlign w:val="center"/>
          </w:tcPr>
          <w:p>
            <w:pPr>
              <w:pStyle w:val="44"/>
              <w:rPr>
                <w:rFonts w:asciiTheme="majorEastAsia" w:hAnsiTheme="majorEastAsia" w:eastAsiaTheme="majorEastAsia"/>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713" w:type="dxa"/>
            <w:vAlign w:val="center"/>
          </w:tcPr>
          <w:p>
            <w:pPr>
              <w:pStyle w:val="44"/>
              <w:spacing w:before="46"/>
              <w:ind w:left="108" w:right="-15"/>
              <w:rPr>
                <w:rFonts w:asciiTheme="majorEastAsia" w:hAnsiTheme="majorEastAsia" w:eastAsiaTheme="majorEastAsia"/>
                <w:sz w:val="24"/>
              </w:rPr>
            </w:pPr>
            <w:r>
              <w:rPr>
                <w:rFonts w:asciiTheme="majorEastAsia" w:hAnsiTheme="majorEastAsia" w:eastAsiaTheme="majorEastAsia"/>
                <w:sz w:val="24"/>
              </w:rPr>
              <w:t>.....</w:t>
            </w:r>
          </w:p>
        </w:tc>
        <w:tc>
          <w:tcPr>
            <w:tcW w:w="1477" w:type="dxa"/>
            <w:vAlign w:val="center"/>
          </w:tcPr>
          <w:p>
            <w:pPr>
              <w:pStyle w:val="44"/>
              <w:rPr>
                <w:rFonts w:asciiTheme="majorEastAsia" w:hAnsiTheme="majorEastAsia" w:eastAsiaTheme="majorEastAsia"/>
                <w:sz w:val="26"/>
              </w:rPr>
            </w:pPr>
          </w:p>
        </w:tc>
        <w:tc>
          <w:tcPr>
            <w:tcW w:w="1179" w:type="dxa"/>
            <w:vAlign w:val="center"/>
          </w:tcPr>
          <w:p>
            <w:pPr>
              <w:pStyle w:val="44"/>
              <w:rPr>
                <w:rFonts w:asciiTheme="majorEastAsia" w:hAnsiTheme="majorEastAsia" w:eastAsiaTheme="majorEastAsia"/>
                <w:sz w:val="26"/>
              </w:rPr>
            </w:pPr>
          </w:p>
        </w:tc>
        <w:tc>
          <w:tcPr>
            <w:tcW w:w="1513" w:type="dxa"/>
            <w:vAlign w:val="center"/>
          </w:tcPr>
          <w:p>
            <w:pPr>
              <w:pStyle w:val="44"/>
              <w:rPr>
                <w:rFonts w:asciiTheme="majorEastAsia" w:hAnsiTheme="majorEastAsia" w:eastAsiaTheme="majorEastAsia"/>
                <w:sz w:val="26"/>
              </w:rPr>
            </w:pPr>
          </w:p>
        </w:tc>
        <w:tc>
          <w:tcPr>
            <w:tcW w:w="1478" w:type="dxa"/>
            <w:vAlign w:val="center"/>
          </w:tcPr>
          <w:p>
            <w:pPr>
              <w:pStyle w:val="44"/>
              <w:rPr>
                <w:rFonts w:asciiTheme="majorEastAsia" w:hAnsiTheme="majorEastAsia" w:eastAsiaTheme="majorEastAsia"/>
                <w:sz w:val="26"/>
              </w:rPr>
            </w:pPr>
          </w:p>
        </w:tc>
        <w:tc>
          <w:tcPr>
            <w:tcW w:w="1536" w:type="dxa"/>
            <w:vAlign w:val="center"/>
          </w:tcPr>
          <w:p>
            <w:pPr>
              <w:pStyle w:val="44"/>
              <w:rPr>
                <w:rFonts w:asciiTheme="majorEastAsia" w:hAnsiTheme="majorEastAsia" w:eastAsiaTheme="majorEastAsia"/>
                <w:sz w:val="26"/>
              </w:rPr>
            </w:pPr>
          </w:p>
        </w:tc>
        <w:tc>
          <w:tcPr>
            <w:tcW w:w="1491" w:type="dxa"/>
            <w:vAlign w:val="center"/>
          </w:tcPr>
          <w:p>
            <w:pPr>
              <w:pStyle w:val="44"/>
              <w:rPr>
                <w:rFonts w:asciiTheme="majorEastAsia" w:hAnsiTheme="majorEastAsia" w:eastAsiaTheme="majorEastAsia"/>
                <w:sz w:val="26"/>
              </w:rPr>
            </w:pPr>
          </w:p>
        </w:tc>
        <w:tc>
          <w:tcPr>
            <w:tcW w:w="760" w:type="dxa"/>
            <w:vAlign w:val="center"/>
          </w:tcPr>
          <w:p>
            <w:pPr>
              <w:pStyle w:val="44"/>
              <w:rPr>
                <w:rFonts w:asciiTheme="majorEastAsia" w:hAnsiTheme="majorEastAsia" w:eastAsiaTheme="majorEastAsia"/>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713" w:type="dxa"/>
            <w:vAlign w:val="center"/>
          </w:tcPr>
          <w:p>
            <w:pPr>
              <w:pStyle w:val="44"/>
              <w:rPr>
                <w:rFonts w:asciiTheme="majorEastAsia" w:hAnsiTheme="majorEastAsia" w:eastAsiaTheme="majorEastAsia"/>
                <w:sz w:val="26"/>
              </w:rPr>
            </w:pPr>
          </w:p>
        </w:tc>
        <w:tc>
          <w:tcPr>
            <w:tcW w:w="7183" w:type="dxa"/>
            <w:gridSpan w:val="5"/>
            <w:vAlign w:val="center"/>
          </w:tcPr>
          <w:p>
            <w:pPr>
              <w:pStyle w:val="44"/>
              <w:spacing w:before="48"/>
              <w:ind w:left="3344" w:right="3308"/>
              <w:jc w:val="center"/>
              <w:rPr>
                <w:rFonts w:asciiTheme="majorEastAsia" w:hAnsiTheme="majorEastAsia" w:eastAsiaTheme="majorEastAsia"/>
                <w:sz w:val="24"/>
              </w:rPr>
            </w:pPr>
            <w:r>
              <w:rPr>
                <w:rFonts w:asciiTheme="majorEastAsia" w:hAnsiTheme="majorEastAsia" w:eastAsiaTheme="majorEastAsia"/>
                <w:sz w:val="24"/>
              </w:rPr>
              <w:t>总价</w:t>
            </w:r>
          </w:p>
        </w:tc>
        <w:tc>
          <w:tcPr>
            <w:tcW w:w="1491" w:type="dxa"/>
            <w:vAlign w:val="center"/>
          </w:tcPr>
          <w:p>
            <w:pPr>
              <w:pStyle w:val="44"/>
              <w:rPr>
                <w:rFonts w:asciiTheme="majorEastAsia" w:hAnsiTheme="majorEastAsia" w:eastAsiaTheme="majorEastAsia"/>
                <w:sz w:val="26"/>
              </w:rPr>
            </w:pPr>
          </w:p>
        </w:tc>
        <w:tc>
          <w:tcPr>
            <w:tcW w:w="760" w:type="dxa"/>
            <w:vAlign w:val="center"/>
          </w:tcPr>
          <w:p>
            <w:pPr>
              <w:pStyle w:val="44"/>
              <w:rPr>
                <w:rFonts w:asciiTheme="majorEastAsia" w:hAnsiTheme="majorEastAsia" w:eastAsiaTheme="majorEastAsia"/>
                <w:sz w:val="26"/>
              </w:rPr>
            </w:pPr>
          </w:p>
        </w:tc>
      </w:tr>
    </w:tbl>
    <w:p>
      <w:pPr>
        <w:spacing w:before="7"/>
        <w:rPr>
          <w:sz w:val="36"/>
        </w:rPr>
      </w:pPr>
    </w:p>
    <w:p>
      <w:pPr>
        <w:snapToGrid w:val="0"/>
        <w:spacing w:line="520" w:lineRule="exact"/>
        <w:ind w:firstLine="2760" w:firstLineChars="1150"/>
        <w:rPr>
          <w:rFonts w:asciiTheme="majorEastAsia" w:hAnsiTheme="majorEastAsia" w:eastAsiaTheme="majorEastAsia"/>
          <w:color w:val="auto"/>
          <w:sz w:val="24"/>
        </w:rPr>
      </w:pPr>
      <w:r>
        <w:rPr>
          <w:rFonts w:asciiTheme="majorEastAsia" w:hAnsiTheme="majorEastAsia" w:eastAsiaTheme="majorEastAsia"/>
          <w:color w:val="auto"/>
          <w:sz w:val="24"/>
        </w:rPr>
        <w:t xml:space="preserve">投标单位： </w:t>
      </w:r>
      <w:r>
        <w:rPr>
          <w:rFonts w:asciiTheme="majorEastAsia" w:hAnsiTheme="majorEastAsia" w:eastAsiaTheme="majorEastAsia"/>
          <w:color w:val="auto"/>
          <w:sz w:val="24"/>
        </w:rPr>
        <w:tab/>
      </w:r>
      <w:r>
        <w:rPr>
          <w:rFonts w:asciiTheme="majorEastAsia" w:hAnsiTheme="majorEastAsia" w:eastAsiaTheme="majorEastAsia"/>
          <w:color w:val="auto"/>
          <w:sz w:val="24"/>
        </w:rPr>
        <w:t>（公章）</w:t>
      </w:r>
    </w:p>
    <w:p>
      <w:pPr>
        <w:snapToGrid w:val="0"/>
        <w:spacing w:line="520" w:lineRule="exact"/>
        <w:ind w:firstLine="2760" w:firstLineChars="1150"/>
        <w:rPr>
          <w:rFonts w:asciiTheme="majorEastAsia" w:hAnsiTheme="majorEastAsia" w:eastAsiaTheme="majorEastAsia"/>
          <w:color w:val="auto"/>
          <w:sz w:val="24"/>
        </w:rPr>
      </w:pPr>
      <w:r>
        <w:rPr>
          <w:rFonts w:asciiTheme="majorEastAsia" w:hAnsiTheme="majorEastAsia" w:eastAsiaTheme="majorEastAsia"/>
          <w:color w:val="auto"/>
          <w:sz w:val="24"/>
        </w:rPr>
        <w:t>法定代表人（或授权代理人）：（签字或盖章）</w:t>
      </w:r>
    </w:p>
    <w:p>
      <w:pPr>
        <w:snapToGrid w:val="0"/>
        <w:spacing w:line="520" w:lineRule="exact"/>
        <w:ind w:firstLine="2760" w:firstLineChars="1150"/>
        <w:rPr>
          <w:rFonts w:asciiTheme="majorEastAsia" w:hAnsiTheme="majorEastAsia" w:eastAsiaTheme="majorEastAsia"/>
          <w:color w:val="auto"/>
          <w:sz w:val="24"/>
        </w:rPr>
      </w:pPr>
      <w:r>
        <w:rPr>
          <w:rFonts w:asciiTheme="majorEastAsia" w:hAnsiTheme="majorEastAsia" w:eastAsiaTheme="majorEastAsia"/>
          <w:color w:val="auto"/>
          <w:sz w:val="24"/>
        </w:rPr>
        <w:t>日期：  年</w:t>
      </w:r>
      <w:r>
        <w:rPr>
          <w:rFonts w:asciiTheme="majorEastAsia" w:hAnsiTheme="majorEastAsia" w:eastAsiaTheme="majorEastAsia"/>
          <w:color w:val="auto"/>
          <w:sz w:val="24"/>
        </w:rPr>
        <w:tab/>
      </w:r>
      <w:r>
        <w:rPr>
          <w:rFonts w:asciiTheme="majorEastAsia" w:hAnsiTheme="majorEastAsia" w:eastAsiaTheme="majorEastAsia"/>
          <w:color w:val="auto"/>
          <w:sz w:val="24"/>
        </w:rPr>
        <w:t>月</w:t>
      </w:r>
      <w:r>
        <w:rPr>
          <w:rFonts w:asciiTheme="majorEastAsia" w:hAnsiTheme="majorEastAsia" w:eastAsiaTheme="majorEastAsia"/>
          <w:color w:val="auto"/>
          <w:sz w:val="24"/>
        </w:rPr>
        <w:tab/>
      </w:r>
      <w:r>
        <w:rPr>
          <w:rFonts w:asciiTheme="majorEastAsia" w:hAnsiTheme="majorEastAsia" w:eastAsiaTheme="majorEastAsia"/>
          <w:color w:val="auto"/>
          <w:sz w:val="24"/>
        </w:rPr>
        <w:t>日</w:t>
      </w:r>
    </w:p>
    <w:p>
      <w:pPr>
        <w:spacing w:after="0" w:line="460" w:lineRule="exact"/>
        <w:ind w:firstLine="420" w:firstLineChars="200"/>
        <w:rPr>
          <w:rFonts w:cs="宋体" w:asciiTheme="majorEastAsia" w:hAnsiTheme="majorEastAsia" w:eastAsiaTheme="majorEastAsia"/>
          <w:color w:val="auto"/>
          <w:sz w:val="21"/>
          <w:szCs w:val="21"/>
        </w:rPr>
      </w:pPr>
      <w:r>
        <w:rPr>
          <w:rFonts w:cs="宋体" w:asciiTheme="majorEastAsia" w:hAnsiTheme="majorEastAsia" w:eastAsiaTheme="majorEastAsia"/>
          <w:color w:val="auto"/>
          <w:sz w:val="21"/>
          <w:szCs w:val="21"/>
        </w:rPr>
        <w:t>注:</w:t>
      </w:r>
    </w:p>
    <w:p>
      <w:pPr>
        <w:spacing w:line="460" w:lineRule="exact"/>
        <w:rPr>
          <w:rFonts w:cs="宋体" w:asciiTheme="majorEastAsia" w:hAnsiTheme="majorEastAsia" w:eastAsiaTheme="majorEastAsia"/>
          <w:szCs w:val="21"/>
        </w:rPr>
      </w:pPr>
      <w:r>
        <w:rPr>
          <w:rFonts w:cs="宋体" w:asciiTheme="majorEastAsia" w:hAnsiTheme="majorEastAsia" w:eastAsiaTheme="majorEastAsia"/>
          <w:color w:val="auto"/>
          <w:sz w:val="21"/>
          <w:szCs w:val="21"/>
        </w:rPr>
        <w:t>1</w:t>
      </w:r>
      <w:r>
        <w:rPr>
          <w:rFonts w:hint="eastAsia" w:cs="宋体" w:asciiTheme="majorEastAsia" w:hAnsiTheme="majorEastAsia" w:eastAsiaTheme="majorEastAsia"/>
          <w:color w:val="auto"/>
          <w:sz w:val="21"/>
          <w:szCs w:val="21"/>
        </w:rPr>
        <w:t>、</w:t>
      </w:r>
      <w:r>
        <w:rPr>
          <w:rFonts w:cs="宋体" w:asciiTheme="majorEastAsia" w:hAnsiTheme="majorEastAsia" w:eastAsiaTheme="majorEastAsia"/>
          <w:szCs w:val="21"/>
        </w:rPr>
        <w:t>投标人必须按“分项报价明细表”的格式详细报出投标总价的各个组成部分的报价，否则作无效投标处理。</w:t>
      </w:r>
    </w:p>
    <w:p>
      <w:pPr>
        <w:rPr>
          <w:rFonts w:eastAsiaTheme="majorEastAsia"/>
        </w:rPr>
        <w:sectPr>
          <w:pgSz w:w="11910" w:h="16840"/>
          <w:pgMar w:top="1440" w:right="1800" w:bottom="1440" w:left="1800" w:header="0" w:footer="207" w:gutter="0"/>
          <w:cols w:space="720" w:num="1"/>
          <w:docGrid w:linePitch="299" w:charSpace="0"/>
        </w:sectPr>
      </w:pPr>
      <w:r>
        <w:rPr>
          <w:rFonts w:eastAsiaTheme="majorEastAsia"/>
        </w:rPr>
        <w:t>2</w:t>
      </w:r>
      <w:r>
        <w:rPr>
          <w:rFonts w:hint="eastAsia" w:eastAsiaTheme="majorEastAsia"/>
        </w:rPr>
        <w:t>、</w:t>
      </w:r>
      <w:r>
        <w:rPr>
          <w:rFonts w:eastAsiaTheme="majorEastAsia"/>
        </w:rPr>
        <w:t>“分项报价明细表”各分项报价合计应当与“开标一览表”报价合计相等。</w:t>
      </w:r>
    </w:p>
    <w:p>
      <w:pPr>
        <w:spacing w:after="0" w:line="460" w:lineRule="exact"/>
        <w:rPr>
          <w:rFonts w:asciiTheme="majorEastAsia" w:hAnsiTheme="majorEastAsia" w:eastAsiaTheme="majorEastAsia"/>
          <w:b/>
          <w:color w:val="FF0000"/>
          <w:sz w:val="24"/>
        </w:rPr>
      </w:pPr>
      <w:r>
        <w:rPr>
          <w:rFonts w:hint="eastAsia" w:asciiTheme="majorEastAsia" w:hAnsiTheme="majorEastAsia" w:eastAsiaTheme="majorEastAsia"/>
          <w:b/>
          <w:color w:val="auto"/>
          <w:sz w:val="24"/>
        </w:rPr>
        <w:t>4、服务要求响应表</w:t>
      </w:r>
    </w:p>
    <w:p>
      <w:pPr>
        <w:spacing w:after="0" w:line="460" w:lineRule="exact"/>
        <w:ind w:firstLine="480" w:firstLineChars="200"/>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服务要求响应表</w:t>
      </w:r>
    </w:p>
    <w:p>
      <w:pPr>
        <w:spacing w:after="0"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项目名称&amp;项目编号：</w:t>
      </w:r>
    </w:p>
    <w:p>
      <w:pPr>
        <w:spacing w:after="0" w:line="460" w:lineRule="exact"/>
        <w:ind w:firstLine="480" w:firstLineChars="20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供应商应逐条对应磋商文件第六章“用户需求书”，包括项目总体要求、工程部分技术要求、</w:t>
      </w:r>
      <w:r>
        <w:rPr>
          <w:rFonts w:cs="宋体" w:asciiTheme="majorEastAsia" w:hAnsiTheme="majorEastAsia" w:eastAsiaTheme="majorEastAsia"/>
          <w:color w:val="auto"/>
          <w:sz w:val="24"/>
          <w:szCs w:val="24"/>
        </w:rPr>
        <w:t>《海南省环境科学研究院科研实验室装修改造工程量清单》</w:t>
      </w:r>
      <w:r>
        <w:rPr>
          <w:rFonts w:hint="eastAsia" w:cs="宋体" w:asciiTheme="majorEastAsia" w:hAnsiTheme="majorEastAsia" w:eastAsiaTheme="majorEastAsia"/>
          <w:color w:val="auto"/>
          <w:sz w:val="24"/>
          <w:szCs w:val="24"/>
        </w:rPr>
        <w:t>、服务完成时间、付款方式等内容，并根据实际情况如实填写本表格。</w:t>
      </w:r>
    </w:p>
    <w:p>
      <w:pPr>
        <w:spacing w:after="0" w:line="4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A</w:t>
      </w:r>
      <w:r>
        <w:rPr>
          <w:rFonts w:hint="eastAsia" w:asciiTheme="majorEastAsia" w:hAnsiTheme="majorEastAsia" w:eastAsiaTheme="majorEastAsia"/>
          <w:color w:val="auto"/>
          <w:sz w:val="24"/>
        </w:rPr>
        <w:t>、□我公司已详细阅读磋商文件中</w:t>
      </w:r>
      <w:r>
        <w:rPr>
          <w:rFonts w:hint="eastAsia" w:cs="宋体" w:asciiTheme="majorEastAsia" w:hAnsiTheme="majorEastAsia" w:eastAsiaTheme="majorEastAsia"/>
          <w:color w:val="auto"/>
          <w:sz w:val="24"/>
          <w:szCs w:val="24"/>
        </w:rPr>
        <w:t>第六章“用户需求书”</w:t>
      </w:r>
      <w:r>
        <w:rPr>
          <w:rFonts w:hint="eastAsia" w:asciiTheme="majorEastAsia" w:hAnsiTheme="majorEastAsia" w:eastAsiaTheme="majorEastAsia"/>
          <w:color w:val="auto"/>
          <w:sz w:val="24"/>
        </w:rPr>
        <w:t>各项要求，所有要求均无偏离，成交后我公司将严格遵照执行。</w:t>
      </w:r>
    </w:p>
    <w:p>
      <w:pPr>
        <w:spacing w:after="0"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B、□我公司已详细阅读磋商文件中</w:t>
      </w:r>
      <w:r>
        <w:rPr>
          <w:rFonts w:hint="eastAsia" w:cs="宋体" w:asciiTheme="majorEastAsia" w:hAnsiTheme="majorEastAsia" w:eastAsiaTheme="majorEastAsia"/>
          <w:color w:val="auto"/>
          <w:sz w:val="24"/>
          <w:szCs w:val="24"/>
        </w:rPr>
        <w:t>第六章“用户需求书”</w:t>
      </w:r>
      <w:r>
        <w:rPr>
          <w:rFonts w:hint="eastAsia" w:asciiTheme="majorEastAsia" w:hAnsiTheme="majorEastAsia" w:eastAsiaTheme="majorEastAsia"/>
          <w:color w:val="auto"/>
          <w:sz w:val="24"/>
        </w:rPr>
        <w:t>各项要求，除下述条款有偏离外，其余条款我公司均予以认可，成交后将严格遵照执行。</w:t>
      </w:r>
    </w:p>
    <w:tbl>
      <w:tblPr>
        <w:tblStyle w:val="18"/>
        <w:tblW w:w="8672" w:type="dxa"/>
        <w:jc w:val="center"/>
        <w:tblLayout w:type="fixed"/>
        <w:tblCellMar>
          <w:top w:w="0" w:type="dxa"/>
          <w:left w:w="108" w:type="dxa"/>
          <w:bottom w:w="0" w:type="dxa"/>
          <w:right w:w="108" w:type="dxa"/>
        </w:tblCellMar>
      </w:tblPr>
      <w:tblGrid>
        <w:gridCol w:w="1024"/>
        <w:gridCol w:w="3740"/>
        <w:gridCol w:w="3908"/>
      </w:tblGrid>
      <w:tr>
        <w:tblPrEx>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440" w:lineRule="exact"/>
              <w:jc w:val="center"/>
              <w:rPr>
                <w:rFonts w:asciiTheme="majorEastAsia" w:hAnsiTheme="majorEastAsia" w:eastAsiaTheme="majorEastAsia"/>
                <w:color w:val="auto"/>
              </w:rPr>
            </w:pPr>
            <w:r>
              <w:rPr>
                <w:rFonts w:hint="eastAsia" w:asciiTheme="majorEastAsia" w:hAnsiTheme="majorEastAsia" w:eastAsiaTheme="majorEastAsia"/>
                <w:color w:val="auto"/>
              </w:rPr>
              <w:t>序号</w:t>
            </w: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440" w:lineRule="exact"/>
              <w:jc w:val="center"/>
              <w:rPr>
                <w:rFonts w:asciiTheme="majorEastAsia" w:hAnsiTheme="majorEastAsia" w:eastAsiaTheme="majorEastAsia"/>
                <w:color w:val="auto"/>
              </w:rPr>
            </w:pPr>
            <w:r>
              <w:rPr>
                <w:rFonts w:hint="eastAsia" w:asciiTheme="majorEastAsia" w:hAnsiTheme="majorEastAsia" w:eastAsiaTheme="majorEastAsia"/>
                <w:color w:val="auto"/>
              </w:rPr>
              <w:t>磋商文件的商务条款</w:t>
            </w: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440" w:lineRule="exact"/>
              <w:jc w:val="center"/>
              <w:rPr>
                <w:rFonts w:asciiTheme="majorEastAsia" w:hAnsiTheme="majorEastAsia" w:eastAsiaTheme="majorEastAsia"/>
                <w:color w:val="auto"/>
              </w:rPr>
            </w:pPr>
            <w:r>
              <w:rPr>
                <w:rFonts w:hint="eastAsia" w:asciiTheme="majorEastAsia" w:hAnsiTheme="majorEastAsia" w:eastAsiaTheme="majorEastAsia"/>
                <w:color w:val="auto"/>
              </w:rPr>
              <w:t>响应文件的商务条款</w:t>
            </w:r>
          </w:p>
        </w:tc>
      </w:tr>
      <w:tr>
        <w:tblPrEx>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536" w:hRule="atLeast"/>
          <w:jc w:val="center"/>
        </w:trPr>
        <w:tc>
          <w:tcPr>
            <w:tcW w:w="10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c>
          <w:tcPr>
            <w:tcW w:w="3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c>
          <w:tcPr>
            <w:tcW w:w="3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Theme="majorEastAsia" w:hAnsiTheme="majorEastAsia" w:eastAsiaTheme="majorEastAsia"/>
                <w:color w:val="auto"/>
              </w:rPr>
            </w:pPr>
          </w:p>
        </w:tc>
      </w:tr>
    </w:tbl>
    <w:p>
      <w:pPr>
        <w:snapToGrid w:val="0"/>
        <w:spacing w:before="4" w:line="360" w:lineRule="auto"/>
        <w:rPr>
          <w:rFonts w:asciiTheme="majorEastAsia" w:hAnsiTheme="majorEastAsia" w:eastAsiaTheme="majorEastAsia"/>
          <w:b/>
          <w:color w:val="auto"/>
          <w:sz w:val="28"/>
        </w:rPr>
      </w:pPr>
    </w:p>
    <w:p>
      <w:pPr>
        <w:snapToGrid w:val="0"/>
        <w:spacing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供应商名称：（公章）</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法定代表人或授权委托人: （签字或盖章）     </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日期:</w:t>
      </w:r>
    </w:p>
    <w:p>
      <w:pPr>
        <w:spacing w:line="360" w:lineRule="auto"/>
        <w:ind w:firstLine="422"/>
        <w:rPr>
          <w:rFonts w:asciiTheme="majorEastAsia" w:hAnsiTheme="majorEastAsia" w:eastAsiaTheme="majorEastAsia"/>
          <w:b/>
          <w:color w:val="auto"/>
        </w:rPr>
      </w:pPr>
    </w:p>
    <w:p>
      <w:pPr>
        <w:spacing w:after="0" w:line="460" w:lineRule="exact"/>
        <w:ind w:firstLine="440" w:firstLineChars="200"/>
        <w:rPr>
          <w:rFonts w:asciiTheme="majorEastAsia" w:hAnsiTheme="majorEastAsia" w:eastAsiaTheme="majorEastAsia"/>
          <w:color w:val="auto"/>
        </w:rPr>
      </w:pPr>
      <w:r>
        <w:rPr>
          <w:rFonts w:hint="eastAsia" w:asciiTheme="majorEastAsia" w:hAnsiTheme="majorEastAsia" w:eastAsiaTheme="majorEastAsia"/>
          <w:color w:val="auto"/>
        </w:rPr>
        <w:t>表格填写说明：</w:t>
      </w:r>
    </w:p>
    <w:p>
      <w:pPr>
        <w:spacing w:after="0" w:line="460" w:lineRule="exact"/>
        <w:ind w:firstLine="440" w:firstLineChars="200"/>
        <w:rPr>
          <w:rFonts w:asciiTheme="majorEastAsia" w:hAnsiTheme="majorEastAsia" w:eastAsiaTheme="majorEastAsia"/>
          <w:color w:val="auto"/>
        </w:rPr>
      </w:pPr>
      <w:r>
        <w:rPr>
          <w:rFonts w:asciiTheme="majorEastAsia" w:hAnsiTheme="majorEastAsia" w:eastAsiaTheme="majorEastAsia"/>
          <w:color w:val="auto"/>
        </w:rPr>
        <w:t>1</w:t>
      </w:r>
      <w:r>
        <w:rPr>
          <w:rFonts w:hint="eastAsia" w:asciiTheme="majorEastAsia" w:hAnsiTheme="majorEastAsia" w:eastAsiaTheme="majorEastAsia"/>
          <w:color w:val="auto"/>
        </w:rPr>
        <w:t>、供应商应根据实际情况，填写本表格，若无偏离，则勾选A项，签字盖章即可。若有偏离，则勾选B项，按表格要求及实际情况填写后，签字盖章。</w:t>
      </w:r>
    </w:p>
    <w:p>
      <w:pPr>
        <w:spacing w:after="0" w:line="460" w:lineRule="exact"/>
        <w:ind w:firstLine="440" w:firstLineChars="200"/>
        <w:rPr>
          <w:rFonts w:asciiTheme="majorEastAsia" w:hAnsiTheme="majorEastAsia" w:eastAsiaTheme="majorEastAsia"/>
          <w:color w:val="auto"/>
        </w:rPr>
      </w:pPr>
      <w:r>
        <w:rPr>
          <w:rFonts w:hint="eastAsia" w:asciiTheme="majorEastAsia" w:hAnsiTheme="majorEastAsia" w:eastAsiaTheme="majorEastAsia"/>
          <w:color w:val="auto"/>
        </w:rPr>
        <w:t>2、表格中“响应文件的商务条款”请供应商根据实际情况如实、完整、准确的填写。</w:t>
      </w:r>
    </w:p>
    <w:p>
      <w:pPr>
        <w:spacing w:after="0" w:line="460" w:lineRule="exact"/>
        <w:ind w:firstLine="440" w:firstLineChars="200"/>
        <w:rPr>
          <w:rFonts w:asciiTheme="majorEastAsia" w:hAnsiTheme="majorEastAsia" w:eastAsiaTheme="majorEastAsia"/>
          <w:color w:val="auto"/>
        </w:rPr>
      </w:pPr>
      <w:r>
        <w:rPr>
          <w:rFonts w:hint="eastAsia" w:asciiTheme="majorEastAsia" w:hAnsiTheme="majorEastAsia" w:eastAsiaTheme="majorEastAsia"/>
          <w:color w:val="FF0000"/>
        </w:rPr>
        <w:t>.</w:t>
      </w:r>
    </w:p>
    <w:p>
      <w:pPr>
        <w:rPr>
          <w:rFonts w:asciiTheme="majorEastAsia" w:hAnsiTheme="majorEastAsia" w:eastAsiaTheme="majorEastAsia"/>
          <w:color w:val="auto"/>
          <w:sz w:val="24"/>
        </w:rPr>
      </w:pPr>
      <w:r>
        <w:rPr>
          <w:rFonts w:asciiTheme="majorEastAsia" w:hAnsiTheme="majorEastAsia" w:eastAsiaTheme="majorEastAsia"/>
          <w:color w:val="auto"/>
          <w:sz w:val="24"/>
        </w:rPr>
        <w:br w:type="page"/>
      </w:r>
    </w:p>
    <w:p>
      <w:pPr>
        <w:spacing w:after="0" w:line="460" w:lineRule="exact"/>
        <w:rPr>
          <w:rFonts w:asciiTheme="majorEastAsia" w:hAnsiTheme="majorEastAsia" w:eastAsiaTheme="majorEastAsia"/>
          <w:b/>
          <w:color w:val="auto"/>
          <w:sz w:val="24"/>
        </w:rPr>
      </w:pPr>
      <w:bookmarkStart w:id="43" w:name="_Toc113020897"/>
      <w:bookmarkStart w:id="44" w:name="_Toc221437939"/>
      <w:bookmarkStart w:id="45" w:name="_Toc409768413"/>
      <w:r>
        <w:rPr>
          <w:rFonts w:asciiTheme="majorEastAsia" w:hAnsiTheme="majorEastAsia" w:eastAsiaTheme="majorEastAsia"/>
          <w:b/>
          <w:color w:val="auto"/>
          <w:sz w:val="24"/>
        </w:rPr>
        <w:t>5</w:t>
      </w:r>
      <w:r>
        <w:rPr>
          <w:rFonts w:hint="eastAsia" w:asciiTheme="majorEastAsia" w:hAnsiTheme="majorEastAsia" w:eastAsiaTheme="majorEastAsia"/>
          <w:b/>
          <w:color w:val="auto"/>
          <w:sz w:val="24"/>
        </w:rPr>
        <w:t>、法定代表人身份证明书</w:t>
      </w:r>
      <w:bookmarkEnd w:id="43"/>
      <w:bookmarkEnd w:id="44"/>
      <w:bookmarkEnd w:id="45"/>
    </w:p>
    <w:p>
      <w:pPr>
        <w:spacing w:after="0" w:line="460" w:lineRule="exact"/>
        <w:jc w:val="center"/>
        <w:rPr>
          <w:rFonts w:asciiTheme="majorEastAsia" w:hAnsiTheme="majorEastAsia" w:eastAsiaTheme="majorEastAsia"/>
          <w:bCs/>
          <w:color w:val="auto"/>
          <w:sz w:val="24"/>
        </w:rPr>
      </w:pPr>
    </w:p>
    <w:p>
      <w:pPr>
        <w:spacing w:after="0" w:line="460" w:lineRule="exact"/>
        <w:jc w:val="center"/>
        <w:rPr>
          <w:rFonts w:asciiTheme="majorEastAsia" w:hAnsiTheme="majorEastAsia" w:eastAsiaTheme="majorEastAsia"/>
          <w:bCs/>
          <w:color w:val="auto"/>
          <w:sz w:val="24"/>
        </w:rPr>
      </w:pPr>
      <w:r>
        <w:rPr>
          <w:rFonts w:hint="eastAsia" w:asciiTheme="majorEastAsia" w:hAnsiTheme="majorEastAsia" w:eastAsiaTheme="majorEastAsia"/>
          <w:bCs/>
          <w:color w:val="auto"/>
          <w:sz w:val="24"/>
        </w:rPr>
        <w:t>法定代表人身份证明书</w:t>
      </w:r>
    </w:p>
    <w:p>
      <w:pPr>
        <w:snapToGrid w:val="0"/>
        <w:jc w:val="center"/>
        <w:rPr>
          <w:rFonts w:cs="宋体" w:asciiTheme="majorEastAsia" w:hAnsiTheme="majorEastAsia" w:eastAsiaTheme="majorEastAsia"/>
          <w:bCs/>
          <w:color w:val="auto"/>
          <w:sz w:val="32"/>
          <w:szCs w:val="32"/>
        </w:rPr>
      </w:pPr>
    </w:p>
    <w:p>
      <w:pPr>
        <w:snapToGrid w:val="0"/>
        <w:rPr>
          <w:rFonts w:asciiTheme="majorEastAsia" w:hAnsiTheme="majorEastAsia" w:eastAsiaTheme="majorEastAsia"/>
          <w:color w:val="auto"/>
          <w:sz w:val="28"/>
          <w:szCs w:val="28"/>
        </w:rPr>
      </w:pPr>
    </w:p>
    <w:p>
      <w:pPr>
        <w:tabs>
          <w:tab w:val="left" w:pos="400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投标人：</w:t>
      </w:r>
    </w:p>
    <w:p>
      <w:pPr>
        <w:tabs>
          <w:tab w:val="left" w:pos="400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单位性质：</w:t>
      </w:r>
    </w:p>
    <w:p>
      <w:pPr>
        <w:tabs>
          <w:tab w:val="left" w:pos="400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地址：</w:t>
      </w:r>
    </w:p>
    <w:p>
      <w:pPr>
        <w:tabs>
          <w:tab w:val="left" w:pos="1900"/>
          <w:tab w:val="left" w:pos="2840"/>
          <w:tab w:val="left" w:pos="378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成立时间：</w:t>
      </w:r>
    </w:p>
    <w:p>
      <w:pPr>
        <w:tabs>
          <w:tab w:val="left" w:pos="242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经营期限：</w:t>
      </w:r>
    </w:p>
    <w:p>
      <w:pPr>
        <w:tabs>
          <w:tab w:val="left" w:pos="1680"/>
          <w:tab w:val="left" w:pos="3360"/>
          <w:tab w:val="left" w:pos="4940"/>
          <w:tab w:val="left" w:pos="652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 xml:space="preserve">姓名：    性别：  </w:t>
      </w:r>
    </w:p>
    <w:p>
      <w:pPr>
        <w:tabs>
          <w:tab w:val="left" w:pos="1680"/>
          <w:tab w:val="left" w:pos="3360"/>
          <w:tab w:val="left" w:pos="4940"/>
          <w:tab w:val="left" w:pos="652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u w:val="single"/>
        </w:rPr>
      </w:pPr>
      <w:r>
        <w:rPr>
          <w:rFonts w:hint="eastAsia" w:asciiTheme="majorEastAsia" w:hAnsiTheme="majorEastAsia" w:eastAsiaTheme="majorEastAsia" w:cstheme="minorEastAsia"/>
          <w:snapToGrid w:val="0"/>
          <w:color w:val="auto"/>
          <w:sz w:val="24"/>
          <w:szCs w:val="24"/>
        </w:rPr>
        <w:t>年龄：    职务：</w:t>
      </w:r>
    </w:p>
    <w:p>
      <w:pPr>
        <w:tabs>
          <w:tab w:val="left" w:pos="2320"/>
        </w:tabs>
        <w:autoSpaceDE w:val="0"/>
        <w:autoSpaceDN w:val="0"/>
        <w:adjustRightInd w:val="0"/>
        <w:spacing w:line="360" w:lineRule="auto"/>
        <w:ind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系                        （投标人名称）的法定代表人。</w:t>
      </w:r>
    </w:p>
    <w:p>
      <w:pPr>
        <w:autoSpaceDE w:val="0"/>
        <w:autoSpaceDN w:val="0"/>
        <w:adjustRightInd w:val="0"/>
        <w:spacing w:line="360" w:lineRule="auto"/>
        <w:ind w:right="420" w:firstLine="480" w:firstLineChars="200"/>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 xml:space="preserve">   特此证明。</w:t>
      </w:r>
    </w:p>
    <w:p>
      <w:pPr>
        <w:autoSpaceDE w:val="0"/>
        <w:autoSpaceDN w:val="0"/>
        <w:adjustRightInd w:val="0"/>
        <w:spacing w:line="360" w:lineRule="auto"/>
        <w:ind w:right="420" w:firstLine="480" w:firstLineChars="200"/>
        <w:rPr>
          <w:rFonts w:asciiTheme="majorEastAsia" w:hAnsiTheme="majorEastAsia" w:eastAsiaTheme="majorEastAsia" w:cstheme="minorEastAsia"/>
          <w:snapToGrid w:val="0"/>
          <w:color w:val="auto"/>
          <w:sz w:val="24"/>
          <w:szCs w:val="24"/>
        </w:rPr>
      </w:pPr>
    </w:p>
    <w:p>
      <w:pPr>
        <w:wordWrap w:val="0"/>
        <w:jc w:val="right"/>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投标人：                         （盖章单位）</w:t>
      </w:r>
    </w:p>
    <w:p>
      <w:pPr>
        <w:jc w:val="right"/>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t>年  月  日</w:t>
      </w:r>
    </w:p>
    <w:p>
      <w:pPr>
        <w:rPr>
          <w:rFonts w:asciiTheme="majorEastAsia" w:hAnsiTheme="majorEastAsia" w:eastAsiaTheme="majorEastAsia" w:cstheme="minorEastAsia"/>
          <w:snapToGrid w:val="0"/>
          <w:color w:val="auto"/>
          <w:sz w:val="24"/>
          <w:szCs w:val="24"/>
        </w:rPr>
      </w:pPr>
      <w:r>
        <w:rPr>
          <w:rFonts w:hint="eastAsia" w:asciiTheme="majorEastAsia" w:hAnsiTheme="majorEastAsia" w:eastAsiaTheme="majorEastAsia" w:cstheme="minorEastAsia"/>
          <w:snapToGrid w:val="0"/>
          <w:color w:val="auto"/>
          <w:sz w:val="24"/>
          <w:szCs w:val="24"/>
        </w:rPr>
        <w:br w:type="page"/>
      </w:r>
    </w:p>
    <w:p>
      <w:pPr>
        <w:spacing w:beforeLines="50" w:after="0" w:line="460" w:lineRule="exact"/>
        <w:rPr>
          <w:rFonts w:asciiTheme="majorEastAsia" w:hAnsiTheme="majorEastAsia" w:eastAsiaTheme="majorEastAsia"/>
          <w:b/>
          <w:color w:val="auto"/>
          <w:sz w:val="24"/>
          <w:szCs w:val="24"/>
        </w:rPr>
      </w:pPr>
      <w:r>
        <w:rPr>
          <w:rFonts w:asciiTheme="majorEastAsia" w:hAnsiTheme="majorEastAsia" w:eastAsiaTheme="majorEastAsia"/>
          <w:b/>
          <w:color w:val="auto"/>
          <w:sz w:val="24"/>
        </w:rPr>
        <w:t>6</w:t>
      </w:r>
      <w:r>
        <w:rPr>
          <w:rFonts w:hint="eastAsia" w:asciiTheme="majorEastAsia" w:hAnsiTheme="majorEastAsia" w:eastAsiaTheme="majorEastAsia"/>
          <w:b/>
          <w:color w:val="auto"/>
          <w:sz w:val="24"/>
        </w:rPr>
        <w:t>、</w:t>
      </w:r>
      <w:r>
        <w:rPr>
          <w:rFonts w:hint="eastAsia" w:asciiTheme="majorEastAsia" w:hAnsiTheme="majorEastAsia" w:eastAsiaTheme="majorEastAsia"/>
          <w:b/>
          <w:color w:val="auto"/>
          <w:sz w:val="24"/>
          <w:szCs w:val="24"/>
        </w:rPr>
        <w:t>授权委托书</w:t>
      </w:r>
    </w:p>
    <w:p>
      <w:pPr>
        <w:pStyle w:val="10"/>
        <w:spacing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zh-TW" w:eastAsia="zh-TW"/>
        </w:rPr>
        <w:t>法定代表人授权书</w:t>
      </w:r>
    </w:p>
    <w:p>
      <w:pPr>
        <w:pStyle w:val="10"/>
        <w:spacing w:line="46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zh-TW" w:eastAsia="zh-TW"/>
        </w:rPr>
        <w:t>本授权书声明：注册于的在下面签字的代表本公司授权在下面签字的为本公司的合法代理人，就</w:t>
      </w:r>
      <w:r>
        <w:rPr>
          <w:rFonts w:hint="eastAsia" w:asciiTheme="majorEastAsia" w:hAnsiTheme="majorEastAsia" w:eastAsiaTheme="majorEastAsia"/>
          <w:color w:val="auto"/>
          <w:sz w:val="24"/>
          <w:szCs w:val="24"/>
          <w:u w:val="single"/>
          <w:lang w:val="zh-TW"/>
        </w:rPr>
        <w:t>海南省环境科学研究院科研实验室建设——实验室装修改造项目(二次招标）</w:t>
      </w:r>
      <w:r>
        <w:rPr>
          <w:rFonts w:hint="eastAsia" w:asciiTheme="majorEastAsia" w:hAnsiTheme="majorEastAsia" w:eastAsiaTheme="majorEastAsia"/>
          <w:color w:val="auto"/>
          <w:sz w:val="24"/>
          <w:szCs w:val="24"/>
          <w:lang w:val="zh-TW" w:eastAsia="zh-TW"/>
        </w:rPr>
        <w:t>投标，以本公司名义处理一切与之有关的事务。　　</w:t>
      </w:r>
    </w:p>
    <w:p>
      <w:pPr>
        <w:pStyle w:val="10"/>
        <w:tabs>
          <w:tab w:val="left" w:pos="5580"/>
        </w:tabs>
        <w:spacing w:line="460" w:lineRule="exact"/>
        <w:ind w:firstLine="319" w:firstLineChars="133"/>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zh-TW" w:eastAsia="zh-TW"/>
        </w:rPr>
        <w:t>本授权书于</w:t>
      </w:r>
      <w:r>
        <w:rPr>
          <w:rFonts w:asciiTheme="majorEastAsia" w:hAnsiTheme="majorEastAsia" w:eastAsiaTheme="majorEastAsia"/>
          <w:color w:val="auto"/>
          <w:sz w:val="24"/>
          <w:szCs w:val="24"/>
        </w:rPr>
        <w:t>__________</w:t>
      </w:r>
      <w:r>
        <w:rPr>
          <w:rFonts w:hint="eastAsia" w:asciiTheme="majorEastAsia" w:hAnsiTheme="majorEastAsia" w:eastAsiaTheme="majorEastAsia"/>
          <w:color w:val="auto"/>
          <w:sz w:val="24"/>
          <w:szCs w:val="24"/>
          <w:lang w:val="zh-TW" w:eastAsia="zh-TW"/>
        </w:rPr>
        <w:t>年</w:t>
      </w:r>
      <w:r>
        <w:rPr>
          <w:rFonts w:asciiTheme="majorEastAsia" w:hAnsiTheme="majorEastAsia" w:eastAsiaTheme="majorEastAsia"/>
          <w:color w:val="auto"/>
          <w:sz w:val="24"/>
          <w:szCs w:val="24"/>
        </w:rPr>
        <w:t>_____</w:t>
      </w:r>
      <w:r>
        <w:rPr>
          <w:rFonts w:hint="eastAsia" w:asciiTheme="majorEastAsia" w:hAnsiTheme="majorEastAsia" w:eastAsiaTheme="majorEastAsia"/>
          <w:color w:val="auto"/>
          <w:sz w:val="24"/>
          <w:szCs w:val="24"/>
          <w:lang w:val="zh-TW" w:eastAsia="zh-TW"/>
        </w:rPr>
        <w:t>月</w:t>
      </w:r>
      <w:r>
        <w:rPr>
          <w:rFonts w:asciiTheme="majorEastAsia" w:hAnsiTheme="majorEastAsia" w:eastAsiaTheme="majorEastAsia"/>
          <w:color w:val="auto"/>
          <w:sz w:val="24"/>
          <w:szCs w:val="24"/>
        </w:rPr>
        <w:t>______</w:t>
      </w:r>
      <w:r>
        <w:rPr>
          <w:rFonts w:hint="eastAsia" w:asciiTheme="majorEastAsia" w:hAnsiTheme="majorEastAsia" w:eastAsiaTheme="majorEastAsia"/>
          <w:color w:val="auto"/>
          <w:sz w:val="24"/>
          <w:szCs w:val="24"/>
          <w:lang w:val="zh-TW" w:eastAsia="zh-TW"/>
        </w:rPr>
        <w:t>日签字生效</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val="zh-TW" w:eastAsia="zh-TW"/>
        </w:rPr>
        <w:t>特此声明。</w:t>
      </w:r>
    </w:p>
    <w:p>
      <w:pPr>
        <w:pStyle w:val="10"/>
        <w:tabs>
          <w:tab w:val="left" w:pos="5580"/>
        </w:tabs>
        <w:spacing w:line="460" w:lineRule="exact"/>
        <w:ind w:firstLine="319" w:firstLineChars="133"/>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zh-TW" w:eastAsia="zh-TW"/>
        </w:rPr>
        <w:t>授权书有效期：</w:t>
      </w:r>
      <w:r>
        <w:rPr>
          <w:rFonts w:hint="eastAsia" w:asciiTheme="majorEastAsia" w:hAnsiTheme="majorEastAsia" w:eastAsiaTheme="majorEastAsia"/>
          <w:color w:val="auto"/>
          <w:sz w:val="24"/>
          <w:szCs w:val="24"/>
          <w:lang w:val="zh-TW"/>
        </w:rPr>
        <w:t>自投标截止之日起</w:t>
      </w:r>
      <w:r>
        <w:rPr>
          <w:rFonts w:asciiTheme="majorEastAsia" w:hAnsiTheme="majorEastAsia" w:eastAsiaTheme="majorEastAsia"/>
          <w:color w:val="auto"/>
          <w:sz w:val="24"/>
          <w:szCs w:val="24"/>
          <w:lang w:val="zh-TW"/>
        </w:rPr>
        <w:t>60</w:t>
      </w:r>
      <w:r>
        <w:rPr>
          <w:rFonts w:hint="eastAsia" w:asciiTheme="majorEastAsia" w:hAnsiTheme="majorEastAsia" w:eastAsiaTheme="majorEastAsia"/>
          <w:color w:val="auto"/>
          <w:sz w:val="24"/>
          <w:szCs w:val="24"/>
          <w:lang w:val="zh-TW"/>
        </w:rPr>
        <w:t>日历天</w:t>
      </w:r>
      <w:r>
        <w:rPr>
          <w:rFonts w:hint="eastAsia" w:asciiTheme="majorEastAsia" w:hAnsiTheme="majorEastAsia" w:eastAsiaTheme="majorEastAsia"/>
          <w:color w:val="auto"/>
          <w:sz w:val="24"/>
          <w:szCs w:val="24"/>
          <w:lang w:val="zh-TW" w:eastAsia="zh-TW"/>
        </w:rPr>
        <w:t>有效</w:t>
      </w:r>
    </w:p>
    <w:p>
      <w:pPr>
        <w:pStyle w:val="10"/>
        <w:tabs>
          <w:tab w:val="left" w:pos="5580"/>
        </w:tabs>
        <w:spacing w:line="460" w:lineRule="exact"/>
        <w:ind w:firstLine="200"/>
        <w:rPr>
          <w:rFonts w:asciiTheme="majorEastAsia" w:hAnsiTheme="majorEastAsia" w:eastAsiaTheme="majorEastAsia"/>
          <w:color w:val="auto"/>
          <w:sz w:val="24"/>
          <w:szCs w:val="24"/>
        </w:rPr>
      </w:pPr>
    </w:p>
    <w:p>
      <w:pPr>
        <w:pStyle w:val="10"/>
        <w:tabs>
          <w:tab w:val="left" w:pos="5580"/>
        </w:tabs>
        <w:spacing w:afterLines="50" w:line="360" w:lineRule="auto"/>
        <w:ind w:firstLine="2760" w:firstLineChars="115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zh-TW"/>
        </w:rPr>
        <w:t>供应商</w:t>
      </w:r>
      <w:r>
        <w:rPr>
          <w:rFonts w:hint="eastAsia" w:asciiTheme="majorEastAsia" w:hAnsiTheme="majorEastAsia" w:eastAsiaTheme="majorEastAsia"/>
          <w:color w:val="auto"/>
          <w:sz w:val="24"/>
          <w:szCs w:val="24"/>
          <w:lang w:val="zh-TW" w:eastAsia="zh-TW"/>
        </w:rPr>
        <w:t>：（盖章）</w:t>
      </w:r>
    </w:p>
    <w:p>
      <w:pPr>
        <w:pStyle w:val="10"/>
        <w:tabs>
          <w:tab w:val="left" w:pos="5580"/>
        </w:tabs>
        <w:spacing w:afterLines="50" w:line="360" w:lineRule="auto"/>
        <w:ind w:firstLine="2760" w:firstLineChars="1150"/>
        <w:rPr>
          <w:rFonts w:asciiTheme="majorEastAsia" w:hAnsiTheme="majorEastAsia" w:eastAsiaTheme="majorEastAsia"/>
          <w:color w:val="auto"/>
          <w:sz w:val="24"/>
          <w:szCs w:val="24"/>
          <w:lang w:val="zh-TW"/>
        </w:rPr>
      </w:pPr>
      <w:r>
        <w:rPr>
          <w:rFonts w:hint="eastAsia" w:asciiTheme="majorEastAsia" w:hAnsiTheme="majorEastAsia" w:eastAsiaTheme="majorEastAsia"/>
          <w:color w:val="auto"/>
          <w:sz w:val="24"/>
          <w:szCs w:val="24"/>
          <w:lang w:val="zh-TW" w:eastAsia="zh-TW"/>
        </w:rPr>
        <w:t>法定代表人</w:t>
      </w:r>
      <w:r>
        <w:rPr>
          <w:rFonts w:hint="eastAsia" w:asciiTheme="majorEastAsia" w:hAnsiTheme="majorEastAsia" w:eastAsiaTheme="majorEastAsia"/>
          <w:color w:val="auto"/>
          <w:sz w:val="24"/>
          <w:szCs w:val="24"/>
          <w:lang w:val="zh-TW"/>
        </w:rPr>
        <w:t>：（签字及盖章）</w:t>
      </w:r>
    </w:p>
    <w:p>
      <w:pPr>
        <w:pStyle w:val="10"/>
        <w:tabs>
          <w:tab w:val="left" w:pos="5580"/>
        </w:tabs>
        <w:spacing w:afterLines="50" w:line="360" w:lineRule="auto"/>
        <w:ind w:firstLine="2760" w:firstLineChars="1150"/>
        <w:rPr>
          <w:rFonts w:asciiTheme="majorEastAsia" w:hAnsiTheme="majorEastAsia" w:eastAsiaTheme="majorEastAsia"/>
          <w:color w:val="auto"/>
          <w:sz w:val="24"/>
          <w:szCs w:val="24"/>
          <w:lang w:val="zh-TW"/>
        </w:rPr>
      </w:pPr>
      <w:r>
        <w:rPr>
          <w:rFonts w:hint="eastAsia" w:asciiTheme="majorEastAsia" w:hAnsiTheme="majorEastAsia" w:eastAsiaTheme="majorEastAsia"/>
          <w:color w:val="auto"/>
          <w:sz w:val="24"/>
          <w:szCs w:val="24"/>
          <w:lang w:val="zh-TW"/>
        </w:rPr>
        <w:t>授权委托人</w:t>
      </w:r>
      <w:r>
        <w:rPr>
          <w:rFonts w:hint="eastAsia" w:asciiTheme="majorEastAsia" w:hAnsiTheme="majorEastAsia" w:eastAsiaTheme="majorEastAsia"/>
          <w:color w:val="auto"/>
          <w:sz w:val="24"/>
          <w:szCs w:val="24"/>
        </w:rPr>
        <w:t>：（签字或盖章）</w:t>
      </w:r>
    </w:p>
    <w:p>
      <w:pPr>
        <w:pStyle w:val="10"/>
        <w:tabs>
          <w:tab w:val="left" w:pos="5580"/>
        </w:tabs>
        <w:spacing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                       日期：</w:t>
      </w:r>
    </w:p>
    <w:p>
      <w:pPr>
        <w:jc w:val="center"/>
        <w:rPr>
          <w:rFonts w:asciiTheme="majorEastAsia" w:hAnsiTheme="majorEastAsia" w:eastAsiaTheme="majorEastAsia"/>
          <w:color w:val="auto"/>
          <w:sz w:val="24"/>
        </w:rPr>
      </w:pPr>
    </w:p>
    <w:p>
      <w:pPr>
        <w:rPr>
          <w:rFonts w:asciiTheme="majorEastAsia" w:hAnsiTheme="majorEastAsia" w:eastAsiaTheme="majorEastAsia"/>
          <w:color w:val="auto"/>
          <w:sz w:val="24"/>
        </w:rPr>
      </w:pPr>
      <w:r>
        <w:rPr>
          <w:rFonts w:asciiTheme="majorEastAsia" w:hAnsiTheme="majorEastAsia" w:eastAsiaTheme="majorEastAsia"/>
          <w:color w:val="auto"/>
          <w:sz w:val="24"/>
        </w:rPr>
        <w:pict>
          <v:rect id="_x0000_s1026" o:spid="_x0000_s1026" o:spt="1" style="position:absolute;left:0pt;margin-left:279pt;margin-top:7.95pt;height:140.75pt;width:198pt;z-index:251660288;mso-width-relative:page;mso-height-relative:page;" coordsize="21600,21600" o:gfxdata="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jIa/ZAAAACgEAAA8AAAAAAAAAAQAgAAAAIgAAAGRy&#10;cy9kb3ducmV2LnhtbFBLAQIUABQAAAAIAIdO4kDBIxPaBAIAADgEAAAOAAAAAAAAAAEAIAAAACgB&#10;AABkcnMvZTJvRG9jLnhtbFBLBQYAAAAABgAGAFkBAACeBQAAAAA=&#10;">
            <v:path/>
            <v:fill focussize="0,0"/>
            <v:stroke joinstyle="round"/>
            <v:imagedata o:title=""/>
            <o:lock v:ext="edit"/>
            <v:textbox>
              <w:txbxContent>
                <w:p>
                  <w:pPr>
                    <w:rPr>
                      <w:rFonts w:eastAsia="黑体"/>
                      <w:b/>
                      <w:sz w:val="30"/>
                    </w:rPr>
                  </w:pPr>
                </w:p>
                <w:p>
                  <w:pPr>
                    <w:jc w:val="center"/>
                    <w:rPr>
                      <w:rFonts w:ascii="宋体" w:hAnsi="宋体"/>
                      <w:sz w:val="21"/>
                      <w:szCs w:val="21"/>
                    </w:rPr>
                  </w:pPr>
                  <w:r>
                    <w:rPr>
                      <w:rFonts w:hint="eastAsia" w:ascii="宋体" w:hAnsi="宋体"/>
                      <w:sz w:val="21"/>
                      <w:szCs w:val="21"/>
                    </w:rPr>
                    <w:t>被授权人</w:t>
                  </w:r>
                </w:p>
                <w:p>
                  <w:pPr>
                    <w:ind w:left="-1079"/>
                    <w:jc w:val="center"/>
                    <w:rPr>
                      <w:rFonts w:ascii="宋体" w:hAnsi="宋体"/>
                      <w:sz w:val="21"/>
                      <w:szCs w:val="21"/>
                    </w:rPr>
                  </w:pPr>
                  <w:r>
                    <w:rPr>
                      <w:rFonts w:hint="eastAsia" w:ascii="宋体" w:hAnsi="宋体"/>
                      <w:sz w:val="21"/>
                      <w:szCs w:val="21"/>
                    </w:rPr>
                    <w:t xml:space="preserve">         身份证正面复印件粘贴处</w:t>
                  </w:r>
                </w:p>
              </w:txbxContent>
            </v:textbox>
          </v:rect>
        </w:pict>
      </w:r>
      <w:r>
        <w:rPr>
          <w:rFonts w:asciiTheme="majorEastAsia" w:hAnsiTheme="majorEastAsia" w:eastAsiaTheme="majorEastAsia"/>
          <w:color w:val="auto"/>
          <w:sz w:val="28"/>
        </w:rPr>
        <w:pict>
          <v:rect id="矩形 6" o:spid="_x0000_s1029" o:spt="1" style="position:absolute;left:0pt;margin-left:0pt;margin-top:10.95pt;height:140pt;width:216pt;z-index:251659264;mso-width-relative:page;mso-height-relative:page;" coordsize="21600,21600" o:gfxdata="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MXSD1QAAAAcBAAAPAAAAAAAAAAEAIAAAACIAAABk&#10;cnMvZG93bnJldi54bWxQSwECFAAUAAAACACHTuJAFX58UAkCAAA4BAAADgAAAAAAAAABACAAAAAk&#10;AQAAZHJzL2Uyb0RvYy54bWxQSwUGAAAAAAYABgBZAQAAnwUAAAAA&#10;">
            <v:path/>
            <v:fill focussize="0,0"/>
            <v:stroke joinstyle="round"/>
            <v:imagedata o:title=""/>
            <o:lock v:ext="edit"/>
            <v:textbox>
              <w:txbxContent>
                <w:p>
                  <w:pPr>
                    <w:rPr>
                      <w:rFonts w:ascii="宋体" w:hAnsi="宋体" w:eastAsia="宋体"/>
                      <w:sz w:val="21"/>
                      <w:szCs w:val="21"/>
                    </w:rPr>
                  </w:pPr>
                </w:p>
                <w:p>
                  <w:pPr>
                    <w:jc w:val="center"/>
                    <w:rPr>
                      <w:rFonts w:ascii="宋体" w:hAnsi="宋体"/>
                      <w:sz w:val="21"/>
                      <w:szCs w:val="21"/>
                    </w:rPr>
                  </w:pPr>
                  <w:r>
                    <w:rPr>
                      <w:rFonts w:hint="eastAsia" w:ascii="宋体" w:hAnsi="宋体"/>
                      <w:sz w:val="21"/>
                      <w:szCs w:val="21"/>
                    </w:rPr>
                    <w:t>法定代表人</w:t>
                  </w:r>
                </w:p>
                <w:p>
                  <w:pPr>
                    <w:jc w:val="center"/>
                    <w:rPr>
                      <w:rFonts w:ascii="宋体" w:hAnsi="宋体"/>
                      <w:sz w:val="21"/>
                      <w:szCs w:val="21"/>
                    </w:rPr>
                  </w:pPr>
                  <w:r>
                    <w:rPr>
                      <w:rFonts w:hint="eastAsia" w:ascii="宋体" w:hAnsi="宋体"/>
                      <w:sz w:val="21"/>
                      <w:szCs w:val="21"/>
                    </w:rPr>
                    <w:t>身份证正面复印件粘贴处</w:t>
                  </w:r>
                </w:p>
              </w:txbxContent>
            </v:textbox>
          </v:rect>
        </w:pict>
      </w:r>
    </w:p>
    <w:p>
      <w:pPr>
        <w:jc w:val="center"/>
        <w:rPr>
          <w:rFonts w:asciiTheme="majorEastAsia" w:hAnsiTheme="majorEastAsia" w:eastAsiaTheme="majorEastAsia"/>
          <w:color w:val="auto"/>
          <w:sz w:val="24"/>
        </w:rPr>
      </w:pPr>
    </w:p>
    <w:p>
      <w:pPr>
        <w:jc w:val="cente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r>
        <w:rPr>
          <w:rFonts w:asciiTheme="majorEastAsia" w:hAnsiTheme="majorEastAsia" w:eastAsiaTheme="majorEastAsia"/>
          <w:color w:val="auto"/>
          <w:sz w:val="28"/>
        </w:rPr>
        <w:pict>
          <v:rect id="矩形 8" o:spid="_x0000_s1028" o:spt="1" style="position:absolute;left:0pt;margin-left:279pt;margin-top:11.2pt;height:140.65pt;width:198pt;z-index:251662336;mso-width-relative:page;mso-height-relative:page;" coordsize="21600,21600" o:gfxdata="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C1cGNkAAAAKAQAADwAAAAAAAAABACAAAAAi&#10;AAAAZHJzL2Rvd25yZXYueG1sUEsBAhQAFAAAAAgAh07iQMir5gIJAgAAOAQAAA4AAAAAAAAAAQAg&#10;AAAAKAEAAGRycy9lMm9Eb2MueG1sUEsFBgAAAAAGAAYAWQEAAKMFAAAAAA==&#10;">
            <v:path/>
            <v:fill focussize="0,0"/>
            <v:stroke joinstyle="round"/>
            <v:imagedata o:title=""/>
            <o:lock v:ext="edit"/>
            <v:textbox>
              <w:txbxContent>
                <w:p>
                  <w:pPr>
                    <w:ind w:left="-1079"/>
                    <w:jc w:val="center"/>
                    <w:rPr>
                      <w:rFonts w:eastAsia="黑体"/>
                      <w:b/>
                      <w:sz w:val="30"/>
                    </w:rPr>
                  </w:pPr>
                </w:p>
                <w:p>
                  <w:pPr>
                    <w:ind w:left="-1079"/>
                    <w:jc w:val="center"/>
                    <w:rPr>
                      <w:rFonts w:ascii="宋体" w:hAnsi="宋体" w:eastAsia="宋体"/>
                      <w:sz w:val="21"/>
                      <w:szCs w:val="21"/>
                    </w:rPr>
                  </w:pPr>
                  <w:r>
                    <w:rPr>
                      <w:rFonts w:hint="eastAsia" w:ascii="宋体" w:hAnsi="宋体" w:eastAsia="宋体"/>
                      <w:sz w:val="21"/>
                      <w:szCs w:val="21"/>
                    </w:rPr>
                    <w:t xml:space="preserve">          被授权人</w:t>
                  </w:r>
                </w:p>
                <w:p>
                  <w:pPr>
                    <w:ind w:left="-1079"/>
                    <w:jc w:val="center"/>
                    <w:rPr>
                      <w:rFonts w:ascii="宋体" w:hAnsi="宋体" w:eastAsia="宋体"/>
                      <w:sz w:val="21"/>
                      <w:szCs w:val="21"/>
                    </w:rPr>
                  </w:pPr>
                  <w:r>
                    <w:rPr>
                      <w:rFonts w:hint="eastAsia" w:ascii="宋体" w:hAnsi="宋体" w:eastAsia="宋体"/>
                      <w:sz w:val="21"/>
                      <w:szCs w:val="21"/>
                    </w:rPr>
                    <w:t xml:space="preserve">          身份证反面复印件粘贴处</w:t>
                  </w:r>
                </w:p>
              </w:txbxContent>
            </v:textbox>
          </v:rect>
        </w:pict>
      </w:r>
      <w:r>
        <w:rPr>
          <w:rFonts w:asciiTheme="majorEastAsia" w:hAnsiTheme="majorEastAsia" w:eastAsiaTheme="majorEastAsia"/>
          <w:color w:val="auto"/>
          <w:sz w:val="24"/>
        </w:rPr>
        <w:pict>
          <v:rect id="矩形 7" o:spid="_x0000_s1027" o:spt="1" style="position:absolute;left:0pt;margin-left:0pt;margin-top:11.2pt;height:140.5pt;width:216pt;z-index:251661312;mso-width-relative:page;mso-height-relative:page;" coordsize="21600,21600" o:gfxdata="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jt8AdYAAAAHAQAADwAAAAAAAAABACAAAAAiAAAAZHJz&#10;L2Rvd25yZXYueG1sUEsBAhQAFAAAAAgAh07iQEkO75YGAgAAOAQAAA4AAAAAAAAAAQAgAAAAJQEA&#10;AGRycy9lMm9Eb2MueG1sUEsFBgAAAAAGAAYAWQEAAJ0FAAAAAA==&#10;">
            <v:path/>
            <v:fill focussize="0,0"/>
            <v:stroke joinstyle="round"/>
            <v:imagedata o:title=""/>
            <o:lock v:ext="edit"/>
            <v:textbox>
              <w:txbxContent>
                <w:p>
                  <w:pPr>
                    <w:ind w:left="-1079"/>
                    <w:jc w:val="center"/>
                    <w:rPr>
                      <w:rFonts w:eastAsia="黑体"/>
                      <w:b/>
                      <w:sz w:val="30"/>
                    </w:rPr>
                  </w:pPr>
                </w:p>
                <w:p>
                  <w:pPr>
                    <w:ind w:left="-1079"/>
                    <w:jc w:val="center"/>
                    <w:rPr>
                      <w:rFonts w:ascii="宋体" w:hAnsi="宋体"/>
                      <w:sz w:val="21"/>
                      <w:szCs w:val="21"/>
                    </w:rPr>
                  </w:pPr>
                  <w:r>
                    <w:rPr>
                      <w:rFonts w:hint="eastAsia" w:ascii="宋体" w:hAnsi="宋体"/>
                      <w:sz w:val="21"/>
                      <w:szCs w:val="21"/>
                    </w:rPr>
                    <w:t>法定代表人</w:t>
                  </w:r>
                </w:p>
                <w:p>
                  <w:pPr>
                    <w:ind w:left="-1079"/>
                    <w:jc w:val="center"/>
                    <w:rPr>
                      <w:rFonts w:ascii="宋体" w:hAnsi="宋体"/>
                      <w:sz w:val="21"/>
                      <w:szCs w:val="21"/>
                    </w:rPr>
                  </w:pPr>
                  <w:r>
                    <w:rPr>
                      <w:rFonts w:hint="eastAsia" w:ascii="宋体" w:hAnsi="宋体"/>
                      <w:sz w:val="21"/>
                      <w:szCs w:val="21"/>
                    </w:rPr>
                    <w:t>身份证反面复印件粘贴处</w:t>
                  </w:r>
                </w:p>
              </w:txbxContent>
            </v:textbox>
          </v:rect>
        </w:pict>
      </w: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pStyle w:val="2"/>
        <w:rPr>
          <w:rFonts w:asciiTheme="majorEastAsia" w:hAnsiTheme="majorEastAsia" w:eastAsiaTheme="majorEastAsia"/>
          <w:color w:val="auto"/>
        </w:rPr>
      </w:pPr>
    </w:p>
    <w:p>
      <w:pPr>
        <w:pStyle w:val="2"/>
        <w:rPr>
          <w:rFonts w:asciiTheme="majorEastAsia" w:hAnsiTheme="majorEastAsia" w:eastAsiaTheme="majorEastAsia"/>
          <w:color w:val="auto"/>
        </w:rPr>
      </w:pPr>
    </w:p>
    <w:p>
      <w:pPr>
        <w:pStyle w:val="2"/>
        <w:rPr>
          <w:rFonts w:asciiTheme="majorEastAsia" w:hAnsiTheme="majorEastAsia" w:eastAsiaTheme="majorEastAsia"/>
          <w:color w:val="auto"/>
        </w:rPr>
      </w:pPr>
    </w:p>
    <w:p>
      <w:pPr>
        <w:pStyle w:val="2"/>
        <w:rPr>
          <w:rFonts w:asciiTheme="majorEastAsia" w:hAnsiTheme="majorEastAsia" w:eastAsiaTheme="majorEastAsia"/>
          <w:color w:val="auto"/>
        </w:rPr>
      </w:pPr>
    </w:p>
    <w:p>
      <w:pPr>
        <w:pStyle w:val="2"/>
        <w:rPr>
          <w:rFonts w:asciiTheme="majorEastAsia" w:hAnsiTheme="majorEastAsia" w:eastAsiaTheme="majorEastAsia"/>
          <w:color w:val="auto"/>
        </w:rPr>
      </w:pPr>
    </w:p>
    <w:p>
      <w:pPr>
        <w:pStyle w:val="2"/>
        <w:rPr>
          <w:rFonts w:asciiTheme="majorEastAsia" w:hAnsiTheme="majorEastAsia" w:eastAsiaTheme="majorEastAsia"/>
          <w:color w:val="auto"/>
        </w:rPr>
      </w:pPr>
    </w:p>
    <w:p>
      <w:pPr>
        <w:rPr>
          <w:rFonts w:asciiTheme="majorEastAsia" w:hAnsiTheme="majorEastAsia" w:eastAsiaTheme="majorEastAsia"/>
          <w:color w:val="auto"/>
          <w:sz w:val="24"/>
        </w:rPr>
      </w:pPr>
      <w:r>
        <w:rPr>
          <w:rFonts w:asciiTheme="majorEastAsia" w:hAnsiTheme="majorEastAsia" w:eastAsiaTheme="majorEastAsia"/>
          <w:color w:val="auto"/>
          <w:sz w:val="24"/>
        </w:rPr>
        <w:br w:type="page"/>
      </w:r>
    </w:p>
    <w:p>
      <w:pPr>
        <w:spacing w:line="520" w:lineRule="exact"/>
        <w:rPr>
          <w:rFonts w:asciiTheme="majorEastAsia" w:hAnsiTheme="majorEastAsia" w:eastAsiaTheme="majorEastAsia"/>
          <w:b/>
          <w:color w:val="auto"/>
          <w:sz w:val="24"/>
        </w:rPr>
      </w:pPr>
      <w:r>
        <w:rPr>
          <w:rFonts w:asciiTheme="majorEastAsia" w:hAnsiTheme="majorEastAsia" w:eastAsiaTheme="majorEastAsia"/>
          <w:b/>
          <w:color w:val="auto"/>
          <w:sz w:val="24"/>
        </w:rPr>
        <w:t>7</w:t>
      </w:r>
      <w:r>
        <w:rPr>
          <w:rFonts w:hint="eastAsia" w:asciiTheme="majorEastAsia" w:hAnsiTheme="majorEastAsia" w:eastAsiaTheme="majorEastAsia"/>
          <w:b/>
          <w:color w:val="auto"/>
          <w:sz w:val="24"/>
        </w:rPr>
        <w:t>、供应商基本情况表</w:t>
      </w:r>
    </w:p>
    <w:p>
      <w:pPr>
        <w:spacing w:line="520" w:lineRule="exact"/>
        <w:ind w:firstLine="480" w:firstLineChars="200"/>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供应商基本情况表</w:t>
      </w:r>
    </w:p>
    <w:tbl>
      <w:tblPr>
        <w:tblStyle w:val="18"/>
        <w:tblW w:w="9464" w:type="dxa"/>
        <w:jc w:val="center"/>
        <w:tblLayout w:type="fixed"/>
        <w:tblCellMar>
          <w:top w:w="0" w:type="dxa"/>
          <w:left w:w="108" w:type="dxa"/>
          <w:bottom w:w="0" w:type="dxa"/>
          <w:right w:w="108" w:type="dxa"/>
        </w:tblCellMar>
      </w:tblPr>
      <w:tblGrid>
        <w:gridCol w:w="1576"/>
        <w:gridCol w:w="887"/>
        <w:gridCol w:w="1189"/>
        <w:gridCol w:w="834"/>
        <w:gridCol w:w="442"/>
        <w:gridCol w:w="1417"/>
        <w:gridCol w:w="187"/>
        <w:gridCol w:w="770"/>
        <w:gridCol w:w="2162"/>
      </w:tblGrid>
      <w:tr>
        <w:tblPrEx>
          <w:tblCellMar>
            <w:top w:w="0" w:type="dxa"/>
            <w:left w:w="108" w:type="dxa"/>
            <w:bottom w:w="0" w:type="dxa"/>
            <w:right w:w="108" w:type="dxa"/>
          </w:tblCellMar>
        </w:tblPrEx>
        <w:trPr>
          <w:trHeight w:val="575"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供应商名称</w:t>
            </w:r>
          </w:p>
        </w:tc>
        <w:tc>
          <w:tcPr>
            <w:tcW w:w="7888"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450"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注册地址</w:t>
            </w:r>
          </w:p>
        </w:tc>
        <w:tc>
          <w:tcPr>
            <w:tcW w:w="335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邮政编码</w:t>
            </w:r>
          </w:p>
        </w:tc>
        <w:tc>
          <w:tcPr>
            <w:tcW w:w="311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600" w:hRule="atLeast"/>
          <w:jc w:val="center"/>
        </w:trPr>
        <w:tc>
          <w:tcPr>
            <w:tcW w:w="15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联系方式</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联系人</w:t>
            </w:r>
          </w:p>
        </w:tc>
        <w:tc>
          <w:tcPr>
            <w:tcW w:w="246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电话</w:t>
            </w:r>
          </w:p>
        </w:tc>
        <w:tc>
          <w:tcPr>
            <w:tcW w:w="311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614" w:hRule="atLeast"/>
          <w:jc w:val="center"/>
        </w:trPr>
        <w:tc>
          <w:tcPr>
            <w:tcW w:w="15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传真</w:t>
            </w:r>
          </w:p>
        </w:tc>
        <w:tc>
          <w:tcPr>
            <w:tcW w:w="246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网址</w:t>
            </w:r>
          </w:p>
        </w:tc>
        <w:tc>
          <w:tcPr>
            <w:tcW w:w="311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601"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法定代表人</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姓名</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技术职称</w:t>
            </w: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95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电话</w:t>
            </w:r>
          </w:p>
        </w:tc>
        <w:tc>
          <w:tcPr>
            <w:tcW w:w="2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626"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项目负责人</w:t>
            </w:r>
          </w:p>
        </w:tc>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姓名</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12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技术职称</w:t>
            </w:r>
          </w:p>
        </w:tc>
        <w:tc>
          <w:tcPr>
            <w:tcW w:w="1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95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电话</w:t>
            </w:r>
          </w:p>
        </w:tc>
        <w:tc>
          <w:tcPr>
            <w:tcW w:w="2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613"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成立时间</w:t>
            </w:r>
          </w:p>
        </w:tc>
        <w:tc>
          <w:tcPr>
            <w:tcW w:w="20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5812"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员工总人数：</w:t>
            </w:r>
          </w:p>
        </w:tc>
      </w:tr>
      <w:tr>
        <w:tblPrEx>
          <w:tblCellMar>
            <w:top w:w="0" w:type="dxa"/>
            <w:left w:w="108" w:type="dxa"/>
            <w:bottom w:w="0" w:type="dxa"/>
            <w:right w:w="108" w:type="dxa"/>
          </w:tblCellMar>
        </w:tblPrEx>
        <w:trPr>
          <w:trHeight w:val="613"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企业资质等级</w:t>
            </w:r>
          </w:p>
        </w:tc>
        <w:tc>
          <w:tcPr>
            <w:tcW w:w="20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83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其中</w:t>
            </w:r>
          </w:p>
        </w:tc>
        <w:tc>
          <w:tcPr>
            <w:tcW w:w="204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注册人员</w:t>
            </w:r>
          </w:p>
        </w:tc>
        <w:tc>
          <w:tcPr>
            <w:tcW w:w="293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763"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营业执照号</w:t>
            </w:r>
          </w:p>
        </w:tc>
        <w:tc>
          <w:tcPr>
            <w:tcW w:w="20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8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204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高级职称人员</w:t>
            </w:r>
          </w:p>
        </w:tc>
        <w:tc>
          <w:tcPr>
            <w:tcW w:w="293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626"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注册资金</w:t>
            </w:r>
          </w:p>
        </w:tc>
        <w:tc>
          <w:tcPr>
            <w:tcW w:w="20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8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204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中级职称人员</w:t>
            </w:r>
          </w:p>
        </w:tc>
        <w:tc>
          <w:tcPr>
            <w:tcW w:w="293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763"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开户银行</w:t>
            </w:r>
          </w:p>
        </w:tc>
        <w:tc>
          <w:tcPr>
            <w:tcW w:w="20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8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204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初级职称人员</w:t>
            </w:r>
          </w:p>
        </w:tc>
        <w:tc>
          <w:tcPr>
            <w:tcW w:w="293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614"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账号</w:t>
            </w:r>
          </w:p>
        </w:tc>
        <w:tc>
          <w:tcPr>
            <w:tcW w:w="20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8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c>
          <w:tcPr>
            <w:tcW w:w="204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技工</w:t>
            </w:r>
          </w:p>
        </w:tc>
        <w:tc>
          <w:tcPr>
            <w:tcW w:w="293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r>
        <w:tblPrEx>
          <w:tblCellMar>
            <w:top w:w="0" w:type="dxa"/>
            <w:left w:w="108" w:type="dxa"/>
            <w:bottom w:w="0" w:type="dxa"/>
            <w:right w:w="108" w:type="dxa"/>
          </w:tblCellMar>
        </w:tblPrEx>
        <w:trPr>
          <w:trHeight w:val="1277" w:hRule="atLeast"/>
          <w:jc w:val="center"/>
        </w:trPr>
        <w:tc>
          <w:tcPr>
            <w:tcW w:w="1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r>
              <w:rPr>
                <w:rFonts w:hint="eastAsia" w:cs="宋体" w:asciiTheme="majorEastAsia" w:hAnsiTheme="majorEastAsia" w:eastAsiaTheme="majorEastAsia"/>
                <w:color w:val="auto"/>
              </w:rPr>
              <w:t>经营范围</w:t>
            </w:r>
          </w:p>
        </w:tc>
        <w:tc>
          <w:tcPr>
            <w:tcW w:w="7888"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heme="majorEastAsia" w:hAnsiTheme="majorEastAsia" w:eastAsiaTheme="majorEastAsia"/>
                <w:color w:val="auto"/>
              </w:rPr>
            </w:pPr>
          </w:p>
        </w:tc>
      </w:tr>
    </w:tbl>
    <w:p>
      <w:pPr>
        <w:snapToGrid w:val="0"/>
        <w:spacing w:line="520" w:lineRule="exact"/>
        <w:ind w:firstLine="2760" w:firstLineChars="1150"/>
        <w:rPr>
          <w:rFonts w:asciiTheme="majorEastAsia" w:hAnsiTheme="majorEastAsia" w:eastAsiaTheme="majorEastAsia"/>
          <w:color w:val="auto"/>
          <w:sz w:val="24"/>
        </w:rPr>
      </w:pPr>
    </w:p>
    <w:p>
      <w:pPr>
        <w:snapToGrid w:val="0"/>
        <w:spacing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供应商名称：（公章）</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法定代表人或被授权人: （签字或盖章）     </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日期:</w:t>
      </w:r>
      <w:bookmarkStart w:id="46" w:name="_Ref467990101"/>
    </w:p>
    <w:p>
      <w:pPr>
        <w:rPr>
          <w:rFonts w:asciiTheme="majorEastAsia" w:hAnsiTheme="majorEastAsia" w:eastAsiaTheme="majorEastAsia"/>
          <w:color w:val="auto"/>
        </w:rPr>
      </w:pPr>
      <w:r>
        <w:rPr>
          <w:rFonts w:asciiTheme="majorEastAsia" w:hAnsiTheme="majorEastAsia" w:eastAsiaTheme="majorEastAsia"/>
          <w:color w:val="auto"/>
        </w:rPr>
        <w:br w:type="page"/>
      </w:r>
    </w:p>
    <w:bookmarkEnd w:id="46"/>
    <w:p>
      <w:pPr>
        <w:snapToGrid w:val="0"/>
        <w:spacing w:after="0" w:line="460" w:lineRule="exact"/>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8</w:t>
      </w:r>
      <w:r>
        <w:rPr>
          <w:rFonts w:hint="eastAsia" w:cs="宋体" w:asciiTheme="majorEastAsia" w:hAnsiTheme="majorEastAsia" w:eastAsiaTheme="majorEastAsia"/>
          <w:b/>
          <w:color w:val="auto"/>
          <w:sz w:val="24"/>
          <w:szCs w:val="24"/>
        </w:rPr>
        <w:t>、营业执照副本、组织机构代码证副本、税务登记证副本或</w:t>
      </w:r>
      <w:r>
        <w:rPr>
          <w:rFonts w:cs="宋体" w:asciiTheme="majorEastAsia" w:hAnsiTheme="majorEastAsia" w:eastAsiaTheme="majorEastAsia"/>
          <w:b/>
          <w:color w:val="auto"/>
          <w:sz w:val="24"/>
          <w:szCs w:val="24"/>
        </w:rPr>
        <w:t>“</w:t>
      </w:r>
      <w:r>
        <w:rPr>
          <w:rFonts w:hint="eastAsia" w:cs="宋体" w:asciiTheme="majorEastAsia" w:hAnsiTheme="majorEastAsia" w:eastAsiaTheme="majorEastAsia"/>
          <w:b/>
          <w:color w:val="auto"/>
          <w:sz w:val="24"/>
          <w:szCs w:val="24"/>
        </w:rPr>
        <w:t>三证合一</w:t>
      </w:r>
      <w:r>
        <w:rPr>
          <w:rFonts w:cs="宋体" w:asciiTheme="majorEastAsia" w:hAnsiTheme="majorEastAsia" w:eastAsiaTheme="majorEastAsia"/>
          <w:b/>
          <w:color w:val="auto"/>
          <w:sz w:val="24"/>
          <w:szCs w:val="24"/>
        </w:rPr>
        <w:t>”</w:t>
      </w:r>
      <w:r>
        <w:rPr>
          <w:rFonts w:hint="eastAsia" w:cs="宋体" w:asciiTheme="majorEastAsia" w:hAnsiTheme="majorEastAsia" w:eastAsiaTheme="majorEastAsia"/>
          <w:b/>
          <w:color w:val="auto"/>
          <w:sz w:val="24"/>
          <w:szCs w:val="24"/>
        </w:rPr>
        <w:t>营业执照副本、事业单位需提供事业单位法人证书副本复印件加盖公章</w:t>
      </w:r>
    </w:p>
    <w:p>
      <w:pPr>
        <w:snapToGrid w:val="0"/>
        <w:spacing w:after="0" w:line="460" w:lineRule="exact"/>
        <w:rPr>
          <w:rFonts w:cs="宋体" w:asciiTheme="majorEastAsia" w:hAnsiTheme="majorEastAsia" w:eastAsiaTheme="majorEastAsia"/>
          <w:b/>
          <w:color w:val="auto"/>
          <w:sz w:val="24"/>
          <w:szCs w:val="24"/>
        </w:rPr>
      </w:pPr>
    </w:p>
    <w:p>
      <w:pPr>
        <w:snapToGrid w:val="0"/>
        <w:spacing w:after="0" w:line="460" w:lineRule="exact"/>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9</w:t>
      </w:r>
      <w:r>
        <w:rPr>
          <w:rFonts w:hint="eastAsia" w:cs="宋体" w:asciiTheme="majorEastAsia" w:hAnsiTheme="majorEastAsia" w:eastAsiaTheme="majorEastAsia"/>
          <w:b/>
          <w:color w:val="auto"/>
          <w:sz w:val="24"/>
          <w:szCs w:val="24"/>
        </w:rPr>
        <w:t>、社保和纳税证明（复印件加盖公章）</w:t>
      </w:r>
    </w:p>
    <w:p>
      <w:pPr>
        <w:snapToGrid w:val="0"/>
        <w:spacing w:after="0" w:line="460" w:lineRule="exact"/>
        <w:rPr>
          <w:rFonts w:cs="宋体" w:asciiTheme="majorEastAsia" w:hAnsiTheme="majorEastAsia" w:eastAsiaTheme="majorEastAsia"/>
          <w:b/>
          <w:color w:val="auto"/>
          <w:sz w:val="24"/>
          <w:szCs w:val="24"/>
        </w:rPr>
      </w:pPr>
    </w:p>
    <w:p>
      <w:pPr>
        <w:snapToGrid w:val="0"/>
        <w:spacing w:after="0" w:line="460" w:lineRule="exact"/>
        <w:rPr>
          <w:rFonts w:cs="宋体" w:asciiTheme="majorEastAsia" w:hAnsiTheme="majorEastAsia" w:eastAsiaTheme="majorEastAsia"/>
          <w:b/>
          <w:color w:val="auto"/>
          <w:sz w:val="24"/>
          <w:szCs w:val="24"/>
        </w:rPr>
      </w:pPr>
      <w:r>
        <w:rPr>
          <w:rFonts w:cs="宋体" w:asciiTheme="majorEastAsia" w:hAnsiTheme="majorEastAsia" w:eastAsiaTheme="majorEastAsia"/>
          <w:b/>
          <w:color w:val="auto"/>
          <w:sz w:val="24"/>
          <w:szCs w:val="24"/>
        </w:rPr>
        <w:t>10</w:t>
      </w:r>
      <w:r>
        <w:rPr>
          <w:rFonts w:hint="eastAsia" w:cs="宋体" w:asciiTheme="majorEastAsia" w:hAnsiTheme="majorEastAsia" w:eastAsiaTheme="majorEastAsia"/>
          <w:b/>
          <w:color w:val="auto"/>
          <w:sz w:val="24"/>
          <w:szCs w:val="24"/>
        </w:rPr>
        <w:t>、</w:t>
      </w:r>
      <w:r>
        <w:rPr>
          <w:rFonts w:cs="宋体" w:asciiTheme="majorEastAsia" w:hAnsiTheme="majorEastAsia" w:eastAsiaTheme="majorEastAsia"/>
          <w:b/>
          <w:color w:val="auto"/>
          <w:sz w:val="24"/>
          <w:szCs w:val="24"/>
        </w:rPr>
        <w:t>供应商</w:t>
      </w:r>
      <w:r>
        <w:rPr>
          <w:rFonts w:hint="eastAsia" w:cs="宋体" w:asciiTheme="majorEastAsia" w:hAnsiTheme="majorEastAsia" w:eastAsiaTheme="majorEastAsia"/>
          <w:b/>
          <w:color w:val="auto"/>
          <w:sz w:val="24"/>
          <w:szCs w:val="24"/>
        </w:rPr>
        <w:t>的</w:t>
      </w:r>
      <w:r>
        <w:rPr>
          <w:rFonts w:cs="宋体" w:asciiTheme="majorEastAsia" w:hAnsiTheme="majorEastAsia" w:eastAsiaTheme="majorEastAsia"/>
          <w:b/>
          <w:color w:val="auto"/>
          <w:sz w:val="24"/>
          <w:szCs w:val="24"/>
        </w:rPr>
        <w:t>类似项目业绩一览表</w:t>
      </w:r>
    </w:p>
    <w:p>
      <w:pPr>
        <w:snapToGrid w:val="0"/>
        <w:spacing w:after="0" w:line="460" w:lineRule="exact"/>
        <w:rPr>
          <w:rFonts w:cs="宋体" w:asciiTheme="majorEastAsia" w:hAnsiTheme="majorEastAsia" w:eastAsiaTheme="majorEastAsia"/>
          <w:b/>
          <w:color w:val="auto"/>
          <w:sz w:val="24"/>
          <w:szCs w:val="24"/>
        </w:rPr>
        <w:sectPr>
          <w:pgSz w:w="11900" w:h="16840"/>
          <w:pgMar w:top="1440" w:right="1361" w:bottom="1440" w:left="1361" w:header="709" w:footer="709" w:gutter="0"/>
          <w:pgNumType w:chapStyle="3"/>
          <w:cols w:space="720" w:num="1"/>
          <w:titlePg/>
          <w:docGrid w:linePitch="312" w:charSpace="0"/>
        </w:sectPr>
      </w:pPr>
    </w:p>
    <w:p>
      <w:pPr>
        <w:snapToGrid w:val="0"/>
        <w:spacing w:after="0" w:line="460" w:lineRule="exact"/>
        <w:rPr>
          <w:rFonts w:cs="宋体" w:asciiTheme="majorEastAsia" w:hAnsiTheme="majorEastAsia" w:eastAsiaTheme="majorEastAsia"/>
          <w:b/>
          <w:color w:val="auto"/>
          <w:sz w:val="24"/>
          <w:szCs w:val="24"/>
        </w:rPr>
      </w:pPr>
    </w:p>
    <w:p>
      <w:pPr>
        <w:snapToGrid w:val="0"/>
        <w:spacing w:after="0" w:line="460" w:lineRule="exact"/>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rPr>
        <w:t>1</w:t>
      </w:r>
      <w:r>
        <w:rPr>
          <w:rFonts w:cs="宋体" w:asciiTheme="majorEastAsia" w:hAnsiTheme="majorEastAsia" w:eastAsiaTheme="majorEastAsia"/>
          <w:b/>
          <w:color w:val="auto"/>
          <w:sz w:val="24"/>
          <w:szCs w:val="24"/>
        </w:rPr>
        <w:t>1</w:t>
      </w:r>
      <w:r>
        <w:rPr>
          <w:rFonts w:hint="eastAsia" w:cs="宋体" w:asciiTheme="majorEastAsia" w:hAnsiTheme="majorEastAsia" w:eastAsiaTheme="majorEastAsia"/>
          <w:b/>
          <w:color w:val="auto"/>
          <w:sz w:val="24"/>
          <w:szCs w:val="24"/>
        </w:rPr>
        <w:t>、参加政府采购活动前三年内，在经营活动中没有重大违法记录</w:t>
      </w:r>
    </w:p>
    <w:p>
      <w:pPr>
        <w:snapToGrid w:val="0"/>
        <w:spacing w:after="0" w:line="460" w:lineRule="exact"/>
        <w:jc w:val="center"/>
        <w:rPr>
          <w:rFonts w:eastAsia="PMingLiU" w:cs="宋体" w:asciiTheme="majorEastAsia" w:hAnsiTheme="majorEastAsia"/>
          <w:b/>
          <w:color w:val="auto"/>
          <w:sz w:val="24"/>
          <w:szCs w:val="24"/>
          <w:lang w:val="zh-TW" w:eastAsia="zh-TW"/>
        </w:rPr>
      </w:pPr>
    </w:p>
    <w:p>
      <w:pPr>
        <w:snapToGrid w:val="0"/>
        <w:spacing w:after="0" w:line="460" w:lineRule="exact"/>
        <w:jc w:val="center"/>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lang w:val="zh-TW" w:eastAsia="zh-TW"/>
        </w:rPr>
        <w:t>无重大违法记录声明</w:t>
      </w:r>
    </w:p>
    <w:p>
      <w:pPr>
        <w:pStyle w:val="10"/>
        <w:tabs>
          <w:tab w:val="left" w:pos="5580"/>
        </w:tabs>
        <w:spacing w:line="360" w:lineRule="auto"/>
        <w:rPr>
          <w:rFonts w:asciiTheme="majorEastAsia" w:hAnsiTheme="majorEastAsia" w:eastAsiaTheme="majorEastAsia"/>
          <w:color w:val="auto"/>
          <w:sz w:val="24"/>
          <w:szCs w:val="24"/>
          <w:lang w:val="zh-TW"/>
        </w:rPr>
      </w:pPr>
      <w:r>
        <w:rPr>
          <w:rFonts w:hint="eastAsia" w:asciiTheme="majorEastAsia" w:hAnsiTheme="majorEastAsia" w:eastAsiaTheme="majorEastAsia"/>
          <w:color w:val="auto"/>
          <w:sz w:val="24"/>
          <w:szCs w:val="24"/>
          <w:lang w:val="zh-TW" w:eastAsia="zh-TW"/>
        </w:rPr>
        <w:t>项目</w:t>
      </w:r>
      <w:r>
        <w:rPr>
          <w:rFonts w:hint="eastAsia" w:asciiTheme="majorEastAsia" w:hAnsiTheme="majorEastAsia" w:eastAsiaTheme="majorEastAsia"/>
          <w:color w:val="auto"/>
          <w:sz w:val="24"/>
          <w:szCs w:val="24"/>
          <w:lang w:val="zh-TW"/>
        </w:rPr>
        <w:t>名称：</w:t>
      </w:r>
    </w:p>
    <w:p>
      <w:pPr>
        <w:pStyle w:val="10"/>
        <w:tabs>
          <w:tab w:val="left" w:pos="5580"/>
        </w:tabs>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lang w:val="zh-TW"/>
        </w:rPr>
        <w:t>项目编号：</w:t>
      </w:r>
    </w:p>
    <w:p>
      <w:pPr>
        <w:spacing w:after="0" w:line="360" w:lineRule="auto"/>
        <w:rPr>
          <w:rFonts w:cs="宋体" w:asciiTheme="majorEastAsia" w:hAnsiTheme="majorEastAsia" w:eastAsiaTheme="majorEastAsia"/>
          <w:color w:val="auto"/>
          <w:sz w:val="24"/>
          <w:szCs w:val="24"/>
        </w:rPr>
      </w:pPr>
      <w:r>
        <w:rPr>
          <w:rStyle w:val="24"/>
          <w:rFonts w:hint="eastAsia" w:cs="宋体" w:asciiTheme="majorEastAsia" w:hAnsiTheme="majorEastAsia" w:eastAsiaTheme="majorEastAsia"/>
          <w:color w:val="auto"/>
          <w:szCs w:val="24"/>
          <w:lang w:eastAsia="zh-CN"/>
        </w:rPr>
        <w:t>海南鸿大中经建设项目咨询管理有限公司</w:t>
      </w:r>
      <w:r>
        <w:rPr>
          <w:rStyle w:val="24"/>
          <w:rFonts w:hint="eastAsia" w:cs="宋体" w:asciiTheme="majorEastAsia" w:hAnsiTheme="majorEastAsia" w:eastAsiaTheme="majorEastAsia"/>
          <w:color w:val="auto"/>
          <w:szCs w:val="24"/>
        </w:rPr>
        <w:t>：</w:t>
      </w:r>
    </w:p>
    <w:p>
      <w:pPr>
        <w:pStyle w:val="10"/>
        <w:tabs>
          <w:tab w:val="left" w:pos="4620"/>
        </w:tabs>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u w:val="single"/>
        </w:rPr>
        <w:t>（供应商全称）</w:t>
      </w:r>
      <w:r>
        <w:rPr>
          <w:rFonts w:hint="eastAsia" w:asciiTheme="majorEastAsia" w:hAnsiTheme="majorEastAsia" w:eastAsiaTheme="majorEastAsia"/>
          <w:color w:val="auto"/>
          <w:sz w:val="24"/>
          <w:szCs w:val="24"/>
          <w:lang w:val="zh-TW" w:eastAsia="zh-TW"/>
        </w:rPr>
        <w:t>郑重声明</w:t>
      </w:r>
      <w:r>
        <w:rPr>
          <w:rFonts w:hint="eastAsia" w:asciiTheme="majorEastAsia" w:hAnsiTheme="majorEastAsia" w:eastAsiaTheme="majorEastAsia"/>
          <w:color w:val="auto"/>
          <w:sz w:val="24"/>
          <w:szCs w:val="24"/>
          <w:lang w:val="zh-TW"/>
        </w:rPr>
        <w:t>，</w:t>
      </w:r>
      <w:r>
        <w:rPr>
          <w:rFonts w:hint="eastAsia" w:asciiTheme="majorEastAsia" w:hAnsiTheme="majorEastAsia" w:eastAsiaTheme="majorEastAsia"/>
          <w:color w:val="auto"/>
          <w:sz w:val="24"/>
          <w:szCs w:val="24"/>
          <w:lang w:val="zh-TW" w:eastAsia="zh-TW"/>
        </w:rPr>
        <w:t>我方参加本项目采购活动前三年内无重大违法活动记录，符合《政府采购法》规定的供应商资格条件。我方对此声明负全部法律责任。</w:t>
      </w:r>
    </w:p>
    <w:p>
      <w:pPr>
        <w:pStyle w:val="10"/>
        <w:tabs>
          <w:tab w:val="left" w:pos="5580"/>
        </w:tabs>
        <w:spacing w:line="360" w:lineRule="auto"/>
        <w:ind w:firstLine="525" w:firstLineChars="250"/>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lang w:val="zh-TW" w:eastAsia="zh-TW"/>
        </w:rPr>
        <w:t>特此声明。</w:t>
      </w:r>
    </w:p>
    <w:p>
      <w:pPr>
        <w:pStyle w:val="10"/>
        <w:tabs>
          <w:tab w:val="left" w:pos="5580"/>
        </w:tabs>
        <w:spacing w:afterLines="50" w:line="460" w:lineRule="exact"/>
        <w:ind w:firstLine="2640" w:firstLineChars="11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zh-TW"/>
        </w:rPr>
        <w:t>供应商</w:t>
      </w:r>
      <w:r>
        <w:rPr>
          <w:rFonts w:hint="eastAsia" w:asciiTheme="majorEastAsia" w:hAnsiTheme="majorEastAsia" w:eastAsiaTheme="majorEastAsia"/>
          <w:color w:val="auto"/>
          <w:sz w:val="24"/>
          <w:szCs w:val="24"/>
          <w:lang w:val="zh-TW" w:eastAsia="zh-TW"/>
        </w:rPr>
        <w:t>：（盖章）</w:t>
      </w:r>
    </w:p>
    <w:p>
      <w:pPr>
        <w:pStyle w:val="10"/>
        <w:tabs>
          <w:tab w:val="left" w:pos="5580"/>
        </w:tabs>
        <w:spacing w:afterLines="50" w:line="460" w:lineRule="exact"/>
        <w:ind w:firstLine="2640" w:firstLineChars="1100"/>
        <w:rPr>
          <w:rFonts w:asciiTheme="majorEastAsia" w:hAnsiTheme="majorEastAsia" w:eastAsiaTheme="majorEastAsia"/>
          <w:color w:val="auto"/>
          <w:sz w:val="24"/>
          <w:szCs w:val="24"/>
          <w:lang w:val="zh-TW"/>
        </w:rPr>
      </w:pPr>
      <w:r>
        <w:rPr>
          <w:rFonts w:hint="eastAsia" w:asciiTheme="majorEastAsia" w:hAnsiTheme="majorEastAsia" w:eastAsiaTheme="majorEastAsia"/>
          <w:color w:val="auto"/>
          <w:sz w:val="24"/>
          <w:szCs w:val="24"/>
          <w:lang w:val="zh-TW"/>
        </w:rPr>
        <w:t>授权委托人</w:t>
      </w:r>
      <w:r>
        <w:rPr>
          <w:rFonts w:hint="eastAsia" w:asciiTheme="majorEastAsia" w:hAnsiTheme="majorEastAsia" w:eastAsiaTheme="majorEastAsia"/>
          <w:color w:val="auto"/>
          <w:sz w:val="24"/>
          <w:szCs w:val="24"/>
        </w:rPr>
        <w:t>：（签字或盖章）</w:t>
      </w:r>
    </w:p>
    <w:p>
      <w:pPr>
        <w:pStyle w:val="10"/>
        <w:tabs>
          <w:tab w:val="left" w:pos="5580"/>
        </w:tabs>
        <w:spacing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                      日期：</w:t>
      </w:r>
    </w:p>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br w:type="page"/>
      </w:r>
    </w:p>
    <w:p>
      <w:pPr>
        <w:snapToGrid w:val="0"/>
        <w:spacing w:after="0" w:line="46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1</w:t>
      </w:r>
      <w:r>
        <w:rPr>
          <w:rFonts w:asciiTheme="majorEastAsia" w:hAnsiTheme="majorEastAsia" w:eastAsiaTheme="majorEastAsia"/>
          <w:b/>
          <w:color w:val="auto"/>
          <w:sz w:val="24"/>
        </w:rPr>
        <w:t>2</w:t>
      </w:r>
      <w:r>
        <w:rPr>
          <w:rFonts w:hint="eastAsia" w:asciiTheme="majorEastAsia" w:hAnsiTheme="majorEastAsia" w:eastAsiaTheme="majorEastAsia"/>
          <w:b/>
          <w:color w:val="auto"/>
          <w:sz w:val="24"/>
        </w:rPr>
        <w:t>、中小企业声明函</w:t>
      </w:r>
    </w:p>
    <w:p>
      <w:pPr>
        <w:spacing w:line="440" w:lineRule="exact"/>
        <w:jc w:val="center"/>
        <w:rPr>
          <w:rFonts w:cs="宋体" w:asciiTheme="majorEastAsia" w:hAnsiTheme="majorEastAsia" w:eastAsiaTheme="majorEastAsia"/>
          <w:b/>
          <w:color w:val="auto"/>
          <w:sz w:val="28"/>
          <w:szCs w:val="28"/>
        </w:rPr>
      </w:pPr>
      <w:r>
        <w:rPr>
          <w:rFonts w:hint="eastAsia" w:cs="宋体" w:asciiTheme="majorEastAsia" w:hAnsiTheme="majorEastAsia" w:eastAsiaTheme="majorEastAsia"/>
          <w:b/>
          <w:bCs/>
          <w:color w:val="auto"/>
          <w:sz w:val="28"/>
          <w:szCs w:val="28"/>
          <w:lang w:val="zh-TW" w:eastAsia="zh-TW"/>
        </w:rPr>
        <w:t>中小企业声明函</w:t>
      </w:r>
    </w:p>
    <w:p>
      <w:pPr>
        <w:spacing w:line="440" w:lineRule="exact"/>
        <w:ind w:firstLine="480" w:firstLineChars="200"/>
        <w:rPr>
          <w:rFonts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本公司郑重声明，根据《政府采购促进中小企业发展暂行办法》（财库〔</w:t>
      </w:r>
      <w:r>
        <w:rPr>
          <w:rFonts w:asciiTheme="majorEastAsia" w:hAnsiTheme="majorEastAsia" w:eastAsiaTheme="majorEastAsia"/>
          <w:color w:val="auto"/>
          <w:sz w:val="24"/>
          <w:szCs w:val="24"/>
        </w:rPr>
        <w:t>2011</w:t>
      </w:r>
      <w:r>
        <w:rPr>
          <w:rFonts w:hint="eastAsia" w:cs="宋体" w:asciiTheme="majorEastAsia" w:hAnsiTheme="majorEastAsia" w:eastAsiaTheme="majorEastAsia"/>
          <w:color w:val="auto"/>
          <w:sz w:val="24"/>
          <w:szCs w:val="24"/>
        </w:rPr>
        <w:t>〕</w:t>
      </w:r>
      <w:r>
        <w:rPr>
          <w:rFonts w:asciiTheme="majorEastAsia" w:hAnsiTheme="majorEastAsia" w:eastAsiaTheme="majorEastAsia"/>
          <w:color w:val="auto"/>
          <w:sz w:val="24"/>
          <w:szCs w:val="24"/>
        </w:rPr>
        <w:t>181</w:t>
      </w:r>
      <w:r>
        <w:rPr>
          <w:rFonts w:hint="eastAsia" w:cs="宋体" w:asciiTheme="majorEastAsia" w:hAnsiTheme="majorEastAsia" w:eastAsiaTheme="majorEastAsia"/>
          <w:color w:val="auto"/>
          <w:sz w:val="24"/>
          <w:szCs w:val="24"/>
        </w:rPr>
        <w:t>号）的规定，本公司为</w:t>
      </w:r>
      <w:r>
        <w:rPr>
          <w:rFonts w:asciiTheme="majorEastAsia" w:hAnsiTheme="majorEastAsia" w:eastAsiaTheme="majorEastAsia"/>
          <w:color w:val="auto"/>
          <w:sz w:val="24"/>
          <w:szCs w:val="24"/>
        </w:rPr>
        <w:t>______</w:t>
      </w:r>
      <w:r>
        <w:rPr>
          <w:rFonts w:hint="eastAsia" w:cs="宋体" w:asciiTheme="majorEastAsia" w:hAnsiTheme="majorEastAsia" w:eastAsiaTheme="majorEastAsia"/>
          <w:color w:val="auto"/>
          <w:sz w:val="24"/>
          <w:szCs w:val="24"/>
        </w:rPr>
        <w:t>（请填写：中型、小型、微型）企业。即，本公司同时满足以下条件：</w:t>
      </w:r>
    </w:p>
    <w:p>
      <w:pPr>
        <w:spacing w:line="440" w:lineRule="exact"/>
        <w:ind w:firstLine="360" w:firstLineChars="15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根据《工业和信息化部、国家统计局、国家发展和改革委员会、财政部关于印发中小企业划型标准规定的通知》（工信部联企业〔</w:t>
      </w:r>
      <w:r>
        <w:rPr>
          <w:rFonts w:asciiTheme="majorEastAsia" w:hAnsiTheme="majorEastAsia" w:eastAsiaTheme="majorEastAsia"/>
          <w:color w:val="auto"/>
          <w:sz w:val="24"/>
          <w:szCs w:val="24"/>
        </w:rPr>
        <w:t>2011</w:t>
      </w:r>
      <w:r>
        <w:rPr>
          <w:rFonts w:hint="eastAsia" w:cs="宋体" w:asciiTheme="majorEastAsia" w:hAnsiTheme="majorEastAsia" w:eastAsiaTheme="majorEastAsia"/>
          <w:color w:val="auto"/>
          <w:sz w:val="24"/>
          <w:szCs w:val="24"/>
        </w:rPr>
        <w:t>〕</w:t>
      </w:r>
      <w:r>
        <w:rPr>
          <w:rFonts w:asciiTheme="majorEastAsia" w:hAnsiTheme="majorEastAsia" w:eastAsiaTheme="majorEastAsia"/>
          <w:color w:val="auto"/>
          <w:sz w:val="24"/>
          <w:szCs w:val="24"/>
        </w:rPr>
        <w:t>300</w:t>
      </w:r>
      <w:r>
        <w:rPr>
          <w:rFonts w:hint="eastAsia" w:cs="宋体" w:asciiTheme="majorEastAsia" w:hAnsiTheme="majorEastAsia" w:eastAsiaTheme="majorEastAsia"/>
          <w:color w:val="auto"/>
          <w:sz w:val="24"/>
          <w:szCs w:val="24"/>
        </w:rPr>
        <w:t>号）规定的划分标准，本公司为</w:t>
      </w:r>
      <w:r>
        <w:rPr>
          <w:rFonts w:asciiTheme="majorEastAsia" w:hAnsiTheme="majorEastAsia" w:eastAsiaTheme="majorEastAsia"/>
          <w:color w:val="auto"/>
          <w:sz w:val="24"/>
          <w:szCs w:val="24"/>
        </w:rPr>
        <w:t>______</w:t>
      </w:r>
      <w:r>
        <w:rPr>
          <w:rFonts w:hint="eastAsia" w:cs="宋体" w:asciiTheme="majorEastAsia" w:hAnsiTheme="majorEastAsia" w:eastAsiaTheme="majorEastAsia"/>
          <w:color w:val="auto"/>
          <w:sz w:val="24"/>
          <w:szCs w:val="24"/>
        </w:rPr>
        <w:t>（请填写：中型、小型、微型）企业。</w:t>
      </w:r>
    </w:p>
    <w:p>
      <w:pPr>
        <w:spacing w:line="440" w:lineRule="exact"/>
        <w:ind w:firstLine="360" w:firstLineChars="15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w:t>
      </w:r>
      <w:r>
        <w:rPr>
          <w:rFonts w:hint="eastAsia" w:cs="宋体" w:asciiTheme="majorEastAsia" w:hAnsiTheme="majorEastAsia" w:eastAsiaTheme="majorEastAsia"/>
          <w:color w:val="auto"/>
          <w:sz w:val="24"/>
          <w:szCs w:val="24"/>
        </w:rPr>
        <w:t>本公司参加</w:t>
      </w:r>
      <w:r>
        <w:rPr>
          <w:rFonts w:asciiTheme="majorEastAsia" w:hAnsiTheme="majorEastAsia" w:eastAsiaTheme="majorEastAsia"/>
          <w:color w:val="auto"/>
          <w:sz w:val="24"/>
          <w:szCs w:val="24"/>
        </w:rPr>
        <w:t>______</w:t>
      </w:r>
      <w:r>
        <w:rPr>
          <w:rFonts w:hint="eastAsia" w:cs="宋体" w:asciiTheme="majorEastAsia" w:hAnsiTheme="majorEastAsia" w:eastAsiaTheme="majorEastAsia"/>
          <w:color w:val="auto"/>
          <w:sz w:val="24"/>
          <w:szCs w:val="24"/>
        </w:rPr>
        <w:t>单位的</w:t>
      </w:r>
      <w:r>
        <w:rPr>
          <w:rFonts w:asciiTheme="majorEastAsia" w:hAnsiTheme="majorEastAsia" w:eastAsiaTheme="majorEastAsia"/>
          <w:color w:val="auto"/>
          <w:sz w:val="24"/>
          <w:szCs w:val="24"/>
        </w:rPr>
        <w:t>______</w:t>
      </w:r>
      <w:r>
        <w:rPr>
          <w:rFonts w:hint="eastAsia" w:cs="宋体" w:asciiTheme="majorEastAsia" w:hAnsiTheme="majorEastAsia" w:eastAsiaTheme="majorEastAsia"/>
          <w:color w:val="auto"/>
          <w:sz w:val="24"/>
          <w:szCs w:val="24"/>
        </w:rPr>
        <w:t>项目采购活动提供本企业制造的货物，由本企业承担工程、提供服务，或者提供其他</w:t>
      </w:r>
      <w:r>
        <w:rPr>
          <w:rFonts w:asciiTheme="majorEastAsia" w:hAnsiTheme="majorEastAsia" w:eastAsiaTheme="majorEastAsia"/>
          <w:color w:val="auto"/>
          <w:sz w:val="24"/>
          <w:szCs w:val="24"/>
        </w:rPr>
        <w:t>______</w:t>
      </w:r>
      <w:r>
        <w:rPr>
          <w:rFonts w:hint="eastAsia" w:cs="宋体" w:asciiTheme="majorEastAsia" w:hAnsiTheme="majorEastAsia" w:eastAsiaTheme="majorEastAsia"/>
          <w:color w:val="auto"/>
          <w:sz w:val="24"/>
          <w:szCs w:val="24"/>
        </w:rPr>
        <w:t>（请填写：中型、小型、微型）企业制造的货物。本条所称货物不包括使用大型企业注册商标的货物。</w:t>
      </w:r>
    </w:p>
    <w:p>
      <w:pPr>
        <w:spacing w:line="440" w:lineRule="exact"/>
        <w:ind w:firstLine="360" w:firstLineChars="150"/>
        <w:rPr>
          <w:rFonts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本公司对上述声明的真实性负责。如有虚假，将依法承担相应责任。</w:t>
      </w:r>
    </w:p>
    <w:p>
      <w:pPr>
        <w:spacing w:line="440" w:lineRule="exact"/>
        <w:ind w:firstLine="480" w:firstLineChars="200"/>
        <w:rPr>
          <w:rFonts w:cs="宋体" w:asciiTheme="majorEastAsia" w:hAnsiTheme="majorEastAsia" w:eastAsiaTheme="majorEastAsia"/>
          <w:color w:val="auto"/>
          <w:sz w:val="24"/>
          <w:szCs w:val="24"/>
        </w:rPr>
      </w:pPr>
    </w:p>
    <w:p>
      <w:pPr>
        <w:spacing w:line="440" w:lineRule="exact"/>
        <w:ind w:firstLine="480" w:firstLineChars="200"/>
        <w:rPr>
          <w:rFonts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企业名称：（盖章）</w:t>
      </w:r>
    </w:p>
    <w:p>
      <w:pPr>
        <w:spacing w:line="440" w:lineRule="exact"/>
        <w:ind w:firstLine="480" w:firstLineChars="200"/>
        <w:rPr>
          <w:rFonts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日 期：</w:t>
      </w:r>
    </w:p>
    <w:p>
      <w:pPr>
        <w:pStyle w:val="10"/>
        <w:tabs>
          <w:tab w:val="left" w:pos="5580"/>
        </w:tabs>
        <w:spacing w:line="460" w:lineRule="exact"/>
        <w:ind w:firstLine="480"/>
        <w:rPr>
          <w:rFonts w:asciiTheme="majorEastAsia" w:hAnsiTheme="majorEastAsia" w:eastAsiaTheme="majorEastAsia"/>
          <w:color w:val="auto"/>
          <w:sz w:val="24"/>
          <w:szCs w:val="24"/>
        </w:rPr>
      </w:pPr>
    </w:p>
    <w:p>
      <w:pPr>
        <w:spacing w:after="0" w:line="440" w:lineRule="exact"/>
        <w:jc w:val="both"/>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w:t>
      </w:r>
      <w:r>
        <w:rPr>
          <w:rFonts w:asciiTheme="majorEastAsia" w:hAnsiTheme="majorEastAsia" w:eastAsiaTheme="majorEastAsia"/>
          <w:b/>
          <w:color w:val="auto"/>
          <w:sz w:val="24"/>
          <w:szCs w:val="24"/>
        </w:rPr>
        <w:t>3</w:t>
      </w:r>
      <w:r>
        <w:rPr>
          <w:rFonts w:hint="eastAsia" w:asciiTheme="majorEastAsia" w:hAnsiTheme="majorEastAsia" w:eastAsiaTheme="majorEastAsia"/>
          <w:b/>
          <w:color w:val="auto"/>
          <w:sz w:val="24"/>
          <w:szCs w:val="24"/>
        </w:rPr>
        <w:t>、供应商认为需要提供的用于参与评审的其他材料</w:t>
      </w:r>
    </w:p>
    <w:p>
      <w:pPr>
        <w:spacing w:after="0"/>
        <w:rPr>
          <w:rFonts w:asciiTheme="majorEastAsia" w:hAnsiTheme="majorEastAsia" w:eastAsiaTheme="majorEastAsia"/>
          <w:b/>
          <w:color w:val="auto"/>
          <w:sz w:val="24"/>
          <w:szCs w:val="24"/>
        </w:rPr>
      </w:pPr>
    </w:p>
    <w:p>
      <w:pPr>
        <w:snapToGrid w:val="0"/>
        <w:spacing w:after="0" w:line="460" w:lineRule="exact"/>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二、服务技术部分</w:t>
      </w:r>
    </w:p>
    <w:p>
      <w:pPr>
        <w:snapToGrid w:val="0"/>
        <w:spacing w:after="0"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供应商编制实施方案，其文件格式自定。</w:t>
      </w:r>
    </w:p>
    <w:p>
      <w:pPr>
        <w:rPr>
          <w:rFonts w:asciiTheme="majorEastAsia" w:hAnsiTheme="majorEastAsia" w:eastAsiaTheme="majorEastAsia"/>
          <w:color w:val="auto"/>
          <w:sz w:val="24"/>
        </w:rPr>
      </w:pPr>
      <w:r>
        <w:rPr>
          <w:rFonts w:hint="eastAsia" w:asciiTheme="majorEastAsia" w:hAnsiTheme="majorEastAsia" w:eastAsiaTheme="majorEastAsia"/>
          <w:color w:val="auto"/>
          <w:sz w:val="24"/>
        </w:rPr>
        <w:br w:type="page"/>
      </w:r>
    </w:p>
    <w:p>
      <w:pPr>
        <w:tabs>
          <w:tab w:val="left" w:pos="4680"/>
        </w:tabs>
        <w:autoSpaceDE w:val="0"/>
        <w:autoSpaceDN w:val="0"/>
        <w:adjustRightInd w:val="0"/>
        <w:spacing w:line="360" w:lineRule="auto"/>
        <w:jc w:val="center"/>
        <w:rPr>
          <w:rFonts w:cs="Tahoma" w:asciiTheme="majorEastAsia" w:hAnsiTheme="majorEastAsia" w:eastAsiaTheme="majorEastAsia"/>
          <w:b/>
          <w:bCs/>
          <w:color w:val="auto"/>
          <w:sz w:val="28"/>
          <w:szCs w:val="28"/>
        </w:rPr>
      </w:pPr>
      <w:r>
        <w:rPr>
          <w:rFonts w:hint="eastAsia" w:cs="宋体" w:asciiTheme="majorEastAsia" w:hAnsiTheme="majorEastAsia" w:eastAsiaTheme="majorEastAsia"/>
          <w:b/>
          <w:bCs/>
          <w:color w:val="auto"/>
          <w:sz w:val="28"/>
          <w:szCs w:val="28"/>
          <w:lang w:val="zh-CN"/>
        </w:rPr>
        <w:t>保证金退还申请书</w:t>
      </w:r>
    </w:p>
    <w:p>
      <w:pPr>
        <w:autoSpaceDE w:val="0"/>
        <w:autoSpaceDN w:val="0"/>
        <w:adjustRightInd w:val="0"/>
        <w:spacing w:line="360" w:lineRule="auto"/>
        <w:rPr>
          <w:rFonts w:cs="Tahoma" w:asciiTheme="majorEastAsia" w:hAnsiTheme="majorEastAsia" w:eastAsiaTheme="majorEastAsia"/>
          <w:b/>
          <w:bCs/>
          <w:color w:val="auto"/>
          <w:sz w:val="24"/>
        </w:rPr>
      </w:pPr>
      <w:r>
        <w:rPr>
          <w:rFonts w:hint="eastAsia" w:cs="宋体" w:asciiTheme="majorEastAsia" w:hAnsiTheme="majorEastAsia" w:eastAsiaTheme="majorEastAsia"/>
          <w:b/>
          <w:bCs/>
          <w:color w:val="auto"/>
          <w:sz w:val="24"/>
          <w:lang w:val="zh-CN"/>
        </w:rPr>
        <w:t>致</w:t>
      </w:r>
      <w:r>
        <w:rPr>
          <w:rFonts w:hint="eastAsia" w:cs="宋体" w:asciiTheme="majorEastAsia" w:hAnsiTheme="majorEastAsia" w:eastAsiaTheme="majorEastAsia"/>
          <w:color w:val="auto"/>
          <w:sz w:val="24"/>
          <w:lang w:val="zh-CN"/>
        </w:rPr>
        <w:t>：</w:t>
      </w:r>
      <w:r>
        <w:rPr>
          <w:rFonts w:hint="eastAsia" w:cs="宋体" w:asciiTheme="majorEastAsia" w:hAnsiTheme="majorEastAsia" w:eastAsiaTheme="majorEastAsia"/>
          <w:b/>
          <w:bCs/>
          <w:color w:val="auto"/>
          <w:sz w:val="24"/>
          <w:lang w:val="zh-CN"/>
        </w:rPr>
        <w:t>海南鸿大中经建设项目咨询管理有限公司</w:t>
      </w:r>
    </w:p>
    <w:p>
      <w:pPr>
        <w:autoSpaceDE w:val="0"/>
        <w:autoSpaceDN w:val="0"/>
        <w:adjustRightInd w:val="0"/>
        <w:spacing w:line="360" w:lineRule="auto"/>
        <w:ind w:firstLine="420"/>
        <w:rPr>
          <w:rFonts w:cs="Tahoma" w:asciiTheme="majorEastAsia" w:hAnsiTheme="majorEastAsia" w:eastAsiaTheme="majorEastAsia"/>
          <w:color w:val="auto"/>
          <w:sz w:val="24"/>
        </w:rPr>
      </w:pPr>
      <w:r>
        <w:rPr>
          <w:rFonts w:hint="eastAsia" w:cs="宋体" w:asciiTheme="majorEastAsia" w:hAnsiTheme="majorEastAsia" w:eastAsiaTheme="majorEastAsia"/>
          <w:color w:val="auto"/>
          <w:sz w:val="24"/>
          <w:lang w:val="zh-CN"/>
        </w:rPr>
        <w:t>我司于</w:t>
      </w:r>
      <w:r>
        <w:rPr>
          <w:rFonts w:hint="eastAsia" w:cs="宋体" w:asciiTheme="majorEastAsia" w:hAnsiTheme="majorEastAsia" w:eastAsiaTheme="majorEastAsia"/>
          <w:color w:val="auto"/>
          <w:sz w:val="24"/>
        </w:rPr>
        <w:t xml:space="preserve">    </w:t>
      </w:r>
      <w:r>
        <w:rPr>
          <w:rFonts w:hint="eastAsia" w:cs="宋体" w:asciiTheme="majorEastAsia" w:hAnsiTheme="majorEastAsia" w:eastAsiaTheme="majorEastAsia"/>
          <w:color w:val="auto"/>
          <w:sz w:val="24"/>
          <w:lang w:val="zh-CN"/>
        </w:rPr>
        <w:t>年</w:t>
      </w:r>
      <w:r>
        <w:rPr>
          <w:rFonts w:hint="eastAsia" w:cs="宋体" w:asciiTheme="majorEastAsia" w:hAnsiTheme="majorEastAsia" w:eastAsiaTheme="majorEastAsia"/>
          <w:color w:val="auto"/>
          <w:sz w:val="24"/>
        </w:rPr>
        <w:t xml:space="preserve">  </w:t>
      </w:r>
      <w:r>
        <w:rPr>
          <w:rFonts w:hint="eastAsia" w:cs="宋体" w:asciiTheme="majorEastAsia" w:hAnsiTheme="majorEastAsia" w:eastAsiaTheme="majorEastAsia"/>
          <w:color w:val="auto"/>
          <w:sz w:val="24"/>
          <w:lang w:val="zh-CN"/>
        </w:rPr>
        <w:t>月</w:t>
      </w:r>
      <w:r>
        <w:rPr>
          <w:rFonts w:hint="eastAsia" w:cs="宋体" w:asciiTheme="majorEastAsia" w:hAnsiTheme="majorEastAsia" w:eastAsiaTheme="majorEastAsia"/>
          <w:color w:val="auto"/>
          <w:sz w:val="24"/>
        </w:rPr>
        <w:t xml:space="preserve">  </w:t>
      </w:r>
      <w:r>
        <w:rPr>
          <w:rFonts w:hint="eastAsia" w:cs="宋体" w:asciiTheme="majorEastAsia" w:hAnsiTheme="majorEastAsia" w:eastAsiaTheme="majorEastAsia"/>
          <w:color w:val="auto"/>
          <w:sz w:val="24"/>
          <w:lang w:val="zh-CN"/>
        </w:rPr>
        <w:t>日为</w:t>
      </w:r>
      <w:r>
        <w:rPr>
          <w:rFonts w:hint="eastAsia" w:cs="宋体" w:asciiTheme="majorEastAsia" w:hAnsiTheme="majorEastAsia" w:eastAsiaTheme="majorEastAsia"/>
          <w:b/>
          <w:bCs/>
          <w:color w:val="auto"/>
          <w:sz w:val="24"/>
          <w:u w:val="single"/>
          <w:lang w:val="zh-CN"/>
        </w:rPr>
        <w:t xml:space="preserve">  </w:t>
      </w:r>
      <w:r>
        <w:rPr>
          <w:rFonts w:hint="eastAsia" w:cs="宋体" w:asciiTheme="majorEastAsia" w:hAnsiTheme="majorEastAsia" w:eastAsiaTheme="majorEastAsia"/>
          <w:b/>
          <w:bCs/>
          <w:color w:val="auto"/>
          <w:sz w:val="24"/>
          <w:u w:val="single"/>
        </w:rPr>
        <w:t xml:space="preserve">                                 </w:t>
      </w:r>
      <w:r>
        <w:rPr>
          <w:rFonts w:hint="eastAsia" w:cs="宋体" w:asciiTheme="majorEastAsia" w:hAnsiTheme="majorEastAsia" w:eastAsiaTheme="majorEastAsia"/>
          <w:b/>
          <w:bCs/>
          <w:color w:val="auto"/>
          <w:sz w:val="24"/>
          <w:u w:val="single"/>
          <w:lang w:val="zh-CN"/>
        </w:rPr>
        <w:t>（项目编号：</w:t>
      </w:r>
      <w:r>
        <w:rPr>
          <w:rFonts w:hint="eastAsia" w:cs="宋体" w:asciiTheme="majorEastAsia" w:hAnsiTheme="majorEastAsia" w:eastAsiaTheme="majorEastAsia"/>
          <w:b/>
          <w:bCs/>
          <w:color w:val="auto"/>
          <w:sz w:val="24"/>
          <w:u w:val="single"/>
        </w:rPr>
        <w:t xml:space="preserve">             </w:t>
      </w:r>
      <w:r>
        <w:rPr>
          <w:rFonts w:hint="eastAsia" w:cs="宋体" w:asciiTheme="majorEastAsia" w:hAnsiTheme="majorEastAsia" w:eastAsiaTheme="majorEastAsia"/>
          <w:b/>
          <w:bCs/>
          <w:color w:val="auto"/>
          <w:sz w:val="24"/>
          <w:u w:val="single"/>
          <w:lang w:val="zh-CN"/>
        </w:rPr>
        <w:t>）</w:t>
      </w:r>
      <w:r>
        <w:rPr>
          <w:rFonts w:hint="eastAsia" w:cs="宋体" w:asciiTheme="majorEastAsia" w:hAnsiTheme="majorEastAsia" w:eastAsiaTheme="majorEastAsia"/>
          <w:color w:val="auto"/>
          <w:sz w:val="24"/>
          <w:lang w:val="zh-CN"/>
        </w:rPr>
        <w:t>投标所提交的保证金人民币</w:t>
      </w:r>
      <w:r>
        <w:rPr>
          <w:rFonts w:hint="eastAsia" w:cs="宋体" w:asciiTheme="majorEastAsia" w:hAnsiTheme="majorEastAsia" w:eastAsiaTheme="majorEastAsia"/>
          <w:b/>
          <w:bCs/>
          <w:color w:val="auto"/>
          <w:sz w:val="24"/>
          <w:u w:val="single"/>
          <w:lang w:val="zh-CN"/>
        </w:rPr>
        <w:t>￥：</w:t>
      </w:r>
      <w:r>
        <w:rPr>
          <w:rFonts w:hint="eastAsia" w:cs="宋体" w:asciiTheme="majorEastAsia" w:hAnsiTheme="majorEastAsia" w:eastAsiaTheme="majorEastAsia"/>
          <w:b/>
          <w:bCs/>
          <w:color w:val="auto"/>
          <w:sz w:val="24"/>
          <w:u w:val="single"/>
        </w:rPr>
        <w:t xml:space="preserve">         </w:t>
      </w:r>
      <w:r>
        <w:rPr>
          <w:rFonts w:hint="eastAsia" w:cs="宋体" w:asciiTheme="majorEastAsia" w:hAnsiTheme="majorEastAsia" w:eastAsiaTheme="majorEastAsia"/>
          <w:b/>
          <w:bCs/>
          <w:color w:val="auto"/>
          <w:sz w:val="24"/>
          <w:u w:val="single"/>
          <w:lang w:val="zh-CN"/>
        </w:rPr>
        <w:t>元</w:t>
      </w:r>
      <w:r>
        <w:rPr>
          <w:rFonts w:hint="eastAsia" w:cs="宋体" w:asciiTheme="majorEastAsia" w:hAnsiTheme="majorEastAsia" w:eastAsiaTheme="majorEastAsia"/>
          <w:color w:val="auto"/>
          <w:sz w:val="24"/>
          <w:lang w:val="zh-CN"/>
        </w:rPr>
        <w:t>，请贵公司退还时划到以下账户：</w:t>
      </w:r>
    </w:p>
    <w:tbl>
      <w:tblPr>
        <w:tblStyle w:val="18"/>
        <w:tblW w:w="8522" w:type="dxa"/>
        <w:jc w:val="center"/>
        <w:tblLayout w:type="fixed"/>
        <w:tblCellMar>
          <w:top w:w="0" w:type="dxa"/>
          <w:left w:w="108" w:type="dxa"/>
          <w:bottom w:w="0" w:type="dxa"/>
          <w:right w:w="108" w:type="dxa"/>
        </w:tblCellMar>
      </w:tblPr>
      <w:tblGrid>
        <w:gridCol w:w="1951"/>
        <w:gridCol w:w="2268"/>
        <w:gridCol w:w="1843"/>
        <w:gridCol w:w="2460"/>
      </w:tblGrid>
      <w:tr>
        <w:tblPrEx>
          <w:tblCellMar>
            <w:top w:w="0" w:type="dxa"/>
            <w:left w:w="108" w:type="dxa"/>
            <w:bottom w:w="0" w:type="dxa"/>
            <w:right w:w="108" w:type="dxa"/>
          </w:tblCellMar>
        </w:tblPrEx>
        <w:trPr>
          <w:trHeight w:val="56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r>
              <w:rPr>
                <w:rFonts w:hint="eastAsia" w:cs="宋体" w:asciiTheme="majorEastAsia" w:hAnsiTheme="majorEastAsia" w:eastAsiaTheme="majorEastAsia"/>
                <w:color w:val="auto"/>
                <w:szCs w:val="21"/>
                <w:lang w:val="zh-CN"/>
              </w:rPr>
              <w:t>开户名称</w:t>
            </w:r>
          </w:p>
        </w:tc>
        <w:tc>
          <w:tcPr>
            <w:tcW w:w="657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p>
        </w:tc>
      </w:tr>
      <w:tr>
        <w:tblPrEx>
          <w:tblCellMar>
            <w:top w:w="0" w:type="dxa"/>
            <w:left w:w="108" w:type="dxa"/>
            <w:bottom w:w="0" w:type="dxa"/>
            <w:right w:w="108" w:type="dxa"/>
          </w:tblCellMar>
        </w:tblPrEx>
        <w:trPr>
          <w:trHeight w:val="61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r>
              <w:rPr>
                <w:rFonts w:hint="eastAsia" w:cs="宋体" w:asciiTheme="majorEastAsia" w:hAnsiTheme="majorEastAsia" w:eastAsiaTheme="majorEastAsia"/>
                <w:color w:val="auto"/>
                <w:szCs w:val="21"/>
                <w:lang w:val="zh-CN"/>
              </w:rPr>
              <w:t>开户银行全称</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r>
              <w:rPr>
                <w:rFonts w:hint="eastAsia" w:cs="宋体" w:asciiTheme="majorEastAsia" w:hAnsiTheme="majorEastAsia" w:eastAsiaTheme="majorEastAsia"/>
                <w:color w:val="auto"/>
                <w:szCs w:val="21"/>
                <w:lang w:val="zh-CN"/>
              </w:rPr>
              <w:t>联系人</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p>
        </w:tc>
      </w:tr>
      <w:tr>
        <w:tblPrEx>
          <w:tblCellMar>
            <w:top w:w="0" w:type="dxa"/>
            <w:left w:w="108" w:type="dxa"/>
            <w:bottom w:w="0" w:type="dxa"/>
            <w:right w:w="108" w:type="dxa"/>
          </w:tblCellMar>
        </w:tblPrEx>
        <w:trPr>
          <w:trHeight w:val="622"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r>
              <w:rPr>
                <w:rFonts w:hint="eastAsia" w:cs="宋体" w:asciiTheme="majorEastAsia" w:hAnsiTheme="majorEastAsia" w:eastAsiaTheme="majorEastAsia"/>
                <w:color w:val="auto"/>
                <w:szCs w:val="21"/>
                <w:lang w:val="zh-CN"/>
              </w:rPr>
              <w:t>银行账户</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r>
              <w:rPr>
                <w:rFonts w:hint="eastAsia" w:cs="宋体" w:asciiTheme="majorEastAsia" w:hAnsiTheme="majorEastAsia" w:eastAsiaTheme="majorEastAsia"/>
                <w:color w:val="auto"/>
                <w:szCs w:val="21"/>
                <w:lang w:val="zh-CN"/>
              </w:rPr>
              <w:t>联系电话</w:t>
            </w:r>
          </w:p>
        </w:tc>
        <w:tc>
          <w:tcPr>
            <w:tcW w:w="24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cs="宋体" w:asciiTheme="majorEastAsia" w:hAnsiTheme="majorEastAsia" w:eastAsiaTheme="majorEastAsia"/>
                <w:color w:val="auto"/>
                <w:lang w:val="zh-CN"/>
              </w:rPr>
            </w:pPr>
          </w:p>
        </w:tc>
      </w:tr>
    </w:tbl>
    <w:p>
      <w:pPr>
        <w:autoSpaceDE w:val="0"/>
        <w:autoSpaceDN w:val="0"/>
        <w:adjustRightInd w:val="0"/>
        <w:rPr>
          <w:rFonts w:cs="宋体" w:asciiTheme="majorEastAsia" w:hAnsiTheme="majorEastAsia" w:eastAsiaTheme="majorEastAsia"/>
          <w:color w:val="auto"/>
          <w:sz w:val="28"/>
          <w:szCs w:val="28"/>
          <w:lang w:val="zh-CN"/>
        </w:rPr>
      </w:pPr>
    </w:p>
    <w:p>
      <w:pPr>
        <w:snapToGrid w:val="0"/>
        <w:spacing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供应商名称：（公章）</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法定代表人或被授权人: （签字或盖章）    </w:t>
      </w:r>
    </w:p>
    <w:p>
      <w:pPr>
        <w:spacing w:afterLines="50" w:line="520" w:lineRule="exact"/>
        <w:ind w:firstLine="2760" w:firstLineChars="1150"/>
        <w:rPr>
          <w:rFonts w:asciiTheme="majorEastAsia" w:hAnsiTheme="majorEastAsia" w:eastAsiaTheme="majorEastAsia"/>
          <w:color w:val="auto"/>
          <w:sz w:val="24"/>
        </w:rPr>
      </w:pPr>
      <w:r>
        <w:rPr>
          <w:rFonts w:hint="eastAsia" w:asciiTheme="majorEastAsia" w:hAnsiTheme="majorEastAsia" w:eastAsiaTheme="majorEastAsia"/>
          <w:color w:val="auto"/>
          <w:sz w:val="24"/>
        </w:rPr>
        <w:t>日 期:</w:t>
      </w:r>
    </w:p>
    <w:p>
      <w:pPr>
        <w:autoSpaceDE w:val="0"/>
        <w:autoSpaceDN w:val="0"/>
        <w:adjustRightInd w:val="0"/>
        <w:jc w:val="center"/>
        <w:rPr>
          <w:rFonts w:cs="宋体" w:asciiTheme="majorEastAsia" w:hAnsiTheme="majorEastAsia" w:eastAsiaTheme="majorEastAsia"/>
          <w:b/>
          <w:bCs/>
          <w:color w:val="auto"/>
          <w:sz w:val="32"/>
          <w:szCs w:val="32"/>
          <w:lang w:val="zh-CN"/>
        </w:rPr>
      </w:pPr>
    </w:p>
    <w:p>
      <w:pPr>
        <w:pStyle w:val="29"/>
        <w:ind w:firstLine="480"/>
        <w:rPr>
          <w:rFonts w:asciiTheme="majorEastAsia" w:hAnsiTheme="majorEastAsia" w:eastAsiaTheme="majorEastAsia"/>
          <w:color w:val="auto"/>
        </w:rPr>
      </w:pPr>
      <w:bookmarkStart w:id="47" w:name="_Toc16422128"/>
      <w:bookmarkStart w:id="48" w:name="_Toc532163372"/>
      <w:r>
        <w:rPr>
          <w:rFonts w:hint="eastAsia" w:asciiTheme="majorEastAsia" w:hAnsiTheme="majorEastAsia" w:eastAsiaTheme="majorEastAsia"/>
          <w:color w:val="auto"/>
        </w:rPr>
        <w:t>注：此申请书仅用于退还项目保证金，无须作为响应文件的组成部分装订在响应文件中，请将此保证金退还申请书于开标现场单独递交。</w:t>
      </w:r>
      <w:bookmarkEnd w:id="47"/>
      <w:bookmarkEnd w:id="48"/>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sectPr>
          <w:pgSz w:w="11900" w:h="16840"/>
          <w:pgMar w:top="1440" w:right="1361" w:bottom="1440" w:left="1361" w:header="709" w:footer="709" w:gutter="0"/>
          <w:pgNumType w:chapStyle="3"/>
          <w:cols w:space="720" w:num="1"/>
          <w:titlePg/>
          <w:docGrid w:linePitch="312" w:charSpace="0"/>
        </w:sectPr>
      </w:pPr>
    </w:p>
    <w:p>
      <w:pPr>
        <w:jc w:val="center"/>
        <w:outlineLvl w:val="0"/>
        <w:rPr>
          <w:rFonts w:asciiTheme="majorEastAsia" w:hAnsiTheme="majorEastAsia" w:eastAsiaTheme="majorEastAsia"/>
          <w:color w:val="auto"/>
          <w:sz w:val="24"/>
          <w:szCs w:val="24"/>
        </w:rPr>
      </w:pPr>
      <w:bookmarkStart w:id="49" w:name="_Toc71553220"/>
      <w:r>
        <w:rPr>
          <w:rFonts w:hint="eastAsia" w:cs="宋体" w:asciiTheme="majorEastAsia" w:hAnsiTheme="majorEastAsia" w:eastAsiaTheme="majorEastAsia"/>
          <w:b/>
          <w:color w:val="auto"/>
          <w:sz w:val="36"/>
          <w:szCs w:val="36"/>
        </w:rPr>
        <w:t>第六章  用户需求书</w:t>
      </w:r>
      <w:bookmarkEnd w:id="49"/>
    </w:p>
    <w:p>
      <w:pPr>
        <w:pStyle w:val="36"/>
        <w:snapToGrid w:val="0"/>
        <w:spacing w:line="360" w:lineRule="auto"/>
        <w:ind w:left="0" w:firstLine="0"/>
        <w:jc w:val="both"/>
        <w:rPr>
          <w:rFonts w:cs="Times New Roman" w:asciiTheme="majorEastAsia" w:hAnsiTheme="majorEastAsia" w:eastAsiaTheme="majorEastAsia"/>
          <w:sz w:val="30"/>
          <w:szCs w:val="30"/>
        </w:rPr>
      </w:pPr>
      <w:r>
        <w:rPr>
          <w:rFonts w:hint="eastAsia" w:cs="Times New Roman" w:asciiTheme="majorEastAsia" w:hAnsiTheme="majorEastAsia" w:eastAsiaTheme="majorEastAsia"/>
          <w:sz w:val="30"/>
          <w:szCs w:val="30"/>
        </w:rPr>
        <w:t>一、项目概况及总体要求</w:t>
      </w:r>
    </w:p>
    <w:p>
      <w:pPr>
        <w:pStyle w:val="36"/>
        <w:snapToGrid w:val="0"/>
        <w:spacing w:line="360" w:lineRule="auto"/>
        <w:ind w:left="0" w:firstLine="0"/>
        <w:jc w:val="both"/>
        <w:rPr>
          <w:rFonts w:asciiTheme="majorEastAsia" w:hAnsiTheme="majorEastAsia" w:eastAsiaTheme="majorEastAsia"/>
          <w:sz w:val="30"/>
          <w:szCs w:val="30"/>
        </w:rPr>
      </w:pPr>
      <w:bookmarkStart w:id="50" w:name="_Toc71553221"/>
      <w:r>
        <w:rPr>
          <w:rFonts w:hint="eastAsia" w:asciiTheme="majorEastAsia" w:hAnsiTheme="majorEastAsia" w:eastAsiaTheme="majorEastAsia"/>
          <w:sz w:val="30"/>
          <w:szCs w:val="30"/>
        </w:rPr>
        <w:t>1、项目名称</w:t>
      </w:r>
      <w:bookmarkEnd w:id="50"/>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海南省环境科学研究院科研实验室建设—实验室装修改造项目（二次招标）</w:t>
      </w:r>
      <w:bookmarkStart w:id="84" w:name="_GoBack"/>
      <w:bookmarkEnd w:id="84"/>
    </w:p>
    <w:p>
      <w:pPr>
        <w:pStyle w:val="36"/>
        <w:snapToGrid w:val="0"/>
        <w:spacing w:line="360" w:lineRule="auto"/>
        <w:ind w:left="0" w:firstLine="0"/>
        <w:jc w:val="both"/>
        <w:rPr>
          <w:rFonts w:asciiTheme="majorEastAsia" w:hAnsiTheme="majorEastAsia" w:eastAsiaTheme="majorEastAsia"/>
          <w:sz w:val="30"/>
          <w:szCs w:val="30"/>
        </w:rPr>
      </w:pPr>
      <w:bookmarkStart w:id="51" w:name="_Toc71553222"/>
      <w:r>
        <w:rPr>
          <w:rFonts w:hint="eastAsia" w:asciiTheme="majorEastAsia" w:hAnsiTheme="majorEastAsia" w:eastAsiaTheme="majorEastAsia"/>
          <w:sz w:val="30"/>
          <w:szCs w:val="30"/>
        </w:rPr>
        <w:t>2、项目背景</w:t>
      </w:r>
      <w:bookmarkEnd w:id="51"/>
    </w:p>
    <w:p>
      <w:pPr>
        <w:adjustRightInd w:val="0"/>
        <w:snapToGrid w:val="0"/>
        <w:spacing w:after="0"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海南省环境科学研究院于2019年9月由海南省环境科学研究院（海南省环境监测中心站）剥离生态环境监测职能后重新组建设立，加挂国家生态文明试验区（海南）研究中心牌子。根据我院机构职能定位和发展规划，建设具有国际先进水平的实验室，开展应对气候变化、新型污染物风险、环境健康、生态环境损害评估等科学研究，是肩负国家生态文明试验区（海南）研究中心的重要使命，是把我院建设成全省重要的生态文明研究平台、国内一流的生态环境科技创新中心，打造具有国际视野国内一流生态环境科技铁军的坚实保障，是助力建设生态环境世界一流海南自贸港的重要抓手。</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海南省作为低纬度热带地区，气候变化下的海平面上升、PM</w:t>
      </w:r>
      <w:r>
        <w:rPr>
          <w:rFonts w:hint="eastAsia" w:asciiTheme="majorEastAsia" w:hAnsiTheme="majorEastAsia" w:eastAsiaTheme="majorEastAsia"/>
          <w:color w:val="auto"/>
          <w:sz w:val="24"/>
          <w:szCs w:val="24"/>
          <w:vertAlign w:val="subscript"/>
        </w:rPr>
        <w:t>2.5</w:t>
      </w:r>
      <w:r>
        <w:rPr>
          <w:rFonts w:hint="eastAsia" w:asciiTheme="majorEastAsia" w:hAnsiTheme="majorEastAsia" w:eastAsiaTheme="majorEastAsia"/>
          <w:color w:val="auto"/>
          <w:sz w:val="24"/>
          <w:szCs w:val="24"/>
        </w:rPr>
        <w:t>及臭氧复合污染、生物多样性破坏等生态环境问题将对自贸港发展产生深远影响。开展以气候变化与生态保护协同研究和热带岛屿生态环境与健康、生态遥感与空间规划、低纬度地区大气复合污染成因及控制等优势学科的研究，同时开展流域水生态环境安全、热带海洋碳汇与海洋生物多样性、微塑料和抗生素环境健康等新兴学科和具有地方特色的学科研究，有助于推动海南建设国家生态文明试验区，促进海南生态环境保护和生态文明建设。但由于我院剥离生态环境监测职能后，未保留实验分析场所及设备，科研能力比较薄弱，已对我院科研项目的申报和工作开展带来影响，因此“海南省环境科学研究院科研实验室建设”势在必行。</w:t>
      </w:r>
    </w:p>
    <w:p>
      <w:pPr>
        <w:pStyle w:val="36"/>
        <w:snapToGrid w:val="0"/>
        <w:spacing w:line="360" w:lineRule="auto"/>
        <w:ind w:left="0" w:firstLine="0"/>
        <w:jc w:val="both"/>
        <w:rPr>
          <w:rFonts w:asciiTheme="majorEastAsia" w:hAnsiTheme="majorEastAsia" w:eastAsiaTheme="majorEastAsia"/>
          <w:sz w:val="30"/>
          <w:szCs w:val="30"/>
        </w:rPr>
      </w:pPr>
      <w:bookmarkStart w:id="52" w:name="_Toc71553223"/>
      <w:r>
        <w:rPr>
          <w:rFonts w:hint="eastAsia" w:asciiTheme="majorEastAsia" w:hAnsiTheme="majorEastAsia" w:eastAsiaTheme="majorEastAsia"/>
          <w:sz w:val="30"/>
          <w:szCs w:val="30"/>
        </w:rPr>
        <w:t>3、项目目标</w:t>
      </w:r>
      <w:bookmarkEnd w:id="52"/>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为开展气候变化与生态保护协同研究、热带岛屿生态环境与健康、生态遥感与空间规划、低纬度地区大气复合污染成因及控制、流域水生态环境安全、热带海洋碳汇与海洋生物多样性、微塑料和抗生素环境健康等新兴和具有地方特色学科研究工作提供科研硬件条件。经过五年到十五年的努力，把我院实验室建设成为综合型、开放型、研究型、与国家生态文明试验区（海南）研究中心水平相适应，符合我院“生态环境应用基础研究、生态文明建设技术支撑、生态环境保护技术服务”发展定位，具有国际先进水平的科研平台。</w:t>
      </w:r>
    </w:p>
    <w:p>
      <w:pPr>
        <w:pStyle w:val="36"/>
        <w:snapToGrid w:val="0"/>
        <w:spacing w:line="360" w:lineRule="auto"/>
        <w:ind w:left="0" w:firstLine="0"/>
        <w:jc w:val="both"/>
        <w:rPr>
          <w:rFonts w:asciiTheme="majorEastAsia" w:hAnsiTheme="majorEastAsia" w:eastAsiaTheme="majorEastAsia"/>
          <w:sz w:val="30"/>
          <w:szCs w:val="30"/>
        </w:rPr>
      </w:pPr>
      <w:bookmarkStart w:id="53" w:name="_Toc71553224"/>
      <w:r>
        <w:rPr>
          <w:rFonts w:hint="eastAsia" w:asciiTheme="majorEastAsia" w:hAnsiTheme="majorEastAsia" w:eastAsiaTheme="majorEastAsia"/>
          <w:sz w:val="30"/>
          <w:szCs w:val="30"/>
        </w:rPr>
        <w:t>4、项目内容</w:t>
      </w:r>
      <w:bookmarkEnd w:id="53"/>
    </w:p>
    <w:p>
      <w:pPr>
        <w:pStyle w:val="29"/>
        <w:ind w:firstLine="480"/>
        <w:jc w:val="left"/>
        <w:rPr>
          <w:rFonts w:asciiTheme="majorEastAsia" w:hAnsiTheme="majorEastAsia" w:eastAsiaTheme="majorEastAsia"/>
          <w:snapToGrid/>
          <w:color w:val="auto"/>
        </w:rPr>
      </w:pPr>
      <w:r>
        <w:rPr>
          <w:rFonts w:hint="eastAsia" w:asciiTheme="majorEastAsia" w:hAnsiTheme="majorEastAsia" w:eastAsiaTheme="majorEastAsia"/>
          <w:snapToGrid/>
          <w:color w:val="auto"/>
        </w:rPr>
        <w:t>实验室场所前期拟建设于海口市美兰区桂林洋经济开发区灵桂路北侧罗牛山产业园检测大楼2楼201-218室（详见附件</w:t>
      </w:r>
      <w:r>
        <w:rPr>
          <w:rFonts w:asciiTheme="majorEastAsia" w:hAnsiTheme="majorEastAsia" w:eastAsiaTheme="majorEastAsia"/>
          <w:snapToGrid/>
          <w:color w:val="auto"/>
        </w:rPr>
        <w:t>1</w:t>
      </w:r>
      <w:r>
        <w:rPr>
          <w:rFonts w:hint="eastAsia" w:asciiTheme="majorEastAsia" w:hAnsiTheme="majorEastAsia" w:eastAsiaTheme="majorEastAsia"/>
          <w:snapToGrid/>
          <w:color w:val="auto"/>
        </w:rPr>
        <w:t>，拟建场地现状平面图），用房面积约934平米，已有空调新风系统。为将科研实验室改造成资源共享、管理集中、布局合理、符合现代实验室规范的创新研究平台，需对现有场地进行相关的实验室系统改造建设，以满足使用需求。本项目包括两部分：一、装修装饰工程（含部分墙体拆除与新建、洁净室建造、铺设P</w:t>
      </w:r>
      <w:r>
        <w:rPr>
          <w:rFonts w:asciiTheme="majorEastAsia" w:hAnsiTheme="majorEastAsia" w:eastAsiaTheme="majorEastAsia"/>
          <w:snapToGrid/>
          <w:color w:val="auto"/>
        </w:rPr>
        <w:t>VC</w:t>
      </w:r>
      <w:r>
        <w:rPr>
          <w:rFonts w:hint="eastAsia" w:asciiTheme="majorEastAsia" w:hAnsiTheme="majorEastAsia" w:eastAsiaTheme="majorEastAsia"/>
          <w:snapToGrid/>
          <w:color w:val="auto"/>
        </w:rPr>
        <w:t>地面、门窗玻璃隔断改造等工作）；二、系统安装工程（实验室排风系统工程、洁净空调系统工程、暖通控制系统工程、实验室气体工程、给排水工程、电力工程及配套定制设备等）。投标人需根据实验室功能用房分布图及采购人需求进行工艺深化设计，实验室功能用房分布图及工程量清单详见附</w:t>
      </w:r>
      <w:r>
        <w:rPr>
          <w:rFonts w:asciiTheme="majorEastAsia" w:hAnsiTheme="majorEastAsia" w:eastAsiaTheme="majorEastAsia"/>
          <w:snapToGrid/>
          <w:color w:val="auto"/>
        </w:rPr>
        <w:t>2</w:t>
      </w:r>
      <w:r>
        <w:rPr>
          <w:rFonts w:hint="eastAsia" w:asciiTheme="majorEastAsia" w:hAnsiTheme="majorEastAsia" w:eastAsiaTheme="majorEastAsia"/>
          <w:snapToGrid/>
          <w:color w:val="auto"/>
        </w:rPr>
        <w:t>和附件3，如工程量清单与图纸不符，以工程量清单清单为准。投标人需提供由采购人指定的</w:t>
      </w:r>
      <w:r>
        <w:rPr>
          <w:rFonts w:asciiTheme="majorEastAsia" w:hAnsiTheme="majorEastAsia" w:eastAsiaTheme="majorEastAsia"/>
          <w:snapToGrid/>
          <w:color w:val="auto"/>
        </w:rPr>
        <w:t>4</w:t>
      </w:r>
      <w:r>
        <w:rPr>
          <w:rFonts w:hint="eastAsia" w:asciiTheme="majorEastAsia" w:hAnsiTheme="majorEastAsia" w:eastAsiaTheme="majorEastAsia"/>
          <w:snapToGrid/>
          <w:color w:val="auto"/>
        </w:rPr>
        <w:t>间实验室设计效果图（理化实验室、</w:t>
      </w:r>
      <w:r>
        <w:rPr>
          <w:rFonts w:asciiTheme="majorEastAsia" w:hAnsiTheme="majorEastAsia" w:eastAsiaTheme="majorEastAsia"/>
          <w:snapToGrid/>
          <w:color w:val="auto"/>
        </w:rPr>
        <w:t>大型仪器室</w:t>
      </w:r>
      <w:r>
        <w:rPr>
          <w:rFonts w:hint="eastAsia" w:asciiTheme="majorEastAsia" w:hAnsiTheme="majorEastAsia" w:eastAsiaTheme="majorEastAsia"/>
          <w:snapToGrid/>
          <w:color w:val="auto"/>
        </w:rPr>
        <w:t>、</w:t>
      </w:r>
      <w:r>
        <w:rPr>
          <w:rFonts w:asciiTheme="majorEastAsia" w:hAnsiTheme="majorEastAsia" w:eastAsiaTheme="majorEastAsia"/>
          <w:snapToGrid/>
          <w:color w:val="auto"/>
        </w:rPr>
        <w:t>小型仪器室</w:t>
      </w:r>
      <w:r>
        <w:rPr>
          <w:rFonts w:hint="eastAsia" w:asciiTheme="majorEastAsia" w:hAnsiTheme="majorEastAsia" w:eastAsiaTheme="majorEastAsia"/>
          <w:snapToGrid/>
          <w:color w:val="auto"/>
        </w:rPr>
        <w:t>、</w:t>
      </w:r>
      <w:r>
        <w:rPr>
          <w:rFonts w:asciiTheme="majorEastAsia" w:hAnsiTheme="majorEastAsia" w:eastAsiaTheme="majorEastAsia"/>
          <w:snapToGrid/>
          <w:color w:val="auto"/>
        </w:rPr>
        <w:t>天平室</w:t>
      </w:r>
      <w:r>
        <w:rPr>
          <w:rFonts w:hint="eastAsia" w:asciiTheme="majorEastAsia" w:hAnsiTheme="majorEastAsia" w:eastAsiaTheme="majorEastAsia"/>
          <w:snapToGrid/>
          <w:color w:val="auto"/>
        </w:rPr>
        <w:t>）。</w:t>
      </w:r>
    </w:p>
    <w:p>
      <w:pPr>
        <w:pStyle w:val="36"/>
        <w:snapToGrid w:val="0"/>
        <w:spacing w:line="360" w:lineRule="auto"/>
        <w:ind w:left="0" w:firstLine="0"/>
        <w:jc w:val="both"/>
        <w:rPr>
          <w:rFonts w:asciiTheme="majorEastAsia" w:hAnsiTheme="majorEastAsia" w:eastAsiaTheme="majorEastAsia"/>
          <w:sz w:val="30"/>
          <w:szCs w:val="30"/>
        </w:rPr>
      </w:pPr>
      <w:bookmarkStart w:id="54" w:name="_Toc71553225"/>
      <w:r>
        <w:rPr>
          <w:rFonts w:hint="eastAsia" w:asciiTheme="majorEastAsia" w:hAnsiTheme="majorEastAsia" w:eastAsiaTheme="majorEastAsia"/>
          <w:sz w:val="30"/>
          <w:szCs w:val="30"/>
        </w:rPr>
        <w:t>5、项目总体要求</w:t>
      </w:r>
      <w:bookmarkEnd w:id="54"/>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（1）实验室功能间总体布局</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投标人在投标前，须以</w:t>
      </w:r>
      <w:r>
        <w:rPr>
          <w:rFonts w:hint="eastAsia" w:cs="Times New Roman" w:asciiTheme="majorEastAsia" w:hAnsiTheme="majorEastAsia" w:eastAsiaTheme="majorEastAsia"/>
          <w:color w:val="auto"/>
          <w:sz w:val="24"/>
          <w:szCs w:val="24"/>
        </w:rPr>
        <w:t>磋商文件</w:t>
      </w:r>
      <w:r>
        <w:rPr>
          <w:rFonts w:cs="Times New Roman" w:asciiTheme="majorEastAsia" w:hAnsiTheme="majorEastAsia" w:eastAsiaTheme="majorEastAsia"/>
          <w:color w:val="auto"/>
          <w:sz w:val="24"/>
          <w:szCs w:val="24"/>
        </w:rPr>
        <w:t>提供的采购人项目平面布局图为依据，通过现场踏勘，全面了解现有场地面积、房屋构造、房型大小、水电走向和通风通道等相关信息，在与采购人充分沟通基础上，准确把握采购人近期及3-5年近中期实验室建设需求，</w:t>
      </w:r>
      <w:r>
        <w:rPr>
          <w:rFonts w:hint="eastAsia" w:cs="Times New Roman" w:asciiTheme="majorEastAsia" w:hAnsiTheme="majorEastAsia" w:eastAsiaTheme="majorEastAsia"/>
          <w:color w:val="auto"/>
          <w:sz w:val="24"/>
          <w:szCs w:val="24"/>
        </w:rPr>
        <w:t>原则上</w:t>
      </w:r>
      <w:r>
        <w:rPr>
          <w:rFonts w:cs="Times New Roman" w:asciiTheme="majorEastAsia" w:hAnsiTheme="majorEastAsia" w:eastAsiaTheme="majorEastAsia"/>
          <w:color w:val="auto"/>
          <w:sz w:val="24"/>
          <w:szCs w:val="24"/>
        </w:rPr>
        <w:t>在不进行墙体拆砌</w:t>
      </w:r>
      <w:r>
        <w:rPr>
          <w:rFonts w:hint="eastAsia" w:cs="Times New Roman" w:asciiTheme="majorEastAsia" w:hAnsiTheme="majorEastAsia" w:eastAsiaTheme="majorEastAsia"/>
          <w:color w:val="auto"/>
          <w:sz w:val="24"/>
          <w:szCs w:val="24"/>
        </w:rPr>
        <w:t>、天花板和地面破坏</w:t>
      </w:r>
      <w:r>
        <w:rPr>
          <w:rFonts w:cs="Times New Roman" w:asciiTheme="majorEastAsia" w:hAnsiTheme="majorEastAsia" w:eastAsiaTheme="majorEastAsia"/>
          <w:color w:val="auto"/>
          <w:sz w:val="24"/>
          <w:szCs w:val="24"/>
        </w:rPr>
        <w:t>前提下，就采购人实验室功能用房分布图优化完善，将现有场地和房间进行合理功能分区、划分，并进行必要的隔离隔断（非砖墙隔断），构建出若干个不同</w:t>
      </w:r>
      <w:r>
        <w:rPr>
          <w:rFonts w:hint="eastAsia" w:cs="Times New Roman" w:asciiTheme="majorEastAsia" w:hAnsiTheme="majorEastAsia" w:eastAsiaTheme="majorEastAsia"/>
          <w:color w:val="auto"/>
          <w:sz w:val="24"/>
          <w:szCs w:val="24"/>
        </w:rPr>
        <w:t>功能</w:t>
      </w:r>
      <w:r>
        <w:rPr>
          <w:rFonts w:cs="Times New Roman" w:asciiTheme="majorEastAsia" w:hAnsiTheme="majorEastAsia" w:eastAsiaTheme="majorEastAsia"/>
          <w:color w:val="auto"/>
          <w:sz w:val="24"/>
          <w:szCs w:val="24"/>
        </w:rPr>
        <w:t>的实验室、大型仪器设备</w:t>
      </w:r>
      <w:r>
        <w:rPr>
          <w:rFonts w:hint="eastAsia" w:cs="Times New Roman" w:asciiTheme="majorEastAsia" w:hAnsiTheme="majorEastAsia" w:eastAsiaTheme="majorEastAsia"/>
          <w:color w:val="auto"/>
          <w:sz w:val="24"/>
          <w:szCs w:val="24"/>
        </w:rPr>
        <w:t>室</w:t>
      </w:r>
      <w:r>
        <w:rPr>
          <w:rFonts w:cs="Times New Roman" w:asciiTheme="majorEastAsia" w:hAnsiTheme="majorEastAsia" w:eastAsiaTheme="majorEastAsia"/>
          <w:color w:val="auto"/>
          <w:sz w:val="24"/>
          <w:szCs w:val="24"/>
        </w:rPr>
        <w:t>和常规基础仪器设备分析测试功能间（出具</w:t>
      </w:r>
      <w:r>
        <w:rPr>
          <w:rFonts w:hint="eastAsia" w:cs="Times New Roman" w:asciiTheme="majorEastAsia" w:hAnsiTheme="majorEastAsia" w:eastAsiaTheme="majorEastAsia"/>
          <w:color w:val="auto"/>
          <w:sz w:val="24"/>
          <w:szCs w:val="24"/>
        </w:rPr>
        <w:t>4间</w:t>
      </w:r>
      <w:r>
        <w:rPr>
          <w:rFonts w:hint="eastAsia" w:asciiTheme="majorEastAsia" w:hAnsiTheme="majorEastAsia" w:eastAsiaTheme="majorEastAsia"/>
          <w:color w:val="auto"/>
        </w:rPr>
        <w:t>实验室设计效果图</w:t>
      </w:r>
      <w:r>
        <w:rPr>
          <w:rFonts w:cs="Times New Roman" w:asciiTheme="majorEastAsia" w:hAnsiTheme="majorEastAsia" w:eastAsiaTheme="majorEastAsia"/>
          <w:color w:val="auto"/>
          <w:sz w:val="24"/>
          <w:szCs w:val="24"/>
        </w:rPr>
        <w:t>），满足采购人近期及3-5年近中期实验室建设目标。功能间至少包括：</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样品存放室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样品存放室设置在阴凉干燥处。样品储藏分为常温和低温两种条件。常温环境宜采用储物架存放；低温环境宜采用冰箱或者冰柜储藏样品。样品储藏室要求通风良好，避光，一定的湿度</w:t>
      </w:r>
      <w:r>
        <w:rPr>
          <w:rFonts w:hint="eastAsia" w:cs="Times New Roman" w:asciiTheme="majorEastAsia" w:hAnsiTheme="majorEastAsia" w:eastAsiaTheme="majorEastAsia"/>
          <w:color w:val="auto"/>
          <w:sz w:val="24"/>
          <w:szCs w:val="24"/>
        </w:rPr>
        <w:t>。</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设备存放室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设备存放室主要是存放一些现场采样及部分现场监测设备。比如气体采样器、微塑料手持红外光谱、</w:t>
      </w:r>
      <w:r>
        <w:rPr>
          <w:rFonts w:hint="eastAsia" w:cs="Times New Roman" w:asciiTheme="majorEastAsia" w:hAnsiTheme="majorEastAsia" w:eastAsiaTheme="majorEastAsia"/>
          <w:color w:val="auto"/>
          <w:sz w:val="24"/>
          <w:szCs w:val="24"/>
        </w:rPr>
        <w:t>水样采集船、</w:t>
      </w:r>
      <w:r>
        <w:rPr>
          <w:rFonts w:cs="Times New Roman" w:asciiTheme="majorEastAsia" w:hAnsiTheme="majorEastAsia" w:eastAsiaTheme="majorEastAsia"/>
          <w:color w:val="auto"/>
          <w:sz w:val="24"/>
          <w:szCs w:val="24"/>
        </w:rPr>
        <w:t>微塑料便携式 FTIR 光谱仪、便携式风向风速仪、测潮仪等采样及现场检测设备。</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废液存储室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环境监测常涉及到的废液主要包含有机废液和无机废液，</w:t>
      </w:r>
      <w:r>
        <w:rPr>
          <w:rFonts w:hint="eastAsia" w:cs="Times New Roman" w:asciiTheme="majorEastAsia" w:hAnsiTheme="majorEastAsia" w:eastAsiaTheme="majorEastAsia"/>
          <w:color w:val="auto"/>
          <w:sz w:val="24"/>
          <w:szCs w:val="24"/>
        </w:rPr>
        <w:t>两类废液</w:t>
      </w:r>
      <w:r>
        <w:rPr>
          <w:rFonts w:cs="Times New Roman" w:asciiTheme="majorEastAsia" w:hAnsiTheme="majorEastAsia" w:eastAsiaTheme="majorEastAsia"/>
          <w:color w:val="auto"/>
          <w:sz w:val="24"/>
          <w:szCs w:val="24"/>
        </w:rPr>
        <w:t>需分开存放，含氯有机废液和非含氯有机废液也要分开存放。</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废液存放室宜设置在一个人员不经常经过的阴凉角落区域，该区域需要具有良好的通风条件并配备一定的消防设施。</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理化实验室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理化实验室</w:t>
      </w:r>
      <w:r>
        <w:rPr>
          <w:rFonts w:cs="Times New Roman" w:asciiTheme="majorEastAsia" w:hAnsiTheme="majorEastAsia" w:eastAsiaTheme="majorEastAsia"/>
          <w:color w:val="auto"/>
          <w:sz w:val="24"/>
          <w:szCs w:val="24"/>
        </w:rPr>
        <w:t>主要包括有机前处理、无机前处理等实验室，主要是做样品测试前的消解、萃取等工作，会产生一定的废气，因此</w:t>
      </w:r>
      <w:r>
        <w:rPr>
          <w:rFonts w:hint="eastAsia" w:cs="Times New Roman" w:asciiTheme="majorEastAsia" w:hAnsiTheme="majorEastAsia" w:eastAsiaTheme="majorEastAsia"/>
          <w:color w:val="auto"/>
          <w:sz w:val="24"/>
          <w:szCs w:val="24"/>
        </w:rPr>
        <w:t>理化实验室</w:t>
      </w:r>
      <w:r>
        <w:rPr>
          <w:rFonts w:cs="Times New Roman" w:asciiTheme="majorEastAsia" w:hAnsiTheme="majorEastAsia" w:eastAsiaTheme="majorEastAsia"/>
          <w:color w:val="auto"/>
          <w:sz w:val="24"/>
          <w:szCs w:val="24"/>
        </w:rPr>
        <w:t>室内部必须具有通风橱和紧急喷淋装置。</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bookmarkStart w:id="55" w:name="_Hlk70615503"/>
      <w:r>
        <w:rPr>
          <w:rFonts w:cs="Times New Roman" w:asciiTheme="majorEastAsia" w:hAnsiTheme="majorEastAsia" w:eastAsiaTheme="majorEastAsia"/>
          <w:color w:val="auto"/>
          <w:sz w:val="24"/>
          <w:szCs w:val="24"/>
        </w:rPr>
        <w:t>大型仪器室</w:t>
      </w:r>
    </w:p>
    <w:bookmarkEnd w:id="55"/>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大型仪器室按仪器的类型，一般分为光谱室、气相色谱室和液相色谱室。安装大型仪器的实验室，应安装专门的制冷设备，以保证室温和湿度的控制。色谱室内要有良好的通风，宜配备万向排气罩。供气管路有气瓶间进入室内，室内总管线通过稳压阀分向每一台仪器。在实验室管路设计时应充分考虑所用的气体，宜预留适当的管路。</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本项目</w:t>
      </w:r>
      <w:r>
        <w:rPr>
          <w:rFonts w:cs="Times New Roman" w:asciiTheme="majorEastAsia" w:hAnsiTheme="majorEastAsia" w:eastAsiaTheme="majorEastAsia"/>
          <w:color w:val="auto"/>
          <w:sz w:val="24"/>
          <w:szCs w:val="24"/>
        </w:rPr>
        <w:t>实验室</w:t>
      </w:r>
      <w:r>
        <w:rPr>
          <w:rFonts w:hint="eastAsia" w:cs="Times New Roman" w:asciiTheme="majorEastAsia" w:hAnsiTheme="majorEastAsia" w:eastAsiaTheme="majorEastAsia"/>
          <w:color w:val="auto"/>
          <w:sz w:val="24"/>
          <w:szCs w:val="24"/>
        </w:rPr>
        <w:t>拟使用</w:t>
      </w:r>
      <w:r>
        <w:rPr>
          <w:rFonts w:cs="Times New Roman" w:asciiTheme="majorEastAsia" w:hAnsiTheme="majorEastAsia" w:eastAsiaTheme="majorEastAsia"/>
          <w:color w:val="auto"/>
          <w:sz w:val="24"/>
          <w:szCs w:val="24"/>
        </w:rPr>
        <w:t>的大型精密仪器主要包括原子吸收光谱仪、原子荧光光谱仪、电感耦合等离子体发射光谱仪、电感耦合等离子体质谱仪、气相色谱仪、气相色谱质谱联用仪、液相色谱仪等设备</w:t>
      </w:r>
      <w:r>
        <w:rPr>
          <w:rFonts w:hint="eastAsia" w:cs="Times New Roman" w:asciiTheme="majorEastAsia" w:hAnsiTheme="majorEastAsia" w:eastAsiaTheme="majorEastAsia"/>
          <w:color w:val="auto"/>
          <w:sz w:val="24"/>
          <w:szCs w:val="24"/>
        </w:rPr>
        <w:t>，共计不少于15台</w:t>
      </w:r>
      <w:r>
        <w:rPr>
          <w:rFonts w:cs="Times New Roman" w:asciiTheme="majorEastAsia" w:hAnsiTheme="majorEastAsia" w:eastAsiaTheme="majorEastAsia"/>
          <w:color w:val="auto"/>
          <w:sz w:val="24"/>
          <w:szCs w:val="24"/>
        </w:rPr>
        <w:t>。</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大型精密仪器室仪器台离墙距离为500—800mm作为维修通道，根据需要设置电源插座、网络接口、气体管路接口等。</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bookmarkStart w:id="56" w:name="_Hlk70615523"/>
      <w:r>
        <w:rPr>
          <w:rFonts w:cs="Times New Roman" w:asciiTheme="majorEastAsia" w:hAnsiTheme="majorEastAsia" w:eastAsiaTheme="majorEastAsia"/>
          <w:color w:val="auto"/>
          <w:sz w:val="24"/>
          <w:szCs w:val="24"/>
        </w:rPr>
        <w:t>小型仪器室</w:t>
      </w:r>
    </w:p>
    <w:bookmarkEnd w:id="56"/>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本项目</w:t>
      </w:r>
      <w:r>
        <w:rPr>
          <w:rFonts w:cs="Times New Roman" w:asciiTheme="majorEastAsia" w:hAnsiTheme="majorEastAsia" w:eastAsiaTheme="majorEastAsia"/>
          <w:color w:val="auto"/>
          <w:sz w:val="24"/>
          <w:szCs w:val="24"/>
        </w:rPr>
        <w:t>实验室</w:t>
      </w:r>
      <w:r>
        <w:rPr>
          <w:rFonts w:hint="eastAsia" w:cs="Times New Roman" w:asciiTheme="majorEastAsia" w:hAnsiTheme="majorEastAsia" w:eastAsiaTheme="majorEastAsia"/>
          <w:color w:val="auto"/>
          <w:sz w:val="24"/>
          <w:szCs w:val="24"/>
        </w:rPr>
        <w:t>拟使用</w:t>
      </w:r>
      <w:r>
        <w:rPr>
          <w:rFonts w:cs="Times New Roman" w:asciiTheme="majorEastAsia" w:hAnsiTheme="majorEastAsia" w:eastAsiaTheme="majorEastAsia"/>
          <w:color w:val="auto"/>
          <w:sz w:val="24"/>
          <w:szCs w:val="24"/>
        </w:rPr>
        <w:t>的小型分析仪器主要包括紫外分光光度计、浊度仪、酸度计、电导率仪、土壤密度计、电位计、电位滴定仪等设备。小型仪器摆放可按普通实验室边台或中央台设计并提供足够电源插座即可，环境条件应满足仪器的使用要求。实验台应稳固。</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bookmarkStart w:id="57" w:name="_Hlk70615581"/>
      <w:r>
        <w:rPr>
          <w:rFonts w:cs="Times New Roman" w:asciiTheme="majorEastAsia" w:hAnsiTheme="majorEastAsia" w:eastAsiaTheme="majorEastAsia"/>
          <w:color w:val="auto"/>
          <w:sz w:val="24"/>
          <w:szCs w:val="24"/>
        </w:rPr>
        <w:t>天平室</w:t>
      </w:r>
    </w:p>
    <w:bookmarkEnd w:id="57"/>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天平室</w:t>
      </w:r>
      <w:r>
        <w:rPr>
          <w:rFonts w:hint="eastAsia" w:cs="Times New Roman" w:asciiTheme="majorEastAsia" w:hAnsiTheme="majorEastAsia" w:eastAsiaTheme="majorEastAsia"/>
          <w:color w:val="auto"/>
          <w:sz w:val="24"/>
          <w:szCs w:val="24"/>
        </w:rPr>
        <w:t>应分设两个区域，分别用于放置精密天平（10万分之一）、超精密天平（百万分之一），</w:t>
      </w:r>
      <w:r>
        <w:rPr>
          <w:rFonts w:cs="Times New Roman" w:asciiTheme="majorEastAsia" w:hAnsiTheme="majorEastAsia" w:eastAsiaTheme="majorEastAsia"/>
          <w:color w:val="auto"/>
          <w:sz w:val="24"/>
          <w:szCs w:val="24"/>
        </w:rPr>
        <w:t>应远离振动源，要求防震、防尘、防腐蚀、防潮，温度和湿度应满足使用要求。天平室应避开风或气流的干扰，设在人流少且方便工作的地方。外墙宜密闭并设避光窗帘。</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天平室内设有天平台、周转台、物品架或边台；天平台具三级防震及调水平功能，周转台方便称量时放置物品与记录，物品或边台用于存放干燥皿。</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高温室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高温室放置烘箱、马弗炉等设备。室内应配备高温仪器台，要求承重、耐高温，以用钢制框架配大理石台面为宜。</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高温室供电系统应满足安全及使用要求。</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消洗室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洗涤室应配备洗涤台、器皿柜、器皿车等，洗涤台的水槽可选用多个大型水槽；洗涤台上宜设置滴水架洗涤过程中若产生挥发性有害成分，应在洗涤台上设抽风罩。</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气瓶室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设立气瓶室，采用集中供气系统。气瓶室应保持阴凉、干燥、严禁明火、远离热源。气瓶室应有每小时不小于3次换气的通风设施，宜把气瓶室建在实验楼旁侧，气瓶室应配备防爆灯、防爆开关和防气体渗漏报警装置，墙壁需专门设置、施工，具有一定的防爆级别。</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集中供气管路的组成包括气源系统、切换系统、管道系统、调压系统，泄露报警及紧急切断系统。对于一些易燃易爆的气体，如氢气、乙炔等，在设计之初和施工过程中会和其他惰性气体不同，应加入气体回火防止器和泄露报警等安全装置。</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土壤样品制备室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土壤样品制备室分为风干室和磨样室。风干室向阳（严防阳光直射样品）、通风良好、整洁、无尘、无易挥发性物质。磨样室应紧邻风干室设置，磨样室内部磨样区域应设置抽风装置，避免磨样粉尘对人体的伤害。</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抗性基因室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高通量测序技术要求高、影响因素多，处理不当易导致检测结果准确性下降或检测失败。暂只设置以下区域：试剂准备、样本制备两个独立的实验区。</w:t>
      </w:r>
    </w:p>
    <w:p>
      <w:pPr>
        <w:numPr>
          <w:ilvl w:val="0"/>
          <w:numId w:val="2"/>
        </w:numPr>
        <w:snapToGrid w:val="0"/>
        <w:spacing w:after="0" w:line="360" w:lineRule="auto"/>
        <w:ind w:hanging="5"/>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微生物实验室</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微生物实验室设计规划应在一独立的空间，其中需包括准备室，无菌室，培养室及灭菌室，以上各功能间需按单循环传递的要求进行规划，以避免交叉污染。</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w:t>
      </w:r>
      <w:r>
        <w:rPr>
          <w:rFonts w:cs="Times New Roman" w:asciiTheme="majorEastAsia" w:hAnsiTheme="majorEastAsia" w:eastAsiaTheme="majorEastAsia"/>
          <w:color w:val="auto"/>
          <w:sz w:val="24"/>
          <w:szCs w:val="24"/>
        </w:rPr>
        <w:t>2</w:t>
      </w:r>
      <w:r>
        <w:rPr>
          <w:rFonts w:hint="eastAsia" w:cs="Times New Roman" w:asciiTheme="majorEastAsia" w:hAnsiTheme="majorEastAsia" w:eastAsiaTheme="majorEastAsia"/>
          <w:color w:val="auto"/>
          <w:sz w:val="24"/>
          <w:szCs w:val="24"/>
        </w:rPr>
        <w:t>）项目工程量</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本项目工程量清单详见附件3《海南省环境科学研究院科研实验室装修改造工程量清单》。</w:t>
      </w:r>
    </w:p>
    <w:p>
      <w:pPr>
        <w:pStyle w:val="2"/>
        <w:ind w:firstLine="0"/>
        <w:rPr>
          <w:rFonts w:cs="Times New Roman" w:asciiTheme="majorEastAsia" w:hAnsiTheme="majorEastAsia" w:eastAsiaTheme="majorEastAsia"/>
          <w:color w:val="auto"/>
        </w:rPr>
      </w:pPr>
      <w:r>
        <w:rPr>
          <w:rFonts w:hint="eastAsia" w:cs="Times New Roman" w:asciiTheme="majorEastAsia" w:hAnsiTheme="majorEastAsia" w:eastAsiaTheme="majorEastAsia"/>
          <w:color w:val="auto"/>
        </w:rPr>
        <w:t>（</w:t>
      </w:r>
      <w:r>
        <w:rPr>
          <w:rFonts w:cs="Times New Roman" w:asciiTheme="majorEastAsia" w:hAnsiTheme="majorEastAsia" w:eastAsiaTheme="majorEastAsia"/>
          <w:color w:val="auto"/>
        </w:rPr>
        <w:t>3</w:t>
      </w:r>
      <w:r>
        <w:rPr>
          <w:rFonts w:hint="eastAsia" w:cs="Times New Roman" w:asciiTheme="majorEastAsia" w:hAnsiTheme="majorEastAsia" w:eastAsiaTheme="majorEastAsia"/>
          <w:color w:val="auto"/>
        </w:rPr>
        <w:t>）实验室装修改造总体要求</w:t>
      </w:r>
    </w:p>
    <w:p>
      <w:pPr>
        <w:pStyle w:val="2"/>
        <w:snapToGrid w:val="0"/>
        <w:spacing w:line="360" w:lineRule="auto"/>
        <w:ind w:firstLine="480" w:firstLineChars="200"/>
        <w:rPr>
          <w:rFonts w:cs="Times New Roman" w:asciiTheme="majorEastAsia" w:hAnsiTheme="majorEastAsia" w:eastAsiaTheme="majorEastAsia"/>
          <w:color w:val="auto"/>
        </w:rPr>
      </w:pPr>
      <w:r>
        <w:rPr>
          <w:rFonts w:hint="eastAsia" w:cs="Times New Roman" w:asciiTheme="majorEastAsia" w:hAnsiTheme="majorEastAsia" w:eastAsiaTheme="majorEastAsia"/>
          <w:color w:val="auto"/>
        </w:rPr>
        <w:t>在满足功能单元构建要求基础上，投标人还应满足以下总体服务要求：</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639"/>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694" w:type="pct"/>
            <w:tcBorders>
              <w:top w:val="single" w:color="auto" w:sz="4" w:space="0"/>
              <w:left w:val="single" w:color="auto" w:sz="4" w:space="0"/>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序号</w:t>
            </w:r>
          </w:p>
        </w:tc>
        <w:tc>
          <w:tcPr>
            <w:tcW w:w="873" w:type="pct"/>
            <w:tcBorders>
              <w:top w:val="single" w:color="auto" w:sz="4" w:space="0"/>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名称</w:t>
            </w:r>
          </w:p>
        </w:tc>
        <w:tc>
          <w:tcPr>
            <w:tcW w:w="3433" w:type="pct"/>
            <w:tcBorders>
              <w:top w:val="single" w:color="auto" w:sz="4" w:space="0"/>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4" w:type="pct"/>
            <w:tcBorders>
              <w:top w:val="single" w:color="auto" w:sz="4" w:space="0"/>
              <w:left w:val="single" w:color="auto" w:sz="4" w:space="0"/>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1</w:t>
            </w:r>
          </w:p>
        </w:tc>
        <w:tc>
          <w:tcPr>
            <w:tcW w:w="873" w:type="pct"/>
            <w:vMerge w:val="restart"/>
            <w:tcBorders>
              <w:top w:val="nil"/>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工作界面和其它说明和总则</w:t>
            </w:r>
          </w:p>
        </w:tc>
        <w:tc>
          <w:tcPr>
            <w:tcW w:w="3433" w:type="pct"/>
            <w:tcBorders>
              <w:top w:val="single" w:color="auto" w:sz="4" w:space="0"/>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投标人应遵守采购人的相关要求。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pct"/>
            <w:tcBorders>
              <w:top w:val="single" w:color="auto" w:sz="4" w:space="0"/>
              <w:left w:val="single" w:color="auto" w:sz="4" w:space="0"/>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2</w:t>
            </w:r>
          </w:p>
        </w:tc>
        <w:tc>
          <w:tcPr>
            <w:tcW w:w="0" w:type="auto"/>
            <w:vMerge w:val="continue"/>
            <w:tcBorders>
              <w:top w:val="nil"/>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p>
        </w:tc>
        <w:tc>
          <w:tcPr>
            <w:tcW w:w="3433" w:type="pct"/>
            <w:tcBorders>
              <w:top w:val="single" w:color="auto" w:sz="4" w:space="0"/>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在技术说明层面，当技术文件和图纸、清单相冲突时，以技术文件说明为准，图纸、清单只作为参考，对同类或同一产品若有几处描述，则以最高要求为准；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94" w:type="pct"/>
            <w:tcBorders>
              <w:top w:val="single" w:color="auto" w:sz="4" w:space="0"/>
              <w:left w:val="single" w:color="auto" w:sz="4" w:space="0"/>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3</w:t>
            </w:r>
          </w:p>
        </w:tc>
        <w:tc>
          <w:tcPr>
            <w:tcW w:w="0" w:type="auto"/>
            <w:vMerge w:val="continue"/>
            <w:tcBorders>
              <w:top w:val="nil"/>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p>
        </w:tc>
        <w:tc>
          <w:tcPr>
            <w:tcW w:w="3433" w:type="pct"/>
            <w:tcBorders>
              <w:top w:val="single" w:color="auto" w:sz="4" w:space="0"/>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中标人进场施工前，须出具所有施工详细图纸由采购人确认后方可进行施工；原则上不破坏现有主要墙体、天花板和地面，仅允许根据实验室用房布局对少数隔墙进行改造。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pct"/>
            <w:tcBorders>
              <w:top w:val="single" w:color="auto" w:sz="4" w:space="0"/>
              <w:left w:val="single" w:color="auto" w:sz="4" w:space="0"/>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4</w:t>
            </w:r>
          </w:p>
        </w:tc>
        <w:tc>
          <w:tcPr>
            <w:tcW w:w="0" w:type="auto"/>
            <w:vMerge w:val="continue"/>
            <w:tcBorders>
              <w:top w:val="nil"/>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p>
        </w:tc>
        <w:tc>
          <w:tcPr>
            <w:tcW w:w="3433" w:type="pct"/>
            <w:tcBorders>
              <w:top w:val="single" w:color="auto" w:sz="4" w:space="0"/>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磋商文件中投标人提供的货物品牌需要在投标中明确，务必采用性能稳定、技术先进、质量可靠的货物为本次供货标准；货物进场之前须经采购人确认后方可进场。</w:t>
            </w:r>
            <w:r>
              <w:rPr>
                <w:rFonts w:hint="cs" w:cs="Times New Roman" w:asciiTheme="majorEastAsia" w:hAnsiTheme="majorEastAsia" w:eastAsiaTheme="majorEastAsia"/>
                <w:color w:val="auto"/>
                <w:sz w:val="24"/>
                <w:szCs w:val="24"/>
              </w:rPr>
              <w:t>若在清单中出现，但技术文件中没有明确描述产品性能的技术规范和要求</w:t>
            </w:r>
            <w:r>
              <w:rPr>
                <w:rFonts w:hint="eastAsia" w:cs="Times New Roman" w:asciiTheme="majorEastAsia" w:hAnsiTheme="majorEastAsia" w:eastAsiaTheme="majorEastAsia"/>
                <w:color w:val="auto"/>
                <w:sz w:val="24"/>
                <w:szCs w:val="24"/>
              </w:rPr>
              <w:t>的</w:t>
            </w:r>
            <w:r>
              <w:rPr>
                <w:rFonts w:hint="cs" w:cs="Times New Roman" w:asciiTheme="majorEastAsia" w:hAnsiTheme="majorEastAsia" w:eastAsiaTheme="majorEastAsia"/>
                <w:color w:val="auto"/>
                <w:sz w:val="24"/>
                <w:szCs w:val="24"/>
              </w:rPr>
              <w:t>，中标人须以提供高质量产品的供货原则，验收时根据国家标准、行业规范和第三方认可</w:t>
            </w:r>
            <w:r>
              <w:rPr>
                <w:rFonts w:hint="eastAsia" w:cs="Times New Roman" w:asciiTheme="majorEastAsia" w:hAnsiTheme="majorEastAsia" w:eastAsiaTheme="majorEastAsia"/>
                <w:color w:val="auto"/>
                <w:sz w:val="24"/>
                <w:szCs w:val="24"/>
              </w:rPr>
              <w:t>作</w:t>
            </w:r>
            <w:r>
              <w:rPr>
                <w:rFonts w:hint="cs" w:cs="Times New Roman" w:asciiTheme="majorEastAsia" w:hAnsiTheme="majorEastAsia" w:eastAsiaTheme="majorEastAsia"/>
                <w:color w:val="auto"/>
                <w:sz w:val="24"/>
                <w:szCs w:val="24"/>
              </w:rPr>
              <w:t>为验收依据。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pct"/>
            <w:tcBorders>
              <w:top w:val="single" w:color="auto" w:sz="4" w:space="0"/>
              <w:left w:val="single" w:color="auto" w:sz="4" w:space="0"/>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5</w:t>
            </w:r>
          </w:p>
        </w:tc>
        <w:tc>
          <w:tcPr>
            <w:tcW w:w="0" w:type="auto"/>
            <w:vMerge w:val="continue"/>
            <w:tcBorders>
              <w:top w:val="nil"/>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p>
        </w:tc>
        <w:tc>
          <w:tcPr>
            <w:tcW w:w="3433" w:type="pct"/>
            <w:tcBorders>
              <w:top w:val="single" w:color="auto" w:sz="4" w:space="0"/>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实验室定制设备必须满足可多次拆装要求，部分排风和排水设施原则上也满足拆装要求。</w:t>
            </w:r>
          </w:p>
        </w:tc>
      </w:tr>
    </w:tbl>
    <w:p>
      <w:pPr>
        <w:snapToGrid w:val="0"/>
        <w:spacing w:after="0" w:line="360" w:lineRule="auto"/>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（4）实验室区域地面：需铺设防酸碱地板胶</w:t>
      </w:r>
    </w:p>
    <w:tbl>
      <w:tblPr>
        <w:tblStyle w:val="18"/>
        <w:tblW w:w="918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1586"/>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255" w:type="dxa"/>
            <w:tcBorders>
              <w:top w:val="single" w:color="auto" w:sz="4" w:space="0"/>
              <w:left w:val="single" w:color="auto" w:sz="4" w:space="0"/>
              <w:bottom w:val="single" w:color="auto" w:sz="4" w:space="0"/>
              <w:right w:val="single" w:color="auto" w:sz="4" w:space="0"/>
            </w:tcBorders>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序号</w:t>
            </w:r>
          </w:p>
        </w:tc>
        <w:tc>
          <w:tcPr>
            <w:tcW w:w="1586" w:type="dxa"/>
            <w:tcBorders>
              <w:top w:val="single" w:color="auto" w:sz="4" w:space="0"/>
              <w:left w:val="nil"/>
              <w:bottom w:val="single" w:color="auto" w:sz="4" w:space="0"/>
              <w:right w:val="single" w:color="auto" w:sz="4" w:space="0"/>
            </w:tcBorders>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名称</w:t>
            </w:r>
          </w:p>
        </w:tc>
        <w:tc>
          <w:tcPr>
            <w:tcW w:w="6344" w:type="dxa"/>
            <w:tcBorders>
              <w:top w:val="single" w:color="auto" w:sz="4" w:space="0"/>
              <w:left w:val="nil"/>
              <w:bottom w:val="single" w:color="auto" w:sz="4" w:space="0"/>
              <w:right w:val="single" w:color="auto" w:sz="4" w:space="0"/>
            </w:tcBorders>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55" w:type="dxa"/>
            <w:tcBorders>
              <w:top w:val="single" w:color="auto" w:sz="4" w:space="0"/>
              <w:left w:val="single" w:color="auto" w:sz="4" w:space="0"/>
              <w:bottom w:val="single" w:color="auto" w:sz="4" w:space="0"/>
              <w:right w:val="single" w:color="auto" w:sz="4" w:space="0"/>
            </w:tcBorders>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1</w:t>
            </w:r>
          </w:p>
        </w:tc>
        <w:tc>
          <w:tcPr>
            <w:tcW w:w="1586" w:type="dxa"/>
            <w:vMerge w:val="restart"/>
            <w:tcBorders>
              <w:top w:val="nil"/>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材质及性能说明</w:t>
            </w:r>
          </w:p>
        </w:tc>
        <w:tc>
          <w:tcPr>
            <w:tcW w:w="6344" w:type="dxa"/>
            <w:tcBorders>
              <w:top w:val="single" w:color="auto" w:sz="4" w:space="0"/>
              <w:left w:val="nil"/>
              <w:bottom w:val="single" w:color="auto" w:sz="4" w:space="0"/>
              <w:right w:val="single" w:color="auto" w:sz="4" w:space="0"/>
            </w:tcBorders>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PVC地板材质要求：</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地板为同质透心聚氯乙烯树脂材质，厚度不低于2mm；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55" w:type="dxa"/>
            <w:tcBorders>
              <w:top w:val="single" w:color="auto" w:sz="4" w:space="0"/>
              <w:left w:val="single" w:color="auto" w:sz="4" w:space="0"/>
              <w:bottom w:val="single" w:color="auto" w:sz="4" w:space="0"/>
              <w:right w:val="single" w:color="auto" w:sz="4" w:space="0"/>
            </w:tcBorders>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2</w:t>
            </w:r>
          </w:p>
        </w:tc>
        <w:tc>
          <w:tcPr>
            <w:tcW w:w="0" w:type="auto"/>
            <w:vMerge w:val="continue"/>
            <w:tcBorders>
              <w:top w:val="nil"/>
              <w:left w:val="nil"/>
              <w:bottom w:val="single" w:color="auto" w:sz="4" w:space="0"/>
              <w:right w:val="single" w:color="auto" w:sz="4" w:space="0"/>
            </w:tcBorders>
            <w:vAlign w:val="center"/>
          </w:tcPr>
          <w:p>
            <w:pPr>
              <w:snapToGrid w:val="0"/>
              <w:spacing w:after="0" w:line="360" w:lineRule="auto"/>
              <w:ind w:firstLine="480" w:firstLineChars="200"/>
              <w:rPr>
                <w:rFonts w:cs="Times New Roman" w:asciiTheme="majorEastAsia" w:hAnsiTheme="majorEastAsia" w:eastAsiaTheme="majorEastAsia"/>
                <w:color w:val="auto"/>
                <w:sz w:val="24"/>
                <w:szCs w:val="24"/>
              </w:rPr>
            </w:pPr>
          </w:p>
        </w:tc>
        <w:tc>
          <w:tcPr>
            <w:tcW w:w="6344" w:type="dxa"/>
            <w:tcBorders>
              <w:top w:val="single" w:color="auto" w:sz="4" w:space="0"/>
              <w:left w:val="nil"/>
              <w:bottom w:val="single" w:color="auto" w:sz="4" w:space="0"/>
              <w:right w:val="single" w:color="auto" w:sz="4" w:space="0"/>
            </w:tcBorders>
          </w:tcPr>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▲为确保PVC地板胶的稳定性，需提供满足或优于以下技术参数</w:t>
            </w:r>
            <w:r>
              <w:rPr>
                <w:rFonts w:hint="eastAsia" w:cs="Times New Roman" w:asciiTheme="majorEastAsia" w:hAnsiTheme="majorEastAsia" w:eastAsiaTheme="majorEastAsia"/>
                <w:color w:val="auto"/>
                <w:sz w:val="24"/>
                <w:szCs w:val="24"/>
              </w:rPr>
              <w:t>的产品。（</w:t>
            </w:r>
            <w:r>
              <w:rPr>
                <w:rFonts w:hint="eastAsia" w:asciiTheme="majorEastAsia" w:hAnsiTheme="majorEastAsia" w:eastAsiaTheme="majorEastAsia"/>
                <w:bCs/>
                <w:color w:val="auto"/>
                <w:sz w:val="24"/>
                <w:szCs w:val="24"/>
              </w:rPr>
              <w:t>中标方在产品交付或安装前须提供加盖</w:t>
            </w:r>
            <w:r>
              <w:rPr>
                <w:rFonts w:cs="Times New Roman" w:asciiTheme="majorEastAsia" w:hAnsiTheme="majorEastAsia" w:eastAsiaTheme="majorEastAsia"/>
                <w:color w:val="auto"/>
                <w:sz w:val="24"/>
                <w:szCs w:val="24"/>
              </w:rPr>
              <w:t>生产厂家章的检测报告。</w:t>
            </w:r>
            <w:r>
              <w:rPr>
                <w:rFonts w:hint="eastAsia" w:cs="Times New Roman" w:asciiTheme="majorEastAsia" w:hAnsiTheme="majorEastAsia" w:eastAsiaTheme="majorEastAsia"/>
                <w:color w:val="auto"/>
                <w:sz w:val="24"/>
                <w:szCs w:val="24"/>
              </w:rPr>
              <w:t>）</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（1）耐磨等级：T级</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（2）防火等级：Bfl s1</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（3）防滑等级：R 9</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（4）耐酸碱性（化学品着色性能测定）：合格。</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（5）TVOC（28天后）：≤10ug/ m3</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（6）Reach有毒有害物质检测 210项：</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（7）重金属：通过全部39种重金属测试合格。</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（8）邻笨类增塑剂：过全部40种测试不含有。</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（9）环保认证：通过</w:t>
            </w:r>
            <w:r>
              <w:rPr>
                <w:rFonts w:hint="eastAsia" w:cs="Times New Roman" w:asciiTheme="majorEastAsia" w:hAnsiTheme="majorEastAsia" w:eastAsiaTheme="majorEastAsia"/>
                <w:color w:val="auto"/>
                <w:sz w:val="24"/>
                <w:szCs w:val="24"/>
              </w:rPr>
              <w:t>相关</w:t>
            </w:r>
            <w:r>
              <w:rPr>
                <w:rFonts w:cs="Times New Roman" w:asciiTheme="majorEastAsia" w:hAnsiTheme="majorEastAsia" w:eastAsiaTheme="majorEastAsia"/>
                <w:color w:val="auto"/>
                <w:sz w:val="24"/>
                <w:szCs w:val="24"/>
              </w:rPr>
              <w:t>认证：</w:t>
            </w:r>
          </w:p>
          <w:p>
            <w:pPr>
              <w:snapToGrid w:val="0"/>
              <w:spacing w:after="0" w:line="360" w:lineRule="auto"/>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（10）原厂焊线：邻苯类增塑剂不含</w:t>
            </w:r>
            <w:r>
              <w:rPr>
                <w:rFonts w:hint="eastAsia" w:cs="Times New Roman" w:asciiTheme="majorEastAsia" w:hAnsiTheme="majorEastAsia" w:eastAsiaTheme="majorEastAsia"/>
                <w:color w:val="auto"/>
                <w:sz w:val="24"/>
                <w:szCs w:val="24"/>
              </w:rPr>
              <w:t>。</w:t>
            </w:r>
          </w:p>
        </w:tc>
      </w:tr>
    </w:tbl>
    <w:p>
      <w:pPr>
        <w:adjustRightInd w:val="0"/>
        <w:snapToGrid w:val="0"/>
        <w:spacing w:line="360" w:lineRule="auto"/>
        <w:ind w:firstLine="480" w:firstLineChars="200"/>
        <w:rPr>
          <w:rFonts w:cs="Times New Roman"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w:t>
      </w:r>
      <w:r>
        <w:rPr>
          <w:rFonts w:cs="宋体" w:asciiTheme="majorEastAsia" w:hAnsiTheme="majorEastAsia" w:eastAsiaTheme="majorEastAsia"/>
          <w:color w:val="auto"/>
          <w:sz w:val="24"/>
          <w:szCs w:val="24"/>
        </w:rPr>
        <w:t>5</w:t>
      </w:r>
      <w:r>
        <w:rPr>
          <w:rFonts w:hint="eastAsia" w:cs="宋体"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项目实施过程中须执行的标准：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1.技术标准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《采暖通风与空气调节设计规范》             （GB50019-2015）</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《建筑设计防火规范》                       （GB50016-2014）</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《排风柜/lab fume hood》                    (JB/T6412－1999)</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《实验室变风量排风柜/lab VAV fume hood》    (JG/T222－2007)</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BS EN14175-6 Variable air volume Fume Cupboards变风量通风柜</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En14175-4-2004《通风柜泄漏率规范要求》</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GB50194-2014《建设工程施工现场供用电安全规范》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GB50268-2008 《给水排水管道工程施工及验收规范》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GB50222-2001 《建筑内部装修设计防火规范》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 50312-2007 《综合布线系统工程验收规范》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GB50303-2015 《建筑电力安装工程施工质量验收规范》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GB50169-2006 《电力装置安装工程接地装置施工及验收规范》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GB50168-2006 《电力装置安装工程电缆线路施工及验收规范》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GB50150-2006 《电力装置安装工程电力设备交接试验标准》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GB50236-2011 《现场设备、工业管道焊接工程施工规范》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GB50683-2011 《现场设备、工业管道焊接工程施工质量验收规范》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GB50300-2013 《建筑工程施工质量验收统一标准》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GB50242-2002 《建筑给水排水及采暖工程质量验收规范》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GB50243-2002 《通风与空调工程施工质量验收规范》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GB16297-1996 《国家大气污染物综合排放标准》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GB3095-2012 《环境空气质量标准》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GBZ1-2010 《工业企业设计卫生标准》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GB3096-2008 《声环境质量标准》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B10005409《简明通风设计手册》</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采购人确认的有关设计要求和采购人提出的一些要求</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工艺专业提供的有关设计要求</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2.验评标准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 50243-2016 《通风与空调工程施工质量验收规范》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GB50268-2008 《给水排水管道工程施工及验收规范》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 50312-2016 《综合布线系统工程验收规范》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GB50303-2015 《建筑电力安装工程施工质量验收规范》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GB50169-2016 《电力装置安装工程接地装置施工及验收规范》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GB50168-2018 《电力装置安装工程电缆线路施工及验收规范》</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GB50150-2016 《电力装置安装工程电力设备交接试验标准》</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《压缩机、风机、泵安装工程施工及验收规范》（GB50275－2010）</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《实验室变风量排风柜/lab VAV fume hood》（JG/T222－2007）</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《排风柜/lab fume hood》（JB/T6412－1999）</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BS EN14175-6 Variable air volume Fume Cupboards变风量通风柜</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工程部分技术要求</w:t>
      </w:r>
    </w:p>
    <w:p>
      <w:pPr>
        <w:adjustRightInd w:val="0"/>
        <w:snapToGrid w:val="0"/>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工程量清单详见附件3《</w:t>
      </w:r>
      <w:r>
        <w:rPr>
          <w:rFonts w:hint="eastAsia" w:cs="Times New Roman" w:asciiTheme="majorEastAsia" w:hAnsiTheme="majorEastAsia" w:eastAsiaTheme="majorEastAsia"/>
          <w:color w:val="auto"/>
          <w:sz w:val="24"/>
          <w:szCs w:val="24"/>
        </w:rPr>
        <w:t>海南省环境科学研究院科研实验室装修改造工程量清单</w:t>
      </w:r>
      <w:r>
        <w:rPr>
          <w:rFonts w:hint="eastAsia" w:asciiTheme="majorEastAsia" w:hAnsiTheme="majorEastAsia" w:eastAsiaTheme="majorEastAsia"/>
          <w:color w:val="auto"/>
          <w:sz w:val="24"/>
          <w:szCs w:val="24"/>
        </w:rPr>
        <w:t>》。</w:t>
      </w:r>
    </w:p>
    <w:p>
      <w:pPr>
        <w:pStyle w:val="36"/>
        <w:snapToGrid w:val="0"/>
        <w:spacing w:line="360" w:lineRule="auto"/>
        <w:ind w:left="0" w:firstLine="0"/>
        <w:jc w:val="both"/>
        <w:rPr>
          <w:rFonts w:cs="Times New Roman" w:asciiTheme="majorEastAsia" w:hAnsiTheme="majorEastAsia" w:eastAsiaTheme="majorEastAsia"/>
          <w:sz w:val="30"/>
          <w:szCs w:val="30"/>
        </w:rPr>
      </w:pPr>
      <w:bookmarkStart w:id="58" w:name="_Toc71553226"/>
      <w:r>
        <w:rPr>
          <w:rFonts w:hint="eastAsia" w:cs="Times New Roman" w:asciiTheme="majorEastAsia" w:hAnsiTheme="majorEastAsia" w:eastAsiaTheme="majorEastAsia"/>
          <w:sz w:val="30"/>
          <w:szCs w:val="30"/>
        </w:rPr>
        <w:t>二、</w:t>
      </w:r>
      <w:r>
        <w:rPr>
          <w:rFonts w:cs="Times New Roman" w:asciiTheme="majorEastAsia" w:hAnsiTheme="majorEastAsia" w:eastAsiaTheme="majorEastAsia"/>
          <w:sz w:val="30"/>
          <w:szCs w:val="30"/>
        </w:rPr>
        <w:t>工程部分技术要求</w:t>
      </w:r>
      <w:bookmarkEnd w:id="58"/>
    </w:p>
    <w:p>
      <w:pPr>
        <w:spacing w:line="360" w:lineRule="auto"/>
        <w:rPr>
          <w:rFonts w:cs="Times New Roman"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1、给排水系统工程技术要求</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849"/>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452"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名称</w:t>
            </w:r>
          </w:p>
        </w:tc>
        <w:tc>
          <w:tcPr>
            <w:tcW w:w="4064" w:type="pct"/>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jc w:val="cente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给水</w:t>
            </w:r>
          </w:p>
        </w:tc>
        <w:tc>
          <w:tcPr>
            <w:tcW w:w="4064"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给水管为PPR管。</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管道的材质及规格公称管径，应满足国家及行业标准。</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室外管径≥DN50采用碳钢闸阀，室内采用不锈钢二片式球阀或截止阀。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jc w:val="cente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排水</w:t>
            </w:r>
          </w:p>
        </w:tc>
        <w:tc>
          <w:tcPr>
            <w:tcW w:w="4064"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排水设施应当大小适宜，并安装防止倒灌装置。应当尽可能避免明沟排水；不可避免时，明沟宜浅，以方便清洁和消毒。</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洁净地漏安装与地面平整，并具有一定坡度，盖板面不倾斜，内表面光洁，易清洗，开启方便，能防止废水、废气倒灌，排水通畅。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jc w:val="cente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安装要求</w:t>
            </w:r>
          </w:p>
        </w:tc>
        <w:tc>
          <w:tcPr>
            <w:tcW w:w="4064"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asciiTheme="majorEastAsia" w:hAnsiTheme="majorEastAsia" w:eastAsiaTheme="majorEastAsia"/>
                <w:color w:val="auto"/>
              </w:rPr>
              <w:t>给排水需根据实验室平面布局图及现场情况进行二次深化设计后经甲方确认后再施工。</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管道在安装时必须进行吹扫，除锈，刷漆处理；不锈钢管道按规范处理。管道的安装应考虑到操作和检修方便，阻力小，并注意整齐。</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管道安装应不妨碍正常的观察和运行维护，不妨碍设备的检修和门窗的开关。</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管道穿墙时应设置套管，管子与套管间应留有10mm左右的间隙,将缝隙封堵。</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最高点应装排气阀；最低点应安装排水阀。</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管道安装试压、保温完成后应标注流体的方向及流体代号，箭头应用不同颜色区分不同的流体的管道。所有主管道及操作点都应有足够的标识。</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管道部件焊接时，应将管内焊缝氧化物清洗掉，安装完毕后，应对整个管道进行脱脂、试压等，并需记录。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jc w:val="center"/>
              <w:textAlignment w:val="center"/>
              <w:rPr>
                <w:rFonts w:cs="宋体" w:asciiTheme="majorEastAsia" w:hAnsiTheme="majorEastAsia" w:eastAsiaTheme="majorEastAsia"/>
                <w:bCs/>
                <w:color w:val="auto"/>
                <w:sz w:val="24"/>
                <w:szCs w:val="24"/>
              </w:rPr>
            </w:pPr>
            <w:r>
              <w:rPr>
                <w:rFonts w:hint="eastAsia" w:ascii="宋体" w:hAnsi="宋体"/>
                <w:color w:val="auto"/>
                <w:sz w:val="24"/>
              </w:rPr>
              <w:t>废水处理设施</w:t>
            </w:r>
          </w:p>
        </w:tc>
        <w:tc>
          <w:tcPr>
            <w:tcW w:w="4064"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hAnsi="宋体"/>
                <w:color w:val="auto"/>
                <w:sz w:val="24"/>
              </w:rPr>
              <w:t>一体化废水处理，废水处理能力：</w:t>
            </w:r>
            <w:r>
              <w:rPr>
                <w:rFonts w:hint="eastAsia" w:hAnsi="宋体" w:eastAsia="宋体"/>
                <w:color w:val="auto"/>
                <w:sz w:val="24"/>
              </w:rPr>
              <w:t>≥</w:t>
            </w:r>
            <w:r>
              <w:rPr>
                <w:rFonts w:hint="eastAsia" w:hAnsi="宋体"/>
                <w:color w:val="auto"/>
                <w:sz w:val="24"/>
              </w:rPr>
              <w:t>100-200L/D；一体集成，出水水质符合相关环保要求。</w:t>
            </w:r>
          </w:p>
        </w:tc>
      </w:tr>
    </w:tbl>
    <w:p>
      <w:pPr>
        <w:spacing w:beforeLines="50" w:after="0"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w:t>
      </w:r>
      <w:r>
        <w:rPr>
          <w:rFonts w:asciiTheme="majorEastAsia" w:hAnsiTheme="majorEastAsia" w:eastAsiaTheme="majorEastAsia"/>
          <w:bCs/>
          <w:color w:val="auto"/>
          <w:sz w:val="24"/>
          <w:szCs w:val="24"/>
        </w:rPr>
        <w:t>电</w:t>
      </w:r>
      <w:r>
        <w:rPr>
          <w:rFonts w:hint="eastAsia" w:asciiTheme="majorEastAsia" w:hAnsiTheme="majorEastAsia" w:eastAsiaTheme="majorEastAsia"/>
          <w:bCs/>
          <w:color w:val="auto"/>
          <w:sz w:val="24"/>
          <w:szCs w:val="24"/>
        </w:rPr>
        <w:t>力系统工程技术要求</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849"/>
        <w:gridCol w:w="7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452"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名称</w:t>
            </w:r>
          </w:p>
        </w:tc>
        <w:tc>
          <w:tcPr>
            <w:tcW w:w="4065" w:type="pct"/>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建设范围</w:t>
            </w:r>
          </w:p>
        </w:tc>
        <w:tc>
          <w:tcPr>
            <w:tcW w:w="4065" w:type="pct"/>
            <w:tcBorders>
              <w:top w:val="single" w:color="auto" w:sz="4" w:space="0"/>
              <w:left w:val="nil"/>
              <w:bottom w:val="single" w:color="auto" w:sz="4" w:space="0"/>
              <w:right w:val="single" w:color="auto" w:sz="4" w:space="0"/>
            </w:tcBorders>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本项目电力系统包括：电力配电系统、综合布线系统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安装总体要求</w:t>
            </w:r>
          </w:p>
        </w:tc>
        <w:tc>
          <w:tcPr>
            <w:tcW w:w="4065" w:type="pct"/>
            <w:tcBorders>
              <w:top w:val="single" w:color="auto" w:sz="4" w:space="0"/>
              <w:left w:val="nil"/>
              <w:bottom w:val="single" w:color="auto" w:sz="4" w:space="0"/>
              <w:right w:val="single" w:color="auto" w:sz="4" w:space="0"/>
            </w:tcBorders>
          </w:tcPr>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A、由中标方将配电总线布入每个实验室内，室内安装配电总箱，从配电箱出来电源到设备位置。分路配电箱、回路大小、插座数量和型号由中标方施工，穿线从吊顶上方布置，通过功能服务柱下到指定的位置；</w:t>
            </w:r>
          </w:p>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特别说明：</w:t>
            </w:r>
          </w:p>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（1）投标人须根据设计用电要求布设电线、插座，常规每条回路不低于5~7个插座（中央台、普通边台的插座数量根据用户实际要求确定）；</w:t>
            </w:r>
          </w:p>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实验室中间中央台、仪器台的电力、水、气路等均通过功能服务柱布设；实验室内靠边实验台（紧靠墙体的），中标方须通过在墙体开槽、墙体内布线（涉及到轻质隔墙的）或地面开槽方式布线；中标方在施工每个房间布线（含电力、水、气路等）须出具详细图纸经采购人确认后方可动工；</w:t>
            </w:r>
          </w:p>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B、实验室、通风柜上电源插座功率大小、数量由中标方根据采购人使用需求确定，基本原则要求在功率、数量上一定要满足采购人设备安装使用需求，不得再额外增加费用；</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C、仪器台等类似用电功率较大，中标方从房间配电箱布设电源到仪器台或大功率用电器位置必须安装分控电箱，保证安全和科学，安装位置采用隐蔽式安装，中标方须考虑在仪器台后下方或大功率用电设备附近设计最佳安全位置，且保证美观；</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D、实验室内每条电力回路须标配漏保、空开等安全电力设备，投标人在报价中须包含；对于有接地要求的大型仪器，须考虑大型仪器供电与室内的接地扁铁连接；可能涉及到需要在功能柱、通风设备上安装电源开关的，中标方须根据要求预留和开好孔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电力配电系统</w:t>
            </w:r>
          </w:p>
        </w:tc>
        <w:tc>
          <w:tcPr>
            <w:tcW w:w="4065" w:type="pct"/>
            <w:tcBorders>
              <w:top w:val="single" w:color="auto" w:sz="4" w:space="0"/>
              <w:left w:val="nil"/>
              <w:bottom w:val="single" w:color="auto" w:sz="4" w:space="0"/>
              <w:right w:val="single" w:color="auto" w:sz="4" w:space="0"/>
            </w:tcBorders>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▲强电间须设置一台总配电柜，由前端引入一路电缆至总配电柜，为实验室动力、照明系统配电。本工程除应急照明外，负荷均为三级负荷，采用单电源单回路供电。应急照明引自原建筑应急照明专用配电箱。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设备选择及安装</w:t>
            </w:r>
          </w:p>
        </w:tc>
        <w:tc>
          <w:tcPr>
            <w:tcW w:w="4065" w:type="pct"/>
            <w:tcBorders>
              <w:top w:val="single" w:color="auto" w:sz="4" w:space="0"/>
              <w:left w:val="nil"/>
              <w:bottom w:val="single" w:color="auto" w:sz="4" w:space="0"/>
              <w:right w:val="single" w:color="auto" w:sz="4" w:space="0"/>
            </w:tcBorders>
          </w:tcPr>
          <w:p>
            <w:pPr>
              <w:numPr>
                <w:ilvl w:val="0"/>
                <w:numId w:val="4"/>
              </w:numPr>
              <w:adjustRightInd w:val="0"/>
              <w:snapToGrid w:val="0"/>
              <w:spacing w:after="0"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所有电力箱、控制箱均为挂墙明装或落地安装，安装高度规定为底边距地1.4m，落地式安装，下设200mm基座。</w:t>
            </w:r>
          </w:p>
          <w:p>
            <w:pPr>
              <w:numPr>
                <w:ilvl w:val="0"/>
                <w:numId w:val="4"/>
              </w:numPr>
              <w:adjustRightInd w:val="0"/>
              <w:snapToGrid w:val="0"/>
              <w:spacing w:after="0"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照明开关、插座均选用经国家认证的名牌产品。除注明者外，均为250V，10A，照明开关应带电源指示灯，开关断开时，电源指示灯亮，以显示开关位置。除注明者外，插座均为单相两孔+三孔安全型插座,安装高度底边距地1.0m。开关底边距地1.4m，距门框0.15m。</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空调调速开关的管线均为BV-7x1.0 JDG20。调速开关底边距地1.4m。空调机、排风机等各类风机及设备电源出线口的具体位置，以设备专业图纸为准。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jc w:val="cente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电缆、导线的选型及敷设</w:t>
            </w:r>
          </w:p>
          <w:p>
            <w:pPr>
              <w:textAlignment w:val="center"/>
              <w:rPr>
                <w:rFonts w:cs="宋体" w:asciiTheme="majorEastAsia" w:hAnsiTheme="majorEastAsia" w:eastAsiaTheme="majorEastAsia"/>
                <w:bCs/>
                <w:color w:val="auto"/>
                <w:sz w:val="24"/>
                <w:szCs w:val="24"/>
              </w:rPr>
            </w:pPr>
          </w:p>
        </w:tc>
        <w:tc>
          <w:tcPr>
            <w:tcW w:w="4065" w:type="pct"/>
            <w:tcBorders>
              <w:top w:val="single" w:color="auto" w:sz="4" w:space="0"/>
              <w:left w:val="nil"/>
              <w:bottom w:val="single" w:color="auto" w:sz="4" w:space="0"/>
              <w:right w:val="single" w:color="auto" w:sz="4" w:space="0"/>
            </w:tcBorders>
          </w:tcPr>
          <w:p>
            <w:pPr>
              <w:numPr>
                <w:ilvl w:val="0"/>
                <w:numId w:val="5"/>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低压出线电缆中供电电缆选用WDZB-YJV-1kV低烟无卤交联聚乙烯绝缘，聚氯乙烯护套铜芯阻燃B类电力电缆，工作温度：90℃。供电电线选用WDZB-BYJ-500V低烟无卤交联聚乙烯阻燃导线，穿管敷设。在电缆桥架上敷设的导线应按回路绑扎成束。</w:t>
            </w:r>
          </w:p>
          <w:p>
            <w:pPr>
              <w:numPr>
                <w:ilvl w:val="0"/>
                <w:numId w:val="5"/>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电缆/电线保护管采用薄壁镀锌钢管JDG管或镀锌钢管SC管，详见系统图。平面图中所有回路均按回路单独穿管，不同支路不应共管敷设。各回路N、PE线均从箱内引出。</w:t>
            </w:r>
          </w:p>
          <w:p>
            <w:pPr>
              <w:numPr>
                <w:ilvl w:val="0"/>
                <w:numId w:val="5"/>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PE线必须用绿/黄导线或标识。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综合布线系统</w:t>
            </w:r>
          </w:p>
        </w:tc>
        <w:tc>
          <w:tcPr>
            <w:tcW w:w="4065" w:type="pct"/>
            <w:tcBorders>
              <w:top w:val="single" w:color="auto" w:sz="4" w:space="0"/>
              <w:left w:val="nil"/>
              <w:bottom w:val="single" w:color="auto" w:sz="4" w:space="0"/>
              <w:right w:val="single" w:color="auto" w:sz="4" w:space="0"/>
            </w:tcBorders>
          </w:tcPr>
          <w:p>
            <w:pPr>
              <w:numPr>
                <w:ilvl w:val="0"/>
                <w:numId w:val="6"/>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本工程计算机和电话采用非屏蔽综合布线系统，网络线选用六类电缆，电话线选用两芯电话线，穿镀锌钢管暗敷。根据网络的要求自配UPS电源。综合布线系统相关配件也为六类。</w:t>
            </w:r>
          </w:p>
          <w:p>
            <w:pPr>
              <w:numPr>
                <w:ilvl w:val="0"/>
                <w:numId w:val="6"/>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出线插座采用六类，暗装，底边距地0.3m(有架空地板的房间，底边距架空地板0.3m)</w:t>
            </w:r>
          </w:p>
          <w:p>
            <w:pPr>
              <w:numPr>
                <w:ilvl w:val="0"/>
                <w:numId w:val="6"/>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综合布线系统具体构成由中标方与采购人协商确定。网络设备根据采购人需求配备。</w:t>
            </w:r>
          </w:p>
          <w:p>
            <w:pPr>
              <w:numPr>
                <w:ilvl w:val="0"/>
                <w:numId w:val="6"/>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综合布线系统所有器件、设备均由中标方负责成套供货、安装、调试。</w:t>
            </w:r>
          </w:p>
          <w:p>
            <w:pPr>
              <w:numPr>
                <w:ilvl w:val="0"/>
                <w:numId w:val="6"/>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综合布线系统的设计由中标方负责。</w:t>
            </w:r>
          </w:p>
          <w:p>
            <w:pPr>
              <w:numPr>
                <w:ilvl w:val="0"/>
                <w:numId w:val="6"/>
              </w:numPr>
              <w:adjustRightInd w:val="0"/>
              <w:snapToGrid w:val="0"/>
              <w:spacing w:after="0" w:line="360" w:lineRule="auto"/>
              <w:ind w:left="0" w:firstLine="425"/>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电信引入端设置过电压保护装置。</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电力系统的工作接地与大楼综合接地合用，设专用接地线。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其他要求</w:t>
            </w:r>
          </w:p>
        </w:tc>
        <w:tc>
          <w:tcPr>
            <w:tcW w:w="4065" w:type="pct"/>
            <w:tcBorders>
              <w:top w:val="single" w:color="auto" w:sz="4" w:space="0"/>
              <w:left w:val="nil"/>
              <w:bottom w:val="single" w:color="auto" w:sz="4" w:space="0"/>
              <w:right w:val="single" w:color="auto" w:sz="4" w:space="0"/>
            </w:tcBorders>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其它凡与施工有关而又未说明之处，参见《建筑电力安装工程图集》,《建筑电力通用图集》施工，或与采购人协商解决。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264" w:lineRule="auto"/>
              <w:ind w:left="0" w:firstLine="0" w:firstLineChars="0"/>
              <w:jc w:val="center"/>
              <w:rPr>
                <w:rFonts w:cs="宋体" w:asciiTheme="majorEastAsia" w:hAnsiTheme="majorEastAsia" w:eastAsiaTheme="majorEastAsia"/>
                <w:bCs/>
                <w:kern w:val="0"/>
              </w:rPr>
            </w:pPr>
          </w:p>
        </w:tc>
        <w:tc>
          <w:tcPr>
            <w:tcW w:w="452" w:type="pct"/>
            <w:tcBorders>
              <w:top w:val="single" w:color="auto" w:sz="4" w:space="0"/>
              <w:left w:val="nil"/>
              <w:bottom w:val="single" w:color="auto" w:sz="4" w:space="0"/>
              <w:right w:val="single" w:color="auto" w:sz="4" w:space="0"/>
            </w:tcBorders>
            <w:vAlign w:val="center"/>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建筑物防雷、接地及安全措施</w:t>
            </w:r>
          </w:p>
        </w:tc>
        <w:tc>
          <w:tcPr>
            <w:tcW w:w="4065" w:type="pct"/>
            <w:tcBorders>
              <w:top w:val="single" w:color="auto" w:sz="4" w:space="0"/>
              <w:left w:val="nil"/>
              <w:bottom w:val="single" w:color="auto" w:sz="4" w:space="0"/>
              <w:right w:val="single" w:color="auto" w:sz="4" w:space="0"/>
            </w:tcBorders>
          </w:tcPr>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本项目防雷可利用原有建筑的防雷接地系统</w:t>
            </w:r>
          </w:p>
          <w:p>
            <w:pPr>
              <w:textAlignment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▲大型仪器设备均须安装防雷设施，由中标方负责安装实施。</w:t>
            </w:r>
          </w:p>
          <w:p>
            <w:pPr>
              <w:textAlignment w:val="center"/>
              <w:rPr>
                <w:rFonts w:cs="宋体" w:asciiTheme="majorEastAsia" w:hAnsiTheme="majorEastAsia" w:eastAsiaTheme="majorEastAsia"/>
                <w:bCs/>
                <w:color w:val="auto"/>
                <w:sz w:val="24"/>
                <w:szCs w:val="24"/>
              </w:rPr>
            </w:pPr>
          </w:p>
        </w:tc>
      </w:tr>
    </w:tbl>
    <w:p>
      <w:pPr>
        <w:spacing w:beforeLines="50" w:after="0" w:line="360" w:lineRule="auto"/>
        <w:rPr>
          <w:rFonts w:cs="Times New Roman"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3、实验室排风系统工程技术要求</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1657"/>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4119" w:type="pct"/>
            <w:gridSpan w:val="2"/>
            <w:tcBorders>
              <w:top w:val="single" w:color="auto" w:sz="4" w:space="0"/>
              <w:left w:val="nil"/>
              <w:bottom w:val="single" w:color="auto" w:sz="4" w:space="0"/>
              <w:right w:val="single" w:color="auto" w:sz="4" w:space="0"/>
            </w:tcBorders>
            <w:vAlign w:val="center"/>
          </w:tcPr>
          <w:p>
            <w:pPr>
              <w:spacing w:line="288" w:lineRule="auto"/>
              <w:jc w:val="center"/>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jc w:val="center"/>
              <w:rPr>
                <w:rFonts w:asciiTheme="majorEastAsia" w:hAnsiTheme="majorEastAsia" w:eastAsiaTheme="majorEastAsia"/>
                <w:bCs/>
                <w:color w:val="auto"/>
                <w:sz w:val="24"/>
                <w:szCs w:val="24"/>
              </w:rPr>
            </w:pPr>
            <w:bookmarkStart w:id="59" w:name="OLE_LINK3"/>
            <w:r>
              <w:rPr>
                <w:rFonts w:hint="eastAsia" w:asciiTheme="majorEastAsia" w:hAnsiTheme="majorEastAsia" w:eastAsiaTheme="majorEastAsia"/>
                <w:bCs/>
                <w:color w:val="auto"/>
                <w:sz w:val="24"/>
                <w:szCs w:val="24"/>
              </w:rPr>
              <w:t>通风系统</w:t>
            </w:r>
            <w:bookmarkEnd w:id="59"/>
            <w:r>
              <w:rPr>
                <w:rFonts w:hint="eastAsia" w:asciiTheme="majorEastAsia" w:hAnsiTheme="majorEastAsia" w:eastAsiaTheme="majorEastAsia"/>
                <w:bCs/>
                <w:color w:val="auto"/>
                <w:sz w:val="24"/>
                <w:szCs w:val="24"/>
              </w:rPr>
              <w:t>总体</w:t>
            </w:r>
            <w:r>
              <w:rPr>
                <w:rFonts w:hint="eastAsia" w:asciiTheme="majorEastAsia" w:hAnsiTheme="majorEastAsia" w:eastAsiaTheme="majorEastAsia"/>
                <w:color w:val="auto"/>
                <w:sz w:val="24"/>
                <w:szCs w:val="24"/>
              </w:rPr>
              <w:t>服务</w:t>
            </w:r>
            <w:r>
              <w:rPr>
                <w:rFonts w:hint="eastAsia" w:asciiTheme="majorEastAsia" w:hAnsiTheme="majorEastAsia" w:eastAsiaTheme="majorEastAsia"/>
                <w:bCs/>
                <w:color w:val="auto"/>
                <w:sz w:val="24"/>
                <w:szCs w:val="24"/>
              </w:rPr>
              <w:t>要求</w:t>
            </w:r>
          </w:p>
        </w:tc>
        <w:tc>
          <w:tcPr>
            <w:tcW w:w="3237" w:type="pct"/>
            <w:tcBorders>
              <w:top w:val="single" w:color="auto" w:sz="4" w:space="0"/>
              <w:left w:val="nil"/>
              <w:bottom w:val="single" w:color="auto" w:sz="4" w:space="0"/>
              <w:right w:val="single" w:color="auto" w:sz="4" w:space="0"/>
            </w:tcBorders>
            <w:vAlign w:val="center"/>
          </w:tcPr>
          <w:p>
            <w:pPr>
              <w:spacing w:line="264" w:lineRule="auto"/>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通风系统由</w:t>
            </w:r>
            <w:r>
              <w:rPr>
                <w:rFonts w:hint="eastAsia" w:cs="宋体" w:asciiTheme="majorEastAsia" w:hAnsiTheme="majorEastAsia" w:eastAsiaTheme="majorEastAsia"/>
                <w:bCs/>
                <w:color w:val="auto"/>
                <w:sz w:val="24"/>
                <w:szCs w:val="24"/>
              </w:rPr>
              <w:t>风机系统、废气处理系统组成。基础指风机及废气处理设备的承重基础（混凝土或钢结构基础），基础由中标方设计、施工；</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通风系统涉及的墙体开孔恢复密封、天花板开孔恢复密封均由中标方负责施工，包括相应的施工费用。</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通风系统设计、安装与施工由中标方按照采购人相关要求进行（排风管井已确认），并能确保满足采购人实验室仪器设备安装使用要求；</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通风系统与通风控制系统之间应相互衔接配合。</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所有风机开关、通风柜开关及其它辅助末端排风设备开关均含在此包范围之内，通风柜控制风量开关安装在通风柜上，其它通风末端设备开关安装在墙壁上或功能柱上，保持和房间照明一致，做到美观、合理，现场开孔穿线等安装工作由中标方负责；</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施工规范、技术规范满足国家相关标准和磋商文件规定的要求。项目验收根据由中标方设计并经采购人确认的设计标准和要求、国家相关规范要求由采购人验收。</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技术表格中的技术要求和实现的效果，若在清单中没有体现出来，中标方自行添加对应的设备辅件，否则视为赠送。当技术文件和图纸相冲突时，以本磋商文件中“第六章 用户需求书”为准，图纸仅供参考。</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中标方涉及到任何更改或微调设计等问题，须通过采购人签字同意认可，否则视为无效供货，不予验收。</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磋商文件中投标人提供的货物品牌需要在投标中明确，原则上采用性能稳定、技术先进、质量可靠的货物为本次供货标准；货物进场之前须报经采购人确认后方可进场。</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通风系统方案设计、设备选型、管道选材、现场施工等应满足实验室特殊环境下的采购人科研实验室建设使用要求和国家消防相关要求；</w:t>
            </w:r>
          </w:p>
          <w:p>
            <w:pPr>
              <w:spacing w:line="264" w:lineRule="auto"/>
              <w:rPr>
                <w:rFonts w:cs="Times New Roman" w:asciiTheme="majorEastAsia" w:hAnsiTheme="majorEastAsia" w:eastAsiaTheme="majorEastAsia"/>
                <w:b/>
                <w:color w:val="auto"/>
                <w:sz w:val="32"/>
                <w:szCs w:val="32"/>
              </w:rPr>
            </w:pPr>
            <w:r>
              <w:rPr>
                <w:rFonts w:hint="eastAsia" w:cs="宋体" w:asciiTheme="majorEastAsia" w:hAnsiTheme="majorEastAsia" w:eastAsiaTheme="majorEastAsia"/>
                <w:bCs/>
                <w:color w:val="auto"/>
                <w:sz w:val="24"/>
                <w:szCs w:val="24"/>
              </w:rPr>
              <w:t>通风系统采用变风量控制系统和定风量控制系统组合应用方式。对于通风柜采用变风量控制；通风药品柜、原子吸收罩、万向抽风罩、房间环境排风采用定风量控制模式；</w:t>
            </w:r>
          </w:p>
          <w:p>
            <w:pPr>
              <w:snapToGrid w:val="0"/>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提供变风量控制性能测试报告，证明响应时间</w:t>
            </w:r>
            <w:r>
              <w:rPr>
                <w:rFonts w:hint="eastAsia" w:cs="Arial" w:asciiTheme="majorEastAsia" w:hAnsiTheme="majorEastAsia" w:eastAsiaTheme="majorEastAsia"/>
                <w:color w:val="auto"/>
                <w:sz w:val="20"/>
                <w:szCs w:val="20"/>
                <w:shd w:val="clear" w:color="auto" w:fill="FFFFFF"/>
              </w:rPr>
              <w:t>≤</w:t>
            </w:r>
            <w:r>
              <w:rPr>
                <w:rFonts w:hint="eastAsia" w:cs="宋体" w:asciiTheme="majorEastAsia" w:hAnsiTheme="majorEastAsia" w:eastAsiaTheme="majorEastAsia"/>
                <w:bCs/>
                <w:color w:val="auto"/>
                <w:sz w:val="24"/>
                <w:szCs w:val="24"/>
              </w:rPr>
              <w:t>3秒。</w:t>
            </w:r>
          </w:p>
          <w:p>
            <w:pPr>
              <w:pStyle w:val="2"/>
              <w:ind w:firstLine="0"/>
            </w:pPr>
            <w:r>
              <w:t>变风量蝶阀:阀体采用高耐腐蚀性的PP材料，高温挤压一次成型，满足实验室防腐、防火要求；阀体防火阻燃等级为UL94-V0级；阀体的风量测量段与调节段一体成型，测量方式采用“文丘里喷嘴效应”原理，测定风量，风量控制精度±5%以内；支持测量风量实时反馈，风量传感器自动校零功能；阀体执行机构采用快速调节风阀执行器，全行程0-90度时间为1S；快速响应：对命令信号变化的响应时间小于2秒；压力无关：对风管静压变化的响应时间小于2秒；阀体自带VAV控制模块，与通风柜监控屏通讯连接，可就地接入门高传感器等面风速配件；通风柜面风速控制由阀体控制模块主动运算完成，响应更快速；支持RS485端口：3路RS485，用于相关调试、设定、控制与检测；支持2路模拟量输出（0-10V），4路数字量输出（24V 1A）；受控于通风柜监控器，面风速控制精度：当前面风速设定值0.5m/s±20%；安装无需直管段；噪音：低于55dB。</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▲通风系统末端设备面风速控制在0.5米/秒，面风速偏差±10%，噪声低于60dB(A)。排风系统与补风系统采用变风量联动控制，补风系统的最大补风量设计为排风的70-80%，以此维持室内的微负压要求。</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投标人应充分考虑顶层噪声、振动对建筑和环境带来的负面影响，排风风机与通风管道采取适用减震设计和降噪设计，采取切实有效的隔音降噪使排风系统噪声和振动达到国家相关标准要求。噪声按照GB3096-2008《声环境质量标准》1类区标准执行，振动按照GB10070-88《城市区域环境振动标准》居民、文教区执行；</w:t>
            </w:r>
          </w:p>
          <w:p>
            <w:pPr>
              <w:spacing w:line="264"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排风部分：室内排风管选用PP管道，室外部分采用有机玻璃缸管道。补风部分：采用优质镀锌钢板外贴25mm厚度橡塑保温。</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控制系统采用PLC集成控制方式，所有风机采用变频器控制，通过模拟量和数字量的输入输出再通过PLC控制机组的各种运行参数，能够清晰、真实、形象地反应出各个系统的运行状态和参数等数据（含风机风阀开关、故障显示、风量风压显示、补风机运行状态显示、工作参数显示、故障监控显示等）。PLC控制操作简单，通过可视化的中文图形界面，将系统的运行工况、控制设定及报警情况记录在显示屏上，通过通讯接口连接到台式工控机上控制显示运行参数。PLC要配置标准的RS485接口、开放的MODBUS（RTU）的通讯协议。控制系统要运行稳定、软件设计合理和方便安全有效，中标方须提供软件电子版一套及说明，控制系统的电子版资料1套及图纸1套。</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末端设备控制要求和房间控制要求</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bookmarkStart w:id="60" w:name="OLE_LINK1"/>
            <w:r>
              <w:rPr>
                <w:rFonts w:hint="eastAsia" w:cs="宋体" w:asciiTheme="majorEastAsia" w:hAnsiTheme="majorEastAsia" w:eastAsiaTheme="majorEastAsia"/>
                <w:bCs/>
                <w:color w:val="auto"/>
                <w:sz w:val="24"/>
                <w:szCs w:val="24"/>
              </w:rPr>
              <w:t>▲</w:t>
            </w:r>
            <w:bookmarkEnd w:id="60"/>
            <w:r>
              <w:rPr>
                <w:rFonts w:hint="eastAsia" w:cs="宋体" w:asciiTheme="majorEastAsia" w:hAnsiTheme="majorEastAsia" w:eastAsiaTheme="majorEastAsia"/>
                <w:bCs/>
                <w:color w:val="auto"/>
                <w:sz w:val="24"/>
                <w:szCs w:val="24"/>
              </w:rPr>
              <w:t>确保通风柜对实验中有害物质的防护——安全的面风速控制，控制面风速0.5m/s±10％。控制浓度≤0.5ml/m3，响应时间≤2s，噪声≤60dB（A），投标人必须考虑各个实验室对通风柜拉门在低点位置时（300mm高度左右）面风速参数的特殊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万向抽风罩按照150~200cmh/个计算，风速为≥0.4m/s。</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确保房间压力——气流组织从办公、管理用房、内走道到产生危险物质的实验房间。新风从远离通风柜的地方引入，空气流动路径远离通风柜，防止气流对通风柜的面风速产生扰动。某些较小的房间为避免气流扰动对通风柜面风速的影响，应该避免设置散流器或者在通风柜1.5米范围内部设置散流器 。</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房间最小换气次数——适当的换气量控制，化学实验室换气次数不小于10次/小时。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▲通风柜面风速控制系统</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传感器、控制器、操作面板、监控软件等均应采用同一厂家同一品牌产品，以保持控制系统的完整性以及维护可靠性。</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（1）基本功能：</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数字显示面风速状态；</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自动调节风量以恒定面风速；</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不安全的条件下，声音及数字显示报警；</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有人、无人操作状态下，面风速自动切换；</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通风柜门全关闭时维持最小换风次数；</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通风柜门位高报警；</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火灾及意外情况时，具有紧急强排风功能；</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（2）通风柜变风量风阀相关要求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执行器驱动方式：电动；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风量控制精度：控制风量的±10%；</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执行器响应完成时间：&lt;2秒。</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噪音小于60dB(A)。</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阀体操作温度-18-55℃。</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安全措施：当断电或故障时,风阀应处于最大排风状态(常开状态)。</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（3）为实现通风柜面风速控制，可以在以下序号4和5两种传感器之中任选其一或二者共用。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（4）通风柜专用面风速传感器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安装于通风柜一侧，实际测量通风柜面风速，测量范围：0-1m/s；测量精度±1.0%；</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传感器测量应采用热敏或热风式直接测量方式；</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传感器应有基准校核，不会随使用发生精度漂移；</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传感器安装应适用于各种不同通风柜类型。</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（5）通风柜位移传感器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高精度电位器带一条钢丝，钢丝直连到调节门或者其配重上；</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调节门开关，电位器电阻改变，通风柜控制器上产生一个0～10VDC的调节门开度信号；</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行程范围为0-1250mm，适用于通用通风柜调节窗；</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轮彀材料：绝缘颗粒涂层阳极氧化铝；</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测量精度：0.25mm；</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（6）安装方式：固定支架或螺纹安装。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变风量风阀和定风量风阀</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1、排风系统采用的变风量阀门、定风量阀门满足以下要求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（1）耐酸性蒸汽腐蚀，特别是盐酸蒸汽腐蚀；</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（2）耐二氯甲烷、三氯甲烷、四氯化碳、正己烷、丙酮等有机溶剂蒸汽腐蚀溶胀影响；</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（3）耐高沸点酸雾如高氯酸、硫酸、高沸点有机溶剂蒸汽沉积腐蚀阻碍影响；</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（4）灰尘沉积不阻碍活动部件的灵活性；</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2、排风变风量蝶阀采用耐腐蚀材质，并满足耐腐蚀要求；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（1）风阀定位准确、调节灵活、密封性能好，正常压降条件下，风阀流量特性曲线应近似线性流量特性；</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（2）风阀轴承要求调节灵活;</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(3)执行器响应速度≤2s，风量控制精度±5%，低噪音设计，受控于房间控制器；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(4)使用环境：0~50℃，RH＜90%（不结露)；</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(5)设备运输及储存环境：-10~60℃，0~95%RH（不结露）。</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3、新风系统采用的变风量蝶阀、定风量阀门满足以下要求：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（1）阀体采用UPVC材质或者PP材质；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（2）风阀定位准确、调节灵活、密封性能好，正常压降条件下，风阀流量特性曲线应近似线性流量特性；</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（3）风阀轴承要求调节灵活；</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(4)执行器响应速度≤1s，风量控制精度±5%，低噪音设计，受控于房间控制器；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(5)使用环境：0~50℃，RH＜90%（不结露)；</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(6)设备运输及储存环境：-10~60℃，0~95%RH（不结露）。</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实验室送风系统均采用变风量与定风量相结合；实验室通风柜采用变风量蝶阀；实验室其它末端排风系统采用变风量蝶阀。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排风管道</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（1）排风系统主管道选材满足国家消防要求；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（2）排风系统主管道耐酸碱腐蚀、耐有机溶剂蒸汽腐蚀、耐老化；</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（3）排风管道方案设计时尽可能减少连接环节，减少系统漏风几率；</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（4）排风管道厚度根据清单中厚度报价；</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（5）要求排风管道表面光滑、美观、布局及连接整齐。</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（6）排风管的安装应满足国家相关标准要求；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（7）所有室内排风管立管采用有机玻璃钢材质，横管采用阻燃PP材质；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（8）所有出屋面的风管采用有机玻璃钢材质；</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（9）每个实验室房间、每台通风柜均设回流装置，每套系统在机房位置设回流装置；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排风管主管道的安装</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排风管主管道的吊架与支撑的间距不得超过2m，矩形风管的吊架，不允许焊接，必须采用丝扣连接。不得将风管铆或焊到支架上。吊架采用镀锌角钢和镀锌圆钢制作，风管和支架之间用采用1MM镀锌铁皮制作宽为100MM，风管和支架之间用25MM氯丁橡胶板垫.风管转弯处两端加支吊架；风管始端与设备接头处加支吊架；干管上有较长的支管也需架设；支吊架安好后检查其牢固可靠性，悬吊风管应在适当处设置防止摆动的固定点。所有垂直的风管都要用角钢在法兰处下面做支撑。风管安装后要有足够的刚度、不能晃动、尺寸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压差控制</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通过压差传感器检测的室内压差，与要求／设定压差比较，经PID计算，调节相应房间的风阀，以保持该房间（区域）恒定的压差，压差区间为-5~-15pa。</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选用的压差传感器须具备性能稳定可靠、精度高、市场口碑好、占有率高等特点。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风量控制</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系统中通过风量传感器对系统总送风量（风压）的监测，来实现对风机变频器的控制，从而确保系统恒定的送风量，保证恒定的换气次数，同时又达到节能的作用。实验室室内换气次数为不小于8次/小时。</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选用的风量传感器须具备性能稳定可靠、精度高、市场口碑好、占有率高等特点。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技术/面风速</w:t>
            </w:r>
          </w:p>
          <w:p>
            <w:pPr>
              <w:spacing w:line="288" w:lineRule="auto"/>
              <w:rPr>
                <w:rFonts w:cs="宋体" w:asciiTheme="majorEastAsia" w:hAnsiTheme="majorEastAsia" w:eastAsiaTheme="majorEastAsia"/>
                <w:bCs/>
                <w:color w:val="auto"/>
                <w:sz w:val="24"/>
                <w:szCs w:val="24"/>
              </w:rPr>
            </w:pP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在移动门开启高度发生变化,排风量相应变化的情况下,平均面风速保持0.5 m/s不变。（平均面风速的变化只发生在，当移动门在移动时，一旦达到一定位置，平均面风速随即恢复至0.5 m/s,相应之VAV排风量由通风控制系统接口配合提供）。</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[注：平均面风速测量方式：在移动门工作开启高度0.65m时，于移动门开口截面，上下左右每隔0.3 m（以内）量测各自中心点，所测得的面风速，加总后除以所测点数所得之算数平均值]。</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达到SEFA 1-2002、ASHRAE 110-2016的标准。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通风柜自控系统功能特性</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1、自动调节以恒定不同状态下的安全面风速设定要求</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2、显示面风速值；</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3、实际测量通风柜排风量，实现闭环控制。输出实际排风流量，支持房间流量准确控制；</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4、支持显示当前变风量阀门状态以提醒用户通风柜使用状态；</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5、不安全的条件下，声音及显示报警；</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6、通风柜需按国际标准保证安全最低排风量；</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7、支持夜间工作模式；</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8、支持就地键盘操作及功能显示屏。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排风机</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风机采用一体成型有机玻璃钢材质（机壳和叶轮），风机按技术规格中要求的机组风量、出口余压等参数选择，并注明风机功率参数，风机和电机匹配后须能适应变频运行，风机在风量变化范围内保持高效率，在低转速运行时不允许发生风机喘振或出现其它不正常的运行状况，本次项目实验室排风采用的风机均为皮带式传动，电机采用变频电机，风机选用性能领先、稳定的产品。</w:t>
            </w:r>
          </w:p>
          <w:p>
            <w:pPr>
              <w:spacing w:line="288"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为确保产品的稳定性，投标过程中提供玻璃钢离心风机需满足以下a)-c)技术参数要求的第三方检测机构出具的检测报告及证书复印件并加盖生产厂公章；</w:t>
            </w:r>
          </w:p>
          <w:p>
            <w:pPr>
              <w:spacing w:line="288"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a）.贯彻国家节能环保要求，满足节能要求，风机需取得国家CQC节能认证证书，通风风机产品能源效率按照GB19761-2009的规定效率二级以上或者达到一级（由国家能效标识网备案）。</w:t>
            </w:r>
          </w:p>
          <w:p>
            <w:pPr>
              <w:spacing w:line="288"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b）.风机的机械安全装置护罩符合国际标准化ISO 12499：1999规定各项安全要求（采用国际标准产品）</w:t>
            </w:r>
          </w:p>
          <w:p>
            <w:pPr>
              <w:spacing w:line="288" w:lineRule="auto"/>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c）.风机产品通过电磁兼容性测试认证；</w:t>
            </w:r>
            <w:r>
              <w:rPr>
                <w:rFonts w:hint="eastAsia" w:cs="宋体" w:asciiTheme="majorEastAsia" w:hAnsiTheme="majorEastAsia" w:eastAsiaTheme="majorEastAsia"/>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电机</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采用户外全封闭变频专用电机。防护等级IP55，绝缘等级F级或以上，温度等级为B级温升或以上，适宜在湿热的环境下长期连续运行，具有高效率，低噪音，寿命长，可靠性高等特点，电机为变频调速运行。电机与风机的匹配应达到其最佳的性能要求。所提供的电机型号都是当前国内外最新型号的环保节能产品，</w:t>
            </w:r>
            <w:r>
              <w:rPr>
                <w:rFonts w:hint="eastAsia" w:asciiTheme="majorEastAsia" w:hAnsiTheme="majorEastAsia" w:eastAsiaTheme="majorEastAsia"/>
                <w:b/>
                <w:color w:val="auto"/>
                <w:sz w:val="24"/>
                <w:szCs w:val="24"/>
              </w:rPr>
              <w:t>提供相应证书</w:t>
            </w:r>
            <w:r>
              <w:rPr>
                <w:rFonts w:hint="eastAsia" w:cs="宋体" w:asciiTheme="majorEastAsia" w:hAnsiTheme="majorEastAsia" w:eastAsiaTheme="majorEastAsia"/>
                <w:bCs/>
                <w:color w:val="auto"/>
                <w:sz w:val="24"/>
                <w:szCs w:val="24"/>
              </w:rPr>
              <w:t>，严禁选用高能耗和拟淘汰的电机型号产品。风机、电机在正常使用情况下，除皮带、轴承等易损件外，连续运行寿命达到10年以上。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防火阀</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电动防火阀里有熔断保险丝70℃，风管通过防火墙或地面时需要装电动防火阀。安装依据图纸所示位置。电动防火阀通过信号线与排风系统联动，电动防火阀动作时关闭空调送风系统，排风机全频运行，利于人员疏散，防火阀要通过消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★噪声</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系统运转时房间内噪声不超过60分贝，室外风机运行噪声不超过80分贝，各风阀调整时不得有啸叫声。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2"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变频配电柜及布线要求：</w:t>
            </w:r>
          </w:p>
        </w:tc>
        <w:tc>
          <w:tcPr>
            <w:tcW w:w="3237" w:type="pct"/>
            <w:tcBorders>
              <w:top w:val="single" w:color="auto" w:sz="4" w:space="0"/>
              <w:left w:val="nil"/>
              <w:bottom w:val="single" w:color="auto" w:sz="4" w:space="0"/>
              <w:right w:val="single" w:color="auto" w:sz="4" w:space="0"/>
            </w:tcBorders>
          </w:tcPr>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（1）电控箱为风机的变频及工频启动两用的电控箱，防水，防尘。</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（2）所有布线应按照国家标准施工，控制线不可同强电走同一线管，所有通风柜的面风速控制系统的电源线必须由本系统的风机电控箱中引出，不可就地取电。</w:t>
            </w:r>
          </w:p>
          <w:p>
            <w:pPr>
              <w:spacing w:line="288"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（3）变频器电源：三相380-480V±10%；频率：48-63Hz；功率因数：约0.98；输入信号，电压0～10 V或电流0～20 mA；需配有操作显示面板，带滤波器。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1" w:type="pct"/>
            <w:tcBorders>
              <w:top w:val="single" w:color="auto" w:sz="4" w:space="0"/>
              <w:left w:val="nil"/>
              <w:bottom w:val="single" w:color="auto" w:sz="4" w:space="0"/>
              <w:right w:val="single" w:color="auto" w:sz="4" w:space="0"/>
            </w:tcBorders>
            <w:vAlign w:val="center"/>
          </w:tcPr>
          <w:p>
            <w:pPr>
              <w:spacing w:line="288"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尾气处理总述</w:t>
            </w:r>
          </w:p>
        </w:tc>
        <w:tc>
          <w:tcPr>
            <w:tcW w:w="3238" w:type="pct"/>
            <w:tcBorders>
              <w:top w:val="single" w:color="auto" w:sz="4" w:space="0"/>
              <w:left w:val="nil"/>
              <w:bottom w:val="single" w:color="auto" w:sz="4" w:space="0"/>
              <w:right w:val="single" w:color="auto" w:sz="4" w:space="0"/>
            </w:tcBorders>
            <w:vAlign w:val="center"/>
          </w:tcPr>
          <w:p>
            <w:pPr>
              <w:pStyle w:val="31"/>
              <w:numPr>
                <w:ilvl w:val="0"/>
                <w:numId w:val="7"/>
              </w:numPr>
              <w:spacing w:line="440" w:lineRule="exact"/>
              <w:ind w:firstLineChars="0"/>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rPr>
              <w:t>▲</w:t>
            </w:r>
            <w:r>
              <w:rPr>
                <w:rFonts w:hint="eastAsia" w:cs="宋体" w:asciiTheme="majorEastAsia" w:hAnsiTheme="majorEastAsia" w:eastAsiaTheme="majorEastAsia"/>
                <w:bCs/>
                <w:kern w:val="0"/>
                <w:sz w:val="24"/>
                <w:szCs w:val="24"/>
              </w:rPr>
              <w:t>须有有机玻璃钢风机、有机废气处理塔和酸性废气处理塔制造商出具的授权书原件，为确保产品的稳定性，投标过程中需提供废气净化设备：笨、甲苯，二甲苯，氢氧化物等净化效率不小于90%的检测报告（检测报告证书加盖废气净化设备厂家鲜章佐证)；</w:t>
            </w:r>
          </w:p>
          <w:p>
            <w:pPr>
              <w:pStyle w:val="31"/>
              <w:numPr>
                <w:ilvl w:val="0"/>
                <w:numId w:val="7"/>
              </w:numPr>
              <w:spacing w:line="440" w:lineRule="exact"/>
              <w:ind w:firstLineChars="0"/>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废气排放标准按照GB16297-1996《大气污染物综合排放标准》执行</w:t>
            </w:r>
          </w:p>
          <w:p>
            <w:pPr>
              <w:pStyle w:val="31"/>
              <w:numPr>
                <w:ilvl w:val="0"/>
                <w:numId w:val="7"/>
              </w:numPr>
              <w:spacing w:line="440" w:lineRule="exact"/>
              <w:ind w:hangingChars="150"/>
              <w:rPr>
                <w:rFonts w:cs="宋体" w:asciiTheme="majorEastAsia" w:hAnsiTheme="majorEastAsia" w:eastAsiaTheme="majorEastAsia"/>
                <w:bCs/>
                <w:sz w:val="24"/>
                <w:szCs w:val="24"/>
              </w:rPr>
            </w:pPr>
            <w:r>
              <w:rPr>
                <w:rFonts w:hint="eastAsia" w:cs="宋体" w:asciiTheme="majorEastAsia" w:hAnsiTheme="majorEastAsia" w:eastAsiaTheme="majorEastAsia"/>
                <w:bCs/>
                <w:kern w:val="0"/>
                <w:sz w:val="24"/>
                <w:szCs w:val="24"/>
              </w:rPr>
              <w:t>废气处理设施的适应范围：温度-15℃-50℃，湿度0-95%</w:t>
            </w:r>
            <w:r>
              <w:rPr>
                <w:rFonts w:hint="eastAsia" w:cs="宋体" w:asciiTheme="majorEastAsia" w:hAnsiTheme="majorEastAsia" w:eastAsiaTheme="majorEastAsia"/>
                <w:bCs/>
                <w:sz w:val="24"/>
                <w:szCs w:val="24"/>
              </w:rPr>
              <w:t>排风系统划分时应考虑废气种类、分析工作的非同步性、易于管理等因素，以保证废气达到设计标准排放，降低能源消耗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1" w:type="pct"/>
            <w:tcBorders>
              <w:top w:val="single" w:color="auto" w:sz="4" w:space="0"/>
              <w:left w:val="nil"/>
              <w:bottom w:val="single" w:color="auto" w:sz="4" w:space="0"/>
              <w:right w:val="single" w:color="auto" w:sz="4" w:space="0"/>
            </w:tcBorders>
            <w:vAlign w:val="center"/>
          </w:tcPr>
          <w:p>
            <w:pPr>
              <w:spacing w:line="288" w:lineRule="auto"/>
              <w:jc w:val="center"/>
              <w:rPr>
                <w:rFonts w:asciiTheme="majorEastAsia" w:hAnsiTheme="majorEastAsia" w:eastAsiaTheme="majorEastAsia"/>
                <w:color w:val="auto"/>
                <w:sz w:val="21"/>
                <w:szCs w:val="21"/>
              </w:rPr>
            </w:pPr>
            <w:r>
              <w:rPr>
                <w:rFonts w:hint="eastAsia" w:cs="宋体" w:asciiTheme="majorEastAsia" w:hAnsiTheme="majorEastAsia" w:eastAsiaTheme="majorEastAsia"/>
                <w:bCs/>
                <w:color w:val="auto"/>
                <w:sz w:val="24"/>
                <w:szCs w:val="24"/>
              </w:rPr>
              <w:t>▲碳纤维过滤器</w:t>
            </w:r>
          </w:p>
        </w:tc>
        <w:tc>
          <w:tcPr>
            <w:tcW w:w="3238" w:type="pct"/>
            <w:tcBorders>
              <w:top w:val="single" w:color="auto" w:sz="4" w:space="0"/>
              <w:left w:val="nil"/>
              <w:bottom w:val="single" w:color="auto" w:sz="4" w:space="0"/>
              <w:right w:val="single" w:color="auto" w:sz="4" w:space="0"/>
            </w:tcBorders>
            <w:vAlign w:val="center"/>
          </w:tcPr>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（1）箱体材质为有机玻璃钢，外壳厚度不低于10毫米，底座采用工字型槽钢连接，保证使用寿命和外观美观；</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（2）过滤器截面风速小于2m/s，过滤器采用桶状结构，填料桶数量不低于8个；</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（3）箱体结构设计可更换过滤材料，以减少使用成本；</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（4）处理后的废气净化标准在满足国家现行规范的前提下，并达到磋商文件中规定的参数标准；</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（5）除人为损坏外，投标人需确保设备的正常使用年限不少于10年；</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（6）净化塔规格要求须严格按照招标清单规格尺寸；</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（7）对有机废气吸附效率超过97%以上；</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（8）可监控吸附塔吸附饱和度。</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主要处理效率参数</w:t>
            </w:r>
          </w:p>
          <w:tbl>
            <w:tblPr>
              <w:tblStyle w:val="18"/>
              <w:tblW w:w="0" w:type="auto"/>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名称</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参数或指标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外型规格（mm）</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3500*1800*1500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单丝直径（</w:t>
                  </w:r>
                  <w:r>
                    <w:rPr>
                      <w:rFonts w:asciiTheme="majorEastAsia" w:hAnsiTheme="majorEastAsia" w:eastAsiaTheme="majorEastAsia"/>
                      <w:color w:val="auto"/>
                    </w:rPr>
                    <w:t>µ</w:t>
                  </w:r>
                  <w:r>
                    <w:rPr>
                      <w:rFonts w:hint="eastAsia" w:cs="宋体" w:asciiTheme="majorEastAsia" w:hAnsiTheme="majorEastAsia" w:eastAsiaTheme="majorEastAsia"/>
                      <w:color w:val="auto"/>
                    </w:rPr>
                    <w:t>m</w:t>
                  </w:r>
                  <w:r>
                    <w:rPr>
                      <w:rFonts w:hint="eastAsia" w:asciiTheme="majorEastAsia" w:hAnsiTheme="majorEastAsia" w:eastAsiaTheme="majorEastAsia"/>
                      <w:color w:val="auto"/>
                    </w:rPr>
                    <w:t>）</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比表面积（</w:t>
                  </w:r>
                  <w:r>
                    <w:rPr>
                      <w:rFonts w:hint="eastAsia" w:cs="宋体" w:asciiTheme="majorEastAsia" w:hAnsiTheme="majorEastAsia" w:eastAsiaTheme="majorEastAsia"/>
                      <w:color w:val="auto"/>
                    </w:rPr>
                    <w:t>㎡/g</w:t>
                  </w:r>
                  <w:r>
                    <w:rPr>
                      <w:rFonts w:hint="eastAsia" w:asciiTheme="majorEastAsia" w:hAnsiTheme="majorEastAsia" w:eastAsiaTheme="majorEastAsia"/>
                      <w:color w:val="auto"/>
                    </w:rPr>
                    <w:t>）</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1300~1500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滤层(g/</w:t>
                  </w:r>
                  <w:r>
                    <w:rPr>
                      <w:rFonts w:hint="eastAsia" w:cs="宋体" w:asciiTheme="majorEastAsia" w:hAnsiTheme="majorEastAsia" w:eastAsiaTheme="majorEastAsia"/>
                      <w:color w:val="auto"/>
                    </w:rPr>
                    <w:t>㎡</w:t>
                  </w:r>
                  <w:r>
                    <w:rPr>
                      <w:rFonts w:hint="eastAsia" w:asciiTheme="majorEastAsia" w:hAnsiTheme="majorEastAsia" w:eastAsiaTheme="majorEastAsia"/>
                      <w:color w:val="auto"/>
                    </w:rPr>
                    <w:t>)</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45~330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松密度(g/</w:t>
                  </w:r>
                  <w:r>
                    <w:rPr>
                      <w:rFonts w:hint="eastAsia" w:cs="宋体" w:asciiTheme="majorEastAsia" w:hAnsiTheme="majorEastAsia" w:eastAsiaTheme="majorEastAsia"/>
                      <w:color w:val="auto"/>
                    </w:rPr>
                    <w:t>㎡</w:t>
                  </w:r>
                  <w:r>
                    <w:rPr>
                      <w:rFonts w:hint="eastAsia" w:asciiTheme="majorEastAsia" w:hAnsiTheme="majorEastAsia" w:eastAsiaTheme="majorEastAsia"/>
                      <w:color w:val="auto"/>
                    </w:rPr>
                    <w:t>)</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净化效率(</w:t>
                  </w:r>
                  <w:r>
                    <w:rPr>
                      <w:rFonts w:hint="eastAsia" w:cs="宋体" w:asciiTheme="majorEastAsia" w:hAnsiTheme="majorEastAsia" w:eastAsiaTheme="majorEastAsia"/>
                      <w:color w:val="auto"/>
                    </w:rPr>
                    <w:t>％</w:t>
                  </w:r>
                  <w:r>
                    <w:rPr>
                      <w:rFonts w:hint="eastAsia" w:asciiTheme="majorEastAsia" w:hAnsiTheme="majorEastAsia" w:eastAsiaTheme="majorEastAsia"/>
                      <w:color w:val="auto"/>
                    </w:rPr>
                    <w:t>)</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cs="Arial" w:asciiTheme="majorEastAsia" w:hAnsiTheme="majorEastAsia" w:eastAsiaTheme="majorEastAsia"/>
                      <w:color w:val="auto"/>
                    </w:rPr>
                    <w:t>≥</w:t>
                  </w:r>
                  <w:r>
                    <w:rPr>
                      <w:rFonts w:hint="eastAsia" w:asciiTheme="majorEastAsia" w:hAnsiTheme="majorEastAsia" w:eastAsiaTheme="majorEastAsia"/>
                      <w:color w:val="auto"/>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1"/>
                      <w:szCs w:val="21"/>
                    </w:rPr>
                  </w:pPr>
                  <w:r>
                    <w:rPr>
                      <w:rFonts w:hint="eastAsia" w:asciiTheme="majorEastAsia" w:hAnsiTheme="majorEastAsia" w:eastAsiaTheme="majorEastAsia"/>
                      <w:color w:val="auto"/>
                    </w:rPr>
                    <w:t>材质和安装方式</w:t>
                  </w:r>
                </w:p>
              </w:tc>
              <w:tc>
                <w:tcPr>
                  <w:tcW w:w="2250" w:type="dxa"/>
                  <w:tcBorders>
                    <w:top w:val="single" w:color="auto" w:sz="4" w:space="0"/>
                    <w:left w:val="nil"/>
                    <w:bottom w:val="single" w:color="auto" w:sz="4" w:space="0"/>
                    <w:right w:val="single" w:color="auto" w:sz="4" w:space="0"/>
                  </w:tcBorders>
                  <w:vAlign w:val="center"/>
                </w:tcPr>
                <w:p>
                  <w:pPr>
                    <w:spacing w:line="440" w:lineRule="exact"/>
                    <w:jc w:val="center"/>
                    <w:rPr>
                      <w:rFonts w:cs="Arial" w:asciiTheme="majorEastAsia" w:hAnsiTheme="majorEastAsia" w:eastAsiaTheme="majorEastAsia"/>
                      <w:color w:val="auto"/>
                      <w:sz w:val="21"/>
                      <w:szCs w:val="21"/>
                    </w:rPr>
                  </w:pPr>
                  <w:r>
                    <w:rPr>
                      <w:rFonts w:hint="eastAsia" w:cs="Arial" w:asciiTheme="majorEastAsia" w:hAnsiTheme="majorEastAsia" w:eastAsiaTheme="majorEastAsia"/>
                      <w:color w:val="auto"/>
                    </w:rPr>
                    <w:t>≥10mmth有机玻璃钢外壳/现场拼装</w:t>
                  </w:r>
                </w:p>
              </w:tc>
            </w:tr>
          </w:tbl>
          <w:p>
            <w:pPr>
              <w:pStyle w:val="31"/>
              <w:numPr>
                <w:ilvl w:val="0"/>
                <w:numId w:val="7"/>
              </w:numPr>
              <w:spacing w:line="440" w:lineRule="exact"/>
              <w:ind w:left="0" w:firstLine="0" w:firstLineChars="0"/>
              <w:jc w:val="left"/>
              <w:rPr>
                <w:rFonts w:cs="宋体"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881" w:type="pct"/>
            <w:tcBorders>
              <w:top w:val="single" w:color="auto" w:sz="4" w:space="0"/>
              <w:left w:val="nil"/>
              <w:bottom w:val="single" w:color="auto" w:sz="4" w:space="0"/>
              <w:right w:val="single" w:color="auto" w:sz="4" w:space="0"/>
            </w:tcBorders>
            <w:vAlign w:val="center"/>
          </w:tcPr>
          <w:p>
            <w:pPr>
              <w:spacing w:line="440" w:lineRule="exact"/>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▲酸性废气净化塔</w:t>
            </w:r>
          </w:p>
          <w:p>
            <w:pPr>
              <w:widowControl w:val="0"/>
              <w:spacing w:line="288" w:lineRule="auto"/>
              <w:jc w:val="center"/>
              <w:rPr>
                <w:rFonts w:asciiTheme="majorEastAsia" w:hAnsiTheme="majorEastAsia" w:eastAsiaTheme="majorEastAsia"/>
                <w:color w:val="auto"/>
                <w:sz w:val="32"/>
                <w:szCs w:val="32"/>
              </w:rPr>
            </w:pPr>
          </w:p>
        </w:tc>
        <w:tc>
          <w:tcPr>
            <w:tcW w:w="3238" w:type="pct"/>
            <w:tcBorders>
              <w:top w:val="single" w:color="auto" w:sz="4" w:space="0"/>
              <w:left w:val="nil"/>
              <w:bottom w:val="single" w:color="auto" w:sz="4" w:space="0"/>
              <w:right w:val="single" w:color="auto" w:sz="4" w:space="0"/>
            </w:tcBorders>
          </w:tcPr>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（1）净化塔规格与排风系统匹配；</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（2）净化塔内风速小于1.5m/s，以获得高净化效率；</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（3）净化塔材质耐腐蚀、耐老化；</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（4）净化塔阻力控制在合适范围; </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（5）净化塔配套水泵采用双机配置;</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 xml:space="preserve"> (6) 净化塔采用有机玻璃钢材质，抗拉强度：≥200MPa，弯曲强度：≥160Mpa，冲击强度：≥200KJ/m2，吸水率：≤0.35%，固化度：≥80%，净化塔塔身壁厚厚度不少8mm；</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（7）净化塔的喷淋装置应不少于两层；</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（8）处理后的废气净化标准符合或高于国家制定的现行标准和规范；</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（9）水泵：泵体采用不低于SUS304制作，耐腐蚀、运行平稳；水泵电源接线盒和轴承加油孔设于机壳外便于操作处；配套电机绝缘等级为F级，防护等级IP55。提供电机产地、生产厂商及电机性能试验报告；</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（10）净化塔内填料应考虑防污垢、防老化、抗紫外线、防腐烂及防藻类生物生长等措施；</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（11）其他钢构件应为热浸镀锌材料制作，紧固件为不锈钢；</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（12）净化塔塔身设有视镜装置或检修孔装置，以观察塔内工作情况，便于设备的维护、清理；</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（13）设备正常使用寿命大于10年；</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（14）净化塔必须采取防冻措施，保证冬季运行安全。</w:t>
            </w:r>
          </w:p>
          <w:p>
            <w:pPr>
              <w:spacing w:line="440" w:lineRule="exact"/>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主要处理效率参数（对表中未规定的，参照国家标准）</w:t>
            </w:r>
          </w:p>
          <w:tbl>
            <w:tblPr>
              <w:tblStyle w:val="19"/>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84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废气性质</w:t>
                  </w:r>
                </w:p>
              </w:tc>
              <w:tc>
                <w:tcPr>
                  <w:tcW w:w="184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初始浓度</w:t>
                  </w:r>
                </w:p>
              </w:tc>
              <w:tc>
                <w:tcPr>
                  <w:tcW w:w="1709"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净化效率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HCL</w:t>
                  </w:r>
                </w:p>
              </w:tc>
              <w:tc>
                <w:tcPr>
                  <w:tcW w:w="184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cs="宋体" w:asciiTheme="majorEastAsia" w:hAnsiTheme="majorEastAsia" w:eastAsiaTheme="majorEastAsia"/>
                      <w:color w:val="auto"/>
                      <w:sz w:val="20"/>
                      <w:szCs w:val="20"/>
                    </w:rPr>
                    <w:t>≦600mg/m</w:t>
                  </w:r>
                  <w:r>
                    <w:rPr>
                      <w:rFonts w:asciiTheme="majorEastAsia" w:hAnsiTheme="majorEastAsia" w:eastAsiaTheme="majorEastAsia"/>
                      <w:color w:val="auto"/>
                      <w:sz w:val="20"/>
                      <w:szCs w:val="20"/>
                    </w:rPr>
                    <w:t>³</w:t>
                  </w:r>
                </w:p>
              </w:tc>
              <w:tc>
                <w:tcPr>
                  <w:tcW w:w="1709"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H2SO4</w:t>
                  </w:r>
                </w:p>
              </w:tc>
              <w:tc>
                <w:tcPr>
                  <w:tcW w:w="184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cs="宋体" w:asciiTheme="majorEastAsia" w:hAnsiTheme="majorEastAsia" w:eastAsiaTheme="majorEastAsia"/>
                      <w:color w:val="auto"/>
                      <w:sz w:val="20"/>
                      <w:szCs w:val="20"/>
                    </w:rPr>
                    <w:t>≦600mg/m</w:t>
                  </w:r>
                  <w:r>
                    <w:rPr>
                      <w:rFonts w:asciiTheme="majorEastAsia" w:hAnsiTheme="majorEastAsia" w:eastAsiaTheme="majorEastAsia"/>
                      <w:color w:val="auto"/>
                      <w:sz w:val="20"/>
                      <w:szCs w:val="20"/>
                    </w:rPr>
                    <w:t>³</w:t>
                  </w:r>
                </w:p>
              </w:tc>
              <w:tc>
                <w:tcPr>
                  <w:tcW w:w="1709"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NOX</w:t>
                  </w:r>
                </w:p>
              </w:tc>
              <w:tc>
                <w:tcPr>
                  <w:tcW w:w="1840"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cs="宋体" w:asciiTheme="majorEastAsia" w:hAnsiTheme="majorEastAsia" w:eastAsiaTheme="majorEastAsia"/>
                      <w:color w:val="auto"/>
                      <w:sz w:val="20"/>
                      <w:szCs w:val="20"/>
                    </w:rPr>
                    <w:t>≦1500mg/m</w:t>
                  </w:r>
                  <w:r>
                    <w:rPr>
                      <w:rFonts w:asciiTheme="majorEastAsia" w:hAnsiTheme="majorEastAsia" w:eastAsiaTheme="majorEastAsia"/>
                      <w:color w:val="auto"/>
                      <w:sz w:val="20"/>
                      <w:szCs w:val="20"/>
                    </w:rPr>
                    <w:t>³</w:t>
                  </w:r>
                </w:p>
              </w:tc>
              <w:tc>
                <w:tcPr>
                  <w:tcW w:w="1709" w:type="dxa"/>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外形规格及要求</w:t>
                  </w:r>
                </w:p>
              </w:tc>
              <w:tc>
                <w:tcPr>
                  <w:tcW w:w="3549"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color w:val="auto"/>
                      <w:sz w:val="20"/>
                      <w:szCs w:val="20"/>
                    </w:rPr>
                  </w:pPr>
                  <w:r>
                    <w:rPr>
                      <w:rFonts w:hint="eastAsia" w:asciiTheme="majorEastAsia" w:hAnsiTheme="majorEastAsia" w:eastAsiaTheme="majorEastAsia"/>
                      <w:color w:val="auto"/>
                      <w:sz w:val="20"/>
                      <w:szCs w:val="20"/>
                    </w:rPr>
                    <w:t>3500*1800*1500mm,采用</w:t>
                  </w:r>
                  <w:r>
                    <w:rPr>
                      <w:rFonts w:hint="eastAsia" w:cs="Arial" w:asciiTheme="majorEastAsia" w:hAnsiTheme="majorEastAsia" w:eastAsiaTheme="majorEastAsia"/>
                      <w:color w:val="auto"/>
                      <w:sz w:val="20"/>
                      <w:szCs w:val="20"/>
                    </w:rPr>
                    <w:t>≥10mmth有机玻璃钢制作；带自动加药系统维持正常设定的PH值，确保处理效果；塔体采用现场拼装方式安装。</w:t>
                  </w:r>
                </w:p>
              </w:tc>
            </w:tr>
          </w:tbl>
          <w:p>
            <w:pPr>
              <w:pStyle w:val="31"/>
              <w:spacing w:line="440" w:lineRule="exact"/>
              <w:ind w:firstLine="0" w:firstLineChars="0"/>
              <w:jc w:val="left"/>
              <w:rPr>
                <w:rFonts w:cs="宋体" w:asciiTheme="majorEastAsia" w:hAnsiTheme="majorEastAsia" w:eastAsiaTheme="majorEastAsia"/>
              </w:rPr>
            </w:pPr>
          </w:p>
        </w:tc>
      </w:tr>
    </w:tbl>
    <w:p>
      <w:pPr>
        <w:snapToGrid w:val="0"/>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4、实验室供气系统工程技术要求</w:t>
      </w:r>
    </w:p>
    <w:tbl>
      <w:tblPr>
        <w:tblStyle w:val="18"/>
        <w:tblW w:w="9131"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4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 号</w:t>
            </w:r>
          </w:p>
        </w:tc>
        <w:tc>
          <w:tcPr>
            <w:tcW w:w="944" w:type="dxa"/>
            <w:tcBorders>
              <w:top w:val="single" w:color="auto" w:sz="4" w:space="0"/>
              <w:left w:val="nil"/>
              <w:bottom w:val="single" w:color="auto" w:sz="4" w:space="0"/>
              <w:right w:val="single" w:color="auto" w:sz="4" w:space="0"/>
            </w:tcBorders>
          </w:tcPr>
          <w:p>
            <w:pPr>
              <w:spacing w:line="44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名称</w:t>
            </w:r>
          </w:p>
        </w:tc>
        <w:tc>
          <w:tcPr>
            <w:tcW w:w="7371" w:type="dxa"/>
            <w:tcBorders>
              <w:top w:val="single" w:color="auto" w:sz="4" w:space="0"/>
              <w:left w:val="nil"/>
              <w:bottom w:val="single" w:color="auto" w:sz="4" w:space="0"/>
              <w:right w:val="single" w:color="auto" w:sz="4" w:space="0"/>
            </w:tcBorders>
          </w:tcPr>
          <w:p>
            <w:pPr>
              <w:spacing w:line="44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详 细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restart"/>
            <w:tcBorders>
              <w:top w:val="single" w:color="auto" w:sz="4" w:space="0"/>
              <w:left w:val="nil"/>
              <w:bottom w:val="nil"/>
              <w:right w:val="single" w:color="auto" w:sz="4" w:space="0"/>
            </w:tcBorders>
            <w:vAlign w:val="center"/>
          </w:tcPr>
          <w:p>
            <w:pPr>
              <w:spacing w:line="44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工作界面和其它说明</w:t>
            </w: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气体管路系统(自气源区至气终端入口中所有设备、管道及管件)，含气路系统供货、安装及调试、验收与保修。本项目“气体管路”特指从气源区（如气瓶间）总阀门到实验室内各用气点气体阀门,包括管路、阻火、切换装置、调压装置、开关阀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nil"/>
              <w:left w:val="nil"/>
              <w:bottom w:val="nil"/>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cs="宋体"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主要工艺流程：气瓶间对钢瓶气进行一级减压，一级减压的气体通过室外管道进入室内管道，再经由二级减压器进行二次减压，最终输送到终端使用点。实验室高纯气体控制系统要求：保证中央供气系统不间断供气，保证输出气体的压力稳定，保证末端仪器使用气体的纯度，保证使用和维护的方便，最后保证整个供气系统的高安全性和可靠性</w:t>
            </w:r>
            <w:r>
              <w:rPr>
                <w:rFonts w:hint="eastAsia" w:cs="宋体" w:asciiTheme="majorEastAsia" w:hAnsiTheme="majorEastAsia" w:eastAsiaTheme="majorEastAsia"/>
                <w:bCs/>
                <w:color w:val="auto"/>
                <w:sz w:val="24"/>
                <w:szCs w:val="24"/>
              </w:rPr>
              <w:t>。</w:t>
            </w:r>
          </w:p>
          <w:p>
            <w:pPr>
              <w:adjustRightInd w:val="0"/>
              <w:snapToGrid w:val="0"/>
              <w:spacing w:line="360" w:lineRule="auto"/>
              <w:ind w:firstLine="480" w:firstLineChars="200"/>
              <w:rPr>
                <w:rFonts w:cs="Times New Roman"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w:t>
            </w:r>
            <w:r>
              <w:rPr>
                <w:rFonts w:hint="eastAsia" w:asciiTheme="majorEastAsia" w:hAnsiTheme="majorEastAsia" w:eastAsiaTheme="majorEastAsia"/>
                <w:bCs/>
                <w:color w:val="auto"/>
                <w:sz w:val="24"/>
                <w:szCs w:val="24"/>
              </w:rPr>
              <w:t>实验室气体管路工程中的气体由位于实验室主体建筑内的气源区域用管路引入。除压缩空气及真空是由空气压缩机和真空泵供气外，其余气体均由高压气瓶的形式供应。气源区需安装自动切换面板并有吹扫，放空和压力传送装置。实现高压气瓶间的自动切换让气体不间断供应和安全输送，气源区主要的控制阀门，紧急切断装置和吹扫排空装置都安装在气源区墙壁的醒目位置，便于操作人员观察和控制。实验室气体管路工程主要材质为316L BA和EP等级的不锈钢无缝钢管，所有气体管路之间的连接采用无缝焊接技术，禁止采用法兰和卡套等容易导致泄漏的连接方式。气体管道进入房间后安装检修阀，以降低由于阀组检修影响实验室大面积用气；在每个使用气体终端均采用终端减压阀组，气体经减压后直接接入仪器，终端阀组包括进气开关阀、减压阀和截止阀以及出气压力表。气瓶间及使用易燃易爆气体的实验室均预留线槽，实验室里根据要求安装易燃易爆气体泄漏侦测探头。</w:t>
            </w:r>
          </w:p>
          <w:p>
            <w:pPr>
              <w:adjustRightInd w:val="0"/>
              <w:snapToGrid w:val="0"/>
              <w:spacing w:line="360" w:lineRule="auto"/>
              <w:ind w:firstLine="480" w:firstLineChars="20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气路系统涉及的墙体开孔恢复密封、天花板开孔恢复密封均由中标方负责；从吊顶下来的管线须经过功能柱方可到台面，在功能柱内须采用橡胶材料固定，独立布设管线。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nil"/>
              <w:left w:val="nil"/>
              <w:bottom w:val="nil"/>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气路系统涉及的基础处理由中标方负责。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nil"/>
              <w:left w:val="nil"/>
              <w:bottom w:val="nil"/>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气路系统供货安装应遵守采购人的相关要求。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nil"/>
              <w:left w:val="nil"/>
              <w:bottom w:val="nil"/>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气路系统与其他系统安装施工应协调统一。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restart"/>
            <w:tcBorders>
              <w:top w:val="nil"/>
              <w:left w:val="nil"/>
              <w:bottom w:val="single" w:color="auto" w:sz="4" w:space="0"/>
              <w:right w:val="single" w:color="auto" w:sz="4" w:space="0"/>
            </w:tcBorders>
            <w:vAlign w:val="center"/>
          </w:tcPr>
          <w:p>
            <w:pPr>
              <w:spacing w:line="440" w:lineRule="exact"/>
              <w:ind w:firstLine="480"/>
              <w:jc w:val="center"/>
              <w:rPr>
                <w:rFonts w:asciiTheme="majorEastAsia" w:hAnsiTheme="majorEastAsia" w:eastAsiaTheme="majorEastAsia"/>
                <w:bCs/>
                <w:color w:val="auto"/>
                <w:sz w:val="24"/>
                <w:szCs w:val="24"/>
              </w:rPr>
            </w:pPr>
          </w:p>
          <w:p>
            <w:pPr>
              <w:spacing w:line="440" w:lineRule="exact"/>
              <w:ind w:firstLine="480"/>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 基本需求</w:t>
            </w: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惰性气体和可燃气体分区存放。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在可燃气体气瓶存放区和使用区域安装可燃气体探测报警器。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气瓶之间切换采用自动切换装置。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配备供气监控系统，监控气体泄露、低压报警等。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供气系统使用温度范围：－45℃~80℃（抗低温、防冻、防漏）。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numPr>
                <w:ilvl w:val="0"/>
                <w:numId w:val="8"/>
              </w:numPr>
              <w:spacing w:after="0" w:line="440" w:lineRule="exact"/>
              <w:rPr>
                <w:rFonts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w:t>
            </w:r>
            <w:r>
              <w:rPr>
                <w:rFonts w:hint="eastAsia" w:asciiTheme="majorEastAsia" w:hAnsiTheme="majorEastAsia" w:eastAsiaTheme="majorEastAsia"/>
                <w:bCs/>
                <w:color w:val="auto"/>
                <w:sz w:val="24"/>
                <w:szCs w:val="24"/>
              </w:rPr>
              <w:t>有易燃易爆和助燃气体的钢瓶间要定义为防爆区域，里面使用的相关电力电子元件必需为通过相关防爆认证的产品，否则严禁使用。如电接点压力表、压力传感器、开头、电源、照明灯等；</w:t>
            </w:r>
          </w:p>
          <w:p>
            <w:pPr>
              <w:numPr>
                <w:ilvl w:val="0"/>
                <w:numId w:val="8"/>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防爆要求的钢瓶间必需依据下面标准进行建设：《 建筑防爆及建筑防爆设计基本要求》、《石油化工控制室抗爆设计规范》，如配置相应的防爆墙及泄压墙，并符合相关的安全要求；</w:t>
            </w:r>
          </w:p>
          <w:p>
            <w:pPr>
              <w:numPr>
                <w:ilvl w:val="0"/>
                <w:numId w:val="8"/>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防爆要求的钢瓶间要配有相关的紧急切断供气系统。当危险发生时，远程或自动切断危险气体的供气，以保证下游设备的安全；</w:t>
            </w:r>
          </w:p>
          <w:p>
            <w:pPr>
              <w:numPr>
                <w:ilvl w:val="0"/>
                <w:numId w:val="8"/>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钢瓶间内配有相应的灭火装置，根据《建筑设计防火规范》配置相关的灭火设施，如手动或自动灭火装置；</w:t>
            </w:r>
          </w:p>
          <w:p>
            <w:pPr>
              <w:numPr>
                <w:ilvl w:val="0"/>
                <w:numId w:val="8"/>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对于易燃易爆和助燃气体，在钢瓶间主供气管路上以及实验室内二级减压阀后必须配有阻火器，防止回火引起爆炸；</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对于易燃易爆气体，钢瓶间的自动切换面板必须设置排空管路，遇到特殊情况时紧急排出危险气体，保证安全。同时用于更换钢瓶时的吹扫工序，以保证气体纯度。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供气系统材料承受压力必须大于钢瓶最大设计压力。管道整体达到保压24小时后，标压下，压降≤0.02MPa。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供气系统材料应适用于输送介质。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single" w:color="auto" w:sz="4" w:space="0"/>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附加的关键设备和部件应包括高压球阀、减压阀、开关阀、空气除油净化器、阻火器、浓度报警器等。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restart"/>
            <w:tcBorders>
              <w:top w:val="single" w:color="auto" w:sz="4" w:space="0"/>
              <w:left w:val="nil"/>
              <w:bottom w:val="single" w:color="auto" w:sz="4" w:space="0"/>
              <w:right w:val="single" w:color="auto" w:sz="4" w:space="0"/>
            </w:tcBorders>
            <w:vAlign w:val="center"/>
          </w:tcPr>
          <w:p>
            <w:pPr>
              <w:spacing w:line="440" w:lineRule="exact"/>
              <w:jc w:val="center"/>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供气系统设备选型、管道选材技术要求</w:t>
            </w: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钢瓶间内各种气体安装自动切换系统，切换系统包含自动调节阀、清洗阀、安全阀、汇流排、气瓶及阀门固定装置、电极点压力表以及系统内部的连接接头。自动切换系统整体采用优质不锈钢制造，实现主气路与备用气路自动切换，保证气路系统连续、稳定供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低压报警：气瓶内气体用尽（压力低于一定数值）需要更换时有报警提示。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可燃气切换装置后设有防爆逆止阀。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每路气体主管路应设置气体纯化器，以保证气体的纯度，参数：内部填充活化材料，杂质去除率大于99.9%。考虑检修，气体纯化器需设置一用一备。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供气系统所有部件需经除油、酸洗等高洁净度处理，保证末端气体与钢瓶气的纯度保持一致。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供气管线：内表面BA级316L内壁电抛光管，符合 ASTM  A269标准不锈钢管道，粗糙度&lt;1.0um，氧气管线须做脱脂处理，并注意保持氧气管道及内壁清洁，防止因管内杂物与内壁摩擦产生燃烧引起爆炸。乙炔管线禁用任何铜质材料。管道的内表面处理值要小于0.37μ.管道的标准:1/4"- 1/2"壁厚0.89mm， 3/4"~1-1/2"壁厚为1. 65mm，管壁的厚度不得减。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焊接三通、变径和弯头配件：采用SS316L光亮退火，母材符合BA级的高纯气路配件，三通弯头等均为可自动焊接的产品配件，大于0.5英寸外径的管道禁止使用弯管器具，必须使用成品弯头。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卡套接头：材料为SS 316不锈钢，符合BA级的高纯气路配件。承受压力不得小于设计压力的1.5倍。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bookmarkStart w:id="61" w:name="OLE_LINK2"/>
            <w:r>
              <w:rPr>
                <w:rFonts w:hint="eastAsia" w:cs="宋体" w:asciiTheme="majorEastAsia" w:hAnsiTheme="majorEastAsia" w:eastAsiaTheme="majorEastAsia"/>
                <w:bCs/>
                <w:color w:val="auto"/>
                <w:sz w:val="24"/>
                <w:szCs w:val="24"/>
              </w:rPr>
              <w:t>▲</w:t>
            </w:r>
            <w:bookmarkEnd w:id="61"/>
            <w:r>
              <w:rPr>
                <w:rFonts w:hint="eastAsia" w:asciiTheme="majorEastAsia" w:hAnsiTheme="majorEastAsia" w:eastAsiaTheme="majorEastAsia"/>
                <w:bCs/>
                <w:color w:val="auto"/>
                <w:sz w:val="24"/>
                <w:szCs w:val="24"/>
              </w:rPr>
              <w:t>泄漏探头泄露报警：为保证实验室的使用安全，确保微量的气体泄漏都能被监测出来，使用易燃易爆气体的实验室设置气体泄漏报警装置，泄漏报警器采用灵敏度高的电化学式，探头根据其本身特点结合《石油化工企业可燃特殊气体检测报警规范》来确定探头的位置高度等。实验室的探测范围应做到无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乙炔手动切换面板</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专用于乙炔钢瓶气体</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功能：两瓶乙炔气一用一备，一侧用完后手动开启另一侧开始供气。</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结构包括：两个进气口快速关断截止阀、1个减压阀、乙炔安全保护器、进出气压力表和出气口阻火器。</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进气压力:最大25bar </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出气压力:最大 1.5bar </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进/出气接口：1/4"NPT </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流量：8 Nm3/h </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工作温度：-30℃-+60℃</w:t>
            </w:r>
          </w:p>
          <w:p>
            <w:pPr>
              <w:numPr>
                <w:ilvl w:val="0"/>
                <w:numId w:val="9"/>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系统通过BAM认证</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符合ISO14144和 ISO15615标准规范。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自动切换面板</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1.专用气体材质</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功能：当主供侧钢瓶用空后自动切换到备供侧供气，保证系统连续供气。中间为连动切换主、备供手柄，切换手柄通过连接左右调压阀棘轮方法，上下转动切换手柄时2个调压阀的输出压力一个升高，一个降低可保持主供气侧压力一致，保证压差不超过±1.5bar.；不得采用只是减压阀输出压力固定，一个减压阀压力调整实现转动切换功能，此结构会造成主供气侧压力变动，影响实验室用气；</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3.结构包括：2个进气阀和2个废气吹扫阀，且都是膜片式截止阀结构。出气口集成泄压阀。</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4.铝型材面板式安装，整体美观，安装方便</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5.进气压力:最大300bar </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6.出气压力可选 10/20/50/100bar</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7.进/出气接口：1/4"NPT </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8.流量：20～70Nm3/h </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9.工作温度：-30℃-+60℃</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10.膜片材料：哈氏合金C276</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11、对外泄漏率: 10-8mbar l/sec (氦检)</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12、系统通过BAM认证，通过高压氧测试</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可选集成电接点压力表辅助低压报警。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终端减压阀组</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1.多种设计，适用于直接安装在各种实验室家具上面。</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2.材质：专用材质 </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3.功能：在压力范围内可调整压力，进气开关阀，出气流量调节阀；</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4.结构包括：进气开关阀、减压阀、压力表、出气口流量调节阀等4个部件；进口安装方式为预留口安装连接器，减压阀拆下自动切断管路气源。</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5.可选平面式、内嵌式、桌面式、天花板式等</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6.进气压力：可选40/100bar </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7.出气压力：可选 1.5/5/10/50/100bar</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8.进/出气接口：1/4"NPT或6mm管</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9.流量：20～70Nm</w:t>
            </w:r>
            <w:r>
              <w:rPr>
                <w:rFonts w:hint="eastAsia" w:asciiTheme="majorEastAsia" w:hAnsiTheme="majorEastAsia" w:eastAsiaTheme="majorEastAsia"/>
                <w:bCs/>
                <w:color w:val="auto"/>
                <w:sz w:val="24"/>
                <w:szCs w:val="24"/>
                <w:vertAlign w:val="superscript"/>
              </w:rPr>
              <w:t>3</w:t>
            </w:r>
            <w:r>
              <w:rPr>
                <w:rFonts w:hint="eastAsia" w:asciiTheme="majorEastAsia" w:hAnsiTheme="majorEastAsia" w:eastAsiaTheme="majorEastAsia"/>
                <w:bCs/>
                <w:color w:val="auto"/>
                <w:sz w:val="24"/>
                <w:szCs w:val="24"/>
              </w:rPr>
              <w:t xml:space="preserve">/h </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10.工作温度：-30℃~+60℃</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11.膜片材料：哈氏合金C276</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12.对外泄漏率： 10-8mbar l/sec (氦检)</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13.系统通过BAM认证，通过高压氧测试</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14、为维修及使用方便，切换装置、终端减压阀阀组需采用同一生产厂商的产品。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numPr>
                <w:ilvl w:val="0"/>
                <w:numId w:val="10"/>
              </w:numPr>
              <w:spacing w:after="0"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管路焊接：所有气体管路间的连接均采用全自动数码无缝焊接。自动轨道焊接的技工拥有一定的焊接知识基础，持有外焊机公司认证证书和国内相应证书。项目正式焊接施工前，采购人和施工方一起进行自动轨道焊接技工认证（以项目采购材料规格、现场洁净小间内），焊接作业流程和焊接试样合格后方颁发项目焊接证书，才能许可在项目中操作焊接设备进行焊接；</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2.管道支吊架  按照国家建筑标准设计05R417-1《室内热力管道支吊架》要求施工；</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管道穿墙及出地面（或楼板）处应设套管保护，套管穿墙处应与墙平齐，穿地面（或楼板）处套管应高出地面（或楼板）100mm。穿墙或楼板的套管：管径为1/4套管管径为3/8，管径为3/8套管为1/2，管径为1/2套管为3/4，管径为3/4套管为1，管径为1套管为1-1/4。套管两端与管道之间用不燃材料严密封堵；</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4.易燃易爆及助燃气体管道应有防静电及雷击的接地措施，接地电阻不大于10欧姆；</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5.管道的施工及验收按国家标准GB50235-2010《工业金属管道工程施工及验收规范》、GB50236《现场设备、工业管道焊接工程施工及验收规范》及《洁净厂房设计规范》进行；</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6.对于易燃易爆气体，钢瓶间的自动切换面板必需位置设排空管，排空管口及泄压阀的排放口应伸出墙外并高出房屋4m以上的空旷无明火处，并应有防雷阻火措施。排空管道有易燃,助燃气体的,需要分开排放；</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7.所有管路标明连接的气体和气体的流动指向。指示标示的颜色须用不同颜色来区分,特殊气体的色彩应鲜艳醒目；</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8.每台实验仪器都要有单独的进气截止阀、减压阀和出气压力表，为成套式结构（通风柜上的压力表和减压阀可以分开）。通风柜的减压阀后要增加节流阀来精确控制气体的使用流量，避免浪费；</w:t>
            </w:r>
          </w:p>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9.用于支撑气体管路安装的所有支架都要进行防腐处理,禁止使用容易生锈的支架辅材。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辅助材料：槽板、阀体固定架、用于固定气体管线等；材质：不锈钢，不低于SUS304。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可燃气(如H</w:t>
            </w:r>
            <w:r>
              <w:rPr>
                <w:rFonts w:hint="eastAsia" w:asciiTheme="majorEastAsia" w:hAnsiTheme="majorEastAsia" w:eastAsiaTheme="majorEastAsia"/>
                <w:bCs/>
                <w:color w:val="auto"/>
                <w:sz w:val="24"/>
                <w:szCs w:val="24"/>
                <w:vertAlign w:val="subscript"/>
              </w:rPr>
              <w:t>2</w:t>
            </w:r>
            <w:r>
              <w:rPr>
                <w:rFonts w:hint="eastAsia" w:asciiTheme="majorEastAsia" w:hAnsiTheme="majorEastAsia" w:eastAsiaTheme="majorEastAsia"/>
                <w:bCs/>
                <w:color w:val="auto"/>
                <w:sz w:val="24"/>
                <w:szCs w:val="24"/>
              </w:rPr>
              <w:t>、C</w:t>
            </w:r>
            <w:r>
              <w:rPr>
                <w:rFonts w:hint="eastAsia" w:asciiTheme="majorEastAsia" w:hAnsiTheme="majorEastAsia" w:eastAsiaTheme="majorEastAsia"/>
                <w:bCs/>
                <w:color w:val="auto"/>
                <w:sz w:val="24"/>
                <w:szCs w:val="24"/>
                <w:vertAlign w:val="subscript"/>
              </w:rPr>
              <w:t>2</w:t>
            </w:r>
            <w:r>
              <w:rPr>
                <w:rFonts w:hint="eastAsia" w:asciiTheme="majorEastAsia" w:hAnsiTheme="majorEastAsia" w:eastAsiaTheme="majorEastAsia"/>
                <w:bCs/>
                <w:color w:val="auto"/>
                <w:sz w:val="24"/>
                <w:szCs w:val="24"/>
              </w:rPr>
              <w:t>H</w:t>
            </w:r>
            <w:r>
              <w:rPr>
                <w:rFonts w:hint="eastAsia" w:asciiTheme="majorEastAsia" w:hAnsiTheme="majorEastAsia" w:eastAsiaTheme="majorEastAsia"/>
                <w:bCs/>
                <w:color w:val="auto"/>
                <w:sz w:val="24"/>
                <w:szCs w:val="24"/>
                <w:vertAlign w:val="subscript"/>
              </w:rPr>
              <w:t>2</w:t>
            </w:r>
            <w:r>
              <w:rPr>
                <w:rFonts w:hint="eastAsia" w:asciiTheme="majorEastAsia" w:hAnsiTheme="majorEastAsia" w:eastAsiaTheme="majorEastAsia"/>
                <w:bCs/>
                <w:color w:val="auto"/>
                <w:sz w:val="24"/>
                <w:szCs w:val="24"/>
              </w:rPr>
              <w:t>)使用区域设置泄漏报警探头，监测房间可燃气体浓度。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7"/>
              <w:numPr>
                <w:ilvl w:val="0"/>
                <w:numId w:val="3"/>
              </w:numPr>
              <w:spacing w:line="440" w:lineRule="exact"/>
              <w:ind w:firstLineChars="0"/>
              <w:jc w:val="center"/>
              <w:rPr>
                <w:rFonts w:cs="Times New Roman" w:asciiTheme="majorEastAsia" w:hAnsiTheme="majorEastAsia" w:eastAsiaTheme="majorEastAsia"/>
                <w:bCs/>
              </w:rPr>
            </w:pPr>
          </w:p>
        </w:tc>
        <w:tc>
          <w:tcPr>
            <w:tcW w:w="944" w:type="dxa"/>
            <w:vMerge w:val="continue"/>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7371" w:type="dxa"/>
            <w:tcBorders>
              <w:top w:val="single" w:color="auto" w:sz="4" w:space="0"/>
              <w:left w:val="nil"/>
              <w:bottom w:val="single" w:color="auto" w:sz="4" w:space="0"/>
              <w:right w:val="single" w:color="auto" w:sz="4" w:space="0"/>
            </w:tcBorders>
          </w:tcPr>
          <w:p>
            <w:pPr>
              <w:spacing w:line="44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考虑到以后的维修以及在紧急情况下能够快速切断供气，每种气体切换系统之后设有开关阀。为了开关方便和快捷，本项目中采用球阀。每种气体管路进入每个实验室后安装一个总球阀和总的压力表，便于控制和检修室内气体管路及观察房间管道压力；每个用气点均设置终端减压阀阀组（包含切断阀、调压阀、压力表、截止阀）并设置转换接头，方便采购人连接仪器；通风柜气体安装气体考克；排气管道不需要进行减压，末端加装球阀，收集废气统一排放至室外。</w:t>
            </w:r>
          </w:p>
        </w:tc>
      </w:tr>
    </w:tbl>
    <w:p>
      <w:pPr>
        <w:snapToGrid w:val="0"/>
        <w:spacing w:beforeLines="50" w:after="0" w:line="360" w:lineRule="auto"/>
        <w:rPr>
          <w:rFonts w:asciiTheme="majorEastAsia" w:hAnsiTheme="majorEastAsia" w:eastAsiaTheme="majorEastAsia"/>
          <w:bCs/>
          <w:color w:val="auto"/>
          <w:sz w:val="24"/>
          <w:szCs w:val="24"/>
        </w:rPr>
      </w:pPr>
      <w:r>
        <w:rPr>
          <w:rFonts w:asciiTheme="majorEastAsia" w:hAnsiTheme="majorEastAsia" w:eastAsiaTheme="majorEastAsia"/>
          <w:bCs/>
          <w:color w:val="auto"/>
          <w:sz w:val="24"/>
          <w:szCs w:val="24"/>
        </w:rPr>
        <w:t>5</w:t>
      </w:r>
      <w:r>
        <w:rPr>
          <w:rFonts w:hint="eastAsia" w:asciiTheme="majorEastAsia" w:hAnsiTheme="majorEastAsia" w:eastAsiaTheme="majorEastAsia"/>
          <w:bCs/>
          <w:color w:val="auto"/>
          <w:sz w:val="24"/>
          <w:szCs w:val="24"/>
        </w:rPr>
        <w:t>、实验室定制设备技术要求</w:t>
      </w:r>
    </w:p>
    <w:p>
      <w:pPr>
        <w:spacing w:line="360" w:lineRule="auto"/>
        <w:ind w:firstLine="480" w:firstLineChars="20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a.实验台、仪器台、水槽台台面（根据工程量清单规格要求配置）</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022"/>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544"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名称</w:t>
            </w:r>
          </w:p>
        </w:tc>
        <w:tc>
          <w:tcPr>
            <w:tcW w:w="3928"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544" w:type="pct"/>
            <w:vMerge w:val="restart"/>
            <w:tcBorders>
              <w:top w:val="nil"/>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陶瓷板台面</w:t>
            </w:r>
          </w:p>
          <w:p>
            <w:pPr>
              <w:widowControl w:val="0"/>
              <w:spacing w:line="360" w:lineRule="auto"/>
              <w:jc w:val="cente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spacing w:line="30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采用至少20mm厚一体实芯黑色胚体实验室专用陶瓷台面，台面耐强腐蚀，耐高温，防止液体外溢及清洗烧杯烧瓶意外滑动。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pStyle w:val="8"/>
              <w:spacing w:line="30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水槽台的水槽配备和台面品牌一致的陶瓷洗涤水槽（带防伪标志）或PP水槽，为了防止液体外溅水槽的深度不低于280mm；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spacing w:line="30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工艺及安全性能：为了保证使用的美观，坯体要求一体实芯黑色胚体，防止有害液体外溢以及防止清洗烧杯烧瓶意外滑动。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snapToGrid w:val="0"/>
              <w:spacing w:line="336"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耐腐蚀性能：抗多种化学品，且表面无明显变化。（中标方在产品交付或安装前须提供具备CMA标识的检测报告并加盖中标方公章（检验依据：GB/T17657-2013《人造板及饰面人造板性能试验方法》），其测试结果显示陶瓷板台面至少抗“60”种化学品，且检测结果为表面无明显变化，其中包括以下化学试剂：氢氧化钠饱和液，醋酸丁酯，重铬酸钾洗液，10%氯化钙溶液，二氧六环，甲酚红，乙醇，王水，红药水，1%硝酸银溶液，65%氢氧化钾溶液，硼氢化钠，氯化钾，65%硝酸，98%硫酸，3%双氧水，10%苯酚，二甲苯，碳酸氢钠，亚硝酸钠，高氯酸，升华硫，二氯基甲酰胺，二恶烷，乙醚，糠醛，硫化钠饱和液，一氯化碳，萘，饱和氯化锌，甲苯，三氯乙烯，30%过氧化氢，碘酒，丁酮，二氯甲烷，60%铬酸，甲酚，二氯乙酸，92#汽油，甲酸，丙酮，柠檬酸，苯，四氯化碳，氯仿，片状氢氧化钠，85%磷酸，磷酸二氢钠，乙酸乙酯，乙酸，37%盐酸，10%氯化镁溶液，37%甲醛，28%氨水，40%氢氧化钠溶液，甲基丙烯酸丁脂，松节油，丙三醇，亚甲基蓝，溴化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吸水率≤0.03%。（中标方在产品交付或安装前须提供国家建筑材料测试中心或其他国家级检测检验机构依据GB/T4100-2015出具的测试项目为“吸水率”检测报告并加盖中标方公章，测试结果最大值≤0.03%）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《静载测试》检测报告结果必须符合：荷载重量≥420KG，保载时间≥ 50小时，样品未被破坏。</w:t>
            </w:r>
            <w:r>
              <w:rPr>
                <w:rFonts w:hint="eastAsia" w:asciiTheme="majorEastAsia" w:hAnsiTheme="majorEastAsia" w:eastAsiaTheme="majorEastAsia"/>
                <w:b/>
                <w:color w:val="auto"/>
                <w:sz w:val="24"/>
                <w:szCs w:val="24"/>
              </w:rPr>
              <w:t>（</w:t>
            </w:r>
            <w:r>
              <w:rPr>
                <w:rFonts w:hint="eastAsia" w:asciiTheme="majorEastAsia" w:hAnsiTheme="majorEastAsia" w:eastAsiaTheme="majorEastAsia"/>
                <w:bCs/>
                <w:color w:val="auto"/>
                <w:sz w:val="24"/>
                <w:szCs w:val="24"/>
              </w:rPr>
              <w:t>中标方在产品交付或安装前须提供</w:t>
            </w:r>
            <w:r>
              <w:rPr>
                <w:rFonts w:asciiTheme="majorEastAsia" w:hAnsiTheme="majorEastAsia" w:eastAsiaTheme="majorEastAsia"/>
                <w:bCs/>
                <w:color w:val="auto"/>
                <w:sz w:val="24"/>
                <w:szCs w:val="24"/>
              </w:rPr>
              <w:t>SGS或具备CMA标识的第三方检测出具的检测报告复印件加盖投标人公章）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抗急冷急热性要求：无裂隙。</w:t>
            </w:r>
            <w:r>
              <w:rPr>
                <w:rFonts w:hint="eastAsia" w:asciiTheme="majorEastAsia" w:hAnsiTheme="majorEastAsia" w:eastAsiaTheme="majorEastAsia"/>
                <w:color w:val="auto"/>
                <w:sz w:val="24"/>
                <w:szCs w:val="24"/>
              </w:rPr>
              <w:t>（中标方在产品交付或安装前须提供具备</w:t>
            </w:r>
            <w:r>
              <w:rPr>
                <w:rFonts w:asciiTheme="majorEastAsia" w:hAnsiTheme="majorEastAsia" w:eastAsiaTheme="majorEastAsia"/>
                <w:color w:val="auto"/>
                <w:sz w:val="24"/>
                <w:szCs w:val="24"/>
              </w:rPr>
              <w:t>CMA标识的第三方检测检验报告</w:t>
            </w:r>
            <w:r>
              <w:rPr>
                <w:rFonts w:hint="eastAsia" w:asciiTheme="majorEastAsia" w:hAnsiTheme="majorEastAsia" w:eastAsiaTheme="majorEastAsia"/>
                <w:color w:val="auto"/>
                <w:sz w:val="24"/>
                <w:szCs w:val="24"/>
              </w:rPr>
              <w:t>并加盖中标方公章，检验项目“抗急冷急热性”，检验结果为无裂隙）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耐磨性要求：4级/2100转及以上。</w:t>
            </w:r>
            <w:r>
              <w:rPr>
                <w:rFonts w:hint="eastAsia" w:asciiTheme="majorEastAsia" w:hAnsiTheme="majorEastAsia" w:eastAsiaTheme="majorEastAsia"/>
                <w:color w:val="auto"/>
                <w:sz w:val="24"/>
                <w:szCs w:val="24"/>
              </w:rPr>
              <w:t>（中标方在产品交付或安装前须</w:t>
            </w:r>
            <w:r>
              <w:rPr>
                <w:rFonts w:hint="eastAsia" w:asciiTheme="majorEastAsia" w:hAnsiTheme="majorEastAsia" w:eastAsiaTheme="majorEastAsia"/>
                <w:bCs/>
                <w:color w:val="auto"/>
                <w:sz w:val="24"/>
                <w:szCs w:val="24"/>
              </w:rPr>
              <w:t>提供国家建筑材料测试中心或其他国家级检测检验机构的检测报告</w:t>
            </w:r>
            <w:r>
              <w:rPr>
                <w:rFonts w:hint="eastAsia" w:asciiTheme="majorEastAsia" w:hAnsiTheme="majorEastAsia" w:eastAsiaTheme="majorEastAsia"/>
                <w:color w:val="auto"/>
                <w:sz w:val="24"/>
                <w:szCs w:val="24"/>
              </w:rPr>
              <w:t>并加盖中标方公章</w:t>
            </w:r>
            <w:r>
              <w:rPr>
                <w:rFonts w:hint="eastAsia" w:asciiTheme="majorEastAsia" w:hAnsiTheme="majorEastAsia" w:eastAsiaTheme="majorEastAsia"/>
                <w:bCs/>
                <w:color w:val="auto"/>
                <w:sz w:val="24"/>
                <w:szCs w:val="24"/>
              </w:rPr>
              <w:t>，参照GB/T 4100标准，耐磨性的检测结果达到4级/2100转及以上。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操作面边沿圆滑处理，美观且光滑不伤手易清洁，耐酸碱、高温，坚固不变形，材料表面易清洁防化、防潮、以及耐磨。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28"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台面保持水平，拼合台面保持在一个平面内，台面与柜体间连接稳固，保证台面不脱落或跷起。</w:t>
            </w:r>
          </w:p>
        </w:tc>
      </w:tr>
    </w:tbl>
    <w:p>
      <w:pPr>
        <w:spacing w:beforeLines="50" w:after="0" w:line="360" w:lineRule="auto"/>
        <w:ind w:firstLine="480" w:firstLineChars="200"/>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b.实验台柜体</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956"/>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509"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名称</w:t>
            </w:r>
          </w:p>
        </w:tc>
        <w:tc>
          <w:tcPr>
            <w:tcW w:w="3996"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509" w:type="pct"/>
            <w:vMerge w:val="restart"/>
            <w:tcBorders>
              <w:top w:val="nil"/>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通用其它操作台</w:t>
            </w: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为全钢制产品，采用落地式柜体结构。底柜内部应设置服务通道或维修通道，可方便布设电、水、气等功能管道，也可用简单工具方便地拆卸下来以检修管路系统，柜体可单独或组合使用，柜体一般深度至少为533mm--750mm台面深度条件下。</w:t>
            </w:r>
          </w:p>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每个底柜单元须配备4只≥M10mm以上镀锌螺杆调整脚，以支撑柜体及调节水平，柜体底板离地面距离不少于10mm以隔离地面潮气。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★柜体整体荷载和表面处理要求须符合相关标准。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所有底柜采用嵌入式结构，在踢脚线位置不得出现钢板结合缝，所有部件不得在安装现场焊接加工，以避免环氧涂层破坏；各端面板如门板、抽屉等，上下边框及垂直立柱都必须在同一水平面上不可突出，所有钣金接缝均满焊，焊接处须打磨平整以保持平面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踢脚板凹入部分位于底柜正面下方，为高（约100mm）、深（约75mm）的凹陷空间，踢脚板除正面凹入外，两侧须与柜体钢板一体成型，不得以小料拼接烧焊制作，以确保整体荷载能力。踢脚线装饰板及护角：采用100mm高的黑色或灰色塑料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柜体采用1.2mm厚度一级冷轧钢板，拉力强度&gt;270N/mm2，表面均经静电及磷化处理，所有连接不得采用自攻螺丝，均使用平头镀锌螺杆连接。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柜体表面经环氧树脂静电粉末喷涂处理前，须经过酸洗、磷化处理，环氧树脂喷涂厚度≥75μm，防化、防潮、耐高温以及耐磨，采用精密加工工艺一体折弯成型，无焊接点外露。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下柜柜门为双包结构，内附防噪填充，每个包层都是先喷涂再包合，不得因局部的破损而导致内部的损伤；柜门内侧设置防撞扣（起缓冲作用）；每片门板须配置两只不锈钢304材质合页。 </w:t>
            </w:r>
          </w:p>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门板荷载须满足：当开启90度的时候，中间挂上90KG的砝码，移动门板到160度的时候，门板板未发生形变。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抽屉为一体成型式设计并与抽头锁合，抽头为双层结构；柜门内侧装有防撞贴（起缓冲作用），抽屉能抽出至少（约330mm）-台面在750mm条件下；采用304#不锈钢材质C型把手，长度为192mm。</w:t>
            </w:r>
          </w:p>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抽屉要求需满足：长度为500mm的抽屉，拉开到330mm处，在抽屉面板的中线处挂上68KG的砝码，静置5分钟，抽屉未发生形变。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抽屉滑轨：表面经防蚀处理，应具止落装置，轨道设有静音处理。用户也可以根据要求导轨为静音自闭式，荷载不低于35KG/副(抽屉拉出250mm)。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所有双开门款式底柜于两片门间无中央垂直支柱阻挡，柜体内层板可调高低，活动层板由四个钢制层板扣支撑，承重≥50kg；层板支撑扣采用1.5mm厚以上304#不锈钢或镀锌钢板制作制作，每单个独立的柜体提供的层板数不少于一块。所有柜体统一预留层板高低可调孔，方便采购人增加层板数量和调节层板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996" w:type="pct"/>
            <w:tcBorders>
              <w:top w:val="single" w:color="auto" w:sz="4" w:space="0"/>
              <w:left w:val="nil"/>
              <w:bottom w:val="single" w:color="auto" w:sz="4" w:space="0"/>
              <w:right w:val="single" w:color="auto" w:sz="4" w:space="0"/>
            </w:tcBorders>
            <w:vAlign w:val="center"/>
          </w:tcPr>
          <w:p>
            <w:pPr>
              <w:spacing w:line="312"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柜体设置维修通道，用简易工具即可拆卸，以便管线维修</w:t>
            </w:r>
          </w:p>
        </w:tc>
      </w:tr>
    </w:tbl>
    <w:p>
      <w:pPr>
        <w:spacing w:beforeLines="50" w:after="0" w:line="360" w:lineRule="auto"/>
        <w:ind w:firstLine="480" w:firstLineChars="200"/>
        <w:rPr>
          <w:rFonts w:cs="Times New Roman"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c.试剂架</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4297" w:type="pct"/>
            <w:tcBorders>
              <w:top w:val="single" w:color="auto" w:sz="4" w:space="0"/>
              <w:left w:val="nil"/>
              <w:bottom w:val="single" w:color="auto" w:sz="4" w:space="0"/>
              <w:right w:val="single" w:color="auto" w:sz="4" w:space="0"/>
            </w:tcBorders>
            <w:vAlign w:val="center"/>
          </w:tcPr>
          <w:p>
            <w:pPr>
              <w:spacing w:line="264"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02"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4297"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结构：</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立柱：采用1.5mm及以上镀锌冷轧钢板制作，表面经环氧树脂喷涂防腐处理，两侧快装孔采用激光一次精准冲孔，双立柱与台面采用M10螺栓连接；</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层板：采用1.2mm及以上镀锌冷轧钢板制作，表面经环氧树脂喷涂防腐处理，每层活动层板由立柱中间平层板和两侧翼挂板三片组成，快装孔连接安装，可按需调整高度或取下；</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层板护栏：304及以上不锈钢材质。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702"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4297"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试剂架立柱内侧须标配电源插座，每个三角平面不低于2只220V,10A插座，数量由采购人确定。</w:t>
            </w:r>
          </w:p>
        </w:tc>
      </w:tr>
    </w:tbl>
    <w:p>
      <w:pPr>
        <w:spacing w:beforeLines="50" w:after="0" w:line="360" w:lineRule="auto"/>
        <w:ind w:firstLine="480" w:firstLineChars="200"/>
        <w:rPr>
          <w:rFonts w:cs="Times New Roman"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d.仪器台的特殊要求</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4299"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429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仪器台插座置于钢制线槽上，钢制线槽隐藏于实验台后侧的台面下，插座与网络插座的数量和规格根据采购人要求而定，原侧上3组/m22V,10A普通插座，每个仪器台有2只网络插座，大型仪器接电要求投标人施工时须标配电力箱，电力箱位置于仪器台后下方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70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429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气路管路隐藏于仪器台后侧台面下，电力布设和气体管线布设分为独立两路，气体终端控制阀安装在功能柱上或者台面上（一体阀情况下）。仪器台配活动后封板，可拆卸，设计美观又便于维修。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70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429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固定线槽和气路管线须有单独的支架系统，不可直接固定在后背钢板上。</w:t>
            </w:r>
          </w:p>
        </w:tc>
      </w:tr>
    </w:tbl>
    <w:p>
      <w:pPr>
        <w:spacing w:line="360" w:lineRule="auto"/>
        <w:ind w:firstLine="480" w:firstLineChars="200"/>
        <w:rPr>
          <w:rFonts w:cs="Times New Roman"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e.天平台技术要求</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988"/>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序号</w:t>
            </w:r>
          </w:p>
        </w:tc>
        <w:tc>
          <w:tcPr>
            <w:tcW w:w="4399" w:type="pct"/>
            <w:gridSpan w:val="2"/>
            <w:tcBorders>
              <w:top w:val="single" w:color="auto" w:sz="4" w:space="0"/>
              <w:left w:val="nil"/>
              <w:bottom w:val="single" w:color="auto" w:sz="4" w:space="0"/>
              <w:right w:val="single" w:color="auto" w:sz="4" w:space="0"/>
            </w:tcBorders>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526"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满足十万分之一精度</w:t>
            </w:r>
          </w:p>
        </w:tc>
        <w:tc>
          <w:tcPr>
            <w:tcW w:w="3873"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参考外形尺寸为：900*750*850mm常规天平台配置40mm厚大理石台面，操作面为导圆角处理，美观且光滑不伤手易清洁，下设防震垫，钢架规格为60*40*2.5mm，不允许安装抽屉，天平台配福马轮，可移动及调节高度水平。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526"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满足百万分之一精度</w:t>
            </w:r>
          </w:p>
        </w:tc>
        <w:tc>
          <w:tcPr>
            <w:tcW w:w="3873"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参考外形尺寸为1140*820*790。由外台与内台两部分组成。外台台面为黑色实芯理化板，整个台子高低可调，台子总高精确度为790mm，柜体为钢质柜体，工艺精细。内台为水泥基础台，水泥台规格为520*520*775mm。保持外台和内台两边间距为20mm，内台台面为大理石台面。外台空心深距为590mm.后面边缘保持和大理石台面平齐。</w:t>
            </w:r>
          </w:p>
        </w:tc>
      </w:tr>
    </w:tbl>
    <w:p>
      <w:pPr>
        <w:spacing w:beforeLines="50" w:after="0" w:line="360" w:lineRule="auto"/>
        <w:ind w:firstLine="480" w:firstLineChars="200"/>
        <w:rPr>
          <w:rFonts w:cs="Times New Roman"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f.通风柜技术要求</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1352"/>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序 号</w:t>
            </w:r>
          </w:p>
        </w:tc>
        <w:tc>
          <w:tcPr>
            <w:tcW w:w="720"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名 称</w:t>
            </w:r>
          </w:p>
        </w:tc>
        <w:tc>
          <w:tcPr>
            <w:tcW w:w="3759" w:type="pct"/>
            <w:tcBorders>
              <w:top w:val="single" w:color="auto" w:sz="4" w:space="0"/>
              <w:left w:val="nil"/>
              <w:bottom w:val="single" w:color="auto" w:sz="4" w:space="0"/>
              <w:right w:val="single" w:color="auto" w:sz="4" w:space="0"/>
            </w:tcBorders>
            <w:vAlign w:val="center"/>
          </w:tcPr>
          <w:p>
            <w:pPr>
              <w:spacing w:line="288"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详 细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型式</w:t>
            </w: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型式：标准结构＆落地式</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尺寸：内部空间规格根据采购人要求确定，清单中为参考的外型规格。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vMerge w:val="restart"/>
            <w:tcBorders>
              <w:top w:val="nil"/>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通风性能</w:t>
            </w: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★通风柜性能及技术应符合相关标准的要求，并需提供由具有SGS或CMA认证的第三方检测机构出具的检测报告。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通风柜须满足防火UL1805 安全标准检测并提供检测报告。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通风柜钢制柜体应符合相关标准并提供由SGS或具备CMA标识的第三方检测机构出具的检测报告复印件。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通风柜下柜体提供不低于10分钟的防火等级测试/认证证明文件复印件。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▲提供通风柜下柜防火柜中“阻火阀”认证的证明文件复印件。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设备排风量：根据相关国际及国标要求，通风柜排风量设计原则如下：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（1）通风柜的最小排风量为270CMH，最大排风量为1700CMH；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以上通风柜按平均面风速0.5m/s为排风量设计的计算依据。最佳风速：0.5米/秒（低DEN和中DEN气体）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（2）静压：6.8mm水柱（柜门全开）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（3）配备可调式扰流板。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vMerge w:val="restart"/>
            <w:tcBorders>
              <w:top w:val="nil"/>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设计特点/安全说明</w:t>
            </w:r>
          </w:p>
          <w:p>
            <w:pPr>
              <w:spacing w:line="360" w:lineRule="auto"/>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通风柜符合GB/T 13306-1991、JB/T 6412-1999或EN14 175或ASHRAE110标准：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每一台通风柜出厂前都经过了严密的安全性能测试，确保产品使用绝对安全可靠。测试包括通风测试过程，通风量测试，表面速度测试，不同有害气体排放测试，静压性能测试等。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提供具备CMA标识的第三方出具的通风柜泄漏率测试符合欧盟EN14175或美标ASHRAE110条款中安全测试的资料报告。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★在通风柜的前、左、右、顶部各有一个泄压口，能最大限度地降低实验意外爆炸所带来的危险，确保实验室工作人员人身安全。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柜内没有任何金属连接件，在高温、腐蚀等恶劣环境下，确保通风柜的完美使用性能及长寿命。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预设报警装置，保证通风柜的工作在最佳状态。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柜内空间最大化，利用率高，可放各种仪器。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出风口有减噪音功能，柜内噪音控制在65DB以下的国际工业噪音标准内。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柜体用冷轧钢板模具冲压制作，表面采用静电喷粉处理，柜内可配各种气体阀门。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柜体操作间两侧均有安全防爆泄压口设备。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vMerge w:val="restart"/>
            <w:tcBorders>
              <w:top w:val="nil"/>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技术面风速＆及其它性能要求</w:t>
            </w:r>
          </w:p>
          <w:p>
            <w:pPr>
              <w:spacing w:line="360" w:lineRule="auto"/>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实验室通风柜是一种专门设计的特殊安全设备，其捕捉及排除污染等安全性能指标应达到国际上普遍采用的ASHRAE 110、EN14175等相关标准规定，通风柜捕捉及排除污染性能应达到以下要求：</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
                <w:bCs/>
                <w:color w:val="auto"/>
                <w:sz w:val="24"/>
                <w:szCs w:val="24"/>
              </w:rPr>
              <w:t>★</w:t>
            </w:r>
            <w:r>
              <w:rPr>
                <w:rFonts w:hint="eastAsia" w:asciiTheme="majorEastAsia" w:hAnsiTheme="majorEastAsia" w:eastAsiaTheme="majorEastAsia"/>
                <w:bCs/>
                <w:color w:val="auto"/>
                <w:sz w:val="24"/>
                <w:szCs w:val="24"/>
              </w:rPr>
              <w:t>表面平均风速要求：通风柜的表面平均风速应为设计值的±10%以内(本项目各通风柜面风速设计值为0.5m/s)。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
                <w:bCs/>
                <w:color w:val="auto"/>
                <w:sz w:val="24"/>
                <w:szCs w:val="24"/>
              </w:rPr>
              <w:t>★</w:t>
            </w:r>
            <w:r>
              <w:rPr>
                <w:rFonts w:hint="eastAsia" w:asciiTheme="majorEastAsia" w:hAnsiTheme="majorEastAsia" w:eastAsiaTheme="majorEastAsia"/>
                <w:bCs/>
                <w:color w:val="auto"/>
                <w:sz w:val="24"/>
                <w:szCs w:val="24"/>
              </w:rPr>
              <w:t>面风速均匀度检测：通风柜的面风速应分布均匀，各测量点的最大值、最小值与算术平均值的偏差应小于±15%。(检测内容包括在调节门450mm时开启高度下检测)。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
                <w:bCs/>
                <w:color w:val="auto"/>
                <w:sz w:val="24"/>
                <w:szCs w:val="24"/>
              </w:rPr>
              <w:t>★</w:t>
            </w:r>
            <w:r>
              <w:rPr>
                <w:rFonts w:hint="eastAsia" w:asciiTheme="majorEastAsia" w:hAnsiTheme="majorEastAsia" w:eastAsiaTheme="majorEastAsia"/>
                <w:bCs/>
                <w:color w:val="auto"/>
                <w:sz w:val="24"/>
                <w:szCs w:val="24"/>
              </w:rPr>
              <w:t>可视烟雾检测：须无烟雾泄漏逸散出柜外，柜内无涡流死角且能平顺的将烟雾排出。(检测内容包括在调节门静态及动态工作状况下检测)。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
                <w:bCs/>
                <w:color w:val="auto"/>
                <w:sz w:val="24"/>
                <w:szCs w:val="24"/>
              </w:rPr>
              <w:t>★</w:t>
            </w:r>
            <w:r>
              <w:rPr>
                <w:rFonts w:hint="eastAsia" w:asciiTheme="majorEastAsia" w:hAnsiTheme="majorEastAsia" w:eastAsiaTheme="majorEastAsia"/>
                <w:bCs/>
                <w:color w:val="auto"/>
                <w:sz w:val="24"/>
                <w:szCs w:val="24"/>
              </w:rPr>
              <w:t>通风柜气密性能：调节门在工作开启高度(下通风板上方约450mm)，面风速保持设计值的±10%以内情况下，实际排风量应在不得大于计算排风量的5%，计算排风量=调节门宽度×调节门开启高度×0.5m/s×3600秒)；(本项目各通风柜面风速设计值为0.5m/s)；</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注：平均面风速测量方式：在移动门工作开启高度0.65m时，于移动门开口截面，上下左右每隔0.3 m（以内）量测各自中心点，所测得的面风速，加总后除以所测点数所得之算数平均值。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技术/排风柜阻力</w:t>
            </w: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★排风柜移动门开启至最高位置时，在达到技术标准规定的排风量和平均面风速保持0.5m/s的条件下，排风柜阻力（压损Static pressure loss）小于70Pa。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vMerge w:val="restart"/>
            <w:tcBorders>
              <w:top w:val="nil"/>
              <w:left w:val="nil"/>
              <w:bottom w:val="single" w:color="auto" w:sz="4" w:space="0"/>
              <w:right w:val="single" w:color="auto" w:sz="4" w:space="0"/>
            </w:tcBorders>
            <w:vAlign w:val="center"/>
          </w:tcPr>
          <w:p>
            <w:pPr>
              <w:spacing w:line="360" w:lineRule="auto"/>
              <w:jc w:val="center"/>
              <w:rPr>
                <w:rFonts w:asciiTheme="majorEastAsia" w:hAnsiTheme="majorEastAsia" w:eastAsiaTheme="majorEastAsia"/>
                <w:bCs/>
                <w:color w:val="auto"/>
                <w:sz w:val="24"/>
                <w:szCs w:val="24"/>
              </w:rPr>
            </w:pPr>
          </w:p>
          <w:p>
            <w:pPr>
              <w:spacing w:line="360" w:lineRule="auto"/>
              <w:jc w:val="cente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台面</w:t>
            </w:r>
          </w:p>
          <w:p>
            <w:pPr>
              <w:spacing w:line="360" w:lineRule="auto"/>
              <w:jc w:val="cente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采用25mm厚一体实芯黑色坯体实验室工业陶瓷板台面（不能采用拼接或者后期加厚方式加工），台面釉面采用实验室专业色釉，有效阻水外溢。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配备PP水杯或防火、耐高温、耐腐蚀的陶瓷水杯，配备的陶瓷水杯和通风柜台面、实验台台面、水槽台台面品牌一致。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工艺及安全性能：为了保证使用的美观，坯体要求一体实芯胚体，通风柜碟形台面阻水边的厚度至少为5</w:t>
            </w:r>
            <w:r>
              <w:rPr>
                <w:rFonts w:asciiTheme="majorEastAsia" w:hAnsiTheme="majorEastAsia" w:eastAsiaTheme="majorEastAsia"/>
                <w:bCs/>
                <w:color w:val="auto"/>
                <w:sz w:val="24"/>
                <w:szCs w:val="24"/>
              </w:rPr>
              <w:t xml:space="preserve"> </w:t>
            </w:r>
            <w:r>
              <w:rPr>
                <w:rFonts w:hint="eastAsia" w:asciiTheme="majorEastAsia" w:hAnsiTheme="majorEastAsia" w:eastAsiaTheme="majorEastAsia"/>
                <w:bCs/>
                <w:color w:val="auto"/>
                <w:sz w:val="24"/>
                <w:szCs w:val="24"/>
              </w:rPr>
              <w:t>mm，阻水边一体成型（非后期黏贴），储水量不小于5L/㎡。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耐腐蚀性能：抗多种化学品，表面无明显变化。（中标方在产品交付或安装前提供具备CMA标识的检测报告并加盖中标方公章。检验依据：GB/T17657-2013《人造板及饰面人造板性能试验方法》，其测试结果显示陶瓷板台面至少抗“60”种化学品，且检测结果为表面无明显变化，其中包括以下化学试剂：氢氧化钠饱和液，醋酸丁酯，重铬酸钾洗液，10%氯化钙溶液，二氧六环，甲酚红，乙醇，王水，红药水，1%硝酸银溶液，65%氢氧化钾溶液，硼氢化钠，氯化钾，65%硝酸，98%硫酸，3%双氧水，10%苯酚，二甲苯，碳酸氢钠，亚硝酸钠，高氯酸，升华硫，二氯基甲酰胺，二恶烷，乙醚，糠醛，硫化钠饱和液，一氯化碳，萘，饱和氯化锌，甲苯，三氯乙烯，30%过氧化氢，碘酒，丁酮，二氯甲烷，60%铬酸，甲酚，二氯乙酸，92#汽油，甲酸，丙酮，柠檬酸，苯，四氯化碳，氯仿，片状氢氧化钠，85%磷酸，磷酸二氢钠，乙酸乙酯，乙酸，37%盐酸，10%氯化镁溶液，37%甲醛，28%氨水，40%氢氧化钠溶液，甲基丙烯酸丁脂，松节油，丙三醇，亚甲基蓝，溴化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吸水率≤0.03%。(中标方在产品交付或安装前须提供国家建筑材料测试中心或其他国家级检测检验机构依据GB/T4100-2015出具的测试项目为“吸水率”检测报告，测试结果最大值≤0.03%,并加盖投标人公章）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《静载测试》检测报告结果必须符合：荷载重量≥420KG，保载时间≥ 50小时，样品未被破坏。（中标方在产品交付或安装前提供SGS或具备CMA标识的第三方检测出具的检测报告复印件加盖投标人公章）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
                <w:color w:val="auto"/>
                <w:sz w:val="24"/>
                <w:szCs w:val="24"/>
              </w:rPr>
            </w:pPr>
            <w:r>
              <w:rPr>
                <w:rFonts w:hint="eastAsia" w:cs="宋体" w:asciiTheme="majorEastAsia" w:hAnsiTheme="majorEastAsia" w:eastAsiaTheme="majorEastAsia"/>
                <w:bCs/>
                <w:color w:val="auto"/>
                <w:sz w:val="24"/>
                <w:szCs w:val="24"/>
              </w:rPr>
              <w:t>抗急冷急热性要求：无裂隙。</w:t>
            </w:r>
            <w:r>
              <w:rPr>
                <w:rFonts w:hint="eastAsia" w:asciiTheme="majorEastAsia" w:hAnsiTheme="majorEastAsia" w:eastAsiaTheme="majorEastAsia"/>
                <w:bCs/>
                <w:color w:val="auto"/>
                <w:sz w:val="24"/>
                <w:szCs w:val="24"/>
              </w:rPr>
              <w:t>（中标方在产品交付或安装前提供具备CMA标识的第三方检测检验报告并加盖中标方公章，</w:t>
            </w:r>
            <w:r>
              <w:rPr>
                <w:rFonts w:hint="eastAsia" w:cs="宋体" w:asciiTheme="majorEastAsia" w:hAnsiTheme="majorEastAsia" w:eastAsiaTheme="majorEastAsia"/>
                <w:bCs/>
                <w:color w:val="auto"/>
                <w:sz w:val="24"/>
                <w:szCs w:val="24"/>
              </w:rPr>
              <w:t>提供检验项目“抗急冷急热性”的检验报告，检验结果为无裂隙。</w:t>
            </w:r>
            <w:r>
              <w:rPr>
                <w:rFonts w:hint="eastAsia" w:asciiTheme="majorEastAsia" w:hAnsiTheme="majorEastAsia" w:eastAsiaTheme="majorEastAsia"/>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cs="宋体" w:asciiTheme="majorEastAsia" w:hAnsiTheme="majorEastAsia" w:eastAsiaTheme="majorEastAsia"/>
                <w:bCs/>
                <w:color w:val="auto"/>
                <w:sz w:val="24"/>
                <w:szCs w:val="24"/>
              </w:rPr>
            </w:pPr>
            <w:r>
              <w:rPr>
                <w:rFonts w:hint="eastAsia" w:asciiTheme="majorEastAsia" w:hAnsiTheme="majorEastAsia" w:eastAsiaTheme="majorEastAsia"/>
                <w:color w:val="auto"/>
                <w:sz w:val="24"/>
                <w:szCs w:val="24"/>
              </w:rPr>
              <w:t>耐磨性要求：4级/2100转及以上。</w:t>
            </w:r>
            <w:r>
              <w:rPr>
                <w:rFonts w:hint="eastAsia" w:asciiTheme="majorEastAsia" w:hAnsiTheme="majorEastAsia" w:eastAsiaTheme="majorEastAsia"/>
                <w:bCs/>
                <w:color w:val="auto"/>
                <w:sz w:val="24"/>
                <w:szCs w:val="24"/>
              </w:rPr>
              <w:t>（中标方在产品交付或安装前</w:t>
            </w:r>
            <w:r>
              <w:rPr>
                <w:rFonts w:hint="eastAsia" w:asciiTheme="majorEastAsia" w:hAnsiTheme="majorEastAsia" w:eastAsiaTheme="majorEastAsia"/>
                <w:color w:val="auto"/>
                <w:sz w:val="24"/>
                <w:szCs w:val="24"/>
              </w:rPr>
              <w:t>提供国家建筑材料测试中心或其他国家级检测检验机构的检测报告</w:t>
            </w:r>
            <w:r>
              <w:rPr>
                <w:rFonts w:hint="eastAsia" w:asciiTheme="majorEastAsia" w:hAnsiTheme="majorEastAsia" w:eastAsiaTheme="majorEastAsia"/>
                <w:bCs/>
                <w:color w:val="auto"/>
                <w:sz w:val="24"/>
                <w:szCs w:val="24"/>
              </w:rPr>
              <w:t>并加盖中标方公章</w:t>
            </w:r>
            <w:r>
              <w:rPr>
                <w:rFonts w:hint="eastAsia" w:asciiTheme="majorEastAsia" w:hAnsiTheme="majorEastAsia" w:eastAsiaTheme="majorEastAsia"/>
                <w:color w:val="auto"/>
                <w:sz w:val="24"/>
                <w:szCs w:val="24"/>
              </w:rPr>
              <w:t>，参照GB/T 4100标准，且耐磨性的检测结果达到4级/2100转及以上）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vMerge w:val="restart"/>
            <w:tcBorders>
              <w:top w:val="nil"/>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柜体说明</w:t>
            </w: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通风柜上部柜体为全钢外壳，高分子材料内衬的双层结构；底柜为钢制柜体；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钢制柜体钢材基本厚度应达到或优于以下标准：</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1.2mmTH：通风柜外壳，通风柜上装饰封板；底柜柜体主结构，标准型底柜外门板，装饰封板。</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1.5mmTH：通风柜主框架。</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3.0mmTH：底柜调整脚支撑板。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内衬板：除有特殊说明者外，应采用高分子聚酯材质，为抗酸碱腐蚀、阻燃、自动熄火内外均质高分子有机材料，而不能是抗倍特板之类不能阻燃的材料。内衬材料表面光滑而且内外均为白色，厚度不得少于5mm；扰流板：扰流板应该和内衬材料一致；所有通风柜内部的连接装置都需隐藏布置和抗腐蚀，禁止有外露的金属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调节门：</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视窗玻璃：采用厚6mm及以上的安全胶合玻璃，由两片厚3mm及以上的优级浮法玻璃胶合制作。</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调节门牵引：采用钢质调节门齿槽链条或皮带式传动（皮带内包钢丝）。</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调节门把手：采用耐蚀塑料材质(聚丙烯或聚氯乙烯等)，或编号316不锈钢材质制作。</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调节门钢索滑轮座：固定座具防钢索脱落设计。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集气风罩：采用锥型集气风罩，以聚丙烯或其它更佳的耐蚀塑料材质无缝一体成型制作。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其它要求：</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(1)上部柜体（排风柜）：采双层结构，外层为钢壳、内层为实验室专用耐酸碱5mm厚陶瓷纤维板，外壳与内衬间夹层，可容纳水、电、气体管线系统，并可确保柜体气密与防护；</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(2)台面：同上/台面下缘底部加工之止水沟：圆弧收边处理，并在台面下设有滴水沿。</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(3)下部底柜：储存柜附高低调整脚，并附有排风接口，可以与上部柜体的（实验室）排风系统连接。</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(4)上下柜体采用全钢制组合式结构。</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(5)为便于排风柜日后移动或维护之需要，上柜为可拆解模块式，而钣金组件结合时采可重复使用之螺丝件锁合，不采铆钉或焊接方式，以免破坏柜体；另为保证质量及维修便利，每台相同型号、尺寸之排风柜其钣金、零部件、组件及所有锁合孔位具共通、兼容及互换性。</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(6)排风柜所有内衬板、导流板之裁切与预留孔位均以数控切割成形，平滑工整无毛疵边，所有同型号排风柜内衬板及导流板外形、尺寸及孔位之精确度可允许任意互换。</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(7)内衬板装设时采用可重复拆装之塑料扣件于外壳框架结合，所有链连接的金属组件不能暴露在柜内。</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(8)排风柜底柜门片为可拆解之双层结构，其内附消音片；门片结构采用不锈钢模具成型铰链，其强度能保证在门片向外开启90度时于其末端负重90kg而不掉落或损伤。</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(9)排风柜移动门正面开口四周外部结构均向内倾斜，可提升气流进入时平滑顺畅及减少涡流。</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(10)排风柜玻璃移动门内侧与排风柜前方挡板间设有气密遮帘，可提高气密性降低排风量之耗损。</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(11)导流板：排风柜内配置有导流板及其后的排气夹层，导流板安装位置与角度能使排气分布均匀，无死角。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vMerge w:val="restart"/>
            <w:tcBorders>
              <w:top w:val="nil"/>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风柜柜体采用酸碱柜和防火柜组合</w:t>
            </w: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下柜采用组合式独立功能柜体；</w:t>
            </w:r>
          </w:p>
          <w:p>
            <w:pPr>
              <w:spacing w:line="288" w:lineRule="auto"/>
              <w:rPr>
                <w:rFonts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所有通风柜下柜体标配带有专业认证的酸碱柜和防火安全柜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防火柜：下部底柜为组合式结构，其中一个柜子具备专业防火功能要求，提供必要的第三方权威机构出具的防火的等级证书。防火柜采用不低于1.0mm厚优质冷轧钢板烧焊而成，全部双层防火钢板构造，两层钢板之间相隔有不低于35mm的绝缘层，可有效隔离热源；不低于40mm高的防漏液槽使意外流出的液体不外溢；柜子内外钢板都喷涂有环氧树脂或无铅环氧/聚酯纤维涂料，保持高光洁度，耐化学品腐蚀且抵抗紫外线和湿气；每层镀锌钢制层板具备将溢出物可以引导至后侧和底部，将意外渗漏的液体“导流”到盛漏槽，层板为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安全防火柜自带通风孔，且通风孔必须带有“阻火阀”在温度高于74℃时阀门自动关闭，阻止外界空气和火苗进入。同时“阻火阀”必须和安全柜为同一厂家生产，需要原厂证明文件（证明阻火阀与安全柜为同一厂家生产），保证产品匹配性。每台柜体上带专业规范的反光警示标签，用手电筒照亮时，反光警告标签将反射光线，即使在失火或是停电的情况下也具有很高的可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提供通风柜下柜防火柜中“阻火阀”认证的证明文件复印件。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钢制物品柜要求：实验室等级钢制家具应能承受以下最大荷重而不变形或影响使用。</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落地式底柜 柜体荷重性能检测：≥906公斤；</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门片及铰链荷重性能检测：≥90公斤；</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层板荷重性能检测：≥90公斤。</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实验室等级钢制家具钢材表面处理要求：</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按照标准工序采用环氧树酯粉末静电喷涂，颜色可由招标人根据家具制造商的标准色卡统一选择。</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表面处理性能要求应符合SEFA 8 M标准。</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柜体一般深度至少为549mm，高度(含调整脚) 除有特别说明者外，为895mm(±1.5%)；底柜后方应具备容易拆装的活动背板；</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服务通道：柜体背面离墙有一个服务通道距离，用来布设电、水、气管路，隐藏设计；</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所有柜体正面应为平装嵌入式结构设计，如各端面板(如门板)，上/侧/底部柜体边框以及垂直支柱都必须在同一水平面不可有突出，以避免勾住实验袍等造成意外，所有钣金的表面接缝均应满焊，焊接处均应打磨平整以保持为连续的平滑表面；</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除有特别说明者外，采用双开门款式柜体，柜体两片门间无中央垂直支柱阻挡。柜体内有层板上下调节孔，每个双开门柜体设聚丙烯制活动层板及集水底盘各一只，层板宽度与柜体内宽度相当，不得于两侧有各超过3mm的间隙；</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 xml:space="preserve">每个柜体单元应配备4个镀锌钢螺杆调整脚，以支撑柜体及调节水平，柜体底部离地板距离应不少于10mm以隔离地面潮气； </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踼脚板凹入部分位于柜体下方正面，为一约高100mm深75mm的凹陷空间，踢脚板除正面凹入部分外，两侧须与柜体钢板一体成型，不得以小料拼接烧焊制作，以确保整体荷重能力；踼脚板表面加装踢脚线装饰板及护角将踼脚板与地面空隙遮盖；护角锁合螺丝可为编号304或316不锈钢材质自攻螺丝；</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门板：</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门板为双层结构，内外面均经环氧树酯粉末静电喷涂，夹层内具消音材料。</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门板合页铰链以不锈钢螺丝与门板及柜体相固定。</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门板配置门扣组及橡胶缓冲垫。</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门板能开关顺畅达180度。</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活动层板：</w:t>
            </w:r>
          </w:p>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层板上下调节间距每格应小于20mm。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实心高密度聚乙烯酸碱类安全柜下柜体：</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实心高密度聚乙烯板焊接，坚固耐用，设计大方、外形流畅、高雅。</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具有出色的耐化学腐蚀性，可存放腐蚀性很强的化学品，并且容易清理。</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底部设有完全焊接的防护性盛漏槽，深度51mm，可盛接意外情况下溢出的化学品。</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搁板可在76mm中心处调整。</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柜门设计搭扣结构，可使用挂锁以保证安全。</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每台柜体上带专业规范的反光警示标签，用手电筒照亮时，反光警告标签将反射光线，即使在失火或是停电的情况下也具有很高的可见度。</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参考尺寸：889 x 889 x 530 mm（H x W x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vMerge w:val="restart"/>
            <w:tcBorders>
              <w:top w:val="single" w:color="auto" w:sz="4" w:space="0"/>
              <w:left w:val="nil"/>
              <w:bottom w:val="nil"/>
              <w:right w:val="single" w:color="auto" w:sz="4" w:space="0"/>
            </w:tcBorders>
            <w:vAlign w:val="center"/>
          </w:tcPr>
          <w:p>
            <w:pPr>
              <w:rPr>
                <w:rFonts w:asciiTheme="majorEastAsia" w:hAnsiTheme="majorEastAsia" w:eastAsiaTheme="majorEastAsia"/>
                <w:bCs/>
                <w:color w:val="auto"/>
                <w:sz w:val="24"/>
                <w:szCs w:val="24"/>
              </w:rPr>
            </w:pPr>
          </w:p>
          <w:p>
            <w:pPr>
              <w:rPr>
                <w:rFonts w:asciiTheme="majorEastAsia" w:hAnsiTheme="majorEastAsia" w:eastAsiaTheme="majorEastAsia"/>
                <w:bCs/>
                <w:color w:val="auto"/>
                <w:sz w:val="24"/>
                <w:szCs w:val="24"/>
              </w:rPr>
            </w:pP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内衬材料（阻燃内衬及导流板）</w:t>
            </w:r>
          </w:p>
          <w:p>
            <w:pPr>
              <w:rPr>
                <w:rFonts w:asciiTheme="majorEastAsia" w:hAnsiTheme="majorEastAsia" w:eastAsiaTheme="majorEastAsia"/>
                <w:bCs/>
                <w:color w:val="auto"/>
                <w:sz w:val="24"/>
                <w:szCs w:val="24"/>
              </w:rPr>
            </w:pPr>
          </w:p>
        </w:tc>
        <w:tc>
          <w:tcPr>
            <w:tcW w:w="3759" w:type="pct"/>
            <w:tcBorders>
              <w:top w:val="single" w:color="auto" w:sz="4" w:space="0"/>
              <w:left w:val="single" w:color="auto" w:sz="4" w:space="0"/>
              <w:bottom w:val="single" w:color="auto" w:sz="4" w:space="0"/>
              <w:right w:val="single" w:color="auto" w:sz="4" w:space="0"/>
            </w:tcBorders>
            <w:vAlign w:val="center"/>
          </w:tcPr>
          <w:p>
            <w:pPr>
              <w:spacing w:line="264"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采用不小于5mm厚实验室专用通风柜陶瓷纤维板，阻燃、防爆、耐腐蚀、耐高温，一体透芯，从里到外为同一材质。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0" w:type="auto"/>
            <w:vMerge w:val="continue"/>
            <w:tcBorders>
              <w:top w:val="nil"/>
              <w:left w:val="nil"/>
              <w:bottom w:val="nil"/>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single" w:color="auto" w:sz="4" w:space="0"/>
              <w:bottom w:val="single" w:color="auto" w:sz="4" w:space="0"/>
              <w:right w:val="single" w:color="auto" w:sz="4" w:space="0"/>
            </w:tcBorders>
            <w:vAlign w:val="center"/>
          </w:tcPr>
          <w:p>
            <w:pPr>
              <w:spacing w:line="264"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表面耐干热性不小于150℃（中标方在产品交付或安装前提供具有CMA认证的第三方检测机构出具的检测报告并加盖中标方公章，参照GB/T17657检测标准）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0" w:type="auto"/>
            <w:vMerge w:val="continue"/>
            <w:tcBorders>
              <w:top w:val="nil"/>
              <w:left w:val="nil"/>
              <w:bottom w:val="nil"/>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single" w:color="auto" w:sz="4" w:space="0"/>
              <w:bottom w:val="single" w:color="auto" w:sz="4" w:space="0"/>
              <w:right w:val="single" w:color="auto" w:sz="4" w:space="0"/>
            </w:tcBorders>
            <w:vAlign w:val="center"/>
          </w:tcPr>
          <w:p>
            <w:pPr>
              <w:spacing w:line="264"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阻燃性满足UL94，V-0的要求。（中标方在产品交付或安装前提供SGS或具备CMA标识的第三方检测机构出具的阻燃性检测报告加盖中标方公章，采用UL94-2012测试方法，满足UL94，V-0的要求：检验不低于两次以上的结果余焰时间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0" w:type="auto"/>
            <w:vMerge w:val="continue"/>
            <w:tcBorders>
              <w:top w:val="nil"/>
              <w:left w:val="nil"/>
              <w:bottom w:val="nil"/>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弯曲强度范围 90~94MPa（中标方在产品交付或安装前提供SGS或具备CMA标识的第三方检测机构出具的弯曲强度检测报告并加盖中标方公章）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0" w:type="auto"/>
            <w:vMerge w:val="continue"/>
            <w:tcBorders>
              <w:top w:val="nil"/>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p>
        </w:tc>
        <w:tc>
          <w:tcPr>
            <w:tcW w:w="3759"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内侧板可固定供水或供气考克。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排风柜内固定件</w:t>
            </w:r>
          </w:p>
        </w:tc>
        <w:tc>
          <w:tcPr>
            <w:tcW w:w="3759" w:type="pct"/>
            <w:tcBorders>
              <w:top w:val="single" w:color="auto" w:sz="4" w:space="0"/>
              <w:left w:val="nil"/>
              <w:bottom w:val="single" w:color="auto" w:sz="4" w:space="0"/>
              <w:right w:val="single" w:color="auto" w:sz="4" w:space="0"/>
            </w:tcBorders>
            <w:vAlign w:val="center"/>
          </w:tcPr>
          <w:p>
            <w:pPr>
              <w:spacing w:line="288"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所有内衬板及导流板装配并固定，排风柜内衬板及导流板外形、尺寸及孔位之精确度可允许任意互换。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p>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视窗拉门</w:t>
            </w:r>
          </w:p>
          <w:p>
            <w:pPr>
              <w:spacing w:line="360" w:lineRule="auto"/>
              <w:rPr>
                <w:rFonts w:asciiTheme="majorEastAsia" w:hAnsiTheme="majorEastAsia" w:eastAsiaTheme="majorEastAsia"/>
                <w:bCs/>
                <w:color w:val="auto"/>
                <w:sz w:val="24"/>
                <w:szCs w:val="24"/>
              </w:rPr>
            </w:pP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（1）视窗拉门：活动式垂直拉升拉门，置于工作空间与操作者之间，以保护操作者安全，结合平衡位置，拉门可停于任意活动点。</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（2）移动门玻璃：采用厚6mm及以上的安全胶合玻璃，由两片厚3mm及以上的优级浮法玻璃以符合胶合制作或经采购单位认可的同等规格。</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（3）移动门外框及轨道：视窗外框采用2.0mm（含）厚铝合金模铸成型，表面经喷涂处理。与玻璃四边包夹嵌入式结合，确保安全性及耐用性。</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（4）视窗把手：</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1.5mm厚铝合金模铸成型表面经喷涂防蚀处理，把手正面上下具圆弧造型，具导流效果以避免泄漏之产生，把手下方应装置橡胶防撞条（与把手同长度）确保窗口不当外力开关时，能产生吸震保护作用及增加关闭气密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水电材料</w:t>
            </w:r>
          </w:p>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a.电力设备</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（1）开关部分：每台通风柜具有日光灯开关装设于上柜左侧正面。</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（2）插座部分：每台通风柜具220V万用接地型插座，装设于上柜两侧正面。</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（3）电源控制部分：每台通风柜设有配电箱，其中至少具有：5A可调节式过载保护接触器总成；总电源用小型断路器（NFB）30A 3P；日光灯及220V插座用小型断路器（NFB）16A 2P。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b.供水考克</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采用壁式水用考克，并附供水流量控制阀。本体为铜合金制，表面经环氧树脂耐碱漆涂烧处理。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d.保护装置</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每台排风柜于底柜内设有电力盒其中包括：</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总电源用无熔丝开关小型断路器（附漏电保护）2P-32A一只。</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插座、日光灯用无熔丝开关小型断路器2P-16A两只。</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本排风柜电力系统配线于出厂前预先配置，并于底柜后侧或顶板上方适当位置预留电力接线盘端子，其上附保护盖及接线标示。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e.照明装置</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所有排风柜均配置可由柜外予以维修的双管日光灯，并于柜外配置日光灯开关。日光灯底部设有厚5mm之雾面钢化玻璃，除可隔离与柜内气体之结接触外，并具泄压口之功能；1500排风柜之灯罩内具220V、30W日光灯两支；1800排风柜之灯罩内具220V、40W日光灯两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f.化验杯槽</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采用PP（聚丙烯）黑色耐酸碱、抗蚀杯槽，杯槽安装于台面下方或侧方，接缝处则以硅胶防水填充处理。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g.废液杯槽</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采用PP（聚丙烯）黑色耐酸碱、抗蚀杯槽，杯槽采台面凸式安装，以避免台面积水流入于废液混合，接缝处则以硅胶防水填充处理.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h.回收器</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杯槽下水口附PP（聚丙烯）材质防虹吸瓶式回收器（组合式落水头堵臭装置Bottle Trap），具过滤效果及堵臭功能。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其他及五金配件</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a合页</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采用编号304或316不锈钢材质180°合页铰链。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b.把手</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采用耐腐蚀，符合人体工学设计款式。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c.导流板固定座</w:t>
            </w:r>
          </w:p>
        </w:tc>
        <w:tc>
          <w:tcPr>
            <w:tcW w:w="3759" w:type="pct"/>
            <w:tcBorders>
              <w:top w:val="single" w:color="auto" w:sz="4" w:space="0"/>
              <w:left w:val="nil"/>
              <w:bottom w:val="single" w:color="auto" w:sz="4" w:space="0"/>
              <w:right w:val="single" w:color="auto" w:sz="4" w:space="0"/>
            </w:tcBorders>
            <w:vAlign w:val="center"/>
          </w:tcPr>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采用模塑成型耐酸碱材质,其性能符合以下要求：</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1)排风柜内导流板籍由导流板固定座支撑固定于背板上，可由柜内在不需借助工具的情况下，仅以手动操作即可轻易将导流板卸下，以方便定期清理及检修。</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2)组装时若使用金属螺丝件时，能予以隐藏隔离，可避免与柜内气体接触。</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3)固定座具有良好值承重稳固性，每只固定座能荷重100Kgf以上，以确保导流板及安装于其上的试验架之稳固，承重。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d.链条及滑轮组或同步带</w:t>
            </w:r>
          </w:p>
        </w:tc>
        <w:tc>
          <w:tcPr>
            <w:tcW w:w="3759" w:type="pct"/>
            <w:tcBorders>
              <w:top w:val="single" w:color="auto" w:sz="4" w:space="0"/>
              <w:left w:val="nil"/>
              <w:bottom w:val="single" w:color="auto" w:sz="4" w:space="0"/>
              <w:right w:val="single" w:color="auto" w:sz="4" w:space="0"/>
            </w:tcBorders>
            <w:vAlign w:val="center"/>
          </w:tcPr>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负责平衡配重悬吊链条或同步带滑动，转向及支撑之滑轮组（Pulley block）基座采用镀锌钢板冲压成型制作。</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1)滑轮采用冷扎材质，滑轮组齿轮结构，滑轮内设有滚珠轴承并具定位衬套，可防止滚动时滑轮与滚珠轴承位移松脱或偏磨卡死。</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2)滑轮组设有链条限位装置，可防链条松脱至滑轮沟槽外。</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3)每条链条与固定锁扣能承受最大为460kgf的拉伸测试而不脱落断裂。（提供国家认可的第三方检测机构出具的拉伸测试报告复印件）</w:t>
            </w:r>
          </w:p>
          <w:p>
            <w:pPr>
              <w:spacing w:line="400" w:lineRule="exact"/>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4）也可采用皮带式滑动组，要求加装防脱轨道装置。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e.配重</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每一标准型排风柜具有一单面上下操作之垂直升降移动门，并采用单一平衡配重系统。</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平衡配重系统配置于排风柜柜体背板后。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
                <w:bCs/>
                <w:color w:val="auto"/>
                <w:sz w:val="24"/>
                <w:szCs w:val="24"/>
              </w:rPr>
              <w:t>★</w:t>
            </w:r>
            <w:r>
              <w:rPr>
                <w:rFonts w:hint="eastAsia" w:asciiTheme="majorEastAsia" w:hAnsiTheme="majorEastAsia" w:eastAsiaTheme="majorEastAsia"/>
                <w:bCs/>
                <w:color w:val="auto"/>
                <w:sz w:val="24"/>
                <w:szCs w:val="24"/>
              </w:rPr>
              <w:t>f.集气风罩</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采耐酸碱5mm厚PP（聚丙烯）或高强度ABS质锥形集气罩，底部入口为长方形开口，顶部出口为圆型管径依排风柜尺寸1.2M约∮10”，1.5M、1.8M约∮12”，出口衔接管口高度约50mm，便于风管套管衔接。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g.插座</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1）220V接地型单相插座。</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2）16A 220V一位多功能插座。</w:t>
            </w:r>
          </w:p>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3）电缆系统。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1"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asciiTheme="majorEastAsia" w:hAnsiTheme="majorEastAsia" w:eastAsiaTheme="majorEastAsia"/>
                <w:bCs/>
                <w:kern w:val="0"/>
              </w:rPr>
            </w:pPr>
          </w:p>
        </w:tc>
        <w:tc>
          <w:tcPr>
            <w:tcW w:w="720" w:type="pct"/>
            <w:tcBorders>
              <w:top w:val="single" w:color="auto" w:sz="4" w:space="0"/>
              <w:left w:val="nil"/>
              <w:bottom w:val="single" w:color="auto" w:sz="4" w:space="0"/>
              <w:right w:val="single" w:color="auto" w:sz="4" w:space="0"/>
            </w:tcBorders>
            <w:vAlign w:val="center"/>
          </w:tcPr>
          <w:p>
            <w:pPr>
              <w:spacing w:line="360" w:lineRule="auto"/>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h.高低调整脚</w:t>
            </w:r>
          </w:p>
        </w:tc>
        <w:tc>
          <w:tcPr>
            <w:tcW w:w="375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bCs/>
                <w:color w:val="auto"/>
                <w:sz w:val="24"/>
                <w:szCs w:val="24"/>
              </w:rPr>
            </w:pPr>
            <w:r>
              <w:rPr>
                <w:rFonts w:hint="eastAsia" w:asciiTheme="majorEastAsia" w:hAnsiTheme="majorEastAsia" w:eastAsiaTheme="majorEastAsia"/>
                <w:bCs/>
                <w:color w:val="auto"/>
                <w:sz w:val="24"/>
                <w:szCs w:val="24"/>
              </w:rPr>
              <w:t>螺杆采ф7.5mm（含）以上镀锌钢制作，并具高17mm，长30mm（含）以上六角型PVC防水底垫。调整脚每只通过1000kg（含）以上载重试验。详测试报告</w:t>
            </w:r>
          </w:p>
        </w:tc>
      </w:tr>
    </w:tbl>
    <w:p>
      <w:pPr>
        <w:spacing w:beforeLines="50" w:after="0"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g</w:t>
      </w:r>
      <w:r>
        <w:rPr>
          <w:rFonts w:hint="eastAsia" w:cs="宋体" w:asciiTheme="majorEastAsia" w:hAnsiTheme="majorEastAsia" w:eastAsiaTheme="majorEastAsia"/>
          <w:bCs/>
          <w:color w:val="auto"/>
          <w:sz w:val="24"/>
          <w:szCs w:val="24"/>
        </w:rPr>
        <w:t>.紧急冲淋装置</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序号</w:t>
            </w:r>
          </w:p>
        </w:tc>
        <w:tc>
          <w:tcPr>
            <w:tcW w:w="4232" w:type="pct"/>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壁式，独立式安装。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涂层：高亮度环氧树脂烤漆涂层，有效抵御化学物质的腐蚀和紫外线的照射；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冲淋器：SUS304不锈钢，用于冲洗全身，冲淋开关阀球阀能1S内快速启动；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恒定水流量约50升/分钟，最小工作压力1.5巴</w:t>
            </w:r>
          </w:p>
        </w:tc>
      </w:tr>
    </w:tbl>
    <w:p>
      <w:pPr>
        <w:spacing w:beforeLines="50" w:after="0"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h</w:t>
      </w:r>
      <w:r>
        <w:rPr>
          <w:rFonts w:hint="eastAsia" w:cs="宋体" w:asciiTheme="majorEastAsia" w:hAnsiTheme="majorEastAsia" w:eastAsiaTheme="majorEastAsia"/>
          <w:bCs/>
          <w:color w:val="auto"/>
          <w:sz w:val="24"/>
          <w:szCs w:val="24"/>
        </w:rPr>
        <w:t>.桌上型洗眼器</w:t>
      </w:r>
    </w:p>
    <w:tbl>
      <w:tblPr>
        <w:tblStyle w:val="18"/>
        <w:tblW w:w="50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7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序号</w:t>
            </w:r>
          </w:p>
        </w:tc>
        <w:tc>
          <w:tcPr>
            <w:tcW w:w="4235" w:type="pct"/>
            <w:tcBorders>
              <w:top w:val="single" w:color="auto" w:sz="4" w:space="0"/>
              <w:left w:val="nil"/>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5"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涂层：高亮度环氧树脂喷涂层，耐腐蚀，耐热，防紫外线辐射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5"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双喷淋头：软性橡胶，出水轻缓压处理呈泡状水柱，防止冲伤眼睛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5"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防尘盖，ABS材质，使用时自动被水冲开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5"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手柄，为内铜质，外PP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5"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金属环扣，具锁定水流功能，方便使用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5"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控水阀，恒定水流量约7L/分钟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64"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5"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供水软管：长度1.5m，软件PVC管外覆不锈钢网</w:t>
            </w:r>
          </w:p>
        </w:tc>
      </w:tr>
    </w:tbl>
    <w:p>
      <w:pPr>
        <w:spacing w:beforeLines="50" w:after="0"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i</w:t>
      </w:r>
      <w:r>
        <w:rPr>
          <w:rFonts w:hint="eastAsia" w:cs="宋体" w:asciiTheme="majorEastAsia" w:hAnsiTheme="majorEastAsia" w:eastAsiaTheme="majorEastAsia"/>
          <w:bCs/>
          <w:color w:val="auto"/>
          <w:sz w:val="24"/>
          <w:szCs w:val="24"/>
        </w:rPr>
        <w:t>.三口水龙头</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序号</w:t>
            </w:r>
          </w:p>
        </w:tc>
        <w:tc>
          <w:tcPr>
            <w:tcW w:w="4232" w:type="pct"/>
            <w:tcBorders>
              <w:top w:val="single" w:color="auto" w:sz="4" w:space="0"/>
              <w:left w:val="nil"/>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主体，加厚铜质，环氧树脂粉末静电喷涂，耐腐蚀，耐热，防紫外线辐射。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最大工作压力达到10巴，耐热范围0°～90°。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PP开关旋钮，呈三角弧形，人体工学设计，手感舒适</w:t>
            </w:r>
          </w:p>
        </w:tc>
      </w:tr>
    </w:tbl>
    <w:p>
      <w:pPr>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j</w:t>
      </w:r>
      <w:r>
        <w:rPr>
          <w:rFonts w:hint="eastAsia" w:cs="宋体" w:asciiTheme="majorEastAsia" w:hAnsiTheme="majorEastAsia" w:eastAsiaTheme="majorEastAsia"/>
          <w:bCs/>
          <w:color w:val="auto"/>
          <w:sz w:val="24"/>
          <w:szCs w:val="24"/>
        </w:rPr>
        <w:t>.水考克</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序号</w:t>
            </w:r>
          </w:p>
        </w:tc>
        <w:tc>
          <w:tcPr>
            <w:tcW w:w="4232" w:type="pct"/>
            <w:tcBorders>
              <w:top w:val="single" w:color="auto" w:sz="4" w:space="0"/>
              <w:left w:val="nil"/>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主体，加厚铜质，环氧树脂粉末静电喷涂，耐腐蚀，耐热，防紫外线辐射。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最大工作压力达到10巴，耐热范围0°～90°。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PP开关旋钮，呈三角弧形，人体工学设计，手感舒适。</w:t>
            </w:r>
          </w:p>
        </w:tc>
      </w:tr>
    </w:tbl>
    <w:p>
      <w:pPr>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k</w:t>
      </w:r>
      <w:r>
        <w:rPr>
          <w:rFonts w:hint="eastAsia" w:cs="宋体" w:asciiTheme="majorEastAsia" w:hAnsiTheme="majorEastAsia" w:eastAsiaTheme="majorEastAsia"/>
          <w:bCs/>
          <w:color w:val="auto"/>
          <w:sz w:val="24"/>
          <w:szCs w:val="24"/>
        </w:rPr>
        <w:t>.水槽</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序号</w:t>
            </w:r>
          </w:p>
        </w:tc>
        <w:tc>
          <w:tcPr>
            <w:tcW w:w="4232" w:type="pct"/>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pStyle w:val="31"/>
              <w:numPr>
                <w:ilvl w:val="0"/>
                <w:numId w:val="11"/>
              </w:numPr>
              <w:ind w:firstLineChars="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采用与台面品牌一致的陶瓷洗涤水槽，耐强腐蚀，深度不低于280mm；</w:t>
            </w:r>
          </w:p>
          <w:p>
            <w:pPr>
              <w:pStyle w:val="31"/>
              <w:numPr>
                <w:ilvl w:val="0"/>
                <w:numId w:val="11"/>
              </w:numPr>
              <w:ind w:firstLineChars="0"/>
              <w:rPr>
                <w:rFonts w:cs="宋体" w:asciiTheme="majorEastAsia" w:hAnsiTheme="majorEastAsia" w:eastAsiaTheme="majorEastAsia"/>
                <w:bCs/>
                <w:kern w:val="0"/>
              </w:rPr>
            </w:pPr>
            <w:r>
              <w:rPr>
                <w:rFonts w:hint="eastAsia" w:cs="宋体" w:asciiTheme="majorEastAsia" w:hAnsiTheme="majorEastAsia" w:eastAsiaTheme="majorEastAsia"/>
                <w:bCs/>
                <w:kern w:val="0"/>
                <w:sz w:val="24"/>
                <w:szCs w:val="24"/>
              </w:rPr>
              <w:t>采用高密度黑色PP一体成型，耐强腐蚀，受力边厚可达7mm，平整不变形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水槽底部由水槽柜内支架加强支撑。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内部附有滤水垫片、滤水提笼及塑料止水盖，另附PP材质组合式水槽落水头堵臭装置，耐腐蚀，抗高温，易清洁，弯头易拆除、安装。</w:t>
            </w:r>
          </w:p>
        </w:tc>
      </w:tr>
    </w:tbl>
    <w:p>
      <w:pPr>
        <w:spacing w:line="360" w:lineRule="auto"/>
        <w:ind w:firstLine="480" w:firstLineChars="200"/>
        <w:rPr>
          <w:rFonts w:cs="宋体" w:asciiTheme="majorEastAsia" w:hAnsiTheme="majorEastAsia" w:eastAsiaTheme="majorEastAsia"/>
          <w:bCs/>
          <w:color w:val="auto"/>
          <w:sz w:val="24"/>
          <w:szCs w:val="24"/>
        </w:rPr>
      </w:pPr>
      <w:r>
        <w:rPr>
          <w:rFonts w:cs="宋体" w:asciiTheme="majorEastAsia" w:hAnsiTheme="majorEastAsia" w:eastAsiaTheme="majorEastAsia"/>
          <w:bCs/>
          <w:color w:val="auto"/>
          <w:sz w:val="24"/>
          <w:szCs w:val="24"/>
        </w:rPr>
        <w:t>h</w:t>
      </w:r>
      <w:r>
        <w:rPr>
          <w:rFonts w:hint="eastAsia" w:cs="宋体" w:asciiTheme="majorEastAsia" w:hAnsiTheme="majorEastAsia" w:eastAsiaTheme="majorEastAsia"/>
          <w:bCs/>
          <w:color w:val="auto"/>
          <w:sz w:val="24"/>
          <w:szCs w:val="24"/>
        </w:rPr>
        <w:t>.滴水架</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序号</w:t>
            </w:r>
          </w:p>
        </w:tc>
        <w:tc>
          <w:tcPr>
            <w:tcW w:w="4232" w:type="pct"/>
            <w:tcBorders>
              <w:top w:val="single" w:color="auto" w:sz="4" w:space="0"/>
              <w:left w:val="nil"/>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单面，轻质量，高强度，容易组装和拆卸，可放在水槽边，不锈钢材质，滴水架PP棒倾角为40°，用于置放各种实验室玻璃器皿。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提供至少27个滴水架PP棒以及安装孔，用双手就能够拆装，插空防水。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2"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要倾斜的设计，能够使液体轻易快捷的排走。</w:t>
            </w:r>
          </w:p>
        </w:tc>
      </w:tr>
    </w:tbl>
    <w:p>
      <w:pPr>
        <w:spacing w:line="360" w:lineRule="auto"/>
        <w:ind w:firstLine="480" w:firstLineChars="20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l、万向抽气罩</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序号</w:t>
            </w:r>
          </w:p>
        </w:tc>
        <w:tc>
          <w:tcPr>
            <w:tcW w:w="4233" w:type="pct"/>
            <w:tcBorders>
              <w:top w:val="single" w:color="auto" w:sz="4" w:space="0"/>
              <w:left w:val="nil"/>
              <w:bottom w:val="single" w:color="auto" w:sz="4" w:space="0"/>
              <w:right w:val="single" w:color="auto" w:sz="4" w:space="0"/>
            </w:tcBorders>
            <w:vAlign w:val="center"/>
          </w:tcPr>
          <w:p>
            <w:pPr>
              <w:spacing w:line="360" w:lineRule="auto"/>
              <w:jc w:val="center"/>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3"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三节式，天花式安装,固定座为方形，铝合金一体成型制作。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3"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关节采用高密度PP材质或铝合金材质，可360度旋转调节方向，易拆卸，重组及清洗。总长度L=1500mm,有效工作半径1350mm。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3"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关节密封圈，不易老化的高密度橡胶。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3"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气流调节阀，手动调节外部阀门旋钮，控制进入之气流量。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3"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关节松紧旋钮，高密度PP材质，内嵌不锈钢轴承，与关节连接杆锁和。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3"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集气罩，拱形和杯形，高密度PP材质，直径为350mm。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jc w:val="center"/>
              <w:rPr>
                <w:rFonts w:cs="宋体" w:asciiTheme="majorEastAsia" w:hAnsiTheme="majorEastAsia" w:eastAsiaTheme="majorEastAsia"/>
                <w:bCs/>
                <w:kern w:val="0"/>
              </w:rPr>
            </w:pPr>
          </w:p>
        </w:tc>
        <w:tc>
          <w:tcPr>
            <w:tcW w:w="4233" w:type="pct"/>
            <w:tcBorders>
              <w:top w:val="single" w:color="auto" w:sz="4" w:space="0"/>
              <w:left w:val="nil"/>
              <w:bottom w:val="single" w:color="auto" w:sz="4" w:space="0"/>
              <w:right w:val="single" w:color="auto" w:sz="4" w:space="0"/>
            </w:tcBorders>
            <w:vAlign w:val="center"/>
          </w:tcPr>
          <w:p>
            <w:pPr>
              <w:spacing w:line="360" w:lineRule="auto"/>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★须提供满足CE安全认证的证明文件。</w:t>
            </w:r>
          </w:p>
        </w:tc>
      </w:tr>
    </w:tbl>
    <w:p>
      <w:pPr>
        <w:snapToGrid w:val="0"/>
        <w:spacing w:line="560" w:lineRule="exact"/>
        <w:ind w:firstLine="480" w:firstLineChars="200"/>
        <w:rPr>
          <w:rFonts w:cs="宋体" w:asciiTheme="majorEastAsia" w:hAnsiTheme="majorEastAsia" w:eastAsiaTheme="majorEastAsia"/>
          <w:color w:val="auto"/>
          <w:sz w:val="24"/>
          <w:szCs w:val="24"/>
        </w:rPr>
      </w:pPr>
    </w:p>
    <w:p>
      <w:pPr>
        <w:pStyle w:val="36"/>
        <w:snapToGrid w:val="0"/>
        <w:spacing w:line="360" w:lineRule="auto"/>
        <w:ind w:left="0" w:firstLine="0"/>
        <w:jc w:val="both"/>
        <w:rPr>
          <w:rFonts w:cs="Times New Roman" w:asciiTheme="majorEastAsia" w:hAnsiTheme="majorEastAsia" w:eastAsiaTheme="majorEastAsia"/>
          <w:sz w:val="30"/>
          <w:szCs w:val="30"/>
        </w:rPr>
      </w:pPr>
      <w:bookmarkStart w:id="62" w:name="_Toc71553227"/>
      <w:r>
        <w:rPr>
          <w:rFonts w:hint="eastAsia" w:cs="Times New Roman" w:asciiTheme="majorEastAsia" w:hAnsiTheme="majorEastAsia" w:eastAsiaTheme="majorEastAsia"/>
          <w:sz w:val="30"/>
          <w:szCs w:val="30"/>
        </w:rPr>
        <w:t>三、施工方案和维保方案要求</w:t>
      </w:r>
      <w:bookmarkEnd w:id="62"/>
    </w:p>
    <w:p>
      <w:pPr>
        <w:snapToGrid w:val="0"/>
        <w:spacing w:line="400" w:lineRule="exact"/>
        <w:ind w:firstLine="480" w:firstLineChars="200"/>
        <w:rPr>
          <w:rFonts w:cs="Times New Roman"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施工方案：投标文件应附有初步施工方案，方案中应包括技术方案、施工图纸（包括实验室功能分区平面图、给排水图、暖通图、电路图、抽排风图、装修图、气路图等）、工期保障措施、安全施工措施、现场人员保障、应急预案等。</w:t>
      </w:r>
    </w:p>
    <w:p>
      <w:pPr>
        <w:snapToGrid w:val="0"/>
        <w:spacing w:line="400" w:lineRule="exact"/>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2、维保方案：方案中应包括质保期内的维保方案、技术（维保）人员、维修方案等。</w:t>
      </w:r>
    </w:p>
    <w:p>
      <w:pPr>
        <w:pStyle w:val="36"/>
        <w:snapToGrid w:val="0"/>
        <w:spacing w:line="360" w:lineRule="auto"/>
        <w:ind w:left="0" w:firstLine="0"/>
        <w:jc w:val="both"/>
        <w:rPr>
          <w:rFonts w:cs="Times New Roman" w:asciiTheme="majorEastAsia" w:hAnsiTheme="majorEastAsia" w:eastAsiaTheme="majorEastAsia"/>
          <w:sz w:val="30"/>
          <w:szCs w:val="30"/>
        </w:rPr>
      </w:pPr>
      <w:bookmarkStart w:id="63" w:name="_Toc71553228"/>
      <w:r>
        <w:rPr>
          <w:rFonts w:hint="eastAsia" w:cs="Times New Roman" w:asciiTheme="majorEastAsia" w:hAnsiTheme="majorEastAsia" w:eastAsiaTheme="majorEastAsia"/>
          <w:sz w:val="30"/>
          <w:szCs w:val="30"/>
        </w:rPr>
        <w:t>★</w:t>
      </w:r>
      <w:bookmarkStart w:id="64" w:name="_Hlk70619845"/>
      <w:r>
        <w:rPr>
          <w:rFonts w:hint="eastAsia" w:cs="Times New Roman" w:asciiTheme="majorEastAsia" w:hAnsiTheme="majorEastAsia" w:eastAsiaTheme="majorEastAsia"/>
          <w:sz w:val="30"/>
          <w:szCs w:val="30"/>
        </w:rPr>
        <w:t>四、商务要求</w:t>
      </w:r>
      <w:bookmarkEnd w:id="63"/>
      <w:bookmarkEnd w:id="64"/>
    </w:p>
    <w:p>
      <w:pPr>
        <w:rPr>
          <w:rFonts w:asciiTheme="majorEastAsia" w:hAnsiTheme="majorEastAsia" w:eastAsiaTheme="majorEastAsia"/>
          <w:color w:val="auto"/>
          <w:sz w:val="24"/>
        </w:rPr>
      </w:pPr>
      <w:bookmarkStart w:id="65" w:name="_Hlk70575532"/>
      <w:bookmarkStart w:id="66" w:name="_Hlk70469759"/>
      <w:r>
        <w:rPr>
          <w:rFonts w:asciiTheme="majorEastAsia" w:hAnsiTheme="majorEastAsia" w:eastAsiaTheme="majorEastAsia"/>
          <w:color w:val="auto"/>
          <w:sz w:val="24"/>
        </w:rPr>
        <w:t>1．</w:t>
      </w:r>
      <w:r>
        <w:rPr>
          <w:rFonts w:hint="eastAsia" w:asciiTheme="majorEastAsia" w:hAnsiTheme="majorEastAsia" w:eastAsiaTheme="majorEastAsia"/>
          <w:color w:val="auto"/>
          <w:sz w:val="24"/>
        </w:rPr>
        <w:t>施工期限</w:t>
      </w:r>
    </w:p>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施工期限：合同生效后</w:t>
      </w:r>
      <w:r>
        <w:rPr>
          <w:rFonts w:asciiTheme="majorEastAsia" w:hAnsiTheme="majorEastAsia" w:eastAsiaTheme="majorEastAsia"/>
          <w:color w:val="auto"/>
          <w:sz w:val="24"/>
        </w:rPr>
        <w:t>90个日历日</w:t>
      </w:r>
      <w:r>
        <w:rPr>
          <w:rFonts w:hint="eastAsia" w:asciiTheme="majorEastAsia" w:hAnsiTheme="majorEastAsia" w:eastAsiaTheme="majorEastAsia"/>
          <w:color w:val="auto"/>
          <w:sz w:val="24"/>
        </w:rPr>
        <w:t>。</w:t>
      </w:r>
    </w:p>
    <w:bookmarkEnd w:id="65"/>
    <w:p>
      <w:pPr>
        <w:rPr>
          <w:rFonts w:asciiTheme="majorEastAsia" w:hAnsiTheme="majorEastAsia" w:eastAsiaTheme="majorEastAsia"/>
          <w:color w:val="auto"/>
          <w:sz w:val="24"/>
        </w:rPr>
      </w:pPr>
      <w:r>
        <w:rPr>
          <w:rFonts w:asciiTheme="majorEastAsia" w:hAnsiTheme="majorEastAsia" w:eastAsiaTheme="majorEastAsia"/>
          <w:color w:val="auto"/>
          <w:sz w:val="24"/>
        </w:rPr>
        <w:t>2．</w:t>
      </w:r>
      <w:bookmarkStart w:id="67" w:name="_Hlk41905509"/>
      <w:r>
        <w:rPr>
          <w:rFonts w:hint="eastAsia" w:asciiTheme="majorEastAsia" w:hAnsiTheme="majorEastAsia" w:eastAsiaTheme="majorEastAsia"/>
          <w:color w:val="auto"/>
          <w:sz w:val="24"/>
        </w:rPr>
        <w:t>付款方式和条件：</w:t>
      </w:r>
    </w:p>
    <w:bookmarkEnd w:id="67"/>
    <w:p>
      <w:pPr>
        <w:rPr>
          <w:rFonts w:asciiTheme="majorEastAsia" w:hAnsiTheme="majorEastAsia" w:eastAsiaTheme="majorEastAsia"/>
          <w:color w:val="auto"/>
          <w:sz w:val="24"/>
        </w:rPr>
      </w:pPr>
      <w:bookmarkStart w:id="68" w:name="_Hlk66269887"/>
      <w:r>
        <w:rPr>
          <w:rFonts w:asciiTheme="majorEastAsia" w:hAnsiTheme="majorEastAsia" w:eastAsiaTheme="majorEastAsia"/>
          <w:color w:val="auto"/>
          <w:sz w:val="24"/>
        </w:rPr>
        <w:t>2.1中标人在中标后需向采购人交纳合同金额的5%</w:t>
      </w:r>
      <w:r>
        <w:rPr>
          <w:rFonts w:hint="eastAsia" w:asciiTheme="majorEastAsia" w:hAnsiTheme="majorEastAsia" w:eastAsiaTheme="majorEastAsia"/>
          <w:color w:val="auto"/>
          <w:sz w:val="24"/>
        </w:rPr>
        <w:t>作为履约保证金，验收合格后，</w:t>
      </w:r>
      <w:r>
        <w:rPr>
          <w:rFonts w:asciiTheme="majorEastAsia" w:hAnsiTheme="majorEastAsia" w:eastAsiaTheme="majorEastAsia"/>
          <w:color w:val="auto"/>
          <w:sz w:val="24"/>
        </w:rPr>
        <w:t>3个月内</w:t>
      </w:r>
      <w:r>
        <w:rPr>
          <w:rFonts w:hint="eastAsia" w:asciiTheme="majorEastAsia" w:hAnsiTheme="majorEastAsia" w:eastAsiaTheme="majorEastAsia"/>
          <w:color w:val="auto"/>
          <w:sz w:val="24"/>
        </w:rPr>
        <w:t>一次性</w:t>
      </w:r>
      <w:r>
        <w:rPr>
          <w:rFonts w:asciiTheme="majorEastAsia" w:hAnsiTheme="majorEastAsia" w:eastAsiaTheme="majorEastAsia"/>
          <w:color w:val="auto"/>
          <w:sz w:val="24"/>
        </w:rPr>
        <w:t>退还</w:t>
      </w:r>
      <w:r>
        <w:rPr>
          <w:rFonts w:hint="eastAsia" w:asciiTheme="majorEastAsia" w:hAnsiTheme="majorEastAsia" w:eastAsiaTheme="majorEastAsia"/>
          <w:color w:val="auto"/>
          <w:sz w:val="24"/>
        </w:rPr>
        <w:t>全部</w:t>
      </w:r>
      <w:r>
        <w:rPr>
          <w:rFonts w:asciiTheme="majorEastAsia" w:hAnsiTheme="majorEastAsia" w:eastAsiaTheme="majorEastAsia"/>
          <w:color w:val="auto"/>
          <w:sz w:val="24"/>
        </w:rPr>
        <w:t>履约保证金</w:t>
      </w:r>
      <w:r>
        <w:rPr>
          <w:rFonts w:hint="eastAsia" w:asciiTheme="majorEastAsia" w:hAnsiTheme="majorEastAsia" w:eastAsiaTheme="majorEastAsia"/>
          <w:color w:val="auto"/>
          <w:sz w:val="24"/>
        </w:rPr>
        <w:t>。</w:t>
      </w:r>
    </w:p>
    <w:p>
      <w:pPr>
        <w:rPr>
          <w:rFonts w:asciiTheme="majorEastAsia" w:hAnsiTheme="majorEastAsia" w:eastAsiaTheme="majorEastAsia"/>
          <w:color w:val="auto"/>
          <w:sz w:val="24"/>
        </w:rPr>
      </w:pPr>
      <w:r>
        <w:rPr>
          <w:rFonts w:asciiTheme="majorEastAsia" w:hAnsiTheme="majorEastAsia" w:eastAsiaTheme="majorEastAsia"/>
          <w:color w:val="auto"/>
          <w:sz w:val="24"/>
        </w:rPr>
        <w:t>2.2采购人在合同签订生效之日起15</w:t>
      </w:r>
      <w:r>
        <w:rPr>
          <w:rFonts w:hint="eastAsia" w:asciiTheme="majorEastAsia" w:hAnsiTheme="majorEastAsia" w:eastAsiaTheme="majorEastAsia"/>
          <w:color w:val="auto"/>
          <w:sz w:val="24"/>
        </w:rPr>
        <w:t>个工作日内，向中标人支付合同总金额</w:t>
      </w:r>
      <w:r>
        <w:rPr>
          <w:rFonts w:asciiTheme="majorEastAsia" w:hAnsiTheme="majorEastAsia" w:eastAsiaTheme="majorEastAsia"/>
          <w:color w:val="auto"/>
          <w:sz w:val="24"/>
        </w:rPr>
        <w:t>30%</w:t>
      </w:r>
      <w:r>
        <w:rPr>
          <w:rFonts w:hint="eastAsia" w:asciiTheme="majorEastAsia" w:hAnsiTheme="majorEastAsia" w:eastAsiaTheme="majorEastAsia"/>
          <w:color w:val="auto"/>
          <w:sz w:val="24"/>
        </w:rPr>
        <w:t>的价款；</w:t>
      </w:r>
    </w:p>
    <w:p>
      <w:pPr>
        <w:rPr>
          <w:rFonts w:asciiTheme="majorEastAsia" w:hAnsiTheme="majorEastAsia" w:eastAsiaTheme="majorEastAsia"/>
          <w:color w:val="auto"/>
          <w:sz w:val="24"/>
        </w:rPr>
      </w:pPr>
      <w:r>
        <w:rPr>
          <w:rFonts w:asciiTheme="majorEastAsia" w:hAnsiTheme="majorEastAsia" w:eastAsiaTheme="majorEastAsia"/>
          <w:color w:val="auto"/>
          <w:sz w:val="24"/>
        </w:rPr>
        <w:t>2.3</w:t>
      </w:r>
      <w:r>
        <w:rPr>
          <w:rFonts w:hint="eastAsia" w:asciiTheme="majorEastAsia" w:hAnsiTheme="majorEastAsia" w:eastAsiaTheme="majorEastAsia"/>
          <w:color w:val="auto"/>
          <w:sz w:val="24"/>
        </w:rPr>
        <w:t>安装工程相关设备到场且装饰装修工程施工进度达到</w:t>
      </w:r>
      <w:r>
        <w:rPr>
          <w:rFonts w:asciiTheme="majorEastAsia" w:hAnsiTheme="majorEastAsia" w:eastAsiaTheme="majorEastAsia"/>
          <w:color w:val="auto"/>
          <w:sz w:val="24"/>
        </w:rPr>
        <w:t>80%</w:t>
      </w:r>
      <w:r>
        <w:rPr>
          <w:rFonts w:hint="eastAsia" w:asciiTheme="majorEastAsia" w:hAnsiTheme="majorEastAsia" w:eastAsiaTheme="majorEastAsia"/>
          <w:color w:val="auto"/>
          <w:sz w:val="24"/>
        </w:rPr>
        <w:t>后</w:t>
      </w:r>
      <w:r>
        <w:rPr>
          <w:rFonts w:asciiTheme="majorEastAsia" w:hAnsiTheme="majorEastAsia" w:eastAsiaTheme="majorEastAsia"/>
          <w:color w:val="auto"/>
          <w:sz w:val="24"/>
        </w:rPr>
        <w:t>，</w:t>
      </w:r>
      <w:bookmarkStart w:id="69" w:name="_Hlk66270467"/>
      <w:r>
        <w:rPr>
          <w:rFonts w:asciiTheme="majorEastAsia" w:hAnsiTheme="majorEastAsia" w:eastAsiaTheme="majorEastAsia"/>
          <w:color w:val="auto"/>
          <w:sz w:val="24"/>
        </w:rPr>
        <w:t>15</w:t>
      </w:r>
      <w:r>
        <w:rPr>
          <w:rFonts w:hint="eastAsia" w:asciiTheme="majorEastAsia" w:hAnsiTheme="majorEastAsia" w:eastAsiaTheme="majorEastAsia"/>
          <w:color w:val="auto"/>
          <w:sz w:val="24"/>
        </w:rPr>
        <w:t>个工作日内，</w:t>
      </w:r>
      <w:bookmarkEnd w:id="69"/>
      <w:r>
        <w:rPr>
          <w:rFonts w:hint="eastAsia" w:asciiTheme="majorEastAsia" w:hAnsiTheme="majorEastAsia" w:eastAsiaTheme="majorEastAsia"/>
          <w:color w:val="auto"/>
          <w:sz w:val="24"/>
        </w:rPr>
        <w:t>采购人向中标人支付合同金额</w:t>
      </w:r>
      <w:r>
        <w:rPr>
          <w:rFonts w:asciiTheme="majorEastAsia" w:hAnsiTheme="majorEastAsia" w:eastAsiaTheme="majorEastAsia"/>
          <w:color w:val="auto"/>
          <w:sz w:val="24"/>
        </w:rPr>
        <w:t>30%</w:t>
      </w:r>
      <w:r>
        <w:rPr>
          <w:rFonts w:hint="eastAsia" w:asciiTheme="majorEastAsia" w:hAnsiTheme="majorEastAsia" w:eastAsiaTheme="majorEastAsia"/>
          <w:color w:val="auto"/>
          <w:sz w:val="24"/>
        </w:rPr>
        <w:t>的价款；</w:t>
      </w:r>
    </w:p>
    <w:p>
      <w:pPr>
        <w:rPr>
          <w:rFonts w:asciiTheme="majorEastAsia" w:hAnsiTheme="majorEastAsia" w:eastAsiaTheme="majorEastAsia"/>
          <w:color w:val="auto"/>
          <w:sz w:val="24"/>
        </w:rPr>
      </w:pPr>
      <w:r>
        <w:rPr>
          <w:rFonts w:asciiTheme="majorEastAsia" w:hAnsiTheme="majorEastAsia" w:eastAsiaTheme="majorEastAsia"/>
          <w:color w:val="auto"/>
          <w:sz w:val="24"/>
        </w:rPr>
        <w:t>2.4</w:t>
      </w:r>
      <w:r>
        <w:rPr>
          <w:rFonts w:hint="eastAsia" w:asciiTheme="majorEastAsia" w:hAnsiTheme="majorEastAsia" w:eastAsiaTheme="majorEastAsia"/>
          <w:color w:val="auto"/>
          <w:sz w:val="24"/>
        </w:rPr>
        <w:t>整个工程施工</w:t>
      </w:r>
      <w:r>
        <w:rPr>
          <w:rFonts w:asciiTheme="majorEastAsia" w:hAnsiTheme="majorEastAsia" w:eastAsiaTheme="majorEastAsia"/>
          <w:color w:val="auto"/>
          <w:sz w:val="24"/>
        </w:rPr>
        <w:t>安装调试完毕并验收合格后，15</w:t>
      </w:r>
      <w:r>
        <w:rPr>
          <w:rFonts w:hint="eastAsia" w:asciiTheme="majorEastAsia" w:hAnsiTheme="majorEastAsia" w:eastAsiaTheme="majorEastAsia"/>
          <w:color w:val="auto"/>
          <w:sz w:val="24"/>
        </w:rPr>
        <w:t>个工作日内，采购人向中标人支付合同金额</w:t>
      </w:r>
      <w:r>
        <w:rPr>
          <w:rFonts w:asciiTheme="majorEastAsia" w:hAnsiTheme="majorEastAsia" w:eastAsiaTheme="majorEastAsia"/>
          <w:color w:val="auto"/>
          <w:sz w:val="24"/>
        </w:rPr>
        <w:t>30%</w:t>
      </w:r>
      <w:r>
        <w:rPr>
          <w:rFonts w:hint="eastAsia" w:asciiTheme="majorEastAsia" w:hAnsiTheme="majorEastAsia" w:eastAsiaTheme="majorEastAsia"/>
          <w:color w:val="auto"/>
          <w:sz w:val="24"/>
        </w:rPr>
        <w:t>的价款；</w:t>
      </w:r>
    </w:p>
    <w:p>
      <w:pPr>
        <w:rPr>
          <w:rFonts w:asciiTheme="majorEastAsia" w:hAnsiTheme="majorEastAsia" w:eastAsiaTheme="majorEastAsia"/>
          <w:color w:val="auto"/>
          <w:sz w:val="24"/>
        </w:rPr>
      </w:pPr>
      <w:r>
        <w:rPr>
          <w:rFonts w:asciiTheme="majorEastAsia" w:hAnsiTheme="majorEastAsia" w:eastAsiaTheme="majorEastAsia"/>
          <w:color w:val="auto"/>
          <w:sz w:val="24"/>
        </w:rPr>
        <w:t>2.5</w:t>
      </w:r>
      <w:r>
        <w:rPr>
          <w:rFonts w:hint="eastAsia" w:asciiTheme="majorEastAsia" w:hAnsiTheme="majorEastAsia" w:eastAsiaTheme="majorEastAsia"/>
          <w:color w:val="auto"/>
          <w:sz w:val="24"/>
        </w:rPr>
        <w:t>采购人完成审计后，按照审计结算价支付费用，</w:t>
      </w:r>
      <w:r>
        <w:rPr>
          <w:rFonts w:asciiTheme="majorEastAsia" w:hAnsiTheme="majorEastAsia" w:eastAsiaTheme="majorEastAsia"/>
          <w:color w:val="auto"/>
          <w:sz w:val="24"/>
        </w:rPr>
        <w:t>剩余3%</w:t>
      </w:r>
      <w:r>
        <w:rPr>
          <w:rFonts w:hint="eastAsia" w:asciiTheme="majorEastAsia" w:hAnsiTheme="majorEastAsia" w:eastAsiaTheme="majorEastAsia"/>
          <w:color w:val="auto"/>
          <w:sz w:val="24"/>
        </w:rPr>
        <w:t>资</w:t>
      </w:r>
      <w:r>
        <w:rPr>
          <w:rFonts w:asciiTheme="majorEastAsia" w:hAnsiTheme="majorEastAsia" w:eastAsiaTheme="majorEastAsia"/>
          <w:color w:val="auto"/>
          <w:sz w:val="24"/>
        </w:rPr>
        <w:t>金作为质保金，质保期满后1个月</w:t>
      </w:r>
      <w:r>
        <w:rPr>
          <w:rFonts w:hint="eastAsia" w:asciiTheme="majorEastAsia" w:hAnsiTheme="majorEastAsia" w:eastAsiaTheme="majorEastAsia"/>
          <w:color w:val="auto"/>
          <w:sz w:val="24"/>
        </w:rPr>
        <w:t>内支付</w:t>
      </w:r>
      <w:r>
        <w:rPr>
          <w:rFonts w:asciiTheme="majorEastAsia" w:hAnsiTheme="majorEastAsia" w:eastAsiaTheme="majorEastAsia"/>
          <w:color w:val="auto"/>
          <w:sz w:val="24"/>
        </w:rPr>
        <w:t>，不支付利息。</w:t>
      </w:r>
      <w:bookmarkEnd w:id="68"/>
    </w:p>
    <w:p>
      <w:pPr>
        <w:rPr>
          <w:rFonts w:asciiTheme="majorEastAsia" w:hAnsiTheme="majorEastAsia" w:eastAsiaTheme="majorEastAsia"/>
          <w:color w:val="auto"/>
          <w:sz w:val="24"/>
        </w:rPr>
      </w:pPr>
      <w:r>
        <w:rPr>
          <w:rFonts w:asciiTheme="majorEastAsia" w:hAnsiTheme="majorEastAsia" w:eastAsiaTheme="majorEastAsia"/>
          <w:color w:val="auto"/>
          <w:sz w:val="24"/>
        </w:rPr>
        <w:t>2.6中标人须向采购人出具合法有效完整的完税发票及凭证资料进行支付结算。</w:t>
      </w:r>
    </w:p>
    <w:p>
      <w:pPr>
        <w:rPr>
          <w:rFonts w:asciiTheme="majorEastAsia" w:hAnsiTheme="majorEastAsia" w:eastAsiaTheme="majorEastAsia"/>
          <w:color w:val="auto"/>
          <w:sz w:val="24"/>
        </w:rPr>
      </w:pP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验收标准和方法：</w:t>
      </w:r>
    </w:p>
    <w:p>
      <w:pPr>
        <w:rPr>
          <w:rFonts w:asciiTheme="majorEastAsia" w:hAnsiTheme="majorEastAsia" w:eastAsiaTheme="majorEastAsia"/>
          <w:color w:val="auto"/>
          <w:sz w:val="24"/>
        </w:rPr>
      </w:pPr>
      <w:r>
        <w:rPr>
          <w:rFonts w:asciiTheme="majorEastAsia" w:hAnsiTheme="majorEastAsia" w:eastAsiaTheme="majorEastAsia"/>
          <w:color w:val="auto"/>
          <w:sz w:val="24"/>
        </w:rPr>
        <w:t>3.1</w:t>
      </w:r>
      <w:r>
        <w:rPr>
          <w:rFonts w:hint="eastAsia" w:asciiTheme="majorEastAsia" w:hAnsiTheme="majorEastAsia" w:eastAsiaTheme="majorEastAsia"/>
          <w:color w:val="auto"/>
          <w:sz w:val="24"/>
        </w:rPr>
        <w:t>磋商文件的质量要求和技术指标、中标人的投标文件及承诺与本合同约定标准都是作为本项目进行验收的依据。双方如对质量要求和技术指标的约定标准有相互抵触或异议的事项，由采购人在投标文件中按质量要求和技术指标比较优胜的原则确定该项的约定标准进行验收；不符合标准及本合同规定之情形者，采购人应做出详尽的现场记录，或由双方签署备忘录，此现场记录或备忘录可用作补充、缺失和更换损坏部件的有效证据，由此产生的时间延误与有关费用由中标人承担，验收期限相应顺延。</w:t>
      </w:r>
    </w:p>
    <w:p>
      <w:pPr>
        <w:rPr>
          <w:rFonts w:asciiTheme="majorEastAsia" w:hAnsiTheme="majorEastAsia" w:eastAsiaTheme="majorEastAsia"/>
          <w:color w:val="auto"/>
          <w:sz w:val="24"/>
        </w:rPr>
      </w:pPr>
      <w:r>
        <w:rPr>
          <w:rFonts w:asciiTheme="majorEastAsia" w:hAnsiTheme="majorEastAsia" w:eastAsiaTheme="majorEastAsia"/>
          <w:color w:val="auto"/>
          <w:sz w:val="24"/>
        </w:rPr>
        <w:t>3.2</w:t>
      </w:r>
      <w:r>
        <w:rPr>
          <w:rFonts w:hint="eastAsia" w:asciiTheme="majorEastAsia" w:hAnsiTheme="majorEastAsia" w:eastAsiaTheme="majorEastAsia"/>
          <w:color w:val="auto"/>
          <w:sz w:val="24"/>
        </w:rPr>
        <w:t>本项目采购人将严格按照政府采购相关法律法规的要求进行验收。</w:t>
      </w:r>
    </w:p>
    <w:p>
      <w:pPr>
        <w:rPr>
          <w:rFonts w:asciiTheme="majorEastAsia" w:hAnsiTheme="majorEastAsia" w:eastAsiaTheme="majorEastAsia"/>
          <w:color w:val="auto"/>
          <w:sz w:val="24"/>
        </w:rPr>
      </w:pPr>
    </w:p>
    <w:bookmarkEnd w:id="66"/>
    <w:p>
      <w:pPr>
        <w:rPr>
          <w:rFonts w:asciiTheme="majorEastAsia" w:hAnsiTheme="majorEastAsia" w:eastAsiaTheme="majorEastAsia"/>
          <w:color w:val="auto"/>
          <w:sz w:val="24"/>
        </w:rPr>
      </w:pPr>
      <w:r>
        <w:rPr>
          <w:rFonts w:hint="eastAsia" w:asciiTheme="majorEastAsia" w:hAnsiTheme="majorEastAsia" w:eastAsiaTheme="majorEastAsia"/>
          <w:color w:val="auto"/>
          <w:sz w:val="24"/>
        </w:rPr>
        <w:t>4</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质保期和技术服务培训：</w:t>
      </w:r>
    </w:p>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本项目质保期2年；中标方技术工程师应对采购人的实验操作人员及实验室安全、实验室应用技术进行上门培训。</w:t>
      </w:r>
      <w:bookmarkStart w:id="70" w:name="_Toc217446112"/>
    </w:p>
    <w:p>
      <w:pPr>
        <w:rPr>
          <w:rFonts w:asciiTheme="majorEastAsia" w:hAnsiTheme="majorEastAsia" w:eastAsiaTheme="majorEastAsia"/>
          <w:color w:val="auto"/>
          <w:sz w:val="24"/>
        </w:rPr>
      </w:pPr>
      <w:r>
        <w:rPr>
          <w:rFonts w:asciiTheme="majorEastAsia" w:hAnsiTheme="majorEastAsia" w:eastAsiaTheme="majorEastAsia"/>
          <w:color w:val="auto"/>
          <w:sz w:val="24"/>
        </w:rPr>
        <w:t>5.售后服务</w:t>
      </w:r>
      <w:bookmarkEnd w:id="70"/>
      <w:r>
        <w:rPr>
          <w:rFonts w:hint="eastAsia" w:asciiTheme="majorEastAsia" w:hAnsiTheme="majorEastAsia" w:eastAsiaTheme="majorEastAsia"/>
          <w:color w:val="auto"/>
          <w:sz w:val="24"/>
        </w:rPr>
        <w:t>：</w:t>
      </w:r>
    </w:p>
    <w:p>
      <w:pPr>
        <w:rPr>
          <w:rFonts w:asciiTheme="majorEastAsia" w:hAnsiTheme="majorEastAsia" w:eastAsiaTheme="majorEastAsia"/>
          <w:color w:val="auto"/>
          <w:sz w:val="24"/>
        </w:rPr>
      </w:pPr>
      <w:r>
        <w:rPr>
          <w:rFonts w:asciiTheme="majorEastAsia" w:hAnsiTheme="majorEastAsia" w:eastAsiaTheme="majorEastAsia"/>
          <w:color w:val="auto"/>
          <w:sz w:val="24"/>
        </w:rPr>
        <w:t>5.1、质保期内出现质量问题，中标人应在接到通知后24</w:t>
      </w:r>
      <w:r>
        <w:rPr>
          <w:rFonts w:hint="eastAsia" w:asciiTheme="majorEastAsia" w:hAnsiTheme="majorEastAsia" w:eastAsiaTheme="majorEastAsia"/>
          <w:color w:val="auto"/>
          <w:sz w:val="24"/>
        </w:rPr>
        <w:t>小时内响应，4</w:t>
      </w:r>
      <w:r>
        <w:rPr>
          <w:rFonts w:asciiTheme="majorEastAsia" w:hAnsiTheme="majorEastAsia" w:eastAsiaTheme="majorEastAsia"/>
          <w:color w:val="auto"/>
          <w:sz w:val="24"/>
        </w:rPr>
        <w:t>8</w:t>
      </w:r>
      <w:r>
        <w:rPr>
          <w:rFonts w:hint="eastAsia" w:asciiTheme="majorEastAsia" w:hAnsiTheme="majorEastAsia" w:eastAsiaTheme="majorEastAsia"/>
          <w:color w:val="auto"/>
          <w:sz w:val="24"/>
        </w:rPr>
        <w:t>小时到场，7</w:t>
      </w:r>
      <w:r>
        <w:rPr>
          <w:rFonts w:asciiTheme="majorEastAsia" w:hAnsiTheme="majorEastAsia" w:eastAsiaTheme="majorEastAsia"/>
          <w:color w:val="auto"/>
          <w:sz w:val="24"/>
        </w:rPr>
        <w:t>2</w:t>
      </w:r>
      <w:r>
        <w:rPr>
          <w:rFonts w:hint="eastAsia" w:asciiTheme="majorEastAsia" w:hAnsiTheme="majorEastAsia" w:eastAsiaTheme="majorEastAsia"/>
          <w:color w:val="auto"/>
          <w:sz w:val="24"/>
        </w:rPr>
        <w:t>小时内完成维修或更换，并承担修理调换的费用；如货物经中标人三次维修仍不能达到本合同约定的质量标准，视作中标人未能按时交货，采购人有权退货并追究中标人的违约责任。货到现场后由于采购人保管不当造成的问题，中标人亦应负责修复，但费用由采购人负担。</w:t>
      </w:r>
    </w:p>
    <w:p>
      <w:pPr>
        <w:rPr>
          <w:rFonts w:asciiTheme="majorEastAsia" w:hAnsiTheme="majorEastAsia" w:eastAsiaTheme="majorEastAsia"/>
          <w:color w:val="auto"/>
          <w:sz w:val="24"/>
        </w:rPr>
      </w:pPr>
      <w:r>
        <w:rPr>
          <w:rFonts w:asciiTheme="majorEastAsia" w:hAnsiTheme="majorEastAsia" w:eastAsiaTheme="majorEastAsia"/>
          <w:color w:val="auto"/>
          <w:sz w:val="24"/>
        </w:rPr>
        <w:t>5.2、中标人须指派专人负责与采购人联系售后服务事宜。</w:t>
      </w:r>
    </w:p>
    <w:p>
      <w:pPr>
        <w:pStyle w:val="36"/>
        <w:snapToGrid w:val="0"/>
        <w:spacing w:line="360" w:lineRule="auto"/>
        <w:ind w:left="0" w:firstLine="0"/>
        <w:jc w:val="both"/>
        <w:rPr>
          <w:rFonts w:cs="Times New Roman" w:asciiTheme="majorEastAsia" w:hAnsiTheme="majorEastAsia" w:eastAsiaTheme="majorEastAsia"/>
          <w:sz w:val="30"/>
          <w:szCs w:val="30"/>
        </w:rPr>
      </w:pPr>
      <w:bookmarkStart w:id="71" w:name="_Toc71553229"/>
      <w:r>
        <w:rPr>
          <w:rFonts w:hint="eastAsia" w:cs="Times New Roman" w:asciiTheme="majorEastAsia" w:hAnsiTheme="majorEastAsia" w:eastAsiaTheme="majorEastAsia"/>
          <w:sz w:val="30"/>
          <w:szCs w:val="30"/>
        </w:rPr>
        <w:t>★五、政府采购政策要求</w:t>
      </w:r>
      <w:bookmarkEnd w:id="71"/>
    </w:p>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本项目采购的产品若涉及节能产品政府采购品目清单中政府强制采购产品的，投标人应提供具有国家确定的认证机构出具的、处于有效期之内的节能产品认证证书的产品。（提供证书复印件加盖投标人公章）</w:t>
      </w:r>
    </w:p>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投标人须在其他投标文件中承诺本项目采购的产品中若涉及国家强制认证的（</w:t>
      </w:r>
      <w:r>
        <w:rPr>
          <w:rFonts w:asciiTheme="majorEastAsia" w:hAnsiTheme="majorEastAsia" w:eastAsiaTheme="majorEastAsia"/>
          <w:color w:val="auto"/>
          <w:sz w:val="24"/>
        </w:rPr>
        <w:t>CCC）或前置许可、认证的产品，其提供的产品符合国家强制认证（CCC）或前置许可、认证的要求，在供货时一并提供相关许可、认证材料。（提供承诺函原件加盖投标人公章）</w:t>
      </w:r>
    </w:p>
    <w:p>
      <w:pPr>
        <w:rPr>
          <w:rFonts w:asciiTheme="majorEastAsia" w:hAnsiTheme="majorEastAsia" w:eastAsiaTheme="majorEastAsia"/>
          <w:color w:val="auto"/>
          <w:sz w:val="24"/>
        </w:rPr>
      </w:pPr>
      <w:r>
        <w:rPr>
          <w:rFonts w:hint="eastAsia" w:asciiTheme="majorEastAsia" w:hAnsiTheme="majorEastAsia" w:eastAsiaTheme="majorEastAsia"/>
          <w:color w:val="auto"/>
          <w:sz w:val="24"/>
        </w:rPr>
        <w:t>注：</w:t>
      </w:r>
    </w:p>
    <w:p>
      <w:pPr>
        <w:rPr>
          <w:rFonts w:asciiTheme="majorEastAsia" w:hAnsiTheme="majorEastAsia" w:eastAsiaTheme="majorEastAsia"/>
          <w:color w:val="auto"/>
          <w:sz w:val="24"/>
        </w:rPr>
      </w:pPr>
      <w:r>
        <w:rPr>
          <w:rFonts w:hint="eastAsia" w:asciiTheme="majorEastAsia" w:hAnsiTheme="majorEastAsia" w:eastAsiaTheme="majorEastAsia"/>
          <w:color w:val="auto"/>
          <w:sz w:val="24"/>
        </w:rPr>
        <w:t>以上打★号的为本次招标项目的实质性要求，不允许有负偏离，否则作无效投标处理。</w:t>
      </w:r>
    </w:p>
    <w:p>
      <w:pPr>
        <w:rPr>
          <w:rFonts w:cs="Times New Roman" w:asciiTheme="majorEastAsia" w:hAnsiTheme="majorEastAsia" w:eastAsiaTheme="majorEastAsia"/>
          <w:b/>
          <w:color w:val="auto"/>
          <w:kern w:val="2"/>
          <w:sz w:val="30"/>
          <w:szCs w:val="30"/>
        </w:rPr>
      </w:pPr>
    </w:p>
    <w:p>
      <w:pPr>
        <w:rPr>
          <w:rFonts w:cs="Times New Roman" w:asciiTheme="majorEastAsia" w:hAnsiTheme="majorEastAsia" w:eastAsiaTheme="majorEastAsia"/>
          <w:b/>
          <w:color w:val="auto"/>
          <w:kern w:val="2"/>
          <w:sz w:val="30"/>
          <w:szCs w:val="30"/>
        </w:rPr>
      </w:pPr>
      <w:r>
        <w:rPr>
          <w:rFonts w:hint="eastAsia" w:cs="Times New Roman" w:asciiTheme="majorEastAsia" w:hAnsiTheme="majorEastAsia" w:eastAsiaTheme="majorEastAsia"/>
          <w:b/>
          <w:color w:val="auto"/>
          <w:kern w:val="2"/>
          <w:sz w:val="30"/>
          <w:szCs w:val="30"/>
        </w:rPr>
        <w:t>附件1：</w:t>
      </w:r>
      <w:r>
        <w:rPr>
          <w:rFonts w:cs="Times New Roman" w:asciiTheme="majorEastAsia" w:hAnsiTheme="majorEastAsia" w:eastAsiaTheme="majorEastAsia"/>
          <w:b/>
          <w:color w:val="auto"/>
          <w:kern w:val="2"/>
          <w:sz w:val="30"/>
          <w:szCs w:val="30"/>
        </w:rPr>
        <w:t>拟建场地现状平面图</w:t>
      </w:r>
    </w:p>
    <w:p>
      <w:pPr>
        <w:rPr>
          <w:rFonts w:cs="Times New Roman" w:asciiTheme="majorEastAsia" w:hAnsiTheme="majorEastAsia" w:eastAsiaTheme="majorEastAsia"/>
          <w:b/>
          <w:color w:val="auto"/>
          <w:kern w:val="2"/>
          <w:sz w:val="30"/>
          <w:szCs w:val="30"/>
        </w:rPr>
      </w:pPr>
      <w:r>
        <w:rPr>
          <w:rFonts w:hint="eastAsia" w:cs="Times New Roman" w:asciiTheme="majorEastAsia" w:hAnsiTheme="majorEastAsia" w:eastAsiaTheme="majorEastAsia"/>
          <w:b/>
          <w:color w:val="auto"/>
          <w:kern w:val="2"/>
          <w:sz w:val="30"/>
          <w:szCs w:val="30"/>
        </w:rPr>
        <w:t>附件</w:t>
      </w:r>
      <w:r>
        <w:rPr>
          <w:rFonts w:cs="Times New Roman" w:asciiTheme="majorEastAsia" w:hAnsiTheme="majorEastAsia" w:eastAsiaTheme="majorEastAsia"/>
          <w:b/>
          <w:color w:val="auto"/>
          <w:kern w:val="2"/>
          <w:sz w:val="30"/>
          <w:szCs w:val="30"/>
        </w:rPr>
        <w:t>2</w:t>
      </w:r>
      <w:r>
        <w:rPr>
          <w:rFonts w:hint="eastAsia" w:cs="Times New Roman" w:asciiTheme="majorEastAsia" w:hAnsiTheme="majorEastAsia" w:eastAsiaTheme="majorEastAsia"/>
          <w:b/>
          <w:color w:val="auto"/>
          <w:kern w:val="2"/>
          <w:sz w:val="30"/>
          <w:szCs w:val="30"/>
        </w:rPr>
        <w:t>：</w:t>
      </w:r>
      <w:r>
        <w:rPr>
          <w:rFonts w:cs="Times New Roman" w:asciiTheme="majorEastAsia" w:hAnsiTheme="majorEastAsia" w:eastAsiaTheme="majorEastAsia"/>
          <w:b/>
          <w:color w:val="auto"/>
          <w:kern w:val="2"/>
          <w:sz w:val="30"/>
          <w:szCs w:val="30"/>
        </w:rPr>
        <w:t>海南省环境科学研究院科研实验室功能用房</w:t>
      </w:r>
      <w:r>
        <w:rPr>
          <w:rFonts w:hint="eastAsia" w:cs="Times New Roman" w:asciiTheme="majorEastAsia" w:hAnsiTheme="majorEastAsia" w:eastAsiaTheme="majorEastAsia"/>
          <w:b/>
          <w:color w:val="auto"/>
          <w:kern w:val="2"/>
          <w:sz w:val="30"/>
          <w:szCs w:val="30"/>
        </w:rPr>
        <w:t>分布</w:t>
      </w:r>
      <w:r>
        <w:rPr>
          <w:rFonts w:cs="Times New Roman" w:asciiTheme="majorEastAsia" w:hAnsiTheme="majorEastAsia" w:eastAsiaTheme="majorEastAsia"/>
          <w:b/>
          <w:color w:val="auto"/>
          <w:kern w:val="2"/>
          <w:sz w:val="30"/>
          <w:szCs w:val="30"/>
        </w:rPr>
        <w:t>图</w:t>
      </w:r>
    </w:p>
    <w:p>
      <w:pPr>
        <w:rPr>
          <w:rFonts w:cs="Times New Roman" w:asciiTheme="majorEastAsia" w:hAnsiTheme="majorEastAsia" w:eastAsiaTheme="majorEastAsia"/>
          <w:b/>
          <w:color w:val="auto"/>
          <w:kern w:val="2"/>
          <w:sz w:val="30"/>
          <w:szCs w:val="30"/>
        </w:rPr>
      </w:pPr>
      <w:r>
        <w:rPr>
          <w:rFonts w:hint="eastAsia" w:cs="Times New Roman" w:asciiTheme="majorEastAsia" w:hAnsiTheme="majorEastAsia" w:eastAsiaTheme="majorEastAsia"/>
          <w:b/>
          <w:color w:val="auto"/>
          <w:kern w:val="2"/>
          <w:sz w:val="30"/>
          <w:szCs w:val="30"/>
        </w:rPr>
        <w:t>附件</w:t>
      </w:r>
      <w:r>
        <w:rPr>
          <w:rFonts w:cs="Times New Roman" w:asciiTheme="majorEastAsia" w:hAnsiTheme="majorEastAsia" w:eastAsiaTheme="majorEastAsia"/>
          <w:b/>
          <w:color w:val="auto"/>
          <w:kern w:val="2"/>
          <w:sz w:val="30"/>
          <w:szCs w:val="30"/>
        </w:rPr>
        <w:t>3</w:t>
      </w:r>
      <w:r>
        <w:rPr>
          <w:rFonts w:hint="eastAsia" w:cs="Times New Roman" w:asciiTheme="majorEastAsia" w:hAnsiTheme="majorEastAsia" w:eastAsiaTheme="majorEastAsia"/>
          <w:b/>
          <w:color w:val="auto"/>
          <w:kern w:val="2"/>
          <w:sz w:val="30"/>
          <w:szCs w:val="30"/>
        </w:rPr>
        <w:t>：</w:t>
      </w:r>
      <w:r>
        <w:rPr>
          <w:rFonts w:cs="Times New Roman" w:asciiTheme="majorEastAsia" w:hAnsiTheme="majorEastAsia" w:eastAsiaTheme="majorEastAsia"/>
          <w:b/>
          <w:color w:val="auto"/>
          <w:kern w:val="2"/>
          <w:sz w:val="30"/>
          <w:szCs w:val="30"/>
        </w:rPr>
        <w:t>海南省环境科学研究院科研实验室装修改造工程量清单</w:t>
      </w:r>
    </w:p>
    <w:p>
      <w:pPr>
        <w:pStyle w:val="2"/>
        <w:rPr>
          <w:rFonts w:asciiTheme="majorEastAsia" w:hAnsiTheme="majorEastAsia" w:eastAsiaTheme="majorEastAsia"/>
          <w:color w:val="auto"/>
        </w:rPr>
      </w:pPr>
    </w:p>
    <w:p>
      <w:pPr>
        <w:rPr>
          <w:rFonts w:cs="Times New Roman" w:asciiTheme="majorEastAsia" w:hAnsiTheme="majorEastAsia" w:eastAsiaTheme="majorEastAsia"/>
          <w:color w:val="auto"/>
          <w:sz w:val="21"/>
          <w:szCs w:val="21"/>
        </w:rPr>
      </w:pPr>
      <w:r>
        <w:rPr>
          <w:rFonts w:asciiTheme="majorEastAsia" w:hAnsiTheme="majorEastAsia" w:eastAsiaTheme="majorEastAsia"/>
          <w:color w:val="auto"/>
        </w:rPr>
        <w:br w:type="page"/>
      </w:r>
    </w:p>
    <w:p>
      <w:pPr>
        <w:jc w:val="center"/>
        <w:outlineLvl w:val="0"/>
        <w:rPr>
          <w:rFonts w:asciiTheme="majorEastAsia" w:hAnsiTheme="majorEastAsia" w:eastAsiaTheme="majorEastAsia"/>
          <w:b/>
          <w:color w:val="auto"/>
          <w:sz w:val="36"/>
          <w:szCs w:val="36"/>
        </w:rPr>
      </w:pPr>
      <w:bookmarkStart w:id="72" w:name="_Toc71553230"/>
      <w:r>
        <w:rPr>
          <w:rFonts w:hint="eastAsia" w:cs="宋体" w:asciiTheme="majorEastAsia" w:hAnsiTheme="majorEastAsia" w:eastAsiaTheme="majorEastAsia"/>
          <w:b/>
          <w:color w:val="auto"/>
          <w:sz w:val="36"/>
          <w:szCs w:val="36"/>
        </w:rPr>
        <w:t>第七章  评审办法和程序</w:t>
      </w:r>
      <w:bookmarkEnd w:id="72"/>
    </w:p>
    <w:p>
      <w:pPr>
        <w:pStyle w:val="4"/>
        <w:spacing w:before="0" w:after="0" w:line="360" w:lineRule="auto"/>
        <w:rPr>
          <w:rFonts w:cs="宋体" w:asciiTheme="majorEastAsia" w:hAnsiTheme="majorEastAsia" w:eastAsiaTheme="majorEastAsia"/>
          <w:b w:val="0"/>
          <w:color w:val="auto"/>
          <w:sz w:val="28"/>
          <w:szCs w:val="28"/>
        </w:rPr>
      </w:pPr>
      <w:bookmarkStart w:id="73" w:name="_Toc71553231"/>
      <w:r>
        <w:rPr>
          <w:rFonts w:hint="eastAsia" w:cs="宋体" w:asciiTheme="majorEastAsia" w:hAnsiTheme="majorEastAsia" w:eastAsiaTheme="majorEastAsia"/>
          <w:bCs w:val="0"/>
          <w:color w:val="auto"/>
          <w:sz w:val="28"/>
          <w:szCs w:val="28"/>
        </w:rPr>
        <w:t>一、评审原则</w:t>
      </w:r>
      <w:bookmarkEnd w:id="73"/>
    </w:p>
    <w:p>
      <w:pPr>
        <w:spacing w:after="0" w:line="460" w:lineRule="exact"/>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w:t>
      </w:r>
      <w:r>
        <w:rPr>
          <w:rFonts w:hint="eastAsia" w:cs="宋体" w:asciiTheme="majorEastAsia" w:hAnsiTheme="majorEastAsia" w:eastAsiaTheme="majorEastAsia"/>
          <w:color w:val="auto"/>
          <w:sz w:val="24"/>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spacing w:after="0" w:line="460" w:lineRule="exact"/>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w:t>
      </w:r>
      <w:r>
        <w:rPr>
          <w:rFonts w:hint="eastAsia" w:cs="宋体" w:asciiTheme="majorEastAsia" w:hAnsiTheme="majorEastAsia" w:eastAsiaTheme="majorEastAsia"/>
          <w:color w:val="auto"/>
          <w:sz w:val="24"/>
          <w:szCs w:val="24"/>
        </w:rPr>
        <w:t>、本次评审是以磋商文件，磋商响应文件和磋商承诺文件以及投标报价为依据，按公正、科学、客观、平等竞争的要求，推荐技术先进、报价合理、经验丰富、信誉良好及综合实力强的成交供应商。</w:t>
      </w:r>
    </w:p>
    <w:p>
      <w:pPr>
        <w:spacing w:after="0" w:line="460" w:lineRule="exact"/>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w:t>
      </w:r>
      <w:r>
        <w:rPr>
          <w:rFonts w:hint="eastAsia" w:cs="宋体" w:asciiTheme="majorEastAsia" w:hAnsiTheme="majorEastAsia" w:eastAsiaTheme="majorEastAsia"/>
          <w:color w:val="auto"/>
          <w:sz w:val="24"/>
          <w:szCs w:val="24"/>
        </w:rPr>
        <w:t>、参加磋商工作的所有人员应遵守《中华人民共和国政府采购法》以及国家和地方政府采购的有关规定，严格保密，确保竞争性磋商工作公平、公正，任何单位和个人不得无理干预磋商小组的正常工作。</w:t>
      </w:r>
    </w:p>
    <w:p>
      <w:pPr>
        <w:spacing w:after="0" w:line="460" w:lineRule="exact"/>
        <w:ind w:firstLine="480" w:firstLineChars="200"/>
        <w:jc w:val="both"/>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w:t>
      </w:r>
      <w:r>
        <w:rPr>
          <w:rFonts w:hint="eastAsia" w:cs="宋体" w:asciiTheme="majorEastAsia" w:hAnsiTheme="majorEastAsia" w:eastAsiaTheme="majorEastAsia"/>
          <w:color w:val="auto"/>
          <w:sz w:val="24"/>
          <w:szCs w:val="24"/>
        </w:rPr>
        <w:t>、本次招标采用综合评分法，是指响应文件满足磋商文件全部实质性要求且按评审因素的量化指标评审得分最高的供应商为成交候选供应商的评审方法。</w:t>
      </w:r>
    </w:p>
    <w:p>
      <w:pPr>
        <w:pStyle w:val="4"/>
        <w:spacing w:before="0" w:after="0" w:line="360" w:lineRule="auto"/>
        <w:rPr>
          <w:rFonts w:cs="宋体" w:asciiTheme="majorEastAsia" w:hAnsiTheme="majorEastAsia" w:eastAsiaTheme="majorEastAsia"/>
          <w:bCs w:val="0"/>
          <w:color w:val="auto"/>
          <w:sz w:val="28"/>
          <w:szCs w:val="28"/>
        </w:rPr>
      </w:pPr>
      <w:bookmarkStart w:id="74" w:name="_Toc71553232"/>
      <w:r>
        <w:rPr>
          <w:rFonts w:hint="eastAsia" w:cs="宋体" w:asciiTheme="majorEastAsia" w:hAnsiTheme="majorEastAsia" w:eastAsiaTheme="majorEastAsia"/>
          <w:bCs w:val="0"/>
          <w:color w:val="auto"/>
          <w:sz w:val="28"/>
          <w:szCs w:val="28"/>
        </w:rPr>
        <w:t>二、评审程序和评审方法</w:t>
      </w:r>
      <w:bookmarkEnd w:id="74"/>
    </w:p>
    <w:p>
      <w:pPr>
        <w:spacing w:after="0" w:line="460" w:lineRule="exact"/>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评审流程如下：</w:t>
      </w:r>
    </w:p>
    <w:p>
      <w:pPr>
        <w:spacing w:after="0" w:line="460" w:lineRule="exact"/>
        <w:jc w:val="both"/>
        <w:rPr>
          <w:rFonts w:cs="宋体" w:asciiTheme="majorEastAsia" w:hAnsiTheme="majorEastAsia" w:eastAsiaTheme="majorEastAsia"/>
          <w:b/>
          <w:color w:val="auto"/>
          <w:sz w:val="28"/>
          <w:szCs w:val="28"/>
        </w:rPr>
      </w:pPr>
      <w:r>
        <w:rPr>
          <w:rFonts w:cs="宋体" w:asciiTheme="majorEastAsia" w:hAnsiTheme="majorEastAsia" w:eastAsiaTheme="majorEastAsia"/>
          <w:b/>
          <w:color w:val="auto"/>
          <w:sz w:val="24"/>
          <w:szCs w:val="24"/>
        </w:rPr>
        <w:t xml:space="preserve">1. </w:t>
      </w:r>
      <w:r>
        <w:rPr>
          <w:rFonts w:hint="eastAsia" w:asciiTheme="majorEastAsia" w:hAnsiTheme="majorEastAsia" w:eastAsiaTheme="majorEastAsia"/>
          <w:b/>
          <w:color w:val="auto"/>
          <w:sz w:val="24"/>
          <w:szCs w:val="24"/>
        </w:rPr>
        <w:t>评审准备</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评审委员会成员阅读竞争性磋商文件，了解本次采购的范围和需求，熟悉评审方法；</w:t>
      </w:r>
      <w:r>
        <w:rPr>
          <w:rFonts w:cs="宋体" w:asciiTheme="majorEastAsia" w:hAnsiTheme="majorEastAsia" w:eastAsiaTheme="majorEastAsia"/>
          <w:b/>
          <w:color w:val="auto"/>
          <w:sz w:val="24"/>
          <w:szCs w:val="24"/>
        </w:rPr>
        <w:t xml:space="preserve">2. </w:t>
      </w:r>
      <w:r>
        <w:rPr>
          <w:rFonts w:hint="eastAsia" w:asciiTheme="majorEastAsia" w:hAnsiTheme="majorEastAsia" w:eastAsiaTheme="majorEastAsia"/>
          <w:b/>
          <w:color w:val="auto"/>
          <w:sz w:val="24"/>
          <w:szCs w:val="24"/>
        </w:rPr>
        <w:t>磋商响应文件初步评审</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进入评审程序后，磋商小组先对供应商的磋商响应文件进行初步评审。磋商小组将根据评审办法的规定和附表</w:t>
      </w:r>
      <w:r>
        <w:rPr>
          <w:rFonts w:cs="宋体"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的内容，对磋商响应文件进行初步评审。</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若出现以下情况，则磋商响应文件将被认定为不满足采购需求而不能通过初步审查：</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1）磋商响应文件无法定代表人或负责人签字，或签字人未经法定代表人或负责人授权的；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2）供应商未按磋商文件要求的金额提交磋商保证金的；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3）投标有效期不足的；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4）磋商小组根据磋商文件检查磋商响应文件提供的资格证明材料不齐全、不满足磋商文件的要求，并在磋商小组规定的时间未能补充齐全的；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5）磋商小组根据磋商文件对磋商响应文件的商务和技术部分进行初步审查，检查磋商响应文件提交的内容不齐全、不能证明有能力承担本项目的任务、未按磋商文件的要求作出相应的承诺的；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6）报价过低，明显不合理，采购人认为无法保障质量而供应商不能合理说明的；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7）主要技术规格和参数不满足技术参数的要求以及商务有重大负偏离的；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8）磋商小组认为报价未实质性响应磋商文件的要求的；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9）没有按时作最终报价或最终报价超过采购预算且采购人无法接受的；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10）违反国家和地方政府采购法律法规的；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11）不满足磋商文件规定的其它条件的。</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cs="宋体" w:asciiTheme="majorEastAsia" w:hAnsiTheme="majorEastAsia" w:eastAsiaTheme="majorEastAsia"/>
          <w:color w:val="auto"/>
          <w:sz w:val="24"/>
          <w:szCs w:val="24"/>
        </w:rPr>
        <w:t>初步评审采用“一项否决”的原则，只有全部符合要求的才能通过初步评审。</w:t>
      </w:r>
    </w:p>
    <w:p>
      <w:pPr>
        <w:spacing w:after="0" w:line="460" w:lineRule="exact"/>
        <w:jc w:val="both"/>
        <w:rPr>
          <w:rFonts w:cs="宋体" w:asciiTheme="majorEastAsia" w:hAnsiTheme="majorEastAsia" w:eastAsiaTheme="majorEastAsia"/>
          <w:b/>
          <w:color w:val="auto"/>
          <w:sz w:val="28"/>
          <w:szCs w:val="28"/>
        </w:rPr>
      </w:pPr>
      <w:r>
        <w:rPr>
          <w:rFonts w:cs="宋体" w:asciiTheme="majorEastAsia" w:hAnsiTheme="majorEastAsia" w:eastAsiaTheme="majorEastAsia"/>
          <w:b/>
          <w:color w:val="auto"/>
          <w:sz w:val="24"/>
          <w:szCs w:val="24"/>
        </w:rPr>
        <w:t xml:space="preserve">3. </w:t>
      </w:r>
      <w:r>
        <w:rPr>
          <w:rFonts w:hint="eastAsia" w:asciiTheme="majorEastAsia" w:hAnsiTheme="majorEastAsia" w:eastAsiaTheme="majorEastAsia"/>
          <w:b/>
          <w:color w:val="auto"/>
          <w:sz w:val="24"/>
          <w:szCs w:val="24"/>
        </w:rPr>
        <w:t>磋商</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对磋商文件作出的实质性变动是磋商文件的有效组成部分，磋商小组应当及时以书面形式同时通知所有参加磋商的供应商。</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pPr>
        <w:spacing w:after="0" w:line="460" w:lineRule="exact"/>
        <w:jc w:val="both"/>
        <w:rPr>
          <w:rFonts w:cs="宋体" w:asciiTheme="majorEastAsia" w:hAnsiTheme="majorEastAsia" w:eastAsiaTheme="majorEastAsia"/>
          <w:b/>
          <w:color w:val="auto"/>
          <w:sz w:val="28"/>
          <w:szCs w:val="28"/>
        </w:rPr>
      </w:pPr>
      <w:r>
        <w:rPr>
          <w:rFonts w:cs="宋体" w:asciiTheme="majorEastAsia" w:hAnsiTheme="majorEastAsia" w:eastAsiaTheme="majorEastAsia"/>
          <w:b/>
          <w:color w:val="auto"/>
          <w:sz w:val="24"/>
          <w:szCs w:val="24"/>
        </w:rPr>
        <w:t xml:space="preserve">4. </w:t>
      </w:r>
      <w:r>
        <w:rPr>
          <w:rFonts w:hint="eastAsia" w:asciiTheme="majorEastAsia" w:hAnsiTheme="majorEastAsia" w:eastAsiaTheme="majorEastAsia"/>
          <w:b/>
          <w:color w:val="auto"/>
          <w:sz w:val="24"/>
          <w:szCs w:val="24"/>
        </w:rPr>
        <w:t>最后报价</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磋商结束后，磋商小组应当要求所有实质性响应的供应商在规定时间内提交最后报价。已提交响应文件的供应商，在提交最后报价之前，可以根据磋商情况退出磋商。采购人、采购代理机构应当退还退出磋商的供应商的磋商保证金。（最终报价表格式见附表</w:t>
      </w:r>
      <w:r>
        <w:rPr>
          <w:rFonts w:cs="宋体"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rPr>
        <w:t>）</w:t>
      </w:r>
    </w:p>
    <w:p>
      <w:pPr>
        <w:spacing w:after="0" w:line="460" w:lineRule="exact"/>
        <w:jc w:val="both"/>
        <w:rPr>
          <w:rFonts w:cs="宋体" w:asciiTheme="majorEastAsia" w:hAnsiTheme="majorEastAsia" w:eastAsiaTheme="majorEastAsia"/>
          <w:b/>
          <w:color w:val="auto"/>
          <w:sz w:val="28"/>
          <w:szCs w:val="28"/>
        </w:rPr>
      </w:pPr>
      <w:r>
        <w:rPr>
          <w:rFonts w:cs="宋体" w:asciiTheme="majorEastAsia" w:hAnsiTheme="majorEastAsia" w:eastAsiaTheme="majorEastAsia"/>
          <w:b/>
          <w:color w:val="auto"/>
          <w:sz w:val="24"/>
          <w:szCs w:val="24"/>
        </w:rPr>
        <w:t xml:space="preserve">5. </w:t>
      </w:r>
      <w:r>
        <w:rPr>
          <w:rFonts w:hint="eastAsia" w:asciiTheme="majorEastAsia" w:hAnsiTheme="majorEastAsia" w:eastAsiaTheme="majorEastAsia"/>
          <w:b/>
          <w:color w:val="auto"/>
          <w:sz w:val="24"/>
          <w:szCs w:val="24"/>
        </w:rPr>
        <w:t>综合评审</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经磋商确定最终采购需求，由磋商小组采用综合评分法对供应商的响应文件进行综合评分。（评审标准详见附表</w:t>
      </w:r>
      <w:r>
        <w:rPr>
          <w:rFonts w:cs="宋体"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w:t>
      </w:r>
    </w:p>
    <w:p>
      <w:pPr>
        <w:spacing w:after="0" w:line="460" w:lineRule="exact"/>
        <w:jc w:val="both"/>
        <w:rPr>
          <w:rFonts w:cs="宋体" w:asciiTheme="majorEastAsia" w:hAnsiTheme="majorEastAsia" w:eastAsiaTheme="majorEastAsia"/>
          <w:b/>
          <w:color w:val="auto"/>
          <w:sz w:val="28"/>
          <w:szCs w:val="28"/>
        </w:rPr>
      </w:pPr>
      <w:r>
        <w:rPr>
          <w:rFonts w:cs="宋体" w:asciiTheme="majorEastAsia" w:hAnsiTheme="majorEastAsia" w:eastAsiaTheme="majorEastAsia"/>
          <w:b/>
          <w:color w:val="auto"/>
          <w:sz w:val="24"/>
          <w:szCs w:val="24"/>
        </w:rPr>
        <w:t xml:space="preserve">6. </w:t>
      </w:r>
      <w:r>
        <w:rPr>
          <w:rFonts w:hint="eastAsia" w:asciiTheme="majorEastAsia" w:hAnsiTheme="majorEastAsia" w:eastAsiaTheme="majorEastAsia"/>
          <w:b/>
          <w:color w:val="auto"/>
          <w:sz w:val="24"/>
          <w:szCs w:val="24"/>
        </w:rPr>
        <w:t>推荐成交供应商</w:t>
      </w:r>
    </w:p>
    <w:p>
      <w:pPr>
        <w:spacing w:after="0" w:line="460" w:lineRule="exact"/>
        <w:ind w:firstLine="472" w:firstLineChars="197"/>
        <w:jc w:val="both"/>
        <w:rPr>
          <w:rFonts w:cs="宋体" w:asciiTheme="majorEastAsia" w:hAnsiTheme="majorEastAsia" w:eastAsiaTheme="majorEastAsia"/>
          <w:b/>
          <w:color w:val="auto"/>
          <w:sz w:val="28"/>
          <w:szCs w:val="28"/>
        </w:rPr>
      </w:pPr>
      <w:r>
        <w:rPr>
          <w:rFonts w:hint="eastAsia" w:asciiTheme="majorEastAsia" w:hAnsiTheme="majorEastAsia" w:eastAsiaTheme="majorEastAsia"/>
          <w:color w:val="auto"/>
          <w:sz w:val="24"/>
          <w:szCs w:val="24"/>
        </w:rPr>
        <w:t>磋商小组应当根据综合评分情况，按照评审得分由高到低顺序推荐</w:t>
      </w:r>
      <w:r>
        <w:rPr>
          <w:rFonts w:cs="宋体" w:asciiTheme="majorEastAsia" w:hAnsiTheme="majorEastAsia" w:eastAsiaTheme="majorEastAsia"/>
          <w:color w:val="auto"/>
          <w:sz w:val="24"/>
          <w:szCs w:val="24"/>
        </w:rPr>
        <w:t>3</w:t>
      </w:r>
      <w:r>
        <w:rPr>
          <w:rFonts w:hint="eastAsia" w:asciiTheme="majorEastAsia" w:hAnsiTheme="majorEastAsia" w:eastAsiaTheme="majorEastAsia"/>
          <w:color w:val="auto"/>
          <w:sz w:val="24"/>
          <w:szCs w:val="24"/>
        </w:rPr>
        <w:t>名成交候选供应商，并编写评审报告。评审得分相同的，按照技术指标优劣顺序推荐。</w:t>
      </w:r>
    </w:p>
    <w:p>
      <w:pPr>
        <w:pStyle w:val="4"/>
        <w:spacing w:before="0" w:after="0" w:line="360" w:lineRule="auto"/>
        <w:rPr>
          <w:rFonts w:cs="宋体" w:asciiTheme="majorEastAsia" w:hAnsiTheme="majorEastAsia" w:eastAsiaTheme="majorEastAsia"/>
          <w:bCs w:val="0"/>
          <w:color w:val="auto"/>
          <w:sz w:val="28"/>
          <w:szCs w:val="28"/>
        </w:rPr>
      </w:pPr>
      <w:bookmarkStart w:id="75" w:name="_Toc16422131"/>
      <w:bookmarkStart w:id="76" w:name="_Toc71553233"/>
      <w:r>
        <w:rPr>
          <w:rFonts w:hint="eastAsia" w:cs="宋体" w:asciiTheme="majorEastAsia" w:hAnsiTheme="majorEastAsia" w:eastAsiaTheme="majorEastAsia"/>
          <w:bCs w:val="0"/>
          <w:color w:val="auto"/>
          <w:sz w:val="28"/>
          <w:szCs w:val="28"/>
        </w:rPr>
        <w:t>三、磋商、评审过程的保密性</w:t>
      </w:r>
      <w:bookmarkEnd w:id="75"/>
      <w:bookmarkEnd w:id="76"/>
    </w:p>
    <w:p>
      <w:pPr>
        <w:spacing w:after="0" w:line="460" w:lineRule="exact"/>
        <w:ind w:firstLine="472" w:firstLineChars="197"/>
        <w:jc w:val="both"/>
        <w:rPr>
          <w:rFonts w:asciiTheme="majorEastAsia" w:hAnsiTheme="majorEastAsia" w:eastAsiaTheme="majorEastAsia"/>
          <w:color w:val="auto"/>
          <w:sz w:val="24"/>
          <w:szCs w:val="24"/>
          <w:lang w:val="zh-TW" w:eastAsia="zh-TW"/>
        </w:rPr>
      </w:pPr>
      <w:r>
        <w:rPr>
          <w:rFonts w:hint="eastAsia" w:asciiTheme="majorEastAsia" w:hAnsiTheme="majorEastAsia" w:eastAsiaTheme="majorEastAsia"/>
          <w:color w:val="auto"/>
          <w:sz w:val="24"/>
          <w:szCs w:val="24"/>
          <w:lang w:val="zh-TW"/>
        </w:rPr>
        <w:t>1、</w:t>
      </w:r>
      <w:r>
        <w:rPr>
          <w:rFonts w:hint="eastAsia" w:asciiTheme="majorEastAsia" w:hAnsiTheme="majorEastAsia" w:eastAsiaTheme="majorEastAsia"/>
          <w:color w:val="auto"/>
          <w:sz w:val="24"/>
          <w:szCs w:val="24"/>
          <w:lang w:val="zh-TW" w:eastAsia="zh-TW"/>
        </w:rPr>
        <w:t>接受报价后，直至成交供应商与买方签订合同后止，凡与磋商、审查、澄清、评价、比较、确定成交人意见有关的内容，任何人均不得向供应商及与磋商评审无关的其他人透露。</w:t>
      </w:r>
    </w:p>
    <w:p>
      <w:pPr>
        <w:spacing w:after="0" w:line="460" w:lineRule="exact"/>
        <w:ind w:firstLine="472" w:firstLineChars="197"/>
        <w:jc w:val="both"/>
        <w:rPr>
          <w:rFonts w:asciiTheme="majorEastAsia" w:hAnsiTheme="majorEastAsia" w:eastAsiaTheme="majorEastAsia"/>
          <w:color w:val="auto"/>
          <w:sz w:val="24"/>
          <w:szCs w:val="24"/>
          <w:lang w:val="zh-TW" w:eastAsia="zh-TW"/>
        </w:rPr>
      </w:pPr>
      <w:r>
        <w:rPr>
          <w:rFonts w:hint="eastAsia" w:asciiTheme="majorEastAsia" w:hAnsiTheme="majorEastAsia" w:eastAsiaTheme="majorEastAsia"/>
          <w:color w:val="auto"/>
          <w:sz w:val="24"/>
          <w:szCs w:val="24"/>
          <w:lang w:val="zh-TW"/>
        </w:rPr>
        <w:t>2、</w:t>
      </w:r>
      <w:r>
        <w:rPr>
          <w:rFonts w:hint="eastAsia" w:asciiTheme="majorEastAsia" w:hAnsiTheme="majorEastAsia" w:eastAsiaTheme="majorEastAsia"/>
          <w:color w:val="auto"/>
          <w:sz w:val="24"/>
          <w:szCs w:val="24"/>
          <w:lang w:val="zh-TW" w:eastAsia="zh-TW"/>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4"/>
        <w:spacing w:before="0" w:after="0" w:line="360" w:lineRule="auto"/>
        <w:rPr>
          <w:rFonts w:cs="宋体" w:asciiTheme="majorEastAsia" w:hAnsiTheme="majorEastAsia" w:eastAsiaTheme="majorEastAsia"/>
          <w:bCs w:val="0"/>
          <w:color w:val="auto"/>
          <w:sz w:val="28"/>
          <w:szCs w:val="28"/>
        </w:rPr>
      </w:pPr>
      <w:bookmarkStart w:id="77" w:name="_Toc71553234"/>
      <w:bookmarkStart w:id="78" w:name="_Toc16422132"/>
      <w:r>
        <w:rPr>
          <w:rFonts w:hint="eastAsia" w:cs="宋体" w:asciiTheme="majorEastAsia" w:hAnsiTheme="majorEastAsia" w:eastAsiaTheme="majorEastAsia"/>
          <w:bCs w:val="0"/>
          <w:color w:val="auto"/>
          <w:sz w:val="28"/>
          <w:szCs w:val="28"/>
        </w:rPr>
        <w:t>四、接受和拒绝任何或所有报价的权利</w:t>
      </w:r>
      <w:bookmarkEnd w:id="77"/>
      <w:bookmarkEnd w:id="78"/>
    </w:p>
    <w:p>
      <w:pPr>
        <w:spacing w:after="0" w:line="460" w:lineRule="exact"/>
        <w:ind w:firstLine="472" w:firstLineChars="197"/>
        <w:jc w:val="both"/>
        <w:rPr>
          <w:rFonts w:asciiTheme="majorEastAsia" w:hAnsiTheme="majorEastAsia" w:eastAsiaTheme="majorEastAsia"/>
          <w:color w:val="auto"/>
          <w:sz w:val="24"/>
          <w:szCs w:val="24"/>
          <w:lang w:val="zh-TW" w:eastAsia="zh-TW"/>
        </w:rPr>
      </w:pPr>
      <w:r>
        <w:rPr>
          <w:rFonts w:hint="eastAsia" w:asciiTheme="majorEastAsia" w:hAnsiTheme="majorEastAsia" w:eastAsiaTheme="majorEastAsia"/>
          <w:color w:val="auto"/>
          <w:sz w:val="24"/>
          <w:szCs w:val="24"/>
          <w:lang w:val="zh-TW" w:eastAsia="zh-TW"/>
        </w:rPr>
        <w:t>采购人保留在成交之前任何时候接受或拒绝任何报价，以及宣布竞争性磋商无效或拒绝所有磋商响应文件的权力，对受影响的供应商不承担任何责任。</w:t>
      </w:r>
    </w:p>
    <w:p>
      <w:pPr>
        <w:pStyle w:val="4"/>
        <w:spacing w:before="0" w:after="0" w:line="360" w:lineRule="auto"/>
        <w:rPr>
          <w:rFonts w:cs="宋体" w:asciiTheme="majorEastAsia" w:hAnsiTheme="majorEastAsia" w:eastAsiaTheme="majorEastAsia"/>
          <w:bCs w:val="0"/>
          <w:color w:val="auto"/>
          <w:sz w:val="28"/>
          <w:szCs w:val="28"/>
        </w:rPr>
      </w:pPr>
      <w:bookmarkStart w:id="79" w:name="_Toc16422133"/>
      <w:bookmarkStart w:id="80" w:name="_Toc71553235"/>
      <w:r>
        <w:rPr>
          <w:rFonts w:hint="eastAsia" w:cs="宋体" w:asciiTheme="majorEastAsia" w:hAnsiTheme="majorEastAsia" w:eastAsiaTheme="majorEastAsia"/>
          <w:bCs w:val="0"/>
          <w:color w:val="auto"/>
          <w:sz w:val="28"/>
          <w:szCs w:val="28"/>
        </w:rPr>
        <w:t>五、变更技术方案的权利</w:t>
      </w:r>
      <w:bookmarkEnd w:id="79"/>
      <w:bookmarkEnd w:id="80"/>
    </w:p>
    <w:p>
      <w:pPr>
        <w:spacing w:after="0" w:line="460" w:lineRule="exact"/>
        <w:ind w:firstLine="472" w:firstLineChars="197"/>
        <w:jc w:val="both"/>
        <w:rPr>
          <w:rFonts w:asciiTheme="majorEastAsia" w:hAnsiTheme="majorEastAsia" w:eastAsiaTheme="majorEastAsia"/>
          <w:color w:val="auto"/>
          <w:sz w:val="24"/>
          <w:szCs w:val="24"/>
          <w:lang w:val="zh-TW" w:eastAsia="zh-TW"/>
        </w:rPr>
      </w:pPr>
      <w:r>
        <w:rPr>
          <w:rFonts w:hint="eastAsia" w:asciiTheme="majorEastAsia" w:hAnsiTheme="majorEastAsia" w:eastAsiaTheme="majorEastAsia"/>
          <w:color w:val="auto"/>
          <w:sz w:val="24"/>
          <w:szCs w:val="24"/>
          <w:lang w:val="zh-TW" w:eastAsia="zh-TW"/>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after="0" w:line="460" w:lineRule="exact"/>
        <w:ind w:firstLine="440" w:firstLineChars="200"/>
        <w:jc w:val="both"/>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rPr>
          <w:rFonts w:asciiTheme="majorEastAsia" w:hAnsiTheme="majorEastAsia" w:eastAsiaTheme="majorEastAsia"/>
          <w:b/>
          <w:color w:val="auto"/>
          <w:sz w:val="24"/>
          <w:szCs w:val="24"/>
        </w:rPr>
      </w:pPr>
    </w:p>
    <w:p>
      <w:pP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附表</w:t>
      </w:r>
      <w:r>
        <w:rPr>
          <w:rFonts w:asciiTheme="majorEastAsia" w:hAnsiTheme="majorEastAsia" w:eastAsiaTheme="majorEastAsia"/>
          <w:b/>
          <w:color w:val="auto"/>
          <w:sz w:val="24"/>
          <w:szCs w:val="24"/>
        </w:rPr>
        <w:t xml:space="preserve">1 </w:t>
      </w:r>
    </w:p>
    <w:p>
      <w:pPr>
        <w:ind w:firstLine="482" w:firstLineChars="200"/>
        <w:jc w:val="center"/>
        <w:rPr>
          <w:rFonts w:cs="宋体" w:asciiTheme="majorEastAsia" w:hAnsiTheme="majorEastAsia" w:eastAsiaTheme="majorEastAsia"/>
          <w:b/>
          <w:color w:val="auto"/>
          <w:sz w:val="24"/>
          <w:szCs w:val="24"/>
        </w:rPr>
      </w:pPr>
      <w:r>
        <w:rPr>
          <w:rFonts w:hint="eastAsia" w:cs="宋体" w:asciiTheme="majorEastAsia" w:hAnsiTheme="majorEastAsia" w:eastAsiaTheme="majorEastAsia"/>
          <w:b/>
          <w:bCs/>
          <w:color w:val="auto"/>
          <w:sz w:val="24"/>
          <w:szCs w:val="24"/>
          <w:lang w:val="zh-TW" w:eastAsia="zh-TW"/>
        </w:rPr>
        <w:t>初步评审表</w:t>
      </w:r>
    </w:p>
    <w:p>
      <w:pPr>
        <w:pStyle w:val="10"/>
        <w:tabs>
          <w:tab w:val="left" w:pos="5580"/>
        </w:tabs>
        <w:spacing w:line="22" w:lineRule="atLeast"/>
        <w:rPr>
          <w:rFonts w:asciiTheme="majorEastAsia" w:hAnsiTheme="majorEastAsia" w:eastAsiaTheme="majorEastAsia"/>
          <w:color w:val="auto"/>
          <w:sz w:val="24"/>
          <w:szCs w:val="24"/>
          <w:lang w:val="zh-TW" w:eastAsia="zh-TW"/>
        </w:rPr>
      </w:pPr>
      <w:r>
        <w:rPr>
          <w:rFonts w:hint="eastAsia" w:asciiTheme="majorEastAsia" w:hAnsiTheme="majorEastAsia" w:eastAsiaTheme="majorEastAsia"/>
          <w:color w:val="auto"/>
          <w:sz w:val="24"/>
          <w:szCs w:val="24"/>
          <w:lang w:val="zh-TW" w:eastAsia="zh-TW"/>
        </w:rPr>
        <w:t>评委：</w:t>
      </w:r>
    </w:p>
    <w:p>
      <w:pPr>
        <w:pStyle w:val="10"/>
        <w:tabs>
          <w:tab w:val="left" w:pos="5580"/>
        </w:tabs>
        <w:spacing w:line="22" w:lineRule="atLeas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zh-TW" w:eastAsia="zh-TW"/>
        </w:rPr>
        <w:t>日期：</w:t>
      </w:r>
    </w:p>
    <w:tbl>
      <w:tblPr>
        <w:tblStyle w:val="18"/>
        <w:tblW w:w="9093"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150"/>
        <w:gridCol w:w="2589"/>
        <w:gridCol w:w="4220"/>
        <w:gridCol w:w="11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00" w:hRule="atLeast"/>
          <w:jc w:val="center"/>
        </w:trPr>
        <w:tc>
          <w:tcPr>
            <w:tcW w:w="11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lang w:val="zh-TW" w:eastAsia="zh-TW"/>
              </w:rPr>
              <w:t>序号</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lang w:val="zh-TW" w:eastAsia="zh-TW"/>
              </w:rPr>
              <w:t>审查项目</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lang w:val="zh-TW" w:eastAsia="zh-TW"/>
              </w:rPr>
              <w:t>评议内容</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cs="宋体" w:asciiTheme="majorEastAsia" w:hAnsiTheme="majorEastAsia" w:eastAsiaTheme="majorEastAsia"/>
                <w:b/>
                <w:color w:val="auto"/>
                <w:sz w:val="24"/>
                <w:szCs w:val="24"/>
              </w:rPr>
            </w:pPr>
            <w:r>
              <w:rPr>
                <w:rFonts w:hint="eastAsia" w:cs="宋体" w:asciiTheme="majorEastAsia" w:hAnsiTheme="majorEastAsia" w:eastAsiaTheme="majorEastAsia"/>
                <w:b/>
                <w:color w:val="auto"/>
                <w:sz w:val="24"/>
                <w:szCs w:val="24"/>
                <w:lang w:val="zh-TW" w:eastAsia="zh-TW"/>
              </w:rPr>
              <w:t>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1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资格要求</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是否满足供应商资格要求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cs="宋体" w:asciiTheme="majorEastAsia" w:hAnsiTheme="majorEastAsia" w:eastAsiaTheme="maj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1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磋商响应文件递交情况</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正本和副本的数量是否符合</w:t>
            </w:r>
            <w:r>
              <w:rPr>
                <w:rFonts w:hint="eastAsia" w:cs="宋体" w:asciiTheme="majorEastAsia" w:hAnsiTheme="majorEastAsia" w:eastAsiaTheme="majorEastAsia"/>
                <w:color w:val="auto"/>
                <w:sz w:val="24"/>
                <w:szCs w:val="24"/>
                <w:lang w:val="zh-TW"/>
              </w:rPr>
              <w:t>磋商</w:t>
            </w:r>
            <w:r>
              <w:rPr>
                <w:rFonts w:hint="eastAsia" w:cs="宋体" w:asciiTheme="majorEastAsia" w:hAnsiTheme="majorEastAsia" w:eastAsiaTheme="majorEastAsia"/>
                <w:color w:val="auto"/>
                <w:sz w:val="24"/>
                <w:szCs w:val="24"/>
                <w:lang w:val="zh-TW" w:eastAsia="zh-TW"/>
              </w:rPr>
              <w:t>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cs="宋体" w:asciiTheme="majorEastAsia" w:hAnsiTheme="majorEastAsia" w:eastAsiaTheme="maj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1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投标保证金</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是否提交投标保证金证明</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cs="宋体" w:asciiTheme="majorEastAsia" w:hAnsiTheme="majorEastAsia" w:eastAsiaTheme="maj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1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4</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投标有效期</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rPr>
              <w:t>是否满足磋商文件要求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cs="宋体" w:asciiTheme="majorEastAsia" w:hAnsiTheme="majorEastAsia" w:eastAsiaTheme="maj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1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lang w:val="zh-TW" w:eastAsia="zh-TW"/>
              </w:rPr>
            </w:pPr>
            <w:r>
              <w:rPr>
                <w:rFonts w:hint="eastAsia" w:cs="宋体" w:asciiTheme="majorEastAsia" w:hAnsiTheme="majorEastAsia" w:eastAsiaTheme="majorEastAsia"/>
                <w:color w:val="auto"/>
                <w:sz w:val="24"/>
                <w:szCs w:val="24"/>
              </w:rPr>
              <w:t>服务期限</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lang w:val="zh-TW"/>
              </w:rPr>
            </w:pPr>
            <w:r>
              <w:rPr>
                <w:rFonts w:hint="eastAsia" w:cs="宋体" w:asciiTheme="majorEastAsia" w:hAnsiTheme="majorEastAsia" w:eastAsiaTheme="majorEastAsia"/>
                <w:color w:val="auto"/>
                <w:sz w:val="24"/>
                <w:szCs w:val="24"/>
                <w:lang w:val="zh-TW"/>
              </w:rPr>
              <w:t>是否满足磋商文件要求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cs="宋体" w:asciiTheme="majorEastAsia" w:hAnsiTheme="majorEastAsia" w:eastAsiaTheme="maj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1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6</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rPr>
              <w:t>其他</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80" w:lineRule="exact"/>
              <w:jc w:val="center"/>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lang w:val="zh-TW" w:eastAsia="zh-TW"/>
              </w:rPr>
              <w:t>无</w:t>
            </w:r>
            <w:r>
              <w:rPr>
                <w:rFonts w:hint="eastAsia" w:cs="宋体" w:asciiTheme="majorEastAsia" w:hAnsiTheme="majorEastAsia" w:eastAsiaTheme="majorEastAsia"/>
                <w:color w:val="auto"/>
                <w:sz w:val="24"/>
                <w:szCs w:val="24"/>
                <w:lang w:val="zh-TW"/>
              </w:rPr>
              <w:t>其他</w:t>
            </w:r>
            <w:r>
              <w:rPr>
                <w:rFonts w:hint="eastAsia" w:cs="宋体" w:asciiTheme="majorEastAsia" w:hAnsiTheme="majorEastAsia" w:eastAsiaTheme="majorEastAsia"/>
                <w:color w:val="auto"/>
                <w:sz w:val="24"/>
                <w:szCs w:val="24"/>
                <w:lang w:val="zh-TW" w:eastAsia="zh-TW"/>
              </w:rPr>
              <w:t>无效投标认定条件</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cs="宋体" w:asciiTheme="majorEastAsia" w:hAnsiTheme="majorEastAsia" w:eastAsiaTheme="maj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4" w:hRule="atLeast"/>
          <w:jc w:val="center"/>
        </w:trPr>
        <w:tc>
          <w:tcPr>
            <w:tcW w:w="7959"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cs="宋体" w:asciiTheme="majorEastAsia" w:hAnsiTheme="majorEastAsia" w:eastAsiaTheme="majorEastAsia"/>
                <w:b/>
                <w:color w:val="auto"/>
              </w:rPr>
            </w:pPr>
            <w:r>
              <w:rPr>
                <w:rFonts w:hint="eastAsia" w:cs="宋体" w:asciiTheme="majorEastAsia" w:hAnsiTheme="majorEastAsia" w:eastAsiaTheme="majorEastAsia"/>
                <w:b/>
                <w:color w:val="auto"/>
                <w:sz w:val="24"/>
                <w:szCs w:val="24"/>
                <w:lang w:val="zh-TW" w:eastAsia="zh-TW"/>
              </w:rPr>
              <w:t>结论</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cs="宋体" w:asciiTheme="majorEastAsia" w:hAnsiTheme="majorEastAsia" w:eastAsiaTheme="majorEastAsia"/>
                <w:color w:val="auto"/>
              </w:rPr>
            </w:pPr>
          </w:p>
        </w:tc>
      </w:tr>
    </w:tbl>
    <w:p>
      <w:pPr>
        <w:pStyle w:val="10"/>
        <w:tabs>
          <w:tab w:val="left" w:pos="5580"/>
        </w:tabs>
        <w:ind w:left="108" w:hanging="108"/>
        <w:jc w:val="center"/>
        <w:rPr>
          <w:rFonts w:asciiTheme="majorEastAsia" w:hAnsiTheme="majorEastAsia" w:eastAsiaTheme="majorEastAsia"/>
          <w:color w:val="auto"/>
        </w:rPr>
      </w:pPr>
    </w:p>
    <w:p>
      <w:pPr>
        <w:pStyle w:val="10"/>
        <w:tabs>
          <w:tab w:val="left" w:pos="5580"/>
        </w:tabs>
        <w:jc w:val="center"/>
        <w:rPr>
          <w:rFonts w:asciiTheme="majorEastAsia" w:hAnsiTheme="majorEastAsia" w:eastAsiaTheme="majorEastAsia"/>
          <w:color w:val="auto"/>
        </w:rPr>
      </w:pPr>
    </w:p>
    <w:p>
      <w:pPr>
        <w:spacing w:after="0" w:line="360" w:lineRule="exact"/>
        <w:rPr>
          <w:rFonts w:cs="宋体" w:asciiTheme="majorEastAsia" w:hAnsiTheme="majorEastAsia" w:eastAsiaTheme="majorEastAsia"/>
          <w:color w:val="auto"/>
          <w:sz w:val="21"/>
          <w:szCs w:val="21"/>
        </w:rPr>
      </w:pPr>
      <w:r>
        <w:rPr>
          <w:rFonts w:cs="宋体" w:asciiTheme="majorEastAsia" w:hAnsiTheme="majorEastAsia" w:eastAsiaTheme="majorEastAsia"/>
          <w:color w:val="auto"/>
          <w:sz w:val="21"/>
          <w:szCs w:val="21"/>
        </w:rPr>
        <w:t>1</w:t>
      </w:r>
      <w:r>
        <w:rPr>
          <w:rStyle w:val="24"/>
          <w:rFonts w:hint="eastAsia" w:cs="宋体" w:asciiTheme="majorEastAsia" w:hAnsiTheme="majorEastAsia" w:eastAsiaTheme="majorEastAsia"/>
          <w:color w:val="auto"/>
          <w:sz w:val="21"/>
          <w:szCs w:val="21"/>
        </w:rPr>
        <w:t>、表中只需填写</w:t>
      </w:r>
      <w:r>
        <w:rPr>
          <w:rFonts w:hint="eastAsia" w:cs="宋体" w:asciiTheme="majorEastAsia" w:hAnsiTheme="majorEastAsia" w:eastAsiaTheme="majorEastAsia"/>
          <w:color w:val="auto"/>
          <w:sz w:val="21"/>
          <w:szCs w:val="21"/>
        </w:rPr>
        <w:t>“√</w:t>
      </w:r>
      <w:r>
        <w:rPr>
          <w:rFonts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通过</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或</w:t>
      </w:r>
      <w:r>
        <w:rPr>
          <w:rFonts w:hint="eastAsia" w:cs="宋体" w:asciiTheme="majorEastAsia" w:hAnsiTheme="majorEastAsia" w:eastAsiaTheme="majorEastAsia"/>
          <w:color w:val="auto"/>
          <w:sz w:val="21"/>
          <w:szCs w:val="21"/>
        </w:rPr>
        <w:t>“×</w:t>
      </w:r>
      <w:r>
        <w:rPr>
          <w:rFonts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不通过</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w:t>
      </w:r>
    </w:p>
    <w:p>
      <w:pPr>
        <w:spacing w:after="0" w:line="360" w:lineRule="exact"/>
        <w:rPr>
          <w:rFonts w:cs="宋体" w:asciiTheme="majorEastAsia" w:hAnsiTheme="majorEastAsia" w:eastAsiaTheme="majorEastAsia"/>
          <w:color w:val="auto"/>
          <w:sz w:val="21"/>
          <w:szCs w:val="21"/>
        </w:rPr>
      </w:pPr>
      <w:r>
        <w:rPr>
          <w:rFonts w:cs="宋体" w:asciiTheme="majorEastAsia" w:hAnsiTheme="majorEastAsia" w:eastAsiaTheme="majorEastAsia"/>
          <w:color w:val="auto"/>
          <w:sz w:val="21"/>
          <w:szCs w:val="21"/>
        </w:rPr>
        <w:t>2</w:t>
      </w:r>
      <w:r>
        <w:rPr>
          <w:rStyle w:val="24"/>
          <w:rFonts w:hint="eastAsia" w:cs="宋体" w:asciiTheme="majorEastAsia" w:hAnsiTheme="majorEastAsia" w:eastAsiaTheme="majorEastAsia"/>
          <w:color w:val="auto"/>
          <w:sz w:val="21"/>
          <w:szCs w:val="21"/>
        </w:rPr>
        <w:t>、在结论中按</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一项否决</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的原则，只有全部是</w:t>
      </w:r>
      <w:r>
        <w:rPr>
          <w:rFonts w:hint="eastAsia" w:cs="宋体" w:asciiTheme="majorEastAsia" w:hAnsiTheme="majorEastAsia" w:eastAsiaTheme="majorEastAsia"/>
          <w:color w:val="auto"/>
          <w:sz w:val="21"/>
          <w:szCs w:val="21"/>
        </w:rPr>
        <w:t>√</w:t>
      </w:r>
      <w:r>
        <w:rPr>
          <w:rFonts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通过的，填写</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合格</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；只要其中有一项是</w:t>
      </w:r>
      <w:r>
        <w:rPr>
          <w:rFonts w:hint="eastAsia" w:cs="宋体" w:asciiTheme="majorEastAsia" w:hAnsiTheme="majorEastAsia" w:eastAsiaTheme="majorEastAsia"/>
          <w:color w:val="auto"/>
          <w:sz w:val="21"/>
          <w:szCs w:val="21"/>
        </w:rPr>
        <w:t>×</w:t>
      </w:r>
      <w:r>
        <w:rPr>
          <w:rFonts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不通过的，填写</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不合格</w:t>
      </w:r>
      <w:r>
        <w:rPr>
          <w:rFonts w:hint="eastAsia" w:cs="宋体" w:asciiTheme="majorEastAsia" w:hAnsiTheme="majorEastAsia" w:eastAsiaTheme="majorEastAsia"/>
          <w:color w:val="auto"/>
          <w:sz w:val="21"/>
          <w:szCs w:val="21"/>
        </w:rPr>
        <w:t>”</w:t>
      </w:r>
      <w:r>
        <w:rPr>
          <w:rStyle w:val="24"/>
          <w:rFonts w:hint="eastAsia" w:cs="宋体" w:asciiTheme="majorEastAsia" w:hAnsiTheme="majorEastAsia" w:eastAsiaTheme="majorEastAsia"/>
          <w:color w:val="auto"/>
          <w:sz w:val="21"/>
          <w:szCs w:val="21"/>
        </w:rPr>
        <w:t>。</w:t>
      </w:r>
    </w:p>
    <w:p>
      <w:pPr>
        <w:spacing w:after="0" w:line="360" w:lineRule="exact"/>
        <w:rPr>
          <w:rFonts w:cs="宋体" w:asciiTheme="majorEastAsia" w:hAnsiTheme="majorEastAsia" w:eastAsiaTheme="majorEastAsia"/>
          <w:color w:val="auto"/>
          <w:sz w:val="21"/>
          <w:szCs w:val="21"/>
        </w:rPr>
      </w:pPr>
      <w:r>
        <w:rPr>
          <w:rFonts w:cs="宋体" w:asciiTheme="majorEastAsia" w:hAnsiTheme="majorEastAsia" w:eastAsiaTheme="majorEastAsia"/>
          <w:color w:val="auto"/>
          <w:sz w:val="21"/>
          <w:szCs w:val="21"/>
        </w:rPr>
        <w:t>3</w:t>
      </w:r>
      <w:r>
        <w:rPr>
          <w:rStyle w:val="24"/>
          <w:rFonts w:hint="eastAsia" w:cs="宋体" w:asciiTheme="majorEastAsia" w:hAnsiTheme="majorEastAsia" w:eastAsiaTheme="majorEastAsia"/>
          <w:color w:val="auto"/>
          <w:sz w:val="21"/>
          <w:szCs w:val="21"/>
        </w:rPr>
        <w:t>、结论是合格的，才能通过初步评审。</w:t>
      </w: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rPr>
          <w:rFonts w:asciiTheme="majorEastAsia" w:hAnsiTheme="majorEastAsia" w:eastAsiaTheme="majorEastAsia"/>
          <w:color w:val="auto"/>
          <w:sz w:val="24"/>
          <w:szCs w:val="24"/>
        </w:rPr>
      </w:pPr>
    </w:p>
    <w:p>
      <w:pPr>
        <w:pStyle w:val="29"/>
        <w:ind w:firstLine="480"/>
        <w:rPr>
          <w:rFonts w:asciiTheme="majorEastAsia" w:hAnsiTheme="majorEastAsia" w:eastAsiaTheme="majorEastAsia"/>
          <w:color w:val="auto"/>
        </w:rPr>
      </w:pPr>
    </w:p>
    <w:p>
      <w:pPr>
        <w:pStyle w:val="29"/>
        <w:ind w:firstLine="480"/>
        <w:rPr>
          <w:rFonts w:asciiTheme="majorEastAsia" w:hAnsiTheme="majorEastAsia" w:eastAsiaTheme="majorEastAsia"/>
          <w:color w:val="auto"/>
        </w:rPr>
      </w:pPr>
    </w:p>
    <w:p>
      <w:pPr>
        <w:rPr>
          <w:rFonts w:asciiTheme="majorEastAsia" w:hAnsiTheme="majorEastAsia" w:eastAsiaTheme="majorEastAsia"/>
          <w:b/>
          <w:color w:val="auto"/>
          <w:sz w:val="24"/>
          <w:szCs w:val="24"/>
        </w:rPr>
      </w:pPr>
    </w:p>
    <w:p>
      <w:pP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附表2</w:t>
      </w:r>
      <w:bookmarkStart w:id="81" w:name="_Toc459188266"/>
    </w:p>
    <w:p>
      <w:pPr>
        <w:spacing w:line="360" w:lineRule="auto"/>
        <w:ind w:firstLine="3347"/>
        <w:rPr>
          <w:rFonts w:cs="宋体" w:asciiTheme="majorEastAsia" w:hAnsiTheme="majorEastAsia" w:eastAsiaTheme="majorEastAsia"/>
          <w:color w:val="auto"/>
        </w:rPr>
      </w:pPr>
      <w:r>
        <w:rPr>
          <w:rFonts w:hint="eastAsia" w:cs="宋体" w:asciiTheme="majorEastAsia" w:hAnsiTheme="majorEastAsia" w:eastAsiaTheme="majorEastAsia"/>
          <w:b/>
          <w:bCs/>
          <w:color w:val="auto"/>
          <w:sz w:val="32"/>
          <w:szCs w:val="32"/>
          <w:lang w:val="zh-TW" w:eastAsia="zh-TW"/>
        </w:rPr>
        <w:t>最终报价表</w:t>
      </w:r>
    </w:p>
    <w:p>
      <w:pPr>
        <w:spacing w:line="360" w:lineRule="auto"/>
        <w:ind w:firstLine="3347"/>
        <w:rPr>
          <w:rFonts w:cs="宋体" w:asciiTheme="majorEastAsia" w:hAnsiTheme="majorEastAsia" w:eastAsiaTheme="majorEastAsia"/>
          <w:color w:val="auto"/>
        </w:rPr>
      </w:pPr>
    </w:p>
    <w:p>
      <w:pPr>
        <w:pStyle w:val="10"/>
        <w:tabs>
          <w:tab w:val="left" w:pos="5580"/>
        </w:tabs>
        <w:spacing w:line="22" w:lineRule="atLeast"/>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lang w:val="zh-TW" w:eastAsia="zh-TW"/>
        </w:rPr>
        <w:t>供应商名称：</w:t>
      </w:r>
      <w:r>
        <w:rPr>
          <w:rFonts w:asciiTheme="majorEastAsia" w:hAnsiTheme="majorEastAsia" w:eastAsiaTheme="majorEastAsia"/>
          <w:color w:val="auto"/>
          <w:sz w:val="21"/>
          <w:szCs w:val="21"/>
          <w:u w:val="single"/>
        </w:rPr>
        <w:tab/>
      </w:r>
    </w:p>
    <w:p>
      <w:pPr>
        <w:rPr>
          <w:rFonts w:cs="宋体" w:asciiTheme="majorEastAsia" w:hAnsiTheme="majorEastAsia" w:eastAsiaTheme="majorEastAsia"/>
          <w:color w:val="auto"/>
          <w:sz w:val="21"/>
          <w:szCs w:val="21"/>
        </w:rPr>
      </w:pPr>
    </w:p>
    <w:tbl>
      <w:tblPr>
        <w:tblStyle w:val="18"/>
        <w:tblW w:w="876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876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94" w:hRule="atLeast"/>
          <w:jc w:val="center"/>
        </w:trPr>
        <w:tc>
          <w:tcPr>
            <w:tcW w:w="8767" w:type="dxa"/>
            <w:tcBorders>
              <w:top w:val="single" w:color="000000" w:sz="12" w:space="0"/>
              <w:left w:val="single" w:color="000000" w:sz="12" w:space="0"/>
              <w:bottom w:val="single" w:color="000000" w:sz="6" w:space="0"/>
              <w:right w:val="single" w:color="000000" w:sz="12" w:space="0"/>
            </w:tcBorders>
            <w:tcMar>
              <w:top w:w="80" w:type="dxa"/>
              <w:left w:w="80" w:type="dxa"/>
              <w:bottom w:w="80" w:type="dxa"/>
              <w:right w:w="80" w:type="dxa"/>
            </w:tcMar>
          </w:tcPr>
          <w:p>
            <w:pPr>
              <w:rPr>
                <w:rFonts w:cs="宋体" w:asciiTheme="majorEastAsia" w:hAnsiTheme="majorEastAsia" w:eastAsiaTheme="majorEastAsia"/>
                <w:color w:val="auto"/>
                <w:sz w:val="21"/>
                <w:szCs w:val="21"/>
              </w:rPr>
            </w:pPr>
          </w:p>
          <w:p>
            <w:pPr>
              <w:rPr>
                <w:rFonts w:cs="宋体" w:asciiTheme="majorEastAsia" w:hAnsiTheme="majorEastAsia" w:eastAsiaTheme="majorEastAsia"/>
                <w:color w:val="auto"/>
                <w:sz w:val="21"/>
                <w:szCs w:val="21"/>
                <w:lang w:val="zh-TW"/>
              </w:rPr>
            </w:pPr>
            <w:r>
              <w:rPr>
                <w:rFonts w:hint="eastAsia" w:cs="宋体" w:asciiTheme="majorEastAsia" w:hAnsiTheme="majorEastAsia" w:eastAsiaTheme="majorEastAsia"/>
                <w:color w:val="auto"/>
                <w:sz w:val="21"/>
                <w:szCs w:val="21"/>
                <w:lang w:val="zh-TW" w:eastAsia="zh-TW"/>
              </w:rPr>
              <w:t>供应商承诺（最终报价）：</w:t>
            </w:r>
          </w:p>
          <w:p>
            <w:pPr>
              <w:rPr>
                <w:rFonts w:cs="宋体" w:asciiTheme="majorEastAsia" w:hAnsiTheme="majorEastAsia" w:eastAsiaTheme="majorEastAsia"/>
                <w:color w:val="auto"/>
                <w:sz w:val="21"/>
                <w:szCs w:val="21"/>
              </w:rPr>
            </w:pPr>
          </w:p>
          <w:p>
            <w:pPr>
              <w:ind w:firstLine="720"/>
              <w:rPr>
                <w:rFonts w:cs="宋体" w:asciiTheme="majorEastAsia" w:hAnsiTheme="majorEastAsia" w:eastAsiaTheme="majorEastAsia"/>
                <w:color w:val="auto"/>
                <w:sz w:val="21"/>
                <w:szCs w:val="21"/>
              </w:rPr>
            </w:pPr>
            <w:r>
              <w:rPr>
                <w:rFonts w:hint="eastAsia" w:cs="宋体" w:asciiTheme="majorEastAsia" w:hAnsiTheme="majorEastAsia" w:eastAsiaTheme="majorEastAsia"/>
                <w:color w:val="auto"/>
                <w:sz w:val="21"/>
                <w:szCs w:val="21"/>
                <w:lang w:val="zh-TW" w:eastAsia="zh-TW"/>
              </w:rPr>
              <w:t>人民币</w:t>
            </w:r>
            <w:r>
              <w:rPr>
                <w:rFonts w:hint="eastAsia" w:cs="宋体" w:asciiTheme="majorEastAsia" w:hAnsiTheme="majorEastAsia" w:eastAsiaTheme="majorEastAsia"/>
                <w:color w:val="auto"/>
                <w:sz w:val="21"/>
                <w:szCs w:val="21"/>
                <w:lang w:val="zh-TW"/>
              </w:rPr>
              <w:t>：</w:t>
            </w:r>
            <w:r>
              <w:rPr>
                <w:rFonts w:hint="eastAsia" w:cs="宋体" w:asciiTheme="majorEastAsia" w:hAnsiTheme="majorEastAsia" w:eastAsiaTheme="majorEastAsia"/>
                <w:color w:val="auto"/>
                <w:sz w:val="21"/>
                <w:szCs w:val="21"/>
                <w:lang w:val="zh-TW" w:eastAsia="zh-TW"/>
              </w:rPr>
              <w:t>大写：</w:t>
            </w:r>
          </w:p>
          <w:p>
            <w:pPr>
              <w:ind w:firstLine="720"/>
              <w:rPr>
                <w:rFonts w:cs="宋体" w:asciiTheme="majorEastAsia" w:hAnsiTheme="majorEastAsia" w:eastAsiaTheme="majorEastAsia"/>
                <w:color w:val="auto"/>
                <w:sz w:val="21"/>
                <w:szCs w:val="21"/>
              </w:rPr>
            </w:pPr>
          </w:p>
          <w:p>
            <w:pPr>
              <w:ind w:firstLine="720"/>
              <w:rPr>
                <w:rFonts w:cs="宋体" w:asciiTheme="majorEastAsia" w:hAnsiTheme="majorEastAsia" w:eastAsiaTheme="majorEastAsia"/>
                <w:color w:val="auto"/>
                <w:sz w:val="21"/>
                <w:szCs w:val="21"/>
              </w:rPr>
            </w:pPr>
            <w:r>
              <w:rPr>
                <w:rFonts w:hint="eastAsia" w:cs="宋体" w:asciiTheme="majorEastAsia" w:hAnsiTheme="majorEastAsia" w:eastAsiaTheme="majorEastAsia"/>
                <w:color w:val="auto"/>
                <w:sz w:val="21"/>
                <w:szCs w:val="21"/>
                <w:lang w:val="zh-TW" w:eastAsia="zh-TW"/>
              </w:rPr>
              <w:t>小写：</w:t>
            </w:r>
            <w:r>
              <w:rPr>
                <w:rFonts w:cs="宋体" w:asciiTheme="majorEastAsia" w:hAnsiTheme="majorEastAsia" w:eastAsiaTheme="majorEastAsia"/>
                <w:color w:val="auto"/>
                <w:sz w:val="21"/>
                <w:szCs w:val="21"/>
                <w:lang w:val="zh-TW"/>
              </w:rPr>
              <w:t>¥</w:t>
            </w:r>
            <w:r>
              <w:rPr>
                <w:rFonts w:hint="eastAsia" w:cs="宋体" w:asciiTheme="majorEastAsia" w:hAnsiTheme="majorEastAsia" w:eastAsiaTheme="majorEastAsia"/>
                <w:color w:val="auto"/>
                <w:sz w:val="21"/>
                <w:szCs w:val="21"/>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829" w:hRule="atLeast"/>
          <w:jc w:val="center"/>
        </w:trPr>
        <w:tc>
          <w:tcPr>
            <w:tcW w:w="8767" w:type="dxa"/>
            <w:tcBorders>
              <w:top w:val="single" w:color="000000" w:sz="6" w:space="0"/>
              <w:left w:val="single" w:color="000000" w:sz="12" w:space="0"/>
              <w:bottom w:val="single" w:color="000000" w:sz="12" w:space="0"/>
              <w:right w:val="single" w:color="000000" w:sz="12" w:space="0"/>
            </w:tcBorders>
            <w:tcMar>
              <w:top w:w="80" w:type="dxa"/>
              <w:left w:w="80" w:type="dxa"/>
              <w:bottom w:w="80" w:type="dxa"/>
              <w:right w:w="80" w:type="dxa"/>
            </w:tcMar>
          </w:tcPr>
          <w:p>
            <w:pPr>
              <w:rPr>
                <w:rFonts w:cs="宋体" w:asciiTheme="majorEastAsia" w:hAnsiTheme="majorEastAsia" w:eastAsiaTheme="majorEastAsia"/>
                <w:color w:val="auto"/>
                <w:sz w:val="21"/>
                <w:szCs w:val="21"/>
              </w:rPr>
            </w:pPr>
          </w:p>
          <w:p>
            <w:pPr>
              <w:rPr>
                <w:rFonts w:cs="宋体" w:asciiTheme="majorEastAsia" w:hAnsiTheme="majorEastAsia" w:eastAsiaTheme="majorEastAsia"/>
                <w:color w:val="auto"/>
                <w:sz w:val="21"/>
                <w:szCs w:val="21"/>
              </w:rPr>
            </w:pPr>
            <w:r>
              <w:rPr>
                <w:rFonts w:hint="eastAsia" w:cs="宋体" w:asciiTheme="majorEastAsia" w:hAnsiTheme="majorEastAsia" w:eastAsiaTheme="majorEastAsia"/>
                <w:color w:val="auto"/>
                <w:sz w:val="21"/>
                <w:szCs w:val="21"/>
                <w:lang w:val="zh-TW" w:eastAsia="zh-TW"/>
              </w:rPr>
              <w:t>供应商承诺的其他条件：</w:t>
            </w:r>
          </w:p>
          <w:p>
            <w:pPr>
              <w:rPr>
                <w:rFonts w:cs="宋体" w:asciiTheme="majorEastAsia" w:hAnsiTheme="majorEastAsia" w:eastAsiaTheme="majorEastAsia"/>
                <w:color w:val="auto"/>
                <w:sz w:val="21"/>
                <w:szCs w:val="21"/>
              </w:rPr>
            </w:pPr>
          </w:p>
          <w:p>
            <w:pPr>
              <w:ind w:firstLine="3600"/>
              <w:rPr>
                <w:rFonts w:cs="宋体" w:asciiTheme="majorEastAsia" w:hAnsiTheme="majorEastAsia" w:eastAsiaTheme="majorEastAsia"/>
                <w:color w:val="auto"/>
                <w:sz w:val="21"/>
                <w:szCs w:val="21"/>
                <w:u w:val="single"/>
              </w:rPr>
            </w:pPr>
            <w:r>
              <w:rPr>
                <w:rFonts w:hint="eastAsia" w:cs="宋体" w:asciiTheme="majorEastAsia" w:hAnsiTheme="majorEastAsia" w:eastAsiaTheme="majorEastAsia"/>
                <w:color w:val="auto"/>
                <w:sz w:val="21"/>
                <w:szCs w:val="21"/>
                <w:lang w:val="zh-TW" w:eastAsia="zh-TW"/>
              </w:rPr>
              <w:t>报价单位：</w:t>
            </w:r>
            <w:r>
              <w:rPr>
                <w:rFonts w:hint="eastAsia" w:cs="宋体" w:asciiTheme="majorEastAsia" w:hAnsiTheme="majorEastAsia" w:eastAsiaTheme="majorEastAsia"/>
                <w:color w:val="auto"/>
                <w:sz w:val="21"/>
                <w:szCs w:val="21"/>
                <w:u w:val="single"/>
                <w:lang w:val="zh-TW" w:eastAsia="zh-TW"/>
              </w:rPr>
              <w:t>（盖章）</w:t>
            </w:r>
          </w:p>
          <w:p>
            <w:pPr>
              <w:ind w:firstLine="3600"/>
              <w:rPr>
                <w:rFonts w:cs="宋体" w:asciiTheme="majorEastAsia" w:hAnsiTheme="majorEastAsia" w:eastAsiaTheme="majorEastAsia"/>
                <w:color w:val="auto"/>
                <w:sz w:val="21"/>
                <w:szCs w:val="21"/>
              </w:rPr>
            </w:pPr>
            <w:r>
              <w:rPr>
                <w:rFonts w:hint="eastAsia" w:cs="宋体" w:asciiTheme="majorEastAsia" w:hAnsiTheme="majorEastAsia" w:eastAsiaTheme="majorEastAsia"/>
                <w:color w:val="auto"/>
                <w:sz w:val="21"/>
                <w:szCs w:val="21"/>
                <w:lang w:val="zh-TW" w:eastAsia="zh-TW"/>
              </w:rPr>
              <w:t>法人或授权代表：</w:t>
            </w:r>
            <w:r>
              <w:rPr>
                <w:rFonts w:hint="eastAsia" w:cs="宋体" w:asciiTheme="majorEastAsia" w:hAnsiTheme="majorEastAsia" w:eastAsiaTheme="majorEastAsia"/>
                <w:color w:val="auto"/>
                <w:sz w:val="21"/>
                <w:szCs w:val="21"/>
                <w:lang w:val="zh-TW"/>
              </w:rPr>
              <w:t>（签字或盖章）</w:t>
            </w:r>
          </w:p>
          <w:p>
            <w:pPr>
              <w:ind w:firstLine="3570" w:firstLineChars="1700"/>
              <w:rPr>
                <w:rFonts w:cs="宋体" w:asciiTheme="majorEastAsia" w:hAnsiTheme="majorEastAsia" w:eastAsiaTheme="majorEastAsia"/>
                <w:color w:val="auto"/>
                <w:sz w:val="21"/>
                <w:szCs w:val="21"/>
              </w:rPr>
            </w:pPr>
            <w:r>
              <w:rPr>
                <w:rFonts w:hint="eastAsia" w:cs="宋体" w:asciiTheme="majorEastAsia" w:hAnsiTheme="majorEastAsia" w:eastAsiaTheme="majorEastAsia"/>
                <w:color w:val="auto"/>
                <w:sz w:val="21"/>
                <w:szCs w:val="21"/>
                <w:lang w:val="zh-TW" w:eastAsia="zh-TW"/>
              </w:rPr>
              <w:t>日期：年月日</w:t>
            </w:r>
          </w:p>
        </w:tc>
      </w:tr>
    </w:tbl>
    <w:p>
      <w:pPr>
        <w:rPr>
          <w:rFonts w:asciiTheme="majorEastAsia" w:hAnsiTheme="majorEastAsia" w:eastAsiaTheme="majorEastAsia"/>
          <w:b/>
          <w:color w:val="auto"/>
          <w:sz w:val="24"/>
          <w:szCs w:val="24"/>
        </w:rPr>
      </w:pPr>
    </w:p>
    <w:p>
      <w:pPr>
        <w:rPr>
          <w:rFonts w:asciiTheme="majorEastAsia" w:hAnsiTheme="majorEastAsia" w:eastAsiaTheme="majorEastAsia"/>
          <w:b/>
          <w:color w:val="auto"/>
          <w:sz w:val="24"/>
          <w:szCs w:val="24"/>
        </w:rPr>
      </w:pPr>
    </w:p>
    <w:p>
      <w:pPr>
        <w:rPr>
          <w:rFonts w:hint="eastAsia" w:asciiTheme="majorEastAsia" w:hAnsiTheme="majorEastAsia" w:eastAsiaTheme="majorEastAsia"/>
          <w:b/>
          <w:color w:val="auto"/>
          <w:sz w:val="24"/>
          <w:szCs w:val="24"/>
        </w:rPr>
      </w:pPr>
    </w:p>
    <w:p>
      <w:pP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附表3</w:t>
      </w:r>
    </w:p>
    <w:bookmarkEnd w:id="81"/>
    <w:p>
      <w:pPr>
        <w:pStyle w:val="5"/>
        <w:snapToGrid w:val="0"/>
        <w:rPr>
          <w:rFonts w:asciiTheme="majorEastAsia" w:hAnsiTheme="majorEastAsia" w:eastAsiaTheme="majorEastAsia"/>
          <w:color w:val="auto"/>
        </w:rPr>
      </w:pPr>
      <w:bookmarkStart w:id="82" w:name="_Toc16422134"/>
      <w:bookmarkStart w:id="83" w:name="_Toc71553236"/>
      <w:r>
        <w:rPr>
          <w:rFonts w:hint="eastAsia" w:asciiTheme="majorEastAsia" w:hAnsiTheme="majorEastAsia" w:eastAsiaTheme="majorEastAsia"/>
          <w:color w:val="auto"/>
        </w:rPr>
        <w:t>评审标准和方法</w:t>
      </w:r>
      <w:bookmarkEnd w:id="82"/>
      <w:bookmarkEnd w:id="83"/>
    </w:p>
    <w:tbl>
      <w:tblPr>
        <w:tblStyle w:val="18"/>
        <w:tblW w:w="9527" w:type="dxa"/>
        <w:jc w:val="center"/>
        <w:tblLayout w:type="fixed"/>
        <w:tblCellMar>
          <w:top w:w="0" w:type="dxa"/>
          <w:left w:w="108" w:type="dxa"/>
          <w:bottom w:w="0" w:type="dxa"/>
          <w:right w:w="108" w:type="dxa"/>
        </w:tblCellMar>
      </w:tblPr>
      <w:tblGrid>
        <w:gridCol w:w="551"/>
        <w:gridCol w:w="1156"/>
        <w:gridCol w:w="1156"/>
        <w:gridCol w:w="737"/>
        <w:gridCol w:w="5216"/>
        <w:gridCol w:w="711"/>
      </w:tblGrid>
      <w:tr>
        <w:tblPrEx>
          <w:tblCellMar>
            <w:top w:w="0" w:type="dxa"/>
            <w:left w:w="108" w:type="dxa"/>
            <w:bottom w:w="0" w:type="dxa"/>
            <w:right w:w="108" w:type="dxa"/>
          </w:tblCellMar>
        </w:tblPrEx>
        <w:trPr>
          <w:jc w:val="center"/>
        </w:trPr>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序号</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类型</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评分</w:t>
            </w:r>
          </w:p>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因素</w:t>
            </w:r>
          </w:p>
        </w:tc>
        <w:tc>
          <w:tcPr>
            <w:tcW w:w="737"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分值</w:t>
            </w:r>
          </w:p>
        </w:tc>
        <w:tc>
          <w:tcPr>
            <w:tcW w:w="5216"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评分标准</w:t>
            </w:r>
          </w:p>
        </w:tc>
        <w:tc>
          <w:tcPr>
            <w:tcW w:w="711"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说明</w:t>
            </w:r>
          </w:p>
        </w:tc>
      </w:tr>
      <w:tr>
        <w:tblPrEx>
          <w:tblCellMar>
            <w:top w:w="0" w:type="dxa"/>
            <w:left w:w="108" w:type="dxa"/>
            <w:bottom w:w="0" w:type="dxa"/>
            <w:right w:w="108" w:type="dxa"/>
          </w:tblCellMar>
        </w:tblPrEx>
        <w:trPr>
          <w:jc w:val="center"/>
        </w:trPr>
        <w:tc>
          <w:tcPr>
            <w:tcW w:w="551"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1</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报价</w:t>
            </w:r>
            <w:r>
              <w:rPr>
                <w:rFonts w:hint="eastAsia" w:ascii="Times New Roman" w:hAnsi="Times New Roman" w:cs="Times New Roman" w:eastAsiaTheme="majorEastAsia"/>
                <w:color w:val="auto"/>
                <w:sz w:val="24"/>
                <w:szCs w:val="24"/>
                <w:lang w:val="zh-CN"/>
              </w:rPr>
              <w:t>部分</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报价</w:t>
            </w:r>
          </w:p>
        </w:tc>
        <w:tc>
          <w:tcPr>
            <w:tcW w:w="737"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30分</w:t>
            </w:r>
          </w:p>
        </w:tc>
        <w:tc>
          <w:tcPr>
            <w:tcW w:w="5216" w:type="dxa"/>
            <w:tcBorders>
              <w:top w:val="single" w:color="auto" w:sz="4" w:space="0"/>
              <w:left w:val="nil"/>
              <w:bottom w:val="single" w:color="auto" w:sz="4" w:space="0"/>
              <w:right w:val="single" w:color="auto" w:sz="4" w:space="0"/>
            </w:tcBorders>
            <w:vAlign w:val="center"/>
          </w:tcPr>
          <w:p>
            <w:pPr>
              <w:snapToGrid w:val="0"/>
              <w:spacing w:after="0"/>
              <w:jc w:val="both"/>
              <w:rPr>
                <w:rFonts w:cs="Times New Roman" w:asciiTheme="majorEastAsia" w:hAnsiTheme="majorEastAsia" w:eastAsiaTheme="majorEastAsia"/>
                <w:color w:val="auto"/>
                <w:sz w:val="24"/>
                <w:szCs w:val="24"/>
                <w:lang w:val="zh-CN"/>
              </w:rPr>
            </w:pPr>
            <w:r>
              <w:rPr>
                <w:rFonts w:hint="eastAsia" w:ascii="Times New Roman" w:hAnsi="Times New Roman" w:eastAsiaTheme="majorEastAsia"/>
                <w:color w:val="auto"/>
                <w:sz w:val="24"/>
                <w:szCs w:val="24"/>
                <w:lang w:val="zh-CN"/>
              </w:rPr>
              <w:t>满足磋商文件要求且价格最低的投标价为基准价，价格分统一按照下列公式计算：价格分=(基准价／投标报价)×价格权值×100</w:t>
            </w:r>
          </w:p>
        </w:tc>
        <w:tc>
          <w:tcPr>
            <w:tcW w:w="711"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共同评审</w:t>
            </w:r>
          </w:p>
        </w:tc>
      </w:tr>
      <w:tr>
        <w:tblPrEx>
          <w:tblCellMar>
            <w:top w:w="0" w:type="dxa"/>
            <w:left w:w="108" w:type="dxa"/>
            <w:bottom w:w="0" w:type="dxa"/>
            <w:right w:w="108" w:type="dxa"/>
          </w:tblCellMar>
        </w:tblPrEx>
        <w:trPr>
          <w:jc w:val="center"/>
        </w:trPr>
        <w:tc>
          <w:tcPr>
            <w:tcW w:w="55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rPr>
              <w:t>2</w:t>
            </w:r>
          </w:p>
        </w:tc>
        <w:tc>
          <w:tcPr>
            <w:tcW w:w="11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rPr>
              <w:t>商务</w:t>
            </w:r>
            <w:r>
              <w:rPr>
                <w:rFonts w:hint="eastAsia" w:ascii="Times New Roman" w:hAnsi="Times New Roman" w:cs="Times New Roman" w:eastAsiaTheme="majorEastAsia"/>
                <w:color w:val="auto"/>
                <w:sz w:val="24"/>
                <w:szCs w:val="24"/>
              </w:rPr>
              <w:t>部分</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rPr>
              <w:t>综合</w:t>
            </w:r>
          </w:p>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rPr>
              <w:t>实力</w:t>
            </w:r>
          </w:p>
        </w:tc>
        <w:tc>
          <w:tcPr>
            <w:tcW w:w="737"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rPr>
              <w:t>10分</w:t>
            </w:r>
          </w:p>
        </w:tc>
        <w:tc>
          <w:tcPr>
            <w:tcW w:w="5216" w:type="dxa"/>
            <w:tcBorders>
              <w:top w:val="single" w:color="auto" w:sz="4" w:space="0"/>
              <w:left w:val="nil"/>
              <w:bottom w:val="single" w:color="auto" w:sz="4" w:space="0"/>
              <w:right w:val="single" w:color="auto" w:sz="4" w:space="0"/>
            </w:tcBorders>
            <w:vAlign w:val="center"/>
          </w:tcPr>
          <w:p>
            <w:pPr>
              <w:numPr>
                <w:ilvl w:val="0"/>
                <w:numId w:val="12"/>
              </w:numPr>
              <w:snapToGrid w:val="0"/>
              <w:spacing w:after="0"/>
              <w:jc w:val="both"/>
              <w:rPr>
                <w:rFonts w:ascii="Times New Roman" w:hAnsi="Times New Roman" w:eastAsiaTheme="majorEastAsia"/>
                <w:color w:val="auto"/>
                <w:sz w:val="24"/>
                <w:szCs w:val="24"/>
                <w:lang w:val="zh-CN"/>
              </w:rPr>
            </w:pPr>
            <w:r>
              <w:rPr>
                <w:rFonts w:hint="eastAsia" w:ascii="Times New Roman" w:hAnsi="Times New Roman" w:eastAsiaTheme="majorEastAsia"/>
                <w:color w:val="auto"/>
                <w:sz w:val="24"/>
                <w:szCs w:val="24"/>
                <w:lang w:val="zh-CN"/>
              </w:rPr>
              <w:t>投入该项目的项目经理、施工员、技术员、材料员、资料员、安全员和电工等人员情况，每1人</w:t>
            </w:r>
            <w:r>
              <w:rPr>
                <w:rFonts w:hint="eastAsia" w:ascii="Times New Roman" w:hAnsi="Times New Roman" w:eastAsiaTheme="majorEastAsia"/>
                <w:color w:val="auto"/>
                <w:sz w:val="24"/>
                <w:szCs w:val="24"/>
              </w:rPr>
              <w:t>得</w:t>
            </w:r>
            <w:r>
              <w:rPr>
                <w:rFonts w:hint="eastAsia" w:ascii="Times New Roman" w:hAnsi="Times New Roman" w:eastAsiaTheme="majorEastAsia"/>
                <w:color w:val="auto"/>
                <w:sz w:val="24"/>
                <w:szCs w:val="24"/>
                <w:lang w:val="zh-CN"/>
              </w:rPr>
              <w:t>0.5分，</w:t>
            </w:r>
            <w:r>
              <w:rPr>
                <w:rFonts w:hint="eastAsia" w:ascii="Times New Roman" w:hAnsi="Times New Roman" w:eastAsiaTheme="majorEastAsia"/>
                <w:color w:val="auto"/>
                <w:sz w:val="24"/>
                <w:szCs w:val="24"/>
              </w:rPr>
              <w:t>同类人员超过4人不得分，</w:t>
            </w:r>
            <w:r>
              <w:rPr>
                <w:rFonts w:hint="eastAsia" w:ascii="Times New Roman" w:hAnsi="Times New Roman" w:eastAsiaTheme="majorEastAsia"/>
                <w:color w:val="auto"/>
                <w:sz w:val="24"/>
                <w:szCs w:val="24"/>
                <w:lang w:val="zh-CN"/>
              </w:rPr>
              <w:t>最多得</w:t>
            </w:r>
            <w:r>
              <w:rPr>
                <w:rFonts w:ascii="Times New Roman" w:hAnsi="Times New Roman" w:eastAsiaTheme="majorEastAsia"/>
                <w:color w:val="auto"/>
                <w:sz w:val="24"/>
                <w:szCs w:val="24"/>
                <w:lang w:val="zh-CN"/>
              </w:rPr>
              <w:t>8</w:t>
            </w:r>
            <w:r>
              <w:rPr>
                <w:rFonts w:hint="eastAsia" w:ascii="Times New Roman" w:hAnsi="Times New Roman" w:eastAsiaTheme="majorEastAsia"/>
                <w:color w:val="auto"/>
                <w:sz w:val="24"/>
                <w:szCs w:val="24"/>
                <w:lang w:val="zh-CN"/>
              </w:rPr>
              <w:t>分。（提供人员证书及职工社会保险缴纳证明等复印件，加盖投标人公章）</w:t>
            </w:r>
          </w:p>
          <w:p>
            <w:pPr>
              <w:pStyle w:val="2"/>
              <w:ind w:firstLine="0"/>
              <w:rPr>
                <w:lang w:val="zh-CN"/>
              </w:rPr>
            </w:pPr>
          </w:p>
          <w:p>
            <w:pPr>
              <w:spacing w:after="0"/>
              <w:jc w:val="both"/>
              <w:rPr>
                <w:rFonts w:ascii="Times New Roman" w:hAnsi="Times New Roman" w:eastAsiaTheme="majorEastAsia"/>
                <w:color w:val="auto"/>
                <w:sz w:val="24"/>
                <w:szCs w:val="24"/>
                <w:lang w:val="zh-CN"/>
              </w:rPr>
            </w:pPr>
            <w:r>
              <w:rPr>
                <w:rFonts w:ascii="Times New Roman" w:hAnsi="Times New Roman" w:eastAsiaTheme="majorEastAsia"/>
                <w:b/>
                <w:bCs/>
                <w:color w:val="auto"/>
                <w:sz w:val="24"/>
                <w:szCs w:val="24"/>
                <w:lang w:val="zh-CN"/>
              </w:rPr>
              <w:t>2、</w:t>
            </w:r>
            <w:r>
              <w:rPr>
                <w:rFonts w:hint="eastAsia" w:ascii="Times New Roman" w:hAnsi="Times New Roman" w:eastAsiaTheme="majorEastAsia"/>
                <w:color w:val="auto"/>
                <w:sz w:val="24"/>
                <w:szCs w:val="24"/>
                <w:lang w:val="zh-CN"/>
              </w:rPr>
              <w:t>投标人具有</w:t>
            </w:r>
            <w:r>
              <w:rPr>
                <w:rFonts w:ascii="Times New Roman" w:hAnsi="Times New Roman" w:eastAsiaTheme="majorEastAsia"/>
                <w:color w:val="auto"/>
                <w:sz w:val="24"/>
                <w:szCs w:val="24"/>
                <w:lang w:val="zh-CN"/>
              </w:rPr>
              <w:t>ISO9001</w:t>
            </w:r>
            <w:r>
              <w:rPr>
                <w:rFonts w:hint="eastAsia" w:ascii="Times New Roman" w:hAnsi="Times New Roman" w:eastAsiaTheme="majorEastAsia"/>
                <w:color w:val="auto"/>
                <w:sz w:val="24"/>
                <w:szCs w:val="24"/>
                <w:lang w:val="zh-CN"/>
              </w:rPr>
              <w:t>质量管理体系认证证书</w:t>
            </w:r>
            <w:r>
              <w:rPr>
                <w:rFonts w:hint="eastAsia" w:ascii="Times New Roman" w:hAnsi="Times New Roman" w:eastAsiaTheme="majorEastAsia"/>
                <w:color w:val="auto"/>
                <w:sz w:val="24"/>
                <w:szCs w:val="24"/>
              </w:rPr>
              <w:t>得</w:t>
            </w:r>
            <w:r>
              <w:rPr>
                <w:rFonts w:ascii="Times New Roman" w:hAnsi="Times New Roman" w:eastAsiaTheme="majorEastAsia"/>
                <w:color w:val="auto"/>
                <w:sz w:val="24"/>
                <w:szCs w:val="24"/>
                <w:lang w:val="zh-CN"/>
              </w:rPr>
              <w:t>1</w:t>
            </w:r>
            <w:r>
              <w:rPr>
                <w:rFonts w:hint="eastAsia" w:ascii="Times New Roman" w:hAnsi="Times New Roman" w:eastAsiaTheme="majorEastAsia"/>
                <w:color w:val="auto"/>
                <w:sz w:val="24"/>
                <w:szCs w:val="24"/>
                <w:lang w:val="zh-CN"/>
              </w:rPr>
              <w:t>分；投标人具有</w:t>
            </w:r>
            <w:r>
              <w:rPr>
                <w:rFonts w:ascii="Times New Roman" w:hAnsi="Times New Roman" w:eastAsiaTheme="majorEastAsia"/>
                <w:color w:val="auto"/>
                <w:sz w:val="24"/>
                <w:szCs w:val="24"/>
                <w:lang w:val="zh-CN"/>
              </w:rPr>
              <w:t>ISO14001</w:t>
            </w:r>
            <w:r>
              <w:rPr>
                <w:rFonts w:hint="eastAsia" w:ascii="Times New Roman" w:hAnsi="Times New Roman" w:eastAsiaTheme="majorEastAsia"/>
                <w:color w:val="auto"/>
                <w:sz w:val="24"/>
                <w:szCs w:val="24"/>
                <w:lang w:val="zh-CN"/>
              </w:rPr>
              <w:t>环境管理体系认证证书</w:t>
            </w:r>
            <w:r>
              <w:rPr>
                <w:rFonts w:hint="eastAsia" w:ascii="Times New Roman" w:hAnsi="Times New Roman" w:eastAsiaTheme="majorEastAsia"/>
                <w:color w:val="auto"/>
                <w:sz w:val="24"/>
                <w:szCs w:val="24"/>
              </w:rPr>
              <w:t>得</w:t>
            </w:r>
            <w:r>
              <w:rPr>
                <w:rFonts w:ascii="Times New Roman" w:hAnsi="Times New Roman" w:eastAsiaTheme="majorEastAsia"/>
                <w:color w:val="auto"/>
                <w:sz w:val="24"/>
                <w:szCs w:val="24"/>
                <w:lang w:val="zh-CN"/>
              </w:rPr>
              <w:t>1</w:t>
            </w:r>
            <w:r>
              <w:rPr>
                <w:rFonts w:hint="eastAsia" w:ascii="Times New Roman" w:hAnsi="Times New Roman" w:eastAsiaTheme="majorEastAsia"/>
                <w:color w:val="auto"/>
                <w:sz w:val="24"/>
                <w:szCs w:val="24"/>
                <w:lang w:val="zh-CN"/>
              </w:rPr>
              <w:t>分。（提供相关证明材料复印件加盖投标人公章）</w:t>
            </w:r>
          </w:p>
        </w:tc>
        <w:tc>
          <w:tcPr>
            <w:tcW w:w="711"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共同评审</w:t>
            </w:r>
          </w:p>
        </w:tc>
      </w:tr>
      <w:tr>
        <w:tblPrEx>
          <w:tblCellMar>
            <w:top w:w="0" w:type="dxa"/>
            <w:left w:w="108" w:type="dxa"/>
            <w:bottom w:w="0" w:type="dxa"/>
            <w:right w:w="108" w:type="dxa"/>
          </w:tblCellMar>
        </w:tblPrEx>
        <w:trPr>
          <w:trHeight w:val="1451" w:hRule="atLeast"/>
          <w:jc w:val="center"/>
        </w:trPr>
        <w:tc>
          <w:tcPr>
            <w:tcW w:w="55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p>
        </w:tc>
        <w:tc>
          <w:tcPr>
            <w:tcW w:w="115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rPr>
              <w:t>业绩</w:t>
            </w:r>
          </w:p>
        </w:tc>
        <w:tc>
          <w:tcPr>
            <w:tcW w:w="737"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rPr>
              <w:t>15分</w:t>
            </w:r>
          </w:p>
        </w:tc>
        <w:tc>
          <w:tcPr>
            <w:tcW w:w="5216" w:type="dxa"/>
            <w:tcBorders>
              <w:top w:val="single" w:color="auto" w:sz="4" w:space="0"/>
              <w:left w:val="nil"/>
              <w:bottom w:val="single" w:color="auto" w:sz="4" w:space="0"/>
              <w:right w:val="single" w:color="auto" w:sz="4" w:space="0"/>
            </w:tcBorders>
            <w:vAlign w:val="center"/>
          </w:tcPr>
          <w:p>
            <w:pPr>
              <w:snapToGrid w:val="0"/>
              <w:spacing w:after="0"/>
              <w:jc w:val="both"/>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投标人自</w:t>
            </w:r>
            <w:r>
              <w:rPr>
                <w:rFonts w:ascii="Times New Roman" w:hAnsi="Times New Roman" w:cs="Times New Roman" w:eastAsiaTheme="majorEastAsia"/>
                <w:color w:val="auto"/>
                <w:sz w:val="24"/>
                <w:szCs w:val="24"/>
              </w:rPr>
              <w:t>2018</w:t>
            </w:r>
            <w:r>
              <w:rPr>
                <w:rFonts w:ascii="Times New Roman" w:hAnsi="Times New Roman" w:cs="Times New Roman" w:eastAsiaTheme="majorEastAsia"/>
                <w:color w:val="auto"/>
                <w:sz w:val="24"/>
                <w:szCs w:val="24"/>
                <w:lang w:val="zh-CN"/>
              </w:rPr>
              <w:t>年</w:t>
            </w:r>
            <w:r>
              <w:rPr>
                <w:rFonts w:ascii="Times New Roman" w:hAnsi="Times New Roman" w:cs="Times New Roman" w:eastAsiaTheme="majorEastAsia"/>
                <w:color w:val="auto"/>
                <w:sz w:val="24"/>
                <w:szCs w:val="24"/>
              </w:rPr>
              <w:t>1月1日</w:t>
            </w:r>
            <w:r>
              <w:rPr>
                <w:rFonts w:ascii="Times New Roman" w:hAnsi="Times New Roman" w:cs="Times New Roman" w:eastAsiaTheme="majorEastAsia"/>
                <w:color w:val="auto"/>
                <w:sz w:val="24"/>
                <w:szCs w:val="24"/>
                <w:lang w:val="zh-CN"/>
              </w:rPr>
              <w:t>（</w:t>
            </w:r>
            <w:r>
              <w:rPr>
                <w:rFonts w:ascii="Times New Roman" w:hAnsi="Times New Roman" w:cs="Times New Roman" w:eastAsiaTheme="majorEastAsia"/>
                <w:color w:val="auto"/>
                <w:sz w:val="24"/>
                <w:szCs w:val="24"/>
              </w:rPr>
              <w:t>含</w:t>
            </w:r>
            <w:r>
              <w:rPr>
                <w:rFonts w:ascii="Times New Roman" w:hAnsi="Times New Roman" w:cs="Times New Roman" w:eastAsiaTheme="majorEastAsia"/>
                <w:color w:val="auto"/>
                <w:sz w:val="24"/>
                <w:szCs w:val="24"/>
                <w:lang w:val="zh-CN"/>
              </w:rPr>
              <w:t>）以来已完成（以完工时间为准）环境</w:t>
            </w:r>
            <w:r>
              <w:rPr>
                <w:rFonts w:hint="eastAsia" w:ascii="Times New Roman" w:hAnsi="Times New Roman" w:cs="Times New Roman" w:eastAsiaTheme="majorEastAsia"/>
                <w:color w:val="auto"/>
                <w:sz w:val="24"/>
                <w:szCs w:val="24"/>
              </w:rPr>
              <w:t>或</w:t>
            </w:r>
            <w:r>
              <w:rPr>
                <w:rFonts w:ascii="Times New Roman" w:hAnsi="Times New Roman" w:cs="Times New Roman" w:eastAsiaTheme="majorEastAsia"/>
                <w:color w:val="auto"/>
                <w:sz w:val="24"/>
                <w:szCs w:val="24"/>
                <w:lang w:val="zh-CN"/>
              </w:rPr>
              <w:t>检测等类似</w:t>
            </w:r>
            <w:r>
              <w:rPr>
                <w:rFonts w:hint="eastAsia" w:ascii="Times New Roman" w:hAnsi="Times New Roman" w:cs="Times New Roman" w:eastAsiaTheme="majorEastAsia"/>
                <w:color w:val="auto"/>
                <w:sz w:val="24"/>
                <w:szCs w:val="24"/>
                <w:lang w:val="zh-CN"/>
              </w:rPr>
              <w:t>实验室</w:t>
            </w:r>
            <w:r>
              <w:rPr>
                <w:rFonts w:ascii="Times New Roman" w:hAnsi="Times New Roman" w:cs="Times New Roman" w:eastAsiaTheme="majorEastAsia"/>
                <w:color w:val="auto"/>
                <w:sz w:val="24"/>
                <w:szCs w:val="24"/>
                <w:lang w:val="zh-CN"/>
              </w:rPr>
              <w:t>项目</w:t>
            </w:r>
            <w:r>
              <w:rPr>
                <w:rFonts w:hint="eastAsia" w:ascii="Times New Roman" w:hAnsi="Times New Roman" w:cs="Times New Roman" w:eastAsiaTheme="majorEastAsia"/>
                <w:color w:val="auto"/>
                <w:sz w:val="24"/>
                <w:szCs w:val="24"/>
                <w:lang w:val="zh-CN"/>
              </w:rPr>
              <w:t>，且合同金额大于2</w:t>
            </w:r>
            <w:r>
              <w:rPr>
                <w:rFonts w:ascii="Times New Roman" w:hAnsi="Times New Roman" w:cs="Times New Roman" w:eastAsiaTheme="majorEastAsia"/>
                <w:color w:val="auto"/>
                <w:sz w:val="24"/>
                <w:szCs w:val="24"/>
                <w:lang w:val="zh-CN"/>
              </w:rPr>
              <w:t>00</w:t>
            </w:r>
            <w:r>
              <w:rPr>
                <w:rFonts w:hint="eastAsia" w:ascii="Times New Roman" w:hAnsi="Times New Roman" w:cs="Times New Roman" w:eastAsiaTheme="majorEastAsia"/>
                <w:color w:val="auto"/>
                <w:sz w:val="24"/>
                <w:szCs w:val="24"/>
                <w:lang w:val="zh-CN"/>
              </w:rPr>
              <w:t>万，得1分</w:t>
            </w:r>
            <w:r>
              <w:rPr>
                <w:rFonts w:ascii="Times New Roman" w:hAnsi="Times New Roman" w:cs="Times New Roman" w:eastAsiaTheme="majorEastAsia"/>
                <w:color w:val="auto"/>
                <w:sz w:val="24"/>
                <w:szCs w:val="24"/>
                <w:lang w:val="zh-CN"/>
              </w:rPr>
              <w:t>，最多</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lang w:val="zh-CN"/>
              </w:rPr>
              <w:t>15分</w:t>
            </w:r>
            <w:r>
              <w:rPr>
                <w:rFonts w:hint="eastAsia" w:ascii="Times New Roman" w:hAnsi="Times New Roman" w:cs="Times New Roman" w:eastAsiaTheme="majorEastAsia"/>
                <w:color w:val="auto"/>
                <w:sz w:val="24"/>
                <w:szCs w:val="24"/>
                <w:lang w:val="zh-CN"/>
              </w:rPr>
              <w:t>。</w:t>
            </w:r>
            <w:r>
              <w:rPr>
                <w:rFonts w:ascii="Times New Roman" w:hAnsi="Times New Roman" w:cs="Times New Roman" w:eastAsiaTheme="majorEastAsia"/>
                <w:color w:val="auto"/>
                <w:sz w:val="24"/>
                <w:szCs w:val="24"/>
                <w:lang w:val="zh-CN"/>
              </w:rPr>
              <w:t>（需提供中标通知书、合同等证明文件复印件并加盖投标人公章）</w:t>
            </w:r>
          </w:p>
        </w:tc>
        <w:tc>
          <w:tcPr>
            <w:tcW w:w="711"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共同评审</w:t>
            </w:r>
          </w:p>
        </w:tc>
      </w:tr>
      <w:tr>
        <w:tblPrEx>
          <w:tblCellMar>
            <w:top w:w="0" w:type="dxa"/>
            <w:left w:w="108" w:type="dxa"/>
            <w:bottom w:w="0" w:type="dxa"/>
            <w:right w:w="108" w:type="dxa"/>
          </w:tblCellMar>
        </w:tblPrEx>
        <w:trPr>
          <w:trHeight w:val="4352" w:hRule="atLeast"/>
          <w:jc w:val="center"/>
        </w:trPr>
        <w:tc>
          <w:tcPr>
            <w:tcW w:w="55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p>
        </w:tc>
        <w:tc>
          <w:tcPr>
            <w:tcW w:w="115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售后服务</w:t>
            </w:r>
            <w:r>
              <w:rPr>
                <w:rFonts w:ascii="Times New Roman" w:hAnsi="Times New Roman" w:cs="Times New Roman" w:eastAsiaTheme="majorEastAsia"/>
                <w:color w:val="auto"/>
                <w:sz w:val="24"/>
                <w:szCs w:val="24"/>
              </w:rPr>
              <w:t>及</w:t>
            </w:r>
            <w:r>
              <w:rPr>
                <w:rFonts w:ascii="Times New Roman" w:hAnsi="Times New Roman" w:cs="Times New Roman" w:eastAsiaTheme="majorEastAsia"/>
                <w:color w:val="auto"/>
                <w:sz w:val="24"/>
                <w:szCs w:val="24"/>
                <w:lang w:val="zh-CN"/>
              </w:rPr>
              <w:t>承诺情况</w:t>
            </w:r>
          </w:p>
        </w:tc>
        <w:tc>
          <w:tcPr>
            <w:tcW w:w="737"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rPr>
              <w:t>10分</w:t>
            </w:r>
          </w:p>
        </w:tc>
        <w:tc>
          <w:tcPr>
            <w:tcW w:w="5216" w:type="dxa"/>
            <w:tcBorders>
              <w:top w:val="single" w:color="auto" w:sz="4" w:space="0"/>
              <w:left w:val="nil"/>
              <w:bottom w:val="single" w:color="auto" w:sz="4" w:space="0"/>
              <w:right w:val="single" w:color="auto" w:sz="4" w:space="0"/>
            </w:tcBorders>
            <w:vAlign w:val="center"/>
          </w:tcPr>
          <w:p>
            <w:pPr>
              <w:numPr>
                <w:ilvl w:val="0"/>
                <w:numId w:val="13"/>
              </w:numPr>
              <w:snapToGrid w:val="0"/>
              <w:spacing w:after="0"/>
              <w:jc w:val="both"/>
              <w:rPr>
                <w:rFonts w:ascii="Times New Roman" w:hAnsi="Times New Roman" w:cs="Times New Roman" w:eastAsiaTheme="majorEastAsia"/>
                <w:b/>
                <w:bCs/>
                <w:color w:val="auto"/>
                <w:sz w:val="24"/>
                <w:szCs w:val="24"/>
                <w:lang w:val="zh-CN"/>
              </w:rPr>
            </w:pPr>
            <w:r>
              <w:rPr>
                <w:rFonts w:ascii="Times New Roman" w:hAnsi="Times New Roman" w:cs="Times New Roman" w:eastAsiaTheme="majorEastAsia"/>
                <w:color w:val="auto"/>
                <w:sz w:val="24"/>
                <w:szCs w:val="24"/>
                <w:lang w:val="zh-CN"/>
              </w:rPr>
              <w:t>承诺质保期</w:t>
            </w:r>
            <w:r>
              <w:rPr>
                <w:rFonts w:ascii="Times New Roman" w:hAnsi="Times New Roman" w:cs="Times New Roman" w:eastAsiaTheme="majorEastAsia"/>
                <w:color w:val="auto"/>
                <w:sz w:val="24"/>
                <w:szCs w:val="24"/>
              </w:rPr>
              <w:t>在</w:t>
            </w:r>
            <w:r>
              <w:rPr>
                <w:rFonts w:ascii="Times New Roman" w:hAnsi="Times New Roman" w:cs="Times New Roman" w:eastAsiaTheme="majorEastAsia"/>
                <w:color w:val="auto"/>
                <w:sz w:val="24"/>
                <w:szCs w:val="24"/>
                <w:lang w:val="zh-CN"/>
              </w:rPr>
              <w:t>符合</w:t>
            </w:r>
            <w:r>
              <w:rPr>
                <w:rFonts w:hint="eastAsia" w:ascii="Times New Roman" w:hAnsi="Times New Roman" w:cs="Times New Roman" w:eastAsiaTheme="majorEastAsia"/>
                <w:color w:val="auto"/>
                <w:sz w:val="24"/>
                <w:szCs w:val="24"/>
              </w:rPr>
              <w:t>磋商文件</w:t>
            </w:r>
            <w:r>
              <w:rPr>
                <w:rFonts w:ascii="Times New Roman" w:hAnsi="Times New Roman" w:cs="Times New Roman" w:eastAsiaTheme="majorEastAsia"/>
                <w:color w:val="auto"/>
                <w:sz w:val="24"/>
                <w:szCs w:val="24"/>
                <w:lang w:val="zh-CN"/>
              </w:rPr>
              <w:t>要求的</w:t>
            </w:r>
            <w:r>
              <w:rPr>
                <w:rFonts w:ascii="Times New Roman" w:hAnsi="Times New Roman" w:cs="Times New Roman" w:eastAsiaTheme="majorEastAsia"/>
                <w:color w:val="auto"/>
                <w:sz w:val="24"/>
                <w:szCs w:val="24"/>
              </w:rPr>
              <w:t>前提下</w:t>
            </w:r>
            <w:r>
              <w:rPr>
                <w:rFonts w:ascii="Times New Roman" w:hAnsi="Times New Roman" w:cs="Times New Roman" w:eastAsiaTheme="majorEastAsia"/>
                <w:color w:val="auto"/>
                <w:sz w:val="24"/>
                <w:szCs w:val="24"/>
                <w:lang w:val="zh-CN"/>
              </w:rPr>
              <w:t>每增加一年</w:t>
            </w:r>
            <w:r>
              <w:rPr>
                <w:rFonts w:ascii="Times New Roman" w:hAnsi="Times New Roman" w:cs="Times New Roman" w:eastAsiaTheme="majorEastAsia"/>
                <w:color w:val="auto"/>
                <w:sz w:val="24"/>
                <w:szCs w:val="24"/>
              </w:rPr>
              <w:t>的</w:t>
            </w:r>
            <w:r>
              <w:rPr>
                <w:rFonts w:ascii="Times New Roman" w:hAnsi="Times New Roman" w:cs="Times New Roman" w:eastAsiaTheme="majorEastAsia"/>
                <w:color w:val="auto"/>
                <w:sz w:val="24"/>
                <w:szCs w:val="24"/>
                <w:lang w:val="zh-CN"/>
              </w:rPr>
              <w:t>加1分；</w:t>
            </w:r>
            <w:r>
              <w:rPr>
                <w:rFonts w:ascii="Times New Roman" w:hAnsi="Times New Roman" w:cs="Times New Roman" w:eastAsiaTheme="majorEastAsia"/>
                <w:color w:val="auto"/>
                <w:sz w:val="24"/>
                <w:szCs w:val="24"/>
              </w:rPr>
              <w:t>满分3分</w:t>
            </w:r>
            <w:r>
              <w:rPr>
                <w:rFonts w:ascii="Times New Roman" w:hAnsi="Times New Roman" w:cs="Times New Roman" w:eastAsiaTheme="majorEastAsia"/>
                <w:b/>
                <w:bCs/>
                <w:color w:val="auto"/>
                <w:sz w:val="24"/>
                <w:szCs w:val="24"/>
              </w:rPr>
              <w:t>（</w:t>
            </w:r>
            <w:r>
              <w:rPr>
                <w:rFonts w:ascii="Times New Roman" w:hAnsi="Times New Roman" w:cs="Times New Roman" w:eastAsiaTheme="majorEastAsia"/>
                <w:b/>
                <w:bCs/>
                <w:color w:val="auto"/>
                <w:sz w:val="24"/>
                <w:szCs w:val="24"/>
                <w:lang w:val="zh-CN"/>
              </w:rPr>
              <w:t>提供承诺函原件）</w:t>
            </w:r>
          </w:p>
          <w:p>
            <w:pPr>
              <w:pStyle w:val="2"/>
              <w:ind w:firstLine="0"/>
              <w:rPr>
                <w:lang w:val="zh-CN"/>
              </w:rPr>
            </w:pPr>
          </w:p>
          <w:p>
            <w:pPr>
              <w:snapToGrid w:val="0"/>
              <w:spacing w:after="0"/>
              <w:jc w:val="both"/>
              <w:rPr>
                <w:rFonts w:ascii="Times New Roman" w:hAnsi="Times New Roman" w:cs="Times New Roman" w:eastAsiaTheme="majorEastAsia"/>
                <w:color w:val="auto"/>
                <w:sz w:val="24"/>
                <w:szCs w:val="24"/>
              </w:rPr>
            </w:pPr>
            <w:r>
              <w:rPr>
                <w:rFonts w:ascii="Times New Roman" w:hAnsi="Times New Roman" w:cs="Times New Roman" w:eastAsiaTheme="majorEastAsia"/>
                <w:b/>
                <w:bCs/>
                <w:color w:val="auto"/>
                <w:sz w:val="24"/>
                <w:szCs w:val="24"/>
                <w:lang w:val="zh-CN"/>
              </w:rPr>
              <w:t>2.</w:t>
            </w:r>
            <w:r>
              <w:rPr>
                <w:rFonts w:ascii="Times New Roman" w:hAnsi="Times New Roman" w:cs="Times New Roman" w:eastAsiaTheme="majorEastAsia"/>
                <w:color w:val="auto"/>
                <w:sz w:val="24"/>
                <w:szCs w:val="24"/>
                <w:lang w:val="zh-CN"/>
              </w:rPr>
              <w:t>投标人针对本项目实际情况提供的售后服务方案：售后服务方案（含交货验收时间、售后维保、技术服务、技术培训、免费保修期限、到达故障现场时间、拟提供售后服务的项目、技术培训的具体安排、备品备件供应的保证措施及收费标准、售后服务质保体系流程、处罚办法</w:t>
            </w:r>
            <w:r>
              <w:rPr>
                <w:rFonts w:hint="eastAsia" w:ascii="Times New Roman" w:hAnsi="Times New Roman" w:cs="Times New Roman" w:eastAsiaTheme="majorEastAsia"/>
                <w:color w:val="auto"/>
                <w:sz w:val="24"/>
                <w:szCs w:val="24"/>
                <w:lang w:val="zh-CN"/>
              </w:rPr>
              <w:t>、</w:t>
            </w:r>
            <w:r>
              <w:rPr>
                <w:rFonts w:ascii="Times New Roman" w:hAnsi="Times New Roman" w:cs="Times New Roman" w:eastAsiaTheme="majorEastAsia"/>
                <w:color w:val="auto"/>
                <w:sz w:val="24"/>
                <w:szCs w:val="24"/>
                <w:lang w:val="zh-CN"/>
              </w:rPr>
              <w:t>服务承诺的内容和措施等售后服务计划及承诺函</w:t>
            </w:r>
            <w:r>
              <w:rPr>
                <w:rFonts w:hint="eastAsia" w:ascii="Times New Roman" w:hAnsi="Times New Roman" w:cs="Times New Roman" w:eastAsiaTheme="majorEastAsia"/>
                <w:color w:val="auto"/>
                <w:sz w:val="24"/>
                <w:szCs w:val="24"/>
              </w:rPr>
              <w:t>等</w:t>
            </w:r>
            <w:r>
              <w:rPr>
                <w:rFonts w:ascii="Times New Roman" w:hAnsi="Times New Roman" w:cs="Times New Roman" w:eastAsiaTheme="majorEastAsia"/>
                <w:color w:val="auto"/>
                <w:sz w:val="24"/>
                <w:szCs w:val="24"/>
                <w:lang w:val="zh-CN"/>
              </w:rPr>
              <w:t>）内容的完整性、</w:t>
            </w:r>
            <w:r>
              <w:rPr>
                <w:rFonts w:hint="eastAsia" w:ascii="Times New Roman" w:hAnsi="Times New Roman" w:cs="Times New Roman" w:eastAsiaTheme="majorEastAsia"/>
                <w:color w:val="auto"/>
                <w:sz w:val="24"/>
                <w:szCs w:val="24"/>
              </w:rPr>
              <w:t>清晰性、</w:t>
            </w:r>
            <w:r>
              <w:rPr>
                <w:rFonts w:ascii="Times New Roman" w:hAnsi="Times New Roman" w:cs="Times New Roman" w:eastAsiaTheme="majorEastAsia"/>
                <w:color w:val="auto"/>
                <w:sz w:val="24"/>
                <w:szCs w:val="24"/>
                <w:lang w:val="zh-CN"/>
              </w:rPr>
              <w:t>可行性。</w:t>
            </w:r>
            <w:r>
              <w:rPr>
                <w:rFonts w:hint="eastAsia" w:ascii="Times New Roman" w:hAnsi="Times New Roman" w:cs="Times New Roman" w:eastAsiaTheme="majorEastAsia"/>
                <w:color w:val="auto"/>
                <w:sz w:val="24"/>
                <w:szCs w:val="24"/>
              </w:rPr>
              <w:t>总分3分。</w:t>
            </w:r>
          </w:p>
          <w:p>
            <w:pPr>
              <w:snapToGrid w:val="0"/>
              <w:spacing w:after="0"/>
              <w:jc w:val="both"/>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（1）根据项目实际情况做出可行的、表述清晰、完整、合理的项目售后服务计划及承诺函，并提供7×24小时售后服务热线，响应时间快捷迅速</w:t>
            </w:r>
            <w:r>
              <w:rPr>
                <w:rFonts w:hint="eastAsia" w:ascii="Times New Roman" w:hAnsi="Times New Roman" w:cs="Times New Roman" w:eastAsiaTheme="majorEastAsia"/>
                <w:color w:val="auto"/>
                <w:sz w:val="24"/>
                <w:szCs w:val="24"/>
                <w:lang w:val="zh-CN"/>
              </w:rPr>
              <w:t>，2</w:t>
            </w:r>
            <w:r>
              <w:rPr>
                <w:rFonts w:ascii="Times New Roman" w:hAnsi="Times New Roman" w:cs="Times New Roman" w:eastAsiaTheme="majorEastAsia"/>
                <w:color w:val="auto"/>
                <w:sz w:val="24"/>
                <w:szCs w:val="24"/>
                <w:lang w:val="zh-CN"/>
              </w:rPr>
              <w:t>4</w:t>
            </w:r>
            <w:r>
              <w:rPr>
                <w:rFonts w:hint="eastAsia" w:ascii="Times New Roman" w:hAnsi="Times New Roman" w:cs="Times New Roman" w:eastAsiaTheme="majorEastAsia"/>
                <w:color w:val="auto"/>
                <w:sz w:val="24"/>
                <w:szCs w:val="24"/>
                <w:lang w:val="zh-CN"/>
              </w:rPr>
              <w:t>小时响应，4</w:t>
            </w:r>
            <w:r>
              <w:rPr>
                <w:rFonts w:ascii="Times New Roman" w:hAnsi="Times New Roman" w:cs="Times New Roman" w:eastAsiaTheme="majorEastAsia"/>
                <w:color w:val="auto"/>
                <w:sz w:val="24"/>
                <w:szCs w:val="24"/>
                <w:lang w:val="zh-CN"/>
              </w:rPr>
              <w:t>8</w:t>
            </w:r>
            <w:r>
              <w:rPr>
                <w:rFonts w:hint="eastAsia" w:ascii="Times New Roman" w:hAnsi="Times New Roman" w:cs="Times New Roman" w:eastAsiaTheme="majorEastAsia"/>
                <w:color w:val="auto"/>
                <w:sz w:val="24"/>
                <w:szCs w:val="24"/>
                <w:lang w:val="zh-CN"/>
              </w:rPr>
              <w:t>小时到场，7</w:t>
            </w:r>
            <w:r>
              <w:rPr>
                <w:rFonts w:ascii="Times New Roman" w:hAnsi="Times New Roman" w:cs="Times New Roman" w:eastAsiaTheme="majorEastAsia"/>
                <w:color w:val="auto"/>
                <w:sz w:val="24"/>
                <w:szCs w:val="24"/>
                <w:lang w:val="zh-CN"/>
              </w:rPr>
              <w:t>2</w:t>
            </w:r>
            <w:r>
              <w:rPr>
                <w:rFonts w:hint="eastAsia" w:ascii="Times New Roman" w:hAnsi="Times New Roman" w:cs="Times New Roman" w:eastAsiaTheme="majorEastAsia"/>
                <w:color w:val="auto"/>
                <w:sz w:val="24"/>
                <w:szCs w:val="24"/>
                <w:lang w:val="zh-CN"/>
              </w:rPr>
              <w:t>小时完成维修或更换</w:t>
            </w:r>
            <w:r>
              <w:rPr>
                <w:rFonts w:ascii="Times New Roman" w:hAnsi="Times New Roman" w:cs="Times New Roman" w:eastAsiaTheme="majorEastAsia"/>
                <w:color w:val="auto"/>
                <w:sz w:val="24"/>
                <w:szCs w:val="24"/>
                <w:lang w:val="zh-CN"/>
              </w:rPr>
              <w:t>；售后服务计划各项措施得力，拟提供售后服务的项目内容丰富，售后服务体系完善，经评标委员会综合评定为优秀的</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lang w:val="zh-CN"/>
              </w:rPr>
              <w:t>3分；</w:t>
            </w:r>
          </w:p>
          <w:p>
            <w:pPr>
              <w:snapToGrid w:val="0"/>
              <w:spacing w:after="0"/>
              <w:jc w:val="both"/>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（2）根据实际情况做出可行的、表述较清晰、完整、较合理的项目售后服务计划及承诺函，售后服务计划各项措施较得当，拟提供售后服务的项目内容能满足要求，经评标委员会综合评定为良好的</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lang w:val="zh-CN"/>
              </w:rPr>
              <w:t>2分；</w:t>
            </w:r>
          </w:p>
          <w:p>
            <w:pPr>
              <w:snapToGrid w:val="0"/>
              <w:spacing w:after="0"/>
              <w:jc w:val="both"/>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（3）有售后服务计划及承诺函，实现服务及承诺内容基本可行。售后服务计划各项措施简单，拟提供售后服务的项目基本满足要求，经评标委员会综合评定为一般的</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lang w:val="zh-CN"/>
              </w:rPr>
              <w:t>1分。</w:t>
            </w:r>
          </w:p>
          <w:p>
            <w:pPr>
              <w:pStyle w:val="2"/>
              <w:rPr>
                <w:lang w:val="zh-CN"/>
              </w:rPr>
            </w:pPr>
          </w:p>
          <w:p>
            <w:pPr>
              <w:pStyle w:val="2"/>
              <w:ind w:firstLine="0"/>
              <w:jc w:val="both"/>
              <w:rPr>
                <w:rFonts w:ascii="Times New Roman" w:hAnsi="Times New Roman" w:cs="Times New Roman" w:eastAsiaTheme="majorEastAsia"/>
                <w:color w:val="auto"/>
                <w:lang w:val="zh-CN"/>
              </w:rPr>
            </w:pPr>
            <w:r>
              <w:rPr>
                <w:rFonts w:ascii="Times New Roman" w:hAnsi="Times New Roman" w:cs="Times New Roman" w:eastAsiaTheme="majorEastAsia"/>
                <w:b/>
                <w:bCs/>
                <w:color w:val="auto"/>
                <w:lang w:val="zh-CN"/>
              </w:rPr>
              <w:t>3、</w:t>
            </w:r>
            <w:r>
              <w:rPr>
                <w:rFonts w:ascii="Times New Roman" w:hAnsi="Times New Roman" w:cs="Times New Roman" w:eastAsiaTheme="majorEastAsia"/>
                <w:color w:val="auto"/>
                <w:lang w:val="zh-CN"/>
              </w:rPr>
              <w:t>投标人</w:t>
            </w:r>
            <w:r>
              <w:rPr>
                <w:rFonts w:hint="eastAsia" w:ascii="Times New Roman" w:hAnsi="Times New Roman" w:cs="Times New Roman" w:eastAsiaTheme="majorEastAsia"/>
                <w:color w:val="auto"/>
                <w:lang w:val="zh-CN"/>
              </w:rPr>
              <w:t>具有</w:t>
            </w:r>
            <w:r>
              <w:rPr>
                <w:rFonts w:ascii="Times New Roman" w:hAnsi="Times New Roman" w:cs="Times New Roman" w:eastAsiaTheme="majorEastAsia"/>
                <w:color w:val="auto"/>
                <w:lang w:val="zh-CN"/>
              </w:rPr>
              <w:t>满足G</w:t>
            </w:r>
            <w:r>
              <w:rPr>
                <w:rFonts w:hint="eastAsia" w:ascii="Times New Roman" w:hAnsi="Times New Roman" w:cs="Times New Roman" w:eastAsiaTheme="majorEastAsia"/>
                <w:color w:val="auto"/>
              </w:rPr>
              <w:t>B</w:t>
            </w:r>
            <w:r>
              <w:rPr>
                <w:rFonts w:ascii="Times New Roman" w:hAnsi="Times New Roman" w:cs="Times New Roman" w:eastAsiaTheme="majorEastAsia"/>
                <w:color w:val="auto"/>
                <w:lang w:val="zh-CN"/>
              </w:rPr>
              <w:t>/T27922-2011售后服务认定证书（证书覆盖范围须包括实验室仪器设备）服务等级为五星级，得4分，其他级别得2分。（在投标文件中提供在认监委网站对证书的查询截图作为评审依据，提供证书复印件加盖单位公章，原件核对，无截图无原件不得分）</w:t>
            </w:r>
            <w:r>
              <w:rPr>
                <w:rFonts w:hint="eastAsia" w:ascii="Times New Roman" w:hAnsi="Times New Roman" w:cs="Times New Roman" w:eastAsiaTheme="majorEastAsia"/>
                <w:color w:val="auto"/>
                <w:lang w:val="zh-CN"/>
              </w:rPr>
              <w:t>。</w:t>
            </w:r>
          </w:p>
        </w:tc>
        <w:tc>
          <w:tcPr>
            <w:tcW w:w="711"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共同评审</w:t>
            </w:r>
          </w:p>
        </w:tc>
      </w:tr>
      <w:tr>
        <w:tblPrEx>
          <w:tblCellMar>
            <w:top w:w="0" w:type="dxa"/>
            <w:left w:w="108" w:type="dxa"/>
            <w:bottom w:w="0" w:type="dxa"/>
            <w:right w:w="108" w:type="dxa"/>
          </w:tblCellMar>
        </w:tblPrEx>
        <w:trPr>
          <w:trHeight w:val="2891" w:hRule="atLeast"/>
          <w:jc w:val="center"/>
        </w:trPr>
        <w:tc>
          <w:tcPr>
            <w:tcW w:w="55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hint="eastAsia" w:ascii="Times New Roman" w:hAnsi="Times New Roman" w:cs="Times New Roman" w:eastAsiaTheme="majorEastAsia"/>
                <w:color w:val="auto"/>
                <w:sz w:val="24"/>
                <w:szCs w:val="24"/>
                <w:lang w:val="zh-CN"/>
              </w:rPr>
              <w:t>3</w:t>
            </w:r>
          </w:p>
        </w:tc>
        <w:tc>
          <w:tcPr>
            <w:tcW w:w="11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技术</w:t>
            </w:r>
            <w:r>
              <w:rPr>
                <w:rFonts w:hint="eastAsia" w:ascii="Times New Roman" w:hAnsi="Times New Roman" w:cs="Times New Roman" w:eastAsiaTheme="majorEastAsia"/>
                <w:color w:val="auto"/>
                <w:sz w:val="24"/>
                <w:szCs w:val="24"/>
                <w:lang w:val="zh-CN"/>
              </w:rPr>
              <w:t>部分</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lang w:val="zh-CN"/>
              </w:rPr>
              <w:t>技术参数及要求</w:t>
            </w:r>
          </w:p>
        </w:tc>
        <w:tc>
          <w:tcPr>
            <w:tcW w:w="737"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bCs/>
                <w:color w:val="auto"/>
                <w:sz w:val="24"/>
                <w:szCs w:val="24"/>
              </w:rPr>
              <w:t>20分</w:t>
            </w:r>
          </w:p>
        </w:tc>
        <w:tc>
          <w:tcPr>
            <w:tcW w:w="5216" w:type="dxa"/>
            <w:tcBorders>
              <w:top w:val="single" w:color="auto" w:sz="4" w:space="0"/>
              <w:left w:val="nil"/>
              <w:bottom w:val="single" w:color="auto" w:sz="4" w:space="0"/>
              <w:right w:val="single" w:color="auto" w:sz="4" w:space="0"/>
            </w:tcBorders>
            <w:vAlign w:val="center"/>
          </w:tcPr>
          <w:p>
            <w:pPr>
              <w:numPr>
                <w:ilvl w:val="0"/>
                <w:numId w:val="14"/>
              </w:numPr>
              <w:snapToGrid w:val="0"/>
              <w:spacing w:after="0"/>
              <w:jc w:val="both"/>
              <w:rPr>
                <w:rFonts w:ascii="Times New Roman" w:hAnsi="Times New Roman" w:cs="Times New Roman" w:eastAsiaTheme="majorEastAsia"/>
                <w:bCs/>
                <w:color w:val="auto"/>
                <w:sz w:val="24"/>
                <w:szCs w:val="24"/>
                <w:lang w:val="zh-CN"/>
              </w:rPr>
            </w:pPr>
            <w:r>
              <w:rPr>
                <w:rFonts w:hint="eastAsia" w:ascii="Times New Roman" w:hAnsi="Times New Roman" w:cs="Times New Roman" w:eastAsiaTheme="majorEastAsia"/>
                <w:bCs/>
                <w:color w:val="auto"/>
                <w:sz w:val="24"/>
                <w:szCs w:val="24"/>
                <w:lang w:val="zh-CN"/>
              </w:rPr>
              <w:t>投标人完全响应（满足）磋商文件“</w:t>
            </w:r>
            <w:r>
              <w:rPr>
                <w:rFonts w:hint="cs" w:ascii="Times New Roman" w:hAnsi="Times New Roman" w:cs="Times New Roman" w:eastAsiaTheme="majorEastAsia"/>
                <w:bCs/>
                <w:color w:val="auto"/>
                <w:sz w:val="24"/>
                <w:szCs w:val="24"/>
                <w:lang w:val="zh-CN"/>
              </w:rPr>
              <w:t>第六章</w:t>
            </w:r>
            <w:r>
              <w:rPr>
                <w:rFonts w:ascii="Times New Roman" w:hAnsi="Times New Roman" w:cs="Times New Roman" w:eastAsiaTheme="majorEastAsia"/>
                <w:bCs/>
                <w:color w:val="auto"/>
                <w:sz w:val="24"/>
                <w:szCs w:val="24"/>
                <w:lang w:val="zh-CN"/>
              </w:rPr>
              <w:t xml:space="preserve">  用户需求书</w:t>
            </w:r>
            <w:r>
              <w:rPr>
                <w:rFonts w:hint="eastAsia" w:ascii="Times New Roman" w:hAnsi="Times New Roman" w:cs="Times New Roman" w:eastAsiaTheme="majorEastAsia"/>
                <w:bCs/>
                <w:color w:val="auto"/>
                <w:sz w:val="24"/>
                <w:szCs w:val="24"/>
                <w:lang w:val="zh-CN"/>
              </w:rPr>
              <w:t>”</w:t>
            </w:r>
            <w:r>
              <w:rPr>
                <w:rFonts w:ascii="Times New Roman" w:hAnsi="Times New Roman" w:cs="Times New Roman" w:eastAsiaTheme="majorEastAsia"/>
                <w:bCs/>
                <w:color w:val="auto"/>
                <w:sz w:val="24"/>
                <w:szCs w:val="24"/>
              </w:rPr>
              <w:t>“</w:t>
            </w:r>
            <w:r>
              <w:rPr>
                <w:rFonts w:hint="eastAsia" w:ascii="Times New Roman" w:hAnsi="Times New Roman" w:cs="Times New Roman" w:eastAsiaTheme="majorEastAsia"/>
                <w:bCs/>
                <w:color w:val="auto"/>
                <w:sz w:val="24"/>
                <w:szCs w:val="24"/>
              </w:rPr>
              <w:t>一、项目概况及总体要求</w:t>
            </w:r>
            <w:r>
              <w:rPr>
                <w:rFonts w:ascii="Times New Roman" w:hAnsi="Times New Roman" w:cs="Times New Roman" w:eastAsiaTheme="majorEastAsia"/>
                <w:bCs/>
                <w:color w:val="auto"/>
                <w:sz w:val="24"/>
                <w:szCs w:val="24"/>
              </w:rPr>
              <w:t>”</w:t>
            </w:r>
            <w:r>
              <w:rPr>
                <w:rFonts w:hint="eastAsia" w:ascii="Times New Roman" w:hAnsi="Times New Roman" w:cs="Times New Roman" w:eastAsiaTheme="majorEastAsia"/>
                <w:bCs/>
                <w:color w:val="auto"/>
                <w:sz w:val="24"/>
                <w:szCs w:val="24"/>
              </w:rPr>
              <w:t>中</w:t>
            </w:r>
            <w:r>
              <w:rPr>
                <w:rFonts w:ascii="Times New Roman" w:hAnsi="Times New Roman" w:cs="Times New Roman" w:eastAsiaTheme="majorEastAsia"/>
                <w:bCs/>
                <w:color w:val="auto"/>
                <w:sz w:val="24"/>
                <w:szCs w:val="24"/>
              </w:rPr>
              <w:t>“5</w:t>
            </w:r>
            <w:r>
              <w:rPr>
                <w:rFonts w:hint="eastAsia" w:ascii="Times New Roman" w:hAnsi="Times New Roman" w:cs="Times New Roman" w:eastAsiaTheme="majorEastAsia"/>
                <w:bCs/>
                <w:color w:val="auto"/>
                <w:sz w:val="24"/>
                <w:szCs w:val="24"/>
              </w:rPr>
              <w:t>、</w:t>
            </w:r>
            <w:r>
              <w:rPr>
                <w:rFonts w:hint="eastAsia" w:ascii="Times New Roman" w:hAnsi="Times New Roman" w:cs="Times New Roman" w:eastAsiaTheme="majorEastAsia"/>
                <w:bCs/>
                <w:color w:val="auto"/>
                <w:sz w:val="24"/>
                <w:szCs w:val="24"/>
                <w:lang w:val="zh-CN"/>
              </w:rPr>
              <w:t>项目总体要求</w:t>
            </w:r>
            <w:r>
              <w:rPr>
                <w:rFonts w:ascii="Times New Roman" w:hAnsi="Times New Roman" w:cs="Times New Roman" w:eastAsiaTheme="majorEastAsia"/>
                <w:bCs/>
                <w:color w:val="auto"/>
                <w:sz w:val="24"/>
                <w:szCs w:val="24"/>
              </w:rPr>
              <w:t>”</w:t>
            </w:r>
            <w:r>
              <w:rPr>
                <w:rFonts w:hint="eastAsia" w:ascii="Times New Roman" w:hAnsi="Times New Roman" w:cs="Times New Roman" w:eastAsiaTheme="majorEastAsia"/>
                <w:bCs/>
                <w:color w:val="auto"/>
                <w:sz w:val="24"/>
                <w:szCs w:val="24"/>
              </w:rPr>
              <w:t>的得</w:t>
            </w:r>
            <w:r>
              <w:rPr>
                <w:rFonts w:ascii="Times New Roman" w:hAnsi="Times New Roman" w:cs="Times New Roman" w:eastAsiaTheme="majorEastAsia"/>
                <w:bCs/>
                <w:color w:val="auto"/>
                <w:sz w:val="24"/>
                <w:szCs w:val="24"/>
              </w:rPr>
              <w:t>5</w:t>
            </w:r>
            <w:r>
              <w:rPr>
                <w:rFonts w:hint="eastAsia" w:ascii="Times New Roman" w:hAnsi="Times New Roman" w:cs="Times New Roman" w:eastAsiaTheme="majorEastAsia"/>
                <w:bCs/>
                <w:color w:val="auto"/>
                <w:sz w:val="24"/>
                <w:szCs w:val="24"/>
              </w:rPr>
              <w:t>分，</w:t>
            </w:r>
            <w:r>
              <w:rPr>
                <w:rFonts w:hint="eastAsia" w:ascii="Times New Roman" w:hAnsi="Times New Roman" w:cs="Times New Roman" w:eastAsiaTheme="majorEastAsia"/>
                <w:bCs/>
                <w:color w:val="auto"/>
                <w:sz w:val="24"/>
                <w:szCs w:val="24"/>
                <w:lang w:val="zh-CN"/>
              </w:rPr>
              <w:t>每有一项不满足的扣</w:t>
            </w:r>
            <w:r>
              <w:rPr>
                <w:rFonts w:ascii="Times New Roman" w:hAnsi="Times New Roman" w:cs="Times New Roman" w:eastAsiaTheme="majorEastAsia"/>
                <w:bCs/>
                <w:color w:val="auto"/>
                <w:sz w:val="24"/>
                <w:szCs w:val="24"/>
              </w:rPr>
              <w:t>1</w:t>
            </w:r>
            <w:r>
              <w:rPr>
                <w:rFonts w:hint="eastAsia" w:ascii="Times New Roman" w:hAnsi="Times New Roman" w:cs="Times New Roman" w:eastAsiaTheme="majorEastAsia"/>
                <w:bCs/>
                <w:color w:val="auto"/>
                <w:sz w:val="24"/>
                <w:szCs w:val="24"/>
                <w:lang w:val="zh-CN"/>
              </w:rPr>
              <w:t>分，本项分值扣完为止。</w:t>
            </w:r>
          </w:p>
          <w:p>
            <w:pPr>
              <w:pStyle w:val="2"/>
              <w:ind w:firstLine="0"/>
              <w:rPr>
                <w:lang w:val="zh-CN"/>
              </w:rPr>
            </w:pPr>
          </w:p>
          <w:p>
            <w:pPr>
              <w:pStyle w:val="2"/>
              <w:ind w:firstLine="0"/>
              <w:jc w:val="both"/>
              <w:rPr>
                <w:rFonts w:ascii="Times New Roman" w:hAnsi="Times New Roman" w:cs="Times New Roman" w:eastAsiaTheme="majorEastAsia"/>
                <w:color w:val="auto"/>
                <w:lang w:val="zh-CN"/>
              </w:rPr>
            </w:pPr>
            <w:r>
              <w:rPr>
                <w:rFonts w:ascii="Times New Roman" w:hAnsi="Times New Roman" w:cs="Times New Roman" w:eastAsiaTheme="majorEastAsia"/>
                <w:b/>
                <w:color w:val="auto"/>
              </w:rPr>
              <w:t>2</w:t>
            </w:r>
            <w:r>
              <w:rPr>
                <w:rFonts w:hint="eastAsia" w:ascii="Times New Roman" w:hAnsi="Times New Roman" w:cs="Times New Roman" w:eastAsiaTheme="majorEastAsia"/>
                <w:b/>
                <w:color w:val="auto"/>
              </w:rPr>
              <w:t>、</w:t>
            </w:r>
            <w:r>
              <w:rPr>
                <w:rFonts w:hint="eastAsia" w:ascii="Times New Roman" w:hAnsi="Times New Roman" w:cs="Times New Roman" w:eastAsiaTheme="majorEastAsia"/>
                <w:bCs/>
                <w:color w:val="auto"/>
                <w:lang w:val="zh-CN"/>
              </w:rPr>
              <w:t>投标人完全响应（满足）磋商文件“</w:t>
            </w:r>
            <w:r>
              <w:rPr>
                <w:rFonts w:hint="cs" w:ascii="Times New Roman" w:hAnsi="Times New Roman" w:cs="Times New Roman" w:eastAsiaTheme="majorEastAsia"/>
                <w:bCs/>
                <w:color w:val="auto"/>
                <w:lang w:val="zh-CN"/>
              </w:rPr>
              <w:t>第六章</w:t>
            </w:r>
            <w:r>
              <w:rPr>
                <w:rFonts w:ascii="Times New Roman" w:hAnsi="Times New Roman" w:cs="Times New Roman" w:eastAsiaTheme="majorEastAsia"/>
                <w:bCs/>
                <w:color w:val="auto"/>
                <w:lang w:val="zh-CN"/>
              </w:rPr>
              <w:t xml:space="preserve">  用户需求书</w:t>
            </w:r>
            <w:r>
              <w:rPr>
                <w:rFonts w:hint="eastAsia" w:ascii="Times New Roman" w:hAnsi="Times New Roman" w:cs="Times New Roman" w:eastAsiaTheme="majorEastAsia"/>
                <w:bCs/>
                <w:color w:val="auto"/>
                <w:lang w:val="zh-CN"/>
              </w:rPr>
              <w:t>”</w:t>
            </w:r>
            <w:r>
              <w:rPr>
                <w:rFonts w:hint="eastAsia" w:ascii="Times New Roman" w:hAnsi="Times New Roman" w:cs="Times New Roman" w:eastAsiaTheme="majorEastAsia"/>
                <w:bCs/>
                <w:color w:val="auto"/>
              </w:rPr>
              <w:t>中</w:t>
            </w:r>
            <w:r>
              <w:rPr>
                <w:rFonts w:ascii="Times New Roman" w:hAnsi="Times New Roman" w:cs="Times New Roman" w:eastAsiaTheme="majorEastAsia"/>
                <w:bCs/>
                <w:color w:val="auto"/>
              </w:rPr>
              <w:t>“</w:t>
            </w:r>
            <w:r>
              <w:rPr>
                <w:rFonts w:hint="eastAsia" w:ascii="Times New Roman" w:hAnsi="Times New Roman" w:cs="Times New Roman" w:eastAsiaTheme="majorEastAsia"/>
                <w:bCs/>
                <w:color w:val="auto"/>
              </w:rPr>
              <w:t>二、工程部分技术要求</w:t>
            </w:r>
            <w:r>
              <w:rPr>
                <w:rFonts w:ascii="Times New Roman" w:hAnsi="Times New Roman" w:cs="Times New Roman" w:eastAsiaTheme="majorEastAsia"/>
                <w:bCs/>
                <w:color w:val="auto"/>
              </w:rPr>
              <w:t>”</w:t>
            </w:r>
            <w:r>
              <w:rPr>
                <w:rFonts w:hint="eastAsia" w:ascii="Times New Roman" w:hAnsi="Times New Roman" w:cs="Times New Roman" w:eastAsiaTheme="majorEastAsia"/>
                <w:bCs/>
                <w:color w:val="auto"/>
              </w:rPr>
              <w:t>的得</w:t>
            </w:r>
            <w:r>
              <w:rPr>
                <w:rFonts w:ascii="Times New Roman" w:hAnsi="Times New Roman" w:cs="Times New Roman" w:eastAsiaTheme="majorEastAsia"/>
                <w:bCs/>
                <w:color w:val="auto"/>
              </w:rPr>
              <w:t>15</w:t>
            </w:r>
            <w:r>
              <w:rPr>
                <w:rFonts w:hint="eastAsia" w:ascii="Times New Roman" w:hAnsi="Times New Roman" w:cs="Times New Roman" w:eastAsiaTheme="majorEastAsia"/>
                <w:bCs/>
                <w:color w:val="auto"/>
              </w:rPr>
              <w:t>分，其</w:t>
            </w:r>
            <w:r>
              <w:rPr>
                <w:rFonts w:hint="eastAsia" w:ascii="Times New Roman" w:hAnsi="Times New Roman" w:cs="Times New Roman" w:eastAsiaTheme="majorEastAsia"/>
                <w:bCs/>
                <w:color w:val="auto"/>
                <w:lang w:val="zh-CN"/>
              </w:rPr>
              <w:t>中标注▲的要求每有一项不满足的扣</w:t>
            </w:r>
            <w:r>
              <w:rPr>
                <w:rFonts w:ascii="Times New Roman" w:hAnsi="Times New Roman" w:cs="Times New Roman" w:eastAsiaTheme="majorEastAsia"/>
                <w:bCs/>
                <w:color w:val="auto"/>
              </w:rPr>
              <w:t>1</w:t>
            </w:r>
            <w:r>
              <w:rPr>
                <w:rFonts w:hint="eastAsia" w:ascii="Times New Roman" w:hAnsi="Times New Roman" w:cs="Times New Roman" w:eastAsiaTheme="majorEastAsia"/>
                <w:bCs/>
                <w:color w:val="auto"/>
                <w:lang w:val="zh-CN"/>
              </w:rPr>
              <w:t>分，本项分值扣完为止。</w:t>
            </w:r>
          </w:p>
        </w:tc>
        <w:tc>
          <w:tcPr>
            <w:tcW w:w="711"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技术评审</w:t>
            </w:r>
          </w:p>
        </w:tc>
      </w:tr>
      <w:tr>
        <w:tblPrEx>
          <w:tblCellMar>
            <w:top w:w="0" w:type="dxa"/>
            <w:left w:w="108" w:type="dxa"/>
            <w:bottom w:w="0" w:type="dxa"/>
            <w:right w:w="108" w:type="dxa"/>
          </w:tblCellMar>
        </w:tblPrEx>
        <w:trPr>
          <w:trHeight w:val="8492" w:hRule="atLeast"/>
          <w:jc w:val="center"/>
        </w:trPr>
        <w:tc>
          <w:tcPr>
            <w:tcW w:w="55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p>
        </w:tc>
        <w:tc>
          <w:tcPr>
            <w:tcW w:w="115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rPr>
              <w:t>项目理解及实施</w:t>
            </w:r>
            <w:r>
              <w:rPr>
                <w:rFonts w:ascii="Times New Roman" w:hAnsi="Times New Roman" w:cs="Times New Roman" w:eastAsiaTheme="majorEastAsia"/>
                <w:color w:val="auto"/>
                <w:sz w:val="24"/>
                <w:szCs w:val="24"/>
                <w:lang w:val="zh-CN"/>
              </w:rPr>
              <w:t>方案</w:t>
            </w:r>
          </w:p>
          <w:p>
            <w:pPr>
              <w:snapToGrid w:val="0"/>
              <w:spacing w:after="0"/>
              <w:jc w:val="center"/>
              <w:rPr>
                <w:rFonts w:ascii="Times New Roman" w:hAnsi="Times New Roman" w:cs="Times New Roman" w:eastAsiaTheme="majorEastAsia"/>
                <w:color w:val="auto"/>
                <w:sz w:val="24"/>
                <w:szCs w:val="24"/>
                <w:lang w:val="zh-CN"/>
              </w:rPr>
            </w:pPr>
          </w:p>
        </w:tc>
        <w:tc>
          <w:tcPr>
            <w:tcW w:w="737"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rPr>
              <w:t>15分</w:t>
            </w:r>
          </w:p>
        </w:tc>
        <w:tc>
          <w:tcPr>
            <w:tcW w:w="5216" w:type="dxa"/>
            <w:tcBorders>
              <w:top w:val="single" w:color="auto" w:sz="4" w:space="0"/>
              <w:left w:val="nil"/>
              <w:bottom w:val="single" w:color="auto" w:sz="4" w:space="0"/>
              <w:right w:val="single" w:color="auto" w:sz="4" w:space="0"/>
            </w:tcBorders>
            <w:vAlign w:val="center"/>
          </w:tcPr>
          <w:p>
            <w:pPr>
              <w:numPr>
                <w:ilvl w:val="0"/>
                <w:numId w:val="15"/>
              </w:numPr>
              <w:snapToGrid w:val="0"/>
              <w:spacing w:after="0"/>
              <w:jc w:val="both"/>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lang w:val="zh-CN"/>
              </w:rPr>
              <w:t>投标人根据</w:t>
            </w:r>
            <w:r>
              <w:rPr>
                <w:rFonts w:hint="eastAsia" w:ascii="Times New Roman" w:hAnsi="Times New Roman" w:cs="Times New Roman" w:eastAsiaTheme="majorEastAsia"/>
                <w:color w:val="auto"/>
                <w:sz w:val="24"/>
                <w:szCs w:val="24"/>
              </w:rPr>
              <w:t>经采购人</w:t>
            </w:r>
            <w:r>
              <w:rPr>
                <w:rFonts w:hint="eastAsia" w:ascii="Times New Roman" w:hAnsi="Times New Roman" w:cs="Times New Roman" w:eastAsiaTheme="majorEastAsia"/>
                <w:color w:val="auto"/>
                <w:sz w:val="24"/>
                <w:szCs w:val="24"/>
                <w:lang w:val="zh-CN"/>
              </w:rPr>
              <w:t>统一组织</w:t>
            </w:r>
            <w:r>
              <w:rPr>
                <w:rFonts w:hint="eastAsia" w:ascii="Times New Roman" w:hAnsi="Times New Roman" w:cs="Times New Roman" w:eastAsiaTheme="majorEastAsia"/>
                <w:color w:val="auto"/>
                <w:sz w:val="24"/>
                <w:szCs w:val="24"/>
              </w:rPr>
              <w:t>的</w:t>
            </w:r>
            <w:r>
              <w:rPr>
                <w:rFonts w:ascii="Times New Roman" w:hAnsi="Times New Roman" w:cs="Times New Roman" w:eastAsiaTheme="majorEastAsia"/>
                <w:color w:val="auto"/>
                <w:sz w:val="24"/>
                <w:szCs w:val="24"/>
                <w:lang w:val="zh-CN"/>
              </w:rPr>
              <w:t>现场踏勘</w:t>
            </w:r>
            <w:r>
              <w:rPr>
                <w:rFonts w:hint="eastAsia" w:ascii="Times New Roman" w:hAnsi="Times New Roman" w:cs="Times New Roman" w:eastAsiaTheme="majorEastAsia"/>
                <w:color w:val="auto"/>
                <w:sz w:val="24"/>
                <w:szCs w:val="24"/>
              </w:rPr>
              <w:t>情况和</w:t>
            </w:r>
            <w:r>
              <w:rPr>
                <w:rFonts w:ascii="Times New Roman" w:hAnsi="Times New Roman" w:cs="Times New Roman" w:eastAsiaTheme="majorEastAsia"/>
                <w:color w:val="auto"/>
                <w:sz w:val="24"/>
                <w:szCs w:val="24"/>
                <w:lang w:val="zh-CN"/>
              </w:rPr>
              <w:t>本项目的项目概况，</w:t>
            </w:r>
            <w:r>
              <w:rPr>
                <w:rFonts w:hint="eastAsia" w:ascii="Times New Roman" w:hAnsi="Times New Roman" w:cs="Times New Roman" w:eastAsiaTheme="majorEastAsia"/>
                <w:color w:val="auto"/>
                <w:sz w:val="24"/>
                <w:szCs w:val="24"/>
              </w:rPr>
              <w:t>提供</w:t>
            </w:r>
            <w:r>
              <w:rPr>
                <w:rFonts w:ascii="Times New Roman" w:hAnsi="Times New Roman" w:cs="Times New Roman" w:eastAsiaTheme="majorEastAsia"/>
                <w:color w:val="auto"/>
                <w:sz w:val="24"/>
                <w:szCs w:val="24"/>
                <w:lang w:val="zh-CN"/>
              </w:rPr>
              <w:t>针对本项目</w:t>
            </w:r>
            <w:r>
              <w:rPr>
                <w:rFonts w:ascii="Times New Roman" w:hAnsi="Times New Roman" w:cs="Times New Roman" w:eastAsiaTheme="majorEastAsia"/>
                <w:color w:val="auto"/>
                <w:sz w:val="24"/>
                <w:szCs w:val="24"/>
              </w:rPr>
              <w:t>需求</w:t>
            </w:r>
            <w:r>
              <w:rPr>
                <w:rFonts w:hint="eastAsia" w:ascii="Times New Roman" w:hAnsi="Times New Roman" w:cs="Times New Roman" w:eastAsiaTheme="majorEastAsia"/>
                <w:color w:val="auto"/>
                <w:sz w:val="24"/>
                <w:szCs w:val="24"/>
              </w:rPr>
              <w:t>的</w:t>
            </w:r>
            <w:r>
              <w:rPr>
                <w:rFonts w:ascii="Times New Roman" w:hAnsi="Times New Roman" w:cs="Times New Roman" w:eastAsiaTheme="majorEastAsia"/>
                <w:color w:val="auto"/>
                <w:sz w:val="24"/>
                <w:szCs w:val="24"/>
              </w:rPr>
              <w:t>理解及重点难点分析</w:t>
            </w:r>
            <w:r>
              <w:rPr>
                <w:rFonts w:hint="eastAsia" w:ascii="Times New Roman" w:hAnsi="Times New Roman" w:cs="Times New Roman" w:eastAsiaTheme="majorEastAsia"/>
                <w:color w:val="auto"/>
                <w:sz w:val="24"/>
                <w:szCs w:val="24"/>
              </w:rPr>
              <w:t>报告，</w:t>
            </w:r>
            <w:r>
              <w:rPr>
                <w:rFonts w:ascii="Times New Roman" w:hAnsi="Times New Roman" w:cs="Times New Roman" w:eastAsiaTheme="majorEastAsia"/>
                <w:color w:val="auto"/>
                <w:sz w:val="24"/>
                <w:szCs w:val="24"/>
                <w:lang w:val="zh-CN"/>
              </w:rPr>
              <w:t>包括但不限于以下要素：</w:t>
            </w:r>
            <w:r>
              <w:rPr>
                <w:rFonts w:hint="eastAsia" w:ascii="宋体" w:hAnsi="宋体" w:eastAsia="宋体" w:cs="宋体"/>
                <w:color w:val="auto"/>
                <w:sz w:val="24"/>
                <w:szCs w:val="24"/>
                <w:lang w:val="zh-CN"/>
              </w:rPr>
              <w:t>①</w:t>
            </w:r>
            <w:r>
              <w:rPr>
                <w:rFonts w:ascii="Times New Roman" w:hAnsi="Times New Roman" w:cs="Times New Roman" w:eastAsiaTheme="majorEastAsia"/>
                <w:color w:val="auto"/>
                <w:sz w:val="24"/>
                <w:szCs w:val="24"/>
                <w:lang w:val="zh-CN"/>
              </w:rPr>
              <w:t>.本项目工程施工的重点难点。</w:t>
            </w:r>
            <w:r>
              <w:rPr>
                <w:rFonts w:hint="eastAsia" w:ascii="宋体" w:hAnsi="宋体" w:eastAsia="宋体" w:cs="宋体"/>
                <w:color w:val="auto"/>
                <w:sz w:val="24"/>
                <w:szCs w:val="24"/>
              </w:rPr>
              <w:t>②</w:t>
            </w:r>
            <w:r>
              <w:rPr>
                <w:rFonts w:ascii="Times New Roman" w:hAnsi="Times New Roman" w:cs="Times New Roman" w:eastAsiaTheme="majorEastAsia"/>
                <w:color w:val="auto"/>
                <w:sz w:val="24"/>
                <w:szCs w:val="24"/>
                <w:lang w:val="zh-CN"/>
              </w:rPr>
              <w:t>.对实验室建设的理解与想法。以上要求齐全的得基本分</w:t>
            </w:r>
            <w:r>
              <w:rPr>
                <w:rFonts w:ascii="Times New Roman" w:hAnsi="Times New Roman" w:cs="Times New Roman" w:eastAsiaTheme="majorEastAsia"/>
                <w:color w:val="auto"/>
                <w:sz w:val="24"/>
                <w:szCs w:val="24"/>
              </w:rPr>
              <w:t>2</w:t>
            </w:r>
            <w:r>
              <w:rPr>
                <w:rFonts w:ascii="Times New Roman" w:hAnsi="Times New Roman" w:cs="Times New Roman" w:eastAsiaTheme="majorEastAsia"/>
                <w:color w:val="auto"/>
                <w:sz w:val="24"/>
                <w:szCs w:val="24"/>
                <w:lang w:val="zh-CN"/>
              </w:rPr>
              <w:t>分，缺一项或有一项不满足的扣1分，扣完为止</w:t>
            </w:r>
            <w:r>
              <w:rPr>
                <w:rFonts w:ascii="Times New Roman" w:hAnsi="Times New Roman" w:cs="Times New Roman" w:eastAsiaTheme="majorEastAsia"/>
                <w:color w:val="auto"/>
                <w:sz w:val="24"/>
                <w:szCs w:val="24"/>
              </w:rPr>
              <w:t>。</w:t>
            </w:r>
          </w:p>
          <w:p>
            <w:pPr>
              <w:pStyle w:val="2"/>
              <w:ind w:firstLine="0"/>
            </w:pPr>
          </w:p>
          <w:p>
            <w:pPr>
              <w:numPr>
                <w:ilvl w:val="0"/>
                <w:numId w:val="15"/>
              </w:numPr>
              <w:snapToGrid w:val="0"/>
              <w:spacing w:after="0"/>
              <w:jc w:val="both"/>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lang w:val="zh-CN"/>
              </w:rPr>
              <w:t>投标人需提供采购人指定</w:t>
            </w:r>
            <w:r>
              <w:rPr>
                <w:rFonts w:hint="eastAsia" w:ascii="Times New Roman" w:hAnsi="Times New Roman" w:cs="Times New Roman" w:eastAsiaTheme="majorEastAsia"/>
                <w:color w:val="auto"/>
                <w:sz w:val="24"/>
                <w:szCs w:val="24"/>
                <w:lang w:val="zh-CN"/>
              </w:rPr>
              <w:t>的</w:t>
            </w:r>
            <w:r>
              <w:rPr>
                <w:rFonts w:ascii="Times New Roman" w:hAnsi="Times New Roman" w:cs="Times New Roman" w:eastAsiaTheme="majorEastAsia"/>
                <w:color w:val="auto"/>
                <w:sz w:val="24"/>
                <w:szCs w:val="24"/>
                <w:lang w:val="zh-CN"/>
              </w:rPr>
              <w:t>4间实验室设计效果图，需写明效果图所属房间并与</w:t>
            </w:r>
            <w:r>
              <w:rPr>
                <w:rFonts w:hint="eastAsia" w:ascii="Times New Roman" w:hAnsi="Times New Roman" w:cs="Times New Roman" w:eastAsiaTheme="majorEastAsia"/>
                <w:color w:val="auto"/>
                <w:sz w:val="24"/>
                <w:szCs w:val="24"/>
                <w:lang w:val="zh-CN"/>
              </w:rPr>
              <w:t>磋商文件</w:t>
            </w:r>
            <w:r>
              <w:rPr>
                <w:rFonts w:ascii="Times New Roman" w:hAnsi="Times New Roman" w:cs="Times New Roman" w:eastAsiaTheme="majorEastAsia"/>
                <w:color w:val="auto"/>
                <w:sz w:val="24"/>
                <w:szCs w:val="24"/>
                <w:lang w:val="zh-CN"/>
              </w:rPr>
              <w:t>提供的</w:t>
            </w:r>
            <w:r>
              <w:rPr>
                <w:rFonts w:hint="eastAsia" w:ascii="Times New Roman" w:hAnsi="Times New Roman" w:cs="Times New Roman" w:eastAsiaTheme="majorEastAsia"/>
                <w:color w:val="auto"/>
                <w:sz w:val="24"/>
                <w:szCs w:val="24"/>
                <w:lang w:val="zh-CN"/>
              </w:rPr>
              <w:t>功能用房分布图（附件2）相</w:t>
            </w:r>
            <w:r>
              <w:rPr>
                <w:rFonts w:ascii="Times New Roman" w:hAnsi="Times New Roman" w:cs="Times New Roman" w:eastAsiaTheme="majorEastAsia"/>
                <w:color w:val="auto"/>
                <w:sz w:val="24"/>
                <w:szCs w:val="24"/>
                <w:lang w:val="zh-CN"/>
              </w:rPr>
              <w:t>匹配，图纸需能展示实验室的配色和搭配情况</w:t>
            </w:r>
            <w:r>
              <w:rPr>
                <w:rFonts w:hint="eastAsia" w:ascii="Times New Roman" w:hAnsi="Times New Roman" w:cs="Times New Roman" w:eastAsiaTheme="majorEastAsia"/>
                <w:color w:val="auto"/>
                <w:sz w:val="24"/>
                <w:szCs w:val="24"/>
                <w:lang w:val="zh-CN"/>
              </w:rPr>
              <w:t>。</w:t>
            </w:r>
            <w:r>
              <w:rPr>
                <w:rFonts w:ascii="Times New Roman" w:hAnsi="Times New Roman" w:cs="Times New Roman" w:eastAsiaTheme="majorEastAsia"/>
                <w:color w:val="auto"/>
                <w:sz w:val="24"/>
                <w:szCs w:val="24"/>
                <w:lang w:val="zh-CN"/>
              </w:rPr>
              <w:t>工艺设计图纸的深化程度</w:t>
            </w:r>
            <w:r>
              <w:rPr>
                <w:rFonts w:ascii="Times New Roman" w:hAnsi="Times New Roman" w:cs="Times New Roman" w:eastAsiaTheme="majorEastAsia"/>
                <w:color w:val="auto"/>
                <w:sz w:val="24"/>
                <w:szCs w:val="24"/>
              </w:rPr>
              <w:t>高</w:t>
            </w:r>
            <w:r>
              <w:rPr>
                <w:rFonts w:ascii="Times New Roman" w:hAnsi="Times New Roman" w:cs="Times New Roman" w:eastAsiaTheme="majorEastAsia"/>
                <w:color w:val="auto"/>
                <w:sz w:val="24"/>
                <w:szCs w:val="24"/>
                <w:lang w:val="zh-CN"/>
              </w:rPr>
              <w:t>、工艺科学合理、功能</w:t>
            </w:r>
            <w:r>
              <w:rPr>
                <w:rFonts w:ascii="Times New Roman" w:hAnsi="Times New Roman" w:cs="Times New Roman" w:eastAsiaTheme="majorEastAsia"/>
                <w:color w:val="auto"/>
                <w:sz w:val="24"/>
                <w:szCs w:val="24"/>
              </w:rPr>
              <w:t>齐全且</w:t>
            </w:r>
            <w:r>
              <w:rPr>
                <w:rFonts w:ascii="Times New Roman" w:hAnsi="Times New Roman" w:cs="Times New Roman" w:eastAsiaTheme="majorEastAsia"/>
                <w:color w:val="auto"/>
                <w:sz w:val="24"/>
                <w:szCs w:val="24"/>
                <w:lang w:val="zh-CN"/>
              </w:rPr>
              <w:t>能充分展示现代实验室建设标准</w:t>
            </w:r>
            <w:r>
              <w:rPr>
                <w:rFonts w:ascii="Times New Roman" w:hAnsi="Times New Roman" w:cs="Times New Roman" w:eastAsiaTheme="majorEastAsia"/>
                <w:color w:val="auto"/>
                <w:sz w:val="24"/>
                <w:szCs w:val="24"/>
              </w:rPr>
              <w:t>的</w:t>
            </w:r>
            <w:r>
              <w:rPr>
                <w:rFonts w:ascii="Times New Roman" w:hAnsi="Times New Roman" w:cs="Times New Roman" w:eastAsiaTheme="majorEastAsia"/>
                <w:color w:val="auto"/>
                <w:sz w:val="24"/>
                <w:szCs w:val="24"/>
                <w:lang w:val="zh-CN"/>
              </w:rPr>
              <w:t>得</w:t>
            </w:r>
            <w:r>
              <w:rPr>
                <w:rFonts w:ascii="Times New Roman" w:hAnsi="Times New Roman" w:cs="Times New Roman" w:eastAsiaTheme="majorEastAsia"/>
                <w:color w:val="auto"/>
                <w:sz w:val="24"/>
                <w:szCs w:val="24"/>
              </w:rPr>
              <w:t>4</w:t>
            </w:r>
            <w:r>
              <w:rPr>
                <w:rFonts w:ascii="Times New Roman" w:hAnsi="Times New Roman" w:cs="Times New Roman" w:eastAsiaTheme="majorEastAsia"/>
                <w:color w:val="auto"/>
                <w:sz w:val="24"/>
                <w:szCs w:val="24"/>
                <w:lang w:val="zh-CN"/>
              </w:rPr>
              <w:t>分，</w:t>
            </w:r>
            <w:r>
              <w:rPr>
                <w:rFonts w:ascii="Times New Roman" w:hAnsi="Times New Roman" w:cs="Times New Roman" w:eastAsiaTheme="majorEastAsia"/>
                <w:color w:val="auto"/>
                <w:sz w:val="24"/>
                <w:szCs w:val="24"/>
              </w:rPr>
              <w:t>每有一项缺项或不能符合上述要求</w:t>
            </w:r>
            <w:r>
              <w:rPr>
                <w:rFonts w:hint="eastAsia" w:ascii="Times New Roman" w:hAnsi="Times New Roman" w:cs="Times New Roman" w:eastAsiaTheme="majorEastAsia"/>
                <w:color w:val="auto"/>
                <w:sz w:val="24"/>
                <w:szCs w:val="24"/>
              </w:rPr>
              <w:t>的房间不得分</w:t>
            </w:r>
            <w:r>
              <w:rPr>
                <w:rFonts w:ascii="Times New Roman" w:hAnsi="Times New Roman" w:cs="Times New Roman" w:eastAsiaTheme="majorEastAsia"/>
                <w:color w:val="auto"/>
                <w:sz w:val="24"/>
                <w:szCs w:val="24"/>
              </w:rPr>
              <w:t>，</w:t>
            </w:r>
            <w:r>
              <w:rPr>
                <w:rFonts w:hint="eastAsia" w:ascii="Times New Roman" w:hAnsi="Times New Roman" w:cs="Times New Roman" w:eastAsiaTheme="majorEastAsia"/>
                <w:color w:val="auto"/>
                <w:sz w:val="24"/>
                <w:szCs w:val="24"/>
              </w:rPr>
              <w:t>每少1间房间</w:t>
            </w:r>
            <w:r>
              <w:rPr>
                <w:rFonts w:ascii="Times New Roman" w:hAnsi="Times New Roman" w:cs="Times New Roman" w:eastAsiaTheme="majorEastAsia"/>
                <w:color w:val="auto"/>
                <w:sz w:val="24"/>
                <w:szCs w:val="24"/>
              </w:rPr>
              <w:t>图纸</w:t>
            </w:r>
            <w:r>
              <w:rPr>
                <w:rFonts w:hint="eastAsia" w:ascii="Times New Roman" w:hAnsi="Times New Roman" w:cs="Times New Roman" w:eastAsiaTheme="majorEastAsia"/>
                <w:color w:val="auto"/>
                <w:sz w:val="24"/>
                <w:szCs w:val="24"/>
              </w:rPr>
              <w:t>扣1分</w:t>
            </w:r>
            <w:r>
              <w:rPr>
                <w:rFonts w:ascii="Times New Roman" w:hAnsi="Times New Roman" w:cs="Times New Roman" w:eastAsiaTheme="majorEastAsia"/>
                <w:color w:val="auto"/>
                <w:sz w:val="24"/>
                <w:szCs w:val="24"/>
              </w:rPr>
              <w:t>。</w:t>
            </w:r>
          </w:p>
          <w:p>
            <w:pPr>
              <w:pStyle w:val="2"/>
              <w:ind w:firstLine="0"/>
            </w:pPr>
          </w:p>
          <w:p>
            <w:pPr>
              <w:numPr>
                <w:ilvl w:val="0"/>
                <w:numId w:val="15"/>
              </w:numPr>
              <w:snapToGrid w:val="0"/>
              <w:spacing w:after="0"/>
              <w:jc w:val="both"/>
              <w:rPr>
                <w:rFonts w:ascii="Times New Roman" w:hAnsi="Times New Roman" w:cs="Times New Roman" w:eastAsiaTheme="majorEastAsia"/>
                <w:color w:val="auto"/>
                <w:sz w:val="24"/>
                <w:szCs w:val="24"/>
              </w:rPr>
            </w:pPr>
            <w:r>
              <w:rPr>
                <w:rFonts w:ascii="Times New Roman" w:hAnsi="Times New Roman" w:cs="Times New Roman" w:eastAsiaTheme="majorEastAsia"/>
                <w:color w:val="auto"/>
                <w:sz w:val="24"/>
                <w:szCs w:val="24"/>
              </w:rPr>
              <w:t>根据投标人提供针对本项目</w:t>
            </w:r>
            <w:r>
              <w:rPr>
                <w:rFonts w:ascii="Times New Roman" w:hAnsi="Times New Roman" w:cs="Times New Roman" w:eastAsiaTheme="majorEastAsia"/>
                <w:bCs/>
                <w:color w:val="auto"/>
                <w:sz w:val="24"/>
                <w:szCs w:val="24"/>
              </w:rPr>
              <w:t>的施工实施方</w:t>
            </w:r>
            <w:r>
              <w:rPr>
                <w:rFonts w:ascii="Times New Roman" w:hAnsi="Times New Roman" w:cs="Times New Roman" w:eastAsiaTheme="majorEastAsia"/>
                <w:color w:val="auto"/>
                <w:sz w:val="24"/>
                <w:szCs w:val="24"/>
              </w:rPr>
              <w:t>案</w:t>
            </w:r>
            <w:r>
              <w:rPr>
                <w:rFonts w:ascii="Times New Roman" w:hAnsi="Times New Roman" w:cs="Times New Roman" w:eastAsiaTheme="majorEastAsia"/>
                <w:b/>
                <w:bCs/>
                <w:color w:val="auto"/>
                <w:sz w:val="24"/>
                <w:szCs w:val="24"/>
              </w:rPr>
              <w:t>（标注</w:t>
            </w:r>
            <w:r>
              <w:rPr>
                <w:rFonts w:ascii="Segoe UI Symbol" w:hAnsi="Segoe UI Symbol" w:cs="Segoe UI Symbol" w:eastAsiaTheme="majorEastAsia"/>
                <w:b/>
                <w:bCs/>
                <w:color w:val="auto"/>
                <w:sz w:val="24"/>
                <w:szCs w:val="24"/>
              </w:rPr>
              <w:t>★</w:t>
            </w:r>
            <w:r>
              <w:rPr>
                <w:rFonts w:ascii="Times New Roman" w:hAnsi="Times New Roman" w:cs="Times New Roman" w:eastAsiaTheme="majorEastAsia"/>
                <w:b/>
                <w:bCs/>
                <w:color w:val="auto"/>
                <w:sz w:val="24"/>
                <w:szCs w:val="24"/>
              </w:rPr>
              <w:t>项内容为实质性要求必须满足，不作为该项评审项）：</w:t>
            </w:r>
            <w:r>
              <w:rPr>
                <w:rFonts w:ascii="Times New Roman" w:hAnsi="Times New Roman" w:cs="Times New Roman" w:eastAsiaTheme="majorEastAsia"/>
                <w:color w:val="auto"/>
                <w:sz w:val="24"/>
                <w:szCs w:val="24"/>
              </w:rPr>
              <w:t>包括但不限于实验室装修装饰、通风系统、</w:t>
            </w:r>
            <w:r>
              <w:rPr>
                <w:rFonts w:hint="eastAsia" w:ascii="Times New Roman" w:hAnsi="Times New Roman" w:cs="Times New Roman" w:eastAsiaTheme="majorEastAsia"/>
                <w:color w:val="auto"/>
                <w:sz w:val="24"/>
                <w:szCs w:val="24"/>
              </w:rPr>
              <w:t>电力</w:t>
            </w:r>
            <w:r>
              <w:rPr>
                <w:rFonts w:ascii="Times New Roman" w:hAnsi="Times New Roman" w:cs="Times New Roman" w:eastAsiaTheme="majorEastAsia"/>
                <w:color w:val="auto"/>
                <w:sz w:val="24"/>
                <w:szCs w:val="24"/>
              </w:rPr>
              <w:t>系统、暖通工程、洁净工程、气体工程等。根据平面对图纸进行二次深化设计；</w:t>
            </w:r>
            <w:r>
              <w:rPr>
                <w:rFonts w:hint="cs" w:ascii="Times New Roman" w:hAnsi="Times New Roman" w:cs="Times New Roman" w:eastAsiaTheme="majorEastAsia"/>
                <w:color w:val="auto"/>
                <w:sz w:val="24"/>
                <w:szCs w:val="24"/>
              </w:rPr>
              <w:t>对本项目的重点难点分析到位，能根据本工程的特点各方面提出详细的施工方法及技术保证措施</w:t>
            </w:r>
            <w:r>
              <w:rPr>
                <w:rFonts w:hint="eastAsia" w:ascii="Times New Roman" w:hAnsi="Times New Roman" w:cs="Times New Roman" w:eastAsiaTheme="majorEastAsia"/>
                <w:color w:val="auto"/>
                <w:sz w:val="24"/>
                <w:szCs w:val="24"/>
              </w:rPr>
              <w:t>、</w:t>
            </w:r>
            <w:r>
              <w:rPr>
                <w:rFonts w:hint="eastAsia" w:asciiTheme="majorEastAsia" w:hAnsiTheme="majorEastAsia" w:eastAsiaTheme="majorEastAsia"/>
                <w:color w:val="auto"/>
                <w:sz w:val="24"/>
                <w:szCs w:val="24"/>
              </w:rPr>
              <w:t>现场人员保障和应急预案</w:t>
            </w:r>
            <w:r>
              <w:rPr>
                <w:rFonts w:hint="eastAsia" w:ascii="Times New Roman" w:hAnsi="Times New Roman" w:cs="Times New Roman" w:eastAsiaTheme="majorEastAsia"/>
                <w:color w:val="auto"/>
                <w:sz w:val="24"/>
                <w:szCs w:val="24"/>
              </w:rPr>
              <w:t>等</w:t>
            </w:r>
            <w:r>
              <w:rPr>
                <w:rFonts w:hint="cs" w:ascii="Times New Roman" w:hAnsi="Times New Roman" w:cs="Times New Roman" w:eastAsiaTheme="majorEastAsia"/>
                <w:color w:val="auto"/>
                <w:sz w:val="24"/>
                <w:szCs w:val="24"/>
              </w:rPr>
              <w:t>。横向比较：优得</w:t>
            </w:r>
            <w:r>
              <w:rPr>
                <w:rFonts w:ascii="Times New Roman" w:hAnsi="Times New Roman" w:cs="Times New Roman" w:eastAsiaTheme="majorEastAsia"/>
                <w:color w:val="auto"/>
                <w:sz w:val="24"/>
                <w:szCs w:val="24"/>
              </w:rPr>
              <w:t>3分，良得2</w:t>
            </w:r>
            <w:r>
              <w:rPr>
                <w:rFonts w:hint="cs" w:ascii="Times New Roman" w:hAnsi="Times New Roman" w:cs="Times New Roman" w:eastAsiaTheme="majorEastAsia"/>
                <w:color w:val="auto"/>
                <w:sz w:val="24"/>
                <w:szCs w:val="24"/>
              </w:rPr>
              <w:t>分，中得</w:t>
            </w:r>
            <w:r>
              <w:rPr>
                <w:rFonts w:ascii="Times New Roman" w:hAnsi="Times New Roman" w:cs="Times New Roman" w:eastAsiaTheme="majorEastAsia"/>
                <w:color w:val="auto"/>
                <w:sz w:val="24"/>
                <w:szCs w:val="24"/>
              </w:rPr>
              <w:t>1分，差得0分。</w:t>
            </w:r>
          </w:p>
          <w:p>
            <w:pPr>
              <w:pStyle w:val="2"/>
              <w:ind w:firstLine="0"/>
            </w:pPr>
          </w:p>
          <w:p>
            <w:pPr>
              <w:pStyle w:val="2"/>
              <w:ind w:firstLine="0"/>
              <w:jc w:val="both"/>
              <w:rPr>
                <w:color w:val="auto"/>
              </w:rPr>
            </w:pPr>
            <w:r>
              <w:rPr>
                <w:b/>
                <w:bCs/>
                <w:color w:val="auto"/>
              </w:rPr>
              <w:t>4</w:t>
            </w:r>
            <w:r>
              <w:rPr>
                <w:rFonts w:hint="eastAsia"/>
                <w:color w:val="auto"/>
              </w:rPr>
              <w:t>、制定</w:t>
            </w:r>
            <w:r>
              <w:rPr>
                <w:rFonts w:hint="cs"/>
                <w:color w:val="auto"/>
              </w:rPr>
              <w:t>施工工期进度计划</w:t>
            </w:r>
            <w:r>
              <w:rPr>
                <w:rFonts w:hint="eastAsia"/>
                <w:color w:val="auto"/>
              </w:rPr>
              <w:t>，</w:t>
            </w:r>
            <w:r>
              <w:rPr>
                <w:rFonts w:hint="cs"/>
                <w:color w:val="auto"/>
              </w:rPr>
              <w:t>工期满足</w:t>
            </w:r>
            <w:r>
              <w:rPr>
                <w:rFonts w:hint="eastAsia"/>
                <w:color w:val="auto"/>
              </w:rPr>
              <w:t>磋商文件</w:t>
            </w:r>
            <w:r>
              <w:rPr>
                <w:rFonts w:hint="cs"/>
                <w:color w:val="auto"/>
              </w:rPr>
              <w:t>要求，工期短且合理，进度计划可行、合理、先进，保证措施具体</w:t>
            </w:r>
            <w:r>
              <w:rPr>
                <w:rFonts w:hint="eastAsia"/>
                <w:color w:val="auto"/>
              </w:rPr>
              <w:t>：</w:t>
            </w:r>
            <w:r>
              <w:rPr>
                <w:rFonts w:hint="cs"/>
                <w:color w:val="auto"/>
              </w:rPr>
              <w:t>优</w:t>
            </w:r>
            <w:r>
              <w:rPr>
                <w:rFonts w:hint="eastAsia"/>
                <w:color w:val="auto"/>
              </w:rPr>
              <w:t>得</w:t>
            </w:r>
            <w:r>
              <w:rPr>
                <w:color w:val="auto"/>
              </w:rPr>
              <w:t>3分；</w:t>
            </w:r>
            <w:r>
              <w:rPr>
                <w:rFonts w:hint="cs"/>
                <w:color w:val="auto"/>
              </w:rPr>
              <w:t>工期满足</w:t>
            </w:r>
            <w:r>
              <w:rPr>
                <w:rFonts w:hint="eastAsia"/>
                <w:color w:val="auto"/>
              </w:rPr>
              <w:t>磋商文件</w:t>
            </w:r>
            <w:r>
              <w:rPr>
                <w:rFonts w:hint="cs"/>
                <w:color w:val="auto"/>
              </w:rPr>
              <w:t>要求，工期较短且合理，进度计划较可行、较合理、较先进，有保证措施：良</w:t>
            </w:r>
            <w:r>
              <w:rPr>
                <w:rFonts w:hint="eastAsia"/>
                <w:color w:val="auto"/>
              </w:rPr>
              <w:t>得</w:t>
            </w:r>
            <w:r>
              <w:rPr>
                <w:color w:val="auto"/>
              </w:rPr>
              <w:t>2分；</w:t>
            </w:r>
          </w:p>
          <w:p>
            <w:pPr>
              <w:pStyle w:val="2"/>
              <w:ind w:firstLine="0"/>
              <w:jc w:val="both"/>
              <w:rPr>
                <w:color w:val="auto"/>
              </w:rPr>
            </w:pPr>
            <w:r>
              <w:rPr>
                <w:rFonts w:hint="cs"/>
                <w:color w:val="auto"/>
              </w:rPr>
              <w:t>工期满足招标要求，进度计划较可行合理，保证措施较差：中</w:t>
            </w:r>
            <w:r>
              <w:rPr>
                <w:rFonts w:hint="eastAsia"/>
                <w:color w:val="auto"/>
              </w:rPr>
              <w:t>得</w:t>
            </w:r>
            <w:r>
              <w:rPr>
                <w:color w:val="auto"/>
              </w:rPr>
              <w:t>1分；</w:t>
            </w:r>
            <w:r>
              <w:rPr>
                <w:rFonts w:hint="cs"/>
                <w:color w:val="auto"/>
              </w:rPr>
              <w:t>工期满足招标要求，但进度计划不合理，无保证措施：差</w:t>
            </w:r>
            <w:r>
              <w:rPr>
                <w:rFonts w:hint="eastAsia"/>
                <w:color w:val="auto"/>
              </w:rPr>
              <w:t>得</w:t>
            </w:r>
            <w:r>
              <w:rPr>
                <w:color w:val="auto"/>
              </w:rPr>
              <w:t>0分。</w:t>
            </w:r>
          </w:p>
          <w:p>
            <w:pPr>
              <w:pStyle w:val="2"/>
              <w:ind w:firstLine="0"/>
              <w:jc w:val="both"/>
              <w:rPr>
                <w:color w:val="auto"/>
              </w:rPr>
            </w:pPr>
          </w:p>
          <w:p>
            <w:pPr>
              <w:snapToGrid w:val="0"/>
              <w:spacing w:after="0"/>
              <w:jc w:val="both"/>
              <w:rPr>
                <w:rFonts w:ascii="Times New Roman" w:hAnsi="Times New Roman" w:cs="Times New Roman" w:eastAsiaTheme="majorEastAsia"/>
                <w:color w:val="auto"/>
                <w:sz w:val="24"/>
                <w:szCs w:val="24"/>
              </w:rPr>
            </w:pPr>
            <w:r>
              <w:rPr>
                <w:rFonts w:ascii="Times New Roman" w:hAnsi="Times New Roman" w:cs="Times New Roman" w:eastAsiaTheme="majorEastAsia"/>
                <w:b/>
                <w:bCs/>
                <w:color w:val="auto"/>
                <w:sz w:val="24"/>
                <w:szCs w:val="24"/>
              </w:rPr>
              <w:t>5</w:t>
            </w:r>
            <w:r>
              <w:rPr>
                <w:rFonts w:hint="eastAsia" w:ascii="Times New Roman" w:hAnsi="Times New Roman" w:cs="Times New Roman" w:eastAsiaTheme="majorEastAsia"/>
                <w:color w:val="auto"/>
                <w:sz w:val="24"/>
                <w:szCs w:val="24"/>
              </w:rPr>
              <w:t>、</w:t>
            </w:r>
            <w:r>
              <w:rPr>
                <w:rFonts w:hint="cs" w:ascii="Times New Roman" w:hAnsi="Times New Roman" w:cs="Times New Roman" w:eastAsiaTheme="majorEastAsia"/>
                <w:color w:val="auto"/>
                <w:sz w:val="24"/>
                <w:szCs w:val="24"/>
              </w:rPr>
              <w:t>安全文明施工措施</w:t>
            </w:r>
            <w:r>
              <w:rPr>
                <w:rFonts w:hint="eastAsia" w:ascii="Times New Roman" w:hAnsi="Times New Roman" w:cs="Times New Roman" w:eastAsiaTheme="majorEastAsia"/>
                <w:color w:val="auto"/>
                <w:sz w:val="24"/>
                <w:szCs w:val="24"/>
              </w:rPr>
              <w:t>。</w:t>
            </w:r>
            <w:r>
              <w:rPr>
                <w:rFonts w:hint="cs" w:ascii="Times New Roman" w:hAnsi="Times New Roman" w:cs="Times New Roman" w:eastAsiaTheme="majorEastAsia"/>
                <w:color w:val="auto"/>
                <w:sz w:val="24"/>
                <w:szCs w:val="24"/>
              </w:rPr>
              <w:t>根据本工程的特点，从安全生产保证体系、施工人员安全培训、现场安全生产管理等方面提出详细的安全生产保证措施；从文明施工管理制度、现场文明施工管理、环境保护等方面提出详细的文明、环保施工保证措施。安全文明施工措施完整、具体、可行、合理，在典型位置的安全措施先进可靠：优</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rPr>
              <w:t>3 分；</w:t>
            </w:r>
            <w:r>
              <w:rPr>
                <w:rFonts w:hint="cs" w:ascii="Times New Roman" w:hAnsi="Times New Roman" w:cs="Times New Roman" w:eastAsiaTheme="majorEastAsia"/>
                <w:color w:val="auto"/>
                <w:sz w:val="24"/>
                <w:szCs w:val="24"/>
              </w:rPr>
              <w:t>安全文明施工措施较完整、可行、较合理，在典型位置的安全措施较先进可靠：良</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rPr>
              <w:t>2 分；</w:t>
            </w:r>
            <w:r>
              <w:rPr>
                <w:rFonts w:hint="cs" w:ascii="Times New Roman" w:hAnsi="Times New Roman" w:cs="Times New Roman" w:eastAsiaTheme="majorEastAsia"/>
                <w:color w:val="auto"/>
                <w:sz w:val="24"/>
                <w:szCs w:val="24"/>
              </w:rPr>
              <w:t>安全文明施工措施一般，无典型位置的安全措施：中</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rPr>
              <w:t>1 分；</w:t>
            </w:r>
            <w:r>
              <w:rPr>
                <w:rFonts w:hint="cs" w:ascii="Times New Roman" w:hAnsi="Times New Roman" w:cs="Times New Roman" w:eastAsiaTheme="majorEastAsia"/>
                <w:color w:val="auto"/>
                <w:sz w:val="24"/>
                <w:szCs w:val="24"/>
              </w:rPr>
              <w:t>安全文明施工措施不及上述要求：差</w:t>
            </w:r>
            <w:r>
              <w:rPr>
                <w:rFonts w:hint="eastAsia" w:ascii="Times New Roman" w:hAnsi="Times New Roman" w:cs="Times New Roman" w:eastAsiaTheme="majorEastAsia"/>
                <w:color w:val="auto"/>
                <w:sz w:val="24"/>
                <w:szCs w:val="24"/>
              </w:rPr>
              <w:t>得</w:t>
            </w:r>
            <w:r>
              <w:rPr>
                <w:rFonts w:ascii="Times New Roman" w:hAnsi="Times New Roman" w:cs="Times New Roman" w:eastAsiaTheme="majorEastAsia"/>
                <w:color w:val="auto"/>
                <w:sz w:val="24"/>
                <w:szCs w:val="24"/>
              </w:rPr>
              <w:t>0 分</w:t>
            </w:r>
            <w:r>
              <w:rPr>
                <w:rFonts w:hint="eastAsia" w:ascii="Times New Roman" w:hAnsi="Times New Roman" w:cs="Times New Roman" w:eastAsiaTheme="majorEastAsia"/>
                <w:color w:val="auto"/>
                <w:sz w:val="24"/>
                <w:szCs w:val="24"/>
              </w:rPr>
              <w:t>。</w:t>
            </w:r>
          </w:p>
        </w:tc>
        <w:tc>
          <w:tcPr>
            <w:tcW w:w="711"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cs="Times New Roman" w:eastAsiaTheme="majorEastAsia"/>
                <w:color w:val="auto"/>
                <w:sz w:val="24"/>
                <w:szCs w:val="24"/>
                <w:lang w:val="zh-CN"/>
              </w:rPr>
            </w:pPr>
            <w:r>
              <w:rPr>
                <w:rFonts w:ascii="Times New Roman" w:hAnsi="Times New Roman" w:cs="Times New Roman" w:eastAsiaTheme="majorEastAsia"/>
                <w:color w:val="auto"/>
                <w:sz w:val="24"/>
                <w:szCs w:val="24"/>
                <w:lang w:val="zh-CN"/>
              </w:rPr>
              <w:t>技术评审</w:t>
            </w:r>
          </w:p>
        </w:tc>
      </w:tr>
    </w:tbl>
    <w:p>
      <w:pPr>
        <w:pStyle w:val="29"/>
        <w:ind w:firstLine="480"/>
        <w:rPr>
          <w:rFonts w:asciiTheme="majorEastAsia" w:hAnsiTheme="majorEastAsia" w:eastAsiaTheme="majorEastAsia"/>
          <w:color w:val="auto"/>
        </w:rPr>
      </w:pPr>
      <w:r>
        <w:rPr>
          <w:rFonts w:asciiTheme="majorEastAsia" w:hAnsiTheme="majorEastAsia" w:eastAsiaTheme="majorEastAsia"/>
          <w:color w:val="auto"/>
        </w:rPr>
        <w:t>商务技术分统计：按照评审程序、评分标准以及分值分配的规定，评审委员会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r>
        <w:rPr>
          <w:rFonts w:asciiTheme="majorEastAsia" w:hAnsiTheme="majorEastAsia" w:eastAsiaTheme="majorEastAsia"/>
          <w:color w:val="auto"/>
        </w:rPr>
        <w:cr/>
      </w:r>
    </w:p>
    <w:sectPr>
      <w:pgSz w:w="11900" w:h="16840"/>
      <w:pgMar w:top="1440" w:right="1361" w:bottom="1440" w:left="1361" w:header="709" w:footer="709" w:gutter="0"/>
      <w:pgNumType w:chapStyle="3"/>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471809"/>
    </w:sdtPr>
    <w:sdtContent>
      <w:p>
        <w:pPr>
          <w:pStyle w:val="12"/>
          <w:ind w:firstLine="480"/>
          <w:jc w:val="center"/>
        </w:pPr>
        <w:r>
          <w:fldChar w:fldCharType="begin"/>
        </w:r>
        <w:r>
          <w:instrText xml:space="preserve">PAGE   \* MERGEFORMAT</w:instrText>
        </w:r>
        <w:r>
          <w:fldChar w:fldCharType="separate"/>
        </w:r>
        <w:r>
          <w:rPr>
            <w:lang w:val="zh-CN"/>
          </w:rPr>
          <w:t>6</w:t>
        </w:r>
        <w:r>
          <w:fldChar w:fldCharType="end"/>
        </w:r>
      </w:p>
    </w:sdtContent>
  </w:sdt>
  <w:p>
    <w:pPr>
      <w:pStyle w:val="12"/>
      <w:rPr>
        <w:rFonts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6717056"/>
    </w:sdtPr>
    <w:sdtContent>
      <w:p>
        <w:pPr>
          <w:pStyle w:val="12"/>
          <w:ind w:firstLine="480"/>
          <w:jc w:val="cente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4</w:t>
        </w:r>
        <w:r>
          <w:rPr>
            <w:rFonts w:ascii="Times New Roman" w:hAnsi="Times New Roman" w:cs="Times New Roman"/>
            <w:sz w:val="22"/>
            <w:szCs w:val="22"/>
          </w:rP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8E743"/>
    <w:multiLevelType w:val="singleLevel"/>
    <w:tmpl w:val="BA38E743"/>
    <w:lvl w:ilvl="0" w:tentative="0">
      <w:start w:val="1"/>
      <w:numFmt w:val="decimal"/>
      <w:lvlText w:val="%1."/>
      <w:lvlJc w:val="left"/>
      <w:pPr>
        <w:tabs>
          <w:tab w:val="left" w:pos="312"/>
        </w:tabs>
      </w:pPr>
    </w:lvl>
  </w:abstractNum>
  <w:abstractNum w:abstractNumId="1">
    <w:nsid w:val="02BD5181"/>
    <w:multiLevelType w:val="singleLevel"/>
    <w:tmpl w:val="02BD5181"/>
    <w:lvl w:ilvl="0" w:tentative="0">
      <w:start w:val="1"/>
      <w:numFmt w:val="decimal"/>
      <w:suff w:val="nothing"/>
      <w:lvlText w:val="%1、"/>
      <w:lvlJc w:val="left"/>
      <w:rPr>
        <w:rFonts w:hint="default"/>
        <w:b/>
        <w:bCs/>
      </w:rPr>
    </w:lvl>
  </w:abstractNum>
  <w:abstractNum w:abstractNumId="2">
    <w:nsid w:val="047A735E"/>
    <w:multiLevelType w:val="multilevel"/>
    <w:tmpl w:val="047A735E"/>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09D1A1A"/>
    <w:multiLevelType w:val="multilevel"/>
    <w:tmpl w:val="109D1A1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6742005"/>
    <w:multiLevelType w:val="multilevel"/>
    <w:tmpl w:val="16742005"/>
    <w:lvl w:ilvl="0" w:tentative="0">
      <w:start w:val="1"/>
      <w:numFmt w:val="lowerLetter"/>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F873B34"/>
    <w:multiLevelType w:val="singleLevel"/>
    <w:tmpl w:val="1F873B34"/>
    <w:lvl w:ilvl="0" w:tentative="0">
      <w:start w:val="1"/>
      <w:numFmt w:val="decimal"/>
      <w:suff w:val="nothing"/>
      <w:lvlText w:val="%1、"/>
      <w:lvlJc w:val="left"/>
      <w:rPr>
        <w:rFonts w:hint="default"/>
        <w:b/>
        <w:bCs/>
      </w:rPr>
    </w:lvl>
  </w:abstractNum>
  <w:abstractNum w:abstractNumId="6">
    <w:nsid w:val="2BC97149"/>
    <w:multiLevelType w:val="multilevel"/>
    <w:tmpl w:val="2BC97149"/>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31F305C6"/>
    <w:multiLevelType w:val="multilevel"/>
    <w:tmpl w:val="31F305C6"/>
    <w:lvl w:ilvl="0" w:tentative="0">
      <w:start w:val="1"/>
      <w:numFmt w:val="upperLetter"/>
      <w:lvlText w:val="%1、"/>
      <w:lvlJc w:val="left"/>
      <w:pPr>
        <w:ind w:left="308" w:hanging="308"/>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331F62D4"/>
    <w:multiLevelType w:val="multilevel"/>
    <w:tmpl w:val="331F62D4"/>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9">
    <w:nsid w:val="39B348C9"/>
    <w:multiLevelType w:val="multilevel"/>
    <w:tmpl w:val="39B348C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0865F57"/>
    <w:multiLevelType w:val="multilevel"/>
    <w:tmpl w:val="50865F57"/>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60072769"/>
    <w:multiLevelType w:val="multilevel"/>
    <w:tmpl w:val="60072769"/>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3147284"/>
    <w:multiLevelType w:val="singleLevel"/>
    <w:tmpl w:val="63147284"/>
    <w:lvl w:ilvl="0" w:tentative="0">
      <w:start w:val="1"/>
      <w:numFmt w:val="decimal"/>
      <w:suff w:val="nothing"/>
      <w:lvlText w:val="%1、"/>
      <w:lvlJc w:val="left"/>
    </w:lvl>
  </w:abstractNum>
  <w:abstractNum w:abstractNumId="13">
    <w:nsid w:val="6A8F795A"/>
    <w:multiLevelType w:val="singleLevel"/>
    <w:tmpl w:val="6A8F795A"/>
    <w:lvl w:ilvl="0" w:tentative="0">
      <w:start w:val="1"/>
      <w:numFmt w:val="decimal"/>
      <w:suff w:val="nothing"/>
      <w:lvlText w:val="%1、"/>
      <w:lvlJc w:val="left"/>
      <w:rPr>
        <w:rFonts w:hint="default"/>
        <w:b/>
        <w:bCs/>
      </w:rPr>
    </w:lvl>
  </w:abstractNum>
  <w:abstractNum w:abstractNumId="14">
    <w:nsid w:val="70151515"/>
    <w:multiLevelType w:val="multilevel"/>
    <w:tmpl w:val="7015151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62B8"/>
    <w:rsid w:val="00002D3B"/>
    <w:rsid w:val="00006848"/>
    <w:rsid w:val="00006A41"/>
    <w:rsid w:val="00011D0C"/>
    <w:rsid w:val="000155F3"/>
    <w:rsid w:val="00017393"/>
    <w:rsid w:val="00021EF9"/>
    <w:rsid w:val="000454FA"/>
    <w:rsid w:val="00052D94"/>
    <w:rsid w:val="00053A58"/>
    <w:rsid w:val="00055B39"/>
    <w:rsid w:val="0006491E"/>
    <w:rsid w:val="000748F4"/>
    <w:rsid w:val="0007705B"/>
    <w:rsid w:val="00090B2E"/>
    <w:rsid w:val="00090CCB"/>
    <w:rsid w:val="00094111"/>
    <w:rsid w:val="00095766"/>
    <w:rsid w:val="000A142F"/>
    <w:rsid w:val="000A1C95"/>
    <w:rsid w:val="000A56DB"/>
    <w:rsid w:val="000A62B8"/>
    <w:rsid w:val="000B05B9"/>
    <w:rsid w:val="000B658D"/>
    <w:rsid w:val="000C2ACF"/>
    <w:rsid w:val="000C44BD"/>
    <w:rsid w:val="000C5A27"/>
    <w:rsid w:val="000C744A"/>
    <w:rsid w:val="000E09D6"/>
    <w:rsid w:val="000E6D1D"/>
    <w:rsid w:val="000F44A7"/>
    <w:rsid w:val="000F5468"/>
    <w:rsid w:val="000F600F"/>
    <w:rsid w:val="000F7A24"/>
    <w:rsid w:val="00101F14"/>
    <w:rsid w:val="00102949"/>
    <w:rsid w:val="00105F31"/>
    <w:rsid w:val="0010786A"/>
    <w:rsid w:val="00113233"/>
    <w:rsid w:val="00117A15"/>
    <w:rsid w:val="00124456"/>
    <w:rsid w:val="00126212"/>
    <w:rsid w:val="001424B0"/>
    <w:rsid w:val="00153742"/>
    <w:rsid w:val="0016342C"/>
    <w:rsid w:val="0016600C"/>
    <w:rsid w:val="00167E05"/>
    <w:rsid w:val="001717A3"/>
    <w:rsid w:val="00174BB7"/>
    <w:rsid w:val="001763BC"/>
    <w:rsid w:val="00176ADE"/>
    <w:rsid w:val="00187A5D"/>
    <w:rsid w:val="00193451"/>
    <w:rsid w:val="00194E9F"/>
    <w:rsid w:val="001A507B"/>
    <w:rsid w:val="001A5931"/>
    <w:rsid w:val="001B15F9"/>
    <w:rsid w:val="001B4EDA"/>
    <w:rsid w:val="001C313F"/>
    <w:rsid w:val="001C3958"/>
    <w:rsid w:val="001C550D"/>
    <w:rsid w:val="001D00A8"/>
    <w:rsid w:val="001D6EE5"/>
    <w:rsid w:val="001E1083"/>
    <w:rsid w:val="001E4344"/>
    <w:rsid w:val="001E633C"/>
    <w:rsid w:val="001E69C4"/>
    <w:rsid w:val="001F222E"/>
    <w:rsid w:val="001F3ADA"/>
    <w:rsid w:val="00204AFA"/>
    <w:rsid w:val="002151FA"/>
    <w:rsid w:val="0022560B"/>
    <w:rsid w:val="00226239"/>
    <w:rsid w:val="00227510"/>
    <w:rsid w:val="002327E3"/>
    <w:rsid w:val="00232AC6"/>
    <w:rsid w:val="00233C8E"/>
    <w:rsid w:val="00241A41"/>
    <w:rsid w:val="00241C42"/>
    <w:rsid w:val="0024225C"/>
    <w:rsid w:val="0024242C"/>
    <w:rsid w:val="0024296F"/>
    <w:rsid w:val="00245AD0"/>
    <w:rsid w:val="0024670D"/>
    <w:rsid w:val="00246FBD"/>
    <w:rsid w:val="0025591D"/>
    <w:rsid w:val="002619F5"/>
    <w:rsid w:val="00263174"/>
    <w:rsid w:val="002731DE"/>
    <w:rsid w:val="0027667B"/>
    <w:rsid w:val="00284293"/>
    <w:rsid w:val="00291A1C"/>
    <w:rsid w:val="00291A57"/>
    <w:rsid w:val="00292764"/>
    <w:rsid w:val="00294B3D"/>
    <w:rsid w:val="002A748E"/>
    <w:rsid w:val="002B11D2"/>
    <w:rsid w:val="002B1348"/>
    <w:rsid w:val="002B1986"/>
    <w:rsid w:val="002B7B74"/>
    <w:rsid w:val="002C199C"/>
    <w:rsid w:val="002C57AD"/>
    <w:rsid w:val="002C62DC"/>
    <w:rsid w:val="002D270B"/>
    <w:rsid w:val="002D3CA5"/>
    <w:rsid w:val="002E06E8"/>
    <w:rsid w:val="002E1314"/>
    <w:rsid w:val="002E31C2"/>
    <w:rsid w:val="002E6D84"/>
    <w:rsid w:val="002E7526"/>
    <w:rsid w:val="002F6341"/>
    <w:rsid w:val="00306495"/>
    <w:rsid w:val="00315345"/>
    <w:rsid w:val="00321D79"/>
    <w:rsid w:val="00325863"/>
    <w:rsid w:val="00333911"/>
    <w:rsid w:val="00333D98"/>
    <w:rsid w:val="00343AB5"/>
    <w:rsid w:val="0034445A"/>
    <w:rsid w:val="00345996"/>
    <w:rsid w:val="0035199A"/>
    <w:rsid w:val="0035379B"/>
    <w:rsid w:val="00362739"/>
    <w:rsid w:val="003648E8"/>
    <w:rsid w:val="00375C71"/>
    <w:rsid w:val="00375D51"/>
    <w:rsid w:val="00377852"/>
    <w:rsid w:val="0038039A"/>
    <w:rsid w:val="00382B24"/>
    <w:rsid w:val="0038433B"/>
    <w:rsid w:val="00387B37"/>
    <w:rsid w:val="00387DFE"/>
    <w:rsid w:val="00390872"/>
    <w:rsid w:val="003937BB"/>
    <w:rsid w:val="00394727"/>
    <w:rsid w:val="003950A6"/>
    <w:rsid w:val="003951B7"/>
    <w:rsid w:val="003A45C3"/>
    <w:rsid w:val="003A59DC"/>
    <w:rsid w:val="003B4BE7"/>
    <w:rsid w:val="003C0B87"/>
    <w:rsid w:val="003C6E9B"/>
    <w:rsid w:val="003C703E"/>
    <w:rsid w:val="003D5930"/>
    <w:rsid w:val="003D6A70"/>
    <w:rsid w:val="003E1FEB"/>
    <w:rsid w:val="003E28B7"/>
    <w:rsid w:val="003E439D"/>
    <w:rsid w:val="003E609A"/>
    <w:rsid w:val="003F0339"/>
    <w:rsid w:val="003F1186"/>
    <w:rsid w:val="003F32EB"/>
    <w:rsid w:val="003F46D5"/>
    <w:rsid w:val="00401313"/>
    <w:rsid w:val="00403BDC"/>
    <w:rsid w:val="004130D3"/>
    <w:rsid w:val="0041405F"/>
    <w:rsid w:val="004178A5"/>
    <w:rsid w:val="00444F15"/>
    <w:rsid w:val="00446718"/>
    <w:rsid w:val="00455FA6"/>
    <w:rsid w:val="00456625"/>
    <w:rsid w:val="00461F00"/>
    <w:rsid w:val="004735CD"/>
    <w:rsid w:val="00477045"/>
    <w:rsid w:val="004774B3"/>
    <w:rsid w:val="0048048E"/>
    <w:rsid w:val="00483C08"/>
    <w:rsid w:val="00492A5F"/>
    <w:rsid w:val="004A10CF"/>
    <w:rsid w:val="004A2CE6"/>
    <w:rsid w:val="004A6EA6"/>
    <w:rsid w:val="004C6316"/>
    <w:rsid w:val="004D1D64"/>
    <w:rsid w:val="004D2265"/>
    <w:rsid w:val="004D40FC"/>
    <w:rsid w:val="004D4B53"/>
    <w:rsid w:val="004E3B7D"/>
    <w:rsid w:val="004E55E3"/>
    <w:rsid w:val="004E7D7C"/>
    <w:rsid w:val="004F585F"/>
    <w:rsid w:val="004F6CA3"/>
    <w:rsid w:val="00501C1A"/>
    <w:rsid w:val="00505F7B"/>
    <w:rsid w:val="00525F2B"/>
    <w:rsid w:val="00527262"/>
    <w:rsid w:val="005358B7"/>
    <w:rsid w:val="00542BED"/>
    <w:rsid w:val="00544607"/>
    <w:rsid w:val="005519C9"/>
    <w:rsid w:val="00555E89"/>
    <w:rsid w:val="00557D80"/>
    <w:rsid w:val="00561CB8"/>
    <w:rsid w:val="00563C57"/>
    <w:rsid w:val="00564D76"/>
    <w:rsid w:val="00570D5C"/>
    <w:rsid w:val="00573AC8"/>
    <w:rsid w:val="00574351"/>
    <w:rsid w:val="00577CCB"/>
    <w:rsid w:val="005801EA"/>
    <w:rsid w:val="005817D0"/>
    <w:rsid w:val="005A619B"/>
    <w:rsid w:val="005B3D79"/>
    <w:rsid w:val="005C2EDC"/>
    <w:rsid w:val="005C439A"/>
    <w:rsid w:val="005D049B"/>
    <w:rsid w:val="005D28AC"/>
    <w:rsid w:val="005D680D"/>
    <w:rsid w:val="005D78CD"/>
    <w:rsid w:val="005E046A"/>
    <w:rsid w:val="005E6B59"/>
    <w:rsid w:val="005F0014"/>
    <w:rsid w:val="005F19F4"/>
    <w:rsid w:val="005F7AC0"/>
    <w:rsid w:val="00600098"/>
    <w:rsid w:val="00601875"/>
    <w:rsid w:val="00603A08"/>
    <w:rsid w:val="0060509B"/>
    <w:rsid w:val="006062FE"/>
    <w:rsid w:val="0061444C"/>
    <w:rsid w:val="00615A1B"/>
    <w:rsid w:val="00621DC5"/>
    <w:rsid w:val="0063068C"/>
    <w:rsid w:val="00632BF4"/>
    <w:rsid w:val="00636B05"/>
    <w:rsid w:val="00647CD4"/>
    <w:rsid w:val="0065778F"/>
    <w:rsid w:val="00672E9B"/>
    <w:rsid w:val="0067350F"/>
    <w:rsid w:val="00673756"/>
    <w:rsid w:val="00677468"/>
    <w:rsid w:val="00682F5B"/>
    <w:rsid w:val="00683707"/>
    <w:rsid w:val="00691BD7"/>
    <w:rsid w:val="00692880"/>
    <w:rsid w:val="00693848"/>
    <w:rsid w:val="006A3FEF"/>
    <w:rsid w:val="006B14D6"/>
    <w:rsid w:val="006B21EA"/>
    <w:rsid w:val="006B2D53"/>
    <w:rsid w:val="006B3E20"/>
    <w:rsid w:val="006B6430"/>
    <w:rsid w:val="006C1C1C"/>
    <w:rsid w:val="006C43E7"/>
    <w:rsid w:val="006D02C2"/>
    <w:rsid w:val="006D3F8D"/>
    <w:rsid w:val="006E2D54"/>
    <w:rsid w:val="006E5FD6"/>
    <w:rsid w:val="006E6914"/>
    <w:rsid w:val="006E6B2F"/>
    <w:rsid w:val="006F34A7"/>
    <w:rsid w:val="006F5CFB"/>
    <w:rsid w:val="006F7323"/>
    <w:rsid w:val="006F75A3"/>
    <w:rsid w:val="00703EC1"/>
    <w:rsid w:val="00715F81"/>
    <w:rsid w:val="00716D14"/>
    <w:rsid w:val="007177D4"/>
    <w:rsid w:val="00725531"/>
    <w:rsid w:val="00730A48"/>
    <w:rsid w:val="00731D7D"/>
    <w:rsid w:val="00732F01"/>
    <w:rsid w:val="00736175"/>
    <w:rsid w:val="00737F95"/>
    <w:rsid w:val="007422EF"/>
    <w:rsid w:val="007459B4"/>
    <w:rsid w:val="0075319E"/>
    <w:rsid w:val="007533D5"/>
    <w:rsid w:val="0075656C"/>
    <w:rsid w:val="007631C3"/>
    <w:rsid w:val="00763A68"/>
    <w:rsid w:val="00763B85"/>
    <w:rsid w:val="007663FD"/>
    <w:rsid w:val="007665E4"/>
    <w:rsid w:val="007669F2"/>
    <w:rsid w:val="00767079"/>
    <w:rsid w:val="00773BA1"/>
    <w:rsid w:val="00774B35"/>
    <w:rsid w:val="007763AC"/>
    <w:rsid w:val="00776D06"/>
    <w:rsid w:val="007921B1"/>
    <w:rsid w:val="0079448E"/>
    <w:rsid w:val="007A0BE5"/>
    <w:rsid w:val="007A0CA9"/>
    <w:rsid w:val="007A2820"/>
    <w:rsid w:val="007A2E42"/>
    <w:rsid w:val="007A4612"/>
    <w:rsid w:val="007A6E52"/>
    <w:rsid w:val="007B3182"/>
    <w:rsid w:val="007B5C45"/>
    <w:rsid w:val="007B7844"/>
    <w:rsid w:val="007C04A7"/>
    <w:rsid w:val="007C0F92"/>
    <w:rsid w:val="007C4135"/>
    <w:rsid w:val="007D3D49"/>
    <w:rsid w:val="007E31C5"/>
    <w:rsid w:val="007E5EA4"/>
    <w:rsid w:val="007E75C9"/>
    <w:rsid w:val="007F5A42"/>
    <w:rsid w:val="007F6EE2"/>
    <w:rsid w:val="0080344A"/>
    <w:rsid w:val="0081190D"/>
    <w:rsid w:val="00812A4B"/>
    <w:rsid w:val="00814C0F"/>
    <w:rsid w:val="00825A2C"/>
    <w:rsid w:val="00831B13"/>
    <w:rsid w:val="00831F81"/>
    <w:rsid w:val="00835D2D"/>
    <w:rsid w:val="00842B77"/>
    <w:rsid w:val="00845133"/>
    <w:rsid w:val="00845EEF"/>
    <w:rsid w:val="00852E42"/>
    <w:rsid w:val="00870FD7"/>
    <w:rsid w:val="008728E4"/>
    <w:rsid w:val="00873FED"/>
    <w:rsid w:val="00874F04"/>
    <w:rsid w:val="00875DD2"/>
    <w:rsid w:val="008761B5"/>
    <w:rsid w:val="00876C17"/>
    <w:rsid w:val="0088753C"/>
    <w:rsid w:val="008A2D31"/>
    <w:rsid w:val="008B6AD8"/>
    <w:rsid w:val="008B6E09"/>
    <w:rsid w:val="008C1958"/>
    <w:rsid w:val="008C2E60"/>
    <w:rsid w:val="008C41FF"/>
    <w:rsid w:val="008C543C"/>
    <w:rsid w:val="008D244F"/>
    <w:rsid w:val="008D2F78"/>
    <w:rsid w:val="008D3120"/>
    <w:rsid w:val="008D6C3F"/>
    <w:rsid w:val="008F2B89"/>
    <w:rsid w:val="008F65C1"/>
    <w:rsid w:val="00901535"/>
    <w:rsid w:val="009069D0"/>
    <w:rsid w:val="0090720F"/>
    <w:rsid w:val="0092573F"/>
    <w:rsid w:val="009267F1"/>
    <w:rsid w:val="00930AF0"/>
    <w:rsid w:val="00932798"/>
    <w:rsid w:val="00940F50"/>
    <w:rsid w:val="009450E8"/>
    <w:rsid w:val="009467EC"/>
    <w:rsid w:val="009503E0"/>
    <w:rsid w:val="00952095"/>
    <w:rsid w:val="00952099"/>
    <w:rsid w:val="00964FDC"/>
    <w:rsid w:val="009728EB"/>
    <w:rsid w:val="00976B37"/>
    <w:rsid w:val="009802B7"/>
    <w:rsid w:val="00980835"/>
    <w:rsid w:val="00981163"/>
    <w:rsid w:val="00983CDD"/>
    <w:rsid w:val="00986F57"/>
    <w:rsid w:val="0099197D"/>
    <w:rsid w:val="009A0D64"/>
    <w:rsid w:val="009A4D9C"/>
    <w:rsid w:val="009A532C"/>
    <w:rsid w:val="009B23AC"/>
    <w:rsid w:val="009B3D33"/>
    <w:rsid w:val="009B6033"/>
    <w:rsid w:val="009B67CB"/>
    <w:rsid w:val="009B6D53"/>
    <w:rsid w:val="009C02AD"/>
    <w:rsid w:val="009C07EB"/>
    <w:rsid w:val="009C2EF3"/>
    <w:rsid w:val="009C4879"/>
    <w:rsid w:val="009D107A"/>
    <w:rsid w:val="009D2991"/>
    <w:rsid w:val="009E0751"/>
    <w:rsid w:val="009E0832"/>
    <w:rsid w:val="009E12C9"/>
    <w:rsid w:val="009F4063"/>
    <w:rsid w:val="009F6FBD"/>
    <w:rsid w:val="00A039EB"/>
    <w:rsid w:val="00A06313"/>
    <w:rsid w:val="00A06985"/>
    <w:rsid w:val="00A175AA"/>
    <w:rsid w:val="00A202C6"/>
    <w:rsid w:val="00A225ED"/>
    <w:rsid w:val="00A2398B"/>
    <w:rsid w:val="00A3086C"/>
    <w:rsid w:val="00A325E8"/>
    <w:rsid w:val="00A32EF2"/>
    <w:rsid w:val="00A370E5"/>
    <w:rsid w:val="00A43CAE"/>
    <w:rsid w:val="00A44C6C"/>
    <w:rsid w:val="00A5431F"/>
    <w:rsid w:val="00A60DCA"/>
    <w:rsid w:val="00A65FBD"/>
    <w:rsid w:val="00A82E43"/>
    <w:rsid w:val="00A85052"/>
    <w:rsid w:val="00A855AB"/>
    <w:rsid w:val="00A904EF"/>
    <w:rsid w:val="00A90ADE"/>
    <w:rsid w:val="00A947FE"/>
    <w:rsid w:val="00AA53DC"/>
    <w:rsid w:val="00AA6147"/>
    <w:rsid w:val="00AB75A1"/>
    <w:rsid w:val="00AC6BDF"/>
    <w:rsid w:val="00AD1F08"/>
    <w:rsid w:val="00AD3417"/>
    <w:rsid w:val="00AD628B"/>
    <w:rsid w:val="00AD6D14"/>
    <w:rsid w:val="00AD6EB9"/>
    <w:rsid w:val="00AE3B04"/>
    <w:rsid w:val="00B02D2C"/>
    <w:rsid w:val="00B03A5C"/>
    <w:rsid w:val="00B11721"/>
    <w:rsid w:val="00B14352"/>
    <w:rsid w:val="00B229E8"/>
    <w:rsid w:val="00B32052"/>
    <w:rsid w:val="00B41EE8"/>
    <w:rsid w:val="00B56D8F"/>
    <w:rsid w:val="00B60D93"/>
    <w:rsid w:val="00B72857"/>
    <w:rsid w:val="00B85F5F"/>
    <w:rsid w:val="00B9117A"/>
    <w:rsid w:val="00B97843"/>
    <w:rsid w:val="00BA19D0"/>
    <w:rsid w:val="00BA3F74"/>
    <w:rsid w:val="00BA62CA"/>
    <w:rsid w:val="00BC174F"/>
    <w:rsid w:val="00BC631D"/>
    <w:rsid w:val="00BD2E92"/>
    <w:rsid w:val="00BD45EE"/>
    <w:rsid w:val="00BD6551"/>
    <w:rsid w:val="00BE1711"/>
    <w:rsid w:val="00BE69EF"/>
    <w:rsid w:val="00BF2359"/>
    <w:rsid w:val="00BF23DE"/>
    <w:rsid w:val="00BF4A33"/>
    <w:rsid w:val="00BF5EE6"/>
    <w:rsid w:val="00C0121C"/>
    <w:rsid w:val="00C01FBC"/>
    <w:rsid w:val="00C07450"/>
    <w:rsid w:val="00C14D6B"/>
    <w:rsid w:val="00C155EC"/>
    <w:rsid w:val="00C316A2"/>
    <w:rsid w:val="00C31A4E"/>
    <w:rsid w:val="00C32688"/>
    <w:rsid w:val="00C3625D"/>
    <w:rsid w:val="00C43058"/>
    <w:rsid w:val="00C56958"/>
    <w:rsid w:val="00C75915"/>
    <w:rsid w:val="00C80E6D"/>
    <w:rsid w:val="00C80F98"/>
    <w:rsid w:val="00C83DBF"/>
    <w:rsid w:val="00C842D6"/>
    <w:rsid w:val="00C87E26"/>
    <w:rsid w:val="00C91D7C"/>
    <w:rsid w:val="00C96F73"/>
    <w:rsid w:val="00C974B7"/>
    <w:rsid w:val="00CB655F"/>
    <w:rsid w:val="00CB6D1C"/>
    <w:rsid w:val="00CC5120"/>
    <w:rsid w:val="00CD2050"/>
    <w:rsid w:val="00CD4B32"/>
    <w:rsid w:val="00CE2563"/>
    <w:rsid w:val="00CE437F"/>
    <w:rsid w:val="00CE7C78"/>
    <w:rsid w:val="00CF2687"/>
    <w:rsid w:val="00D05F9B"/>
    <w:rsid w:val="00D10DC7"/>
    <w:rsid w:val="00D13E5E"/>
    <w:rsid w:val="00D33DB8"/>
    <w:rsid w:val="00D36D83"/>
    <w:rsid w:val="00D374D4"/>
    <w:rsid w:val="00D4235D"/>
    <w:rsid w:val="00D4430A"/>
    <w:rsid w:val="00D56ADC"/>
    <w:rsid w:val="00D600D2"/>
    <w:rsid w:val="00D7122D"/>
    <w:rsid w:val="00D73B97"/>
    <w:rsid w:val="00D76A79"/>
    <w:rsid w:val="00D76BD7"/>
    <w:rsid w:val="00D77A44"/>
    <w:rsid w:val="00D8143D"/>
    <w:rsid w:val="00D81A78"/>
    <w:rsid w:val="00D834EC"/>
    <w:rsid w:val="00D8449A"/>
    <w:rsid w:val="00D8642A"/>
    <w:rsid w:val="00D921D1"/>
    <w:rsid w:val="00D95131"/>
    <w:rsid w:val="00D95D49"/>
    <w:rsid w:val="00DA4BDB"/>
    <w:rsid w:val="00DA7625"/>
    <w:rsid w:val="00DA77C0"/>
    <w:rsid w:val="00DB39AC"/>
    <w:rsid w:val="00DB3EAC"/>
    <w:rsid w:val="00DB44A6"/>
    <w:rsid w:val="00DB7DED"/>
    <w:rsid w:val="00DC0666"/>
    <w:rsid w:val="00DC08E0"/>
    <w:rsid w:val="00DC3EFA"/>
    <w:rsid w:val="00DD490A"/>
    <w:rsid w:val="00DE15D4"/>
    <w:rsid w:val="00DE3BD7"/>
    <w:rsid w:val="00DE7BC4"/>
    <w:rsid w:val="00DF437F"/>
    <w:rsid w:val="00E020C5"/>
    <w:rsid w:val="00E07B44"/>
    <w:rsid w:val="00E12112"/>
    <w:rsid w:val="00E143C7"/>
    <w:rsid w:val="00E20D04"/>
    <w:rsid w:val="00E25652"/>
    <w:rsid w:val="00E27900"/>
    <w:rsid w:val="00E27CE3"/>
    <w:rsid w:val="00E27D06"/>
    <w:rsid w:val="00E33DD8"/>
    <w:rsid w:val="00E34440"/>
    <w:rsid w:val="00E35FCD"/>
    <w:rsid w:val="00E37FE6"/>
    <w:rsid w:val="00E46FF6"/>
    <w:rsid w:val="00E549E9"/>
    <w:rsid w:val="00E61613"/>
    <w:rsid w:val="00E64D53"/>
    <w:rsid w:val="00E66444"/>
    <w:rsid w:val="00E72BB4"/>
    <w:rsid w:val="00E77646"/>
    <w:rsid w:val="00E834CF"/>
    <w:rsid w:val="00E9027D"/>
    <w:rsid w:val="00E97377"/>
    <w:rsid w:val="00EA5A8B"/>
    <w:rsid w:val="00EA6AD4"/>
    <w:rsid w:val="00EB3797"/>
    <w:rsid w:val="00EB4A08"/>
    <w:rsid w:val="00EB688C"/>
    <w:rsid w:val="00EC2C19"/>
    <w:rsid w:val="00EC6C89"/>
    <w:rsid w:val="00EC7145"/>
    <w:rsid w:val="00ED0ECA"/>
    <w:rsid w:val="00ED69A0"/>
    <w:rsid w:val="00EF57F5"/>
    <w:rsid w:val="00EF62F1"/>
    <w:rsid w:val="00EF6919"/>
    <w:rsid w:val="00F002BF"/>
    <w:rsid w:val="00F07579"/>
    <w:rsid w:val="00F14A40"/>
    <w:rsid w:val="00F14D9F"/>
    <w:rsid w:val="00F166FC"/>
    <w:rsid w:val="00F169FD"/>
    <w:rsid w:val="00F17767"/>
    <w:rsid w:val="00F206F2"/>
    <w:rsid w:val="00F23905"/>
    <w:rsid w:val="00F3132B"/>
    <w:rsid w:val="00F4403A"/>
    <w:rsid w:val="00F528B1"/>
    <w:rsid w:val="00F52AAE"/>
    <w:rsid w:val="00F55438"/>
    <w:rsid w:val="00F56016"/>
    <w:rsid w:val="00F568E4"/>
    <w:rsid w:val="00F70ADD"/>
    <w:rsid w:val="00F70F4C"/>
    <w:rsid w:val="00F76983"/>
    <w:rsid w:val="00F90D61"/>
    <w:rsid w:val="00F941E4"/>
    <w:rsid w:val="00FA1183"/>
    <w:rsid w:val="00FA6941"/>
    <w:rsid w:val="00FB409A"/>
    <w:rsid w:val="00FB6E01"/>
    <w:rsid w:val="00FB72F6"/>
    <w:rsid w:val="00FB75B0"/>
    <w:rsid w:val="00FB7A32"/>
    <w:rsid w:val="00FC09E3"/>
    <w:rsid w:val="00FC0EB5"/>
    <w:rsid w:val="00FC689F"/>
    <w:rsid w:val="00FD3279"/>
    <w:rsid w:val="00FD49B2"/>
    <w:rsid w:val="00FD6C3C"/>
    <w:rsid w:val="00FD7CBE"/>
    <w:rsid w:val="00FE177C"/>
    <w:rsid w:val="00FE54A2"/>
    <w:rsid w:val="00FE58FB"/>
    <w:rsid w:val="00FF582F"/>
    <w:rsid w:val="00FF58B1"/>
    <w:rsid w:val="01BC1CED"/>
    <w:rsid w:val="02BD445F"/>
    <w:rsid w:val="02D3197C"/>
    <w:rsid w:val="02D37016"/>
    <w:rsid w:val="04210B8D"/>
    <w:rsid w:val="04266E74"/>
    <w:rsid w:val="04756951"/>
    <w:rsid w:val="04C0339D"/>
    <w:rsid w:val="05015FF0"/>
    <w:rsid w:val="050D6511"/>
    <w:rsid w:val="052D7155"/>
    <w:rsid w:val="05365714"/>
    <w:rsid w:val="054C41FE"/>
    <w:rsid w:val="05641049"/>
    <w:rsid w:val="058D1C56"/>
    <w:rsid w:val="05A645A8"/>
    <w:rsid w:val="05D37E80"/>
    <w:rsid w:val="0608457C"/>
    <w:rsid w:val="06163BAA"/>
    <w:rsid w:val="068A1C84"/>
    <w:rsid w:val="068C5529"/>
    <w:rsid w:val="06CB24DD"/>
    <w:rsid w:val="06D66ECF"/>
    <w:rsid w:val="06FA4565"/>
    <w:rsid w:val="07242EB3"/>
    <w:rsid w:val="073F7AE9"/>
    <w:rsid w:val="073F7B11"/>
    <w:rsid w:val="07725860"/>
    <w:rsid w:val="07CC30A2"/>
    <w:rsid w:val="07F15F87"/>
    <w:rsid w:val="081B6507"/>
    <w:rsid w:val="084164C2"/>
    <w:rsid w:val="08EB4803"/>
    <w:rsid w:val="08FE233D"/>
    <w:rsid w:val="09505057"/>
    <w:rsid w:val="09964D01"/>
    <w:rsid w:val="099D4D2A"/>
    <w:rsid w:val="0A8C4FD1"/>
    <w:rsid w:val="0BB91DA2"/>
    <w:rsid w:val="0BDD6962"/>
    <w:rsid w:val="0C051F6D"/>
    <w:rsid w:val="0D186A87"/>
    <w:rsid w:val="0D8150D4"/>
    <w:rsid w:val="0D88702C"/>
    <w:rsid w:val="0DAD2974"/>
    <w:rsid w:val="0DD806A7"/>
    <w:rsid w:val="0DDC02F3"/>
    <w:rsid w:val="0E3B3780"/>
    <w:rsid w:val="0E6A5387"/>
    <w:rsid w:val="0E75144F"/>
    <w:rsid w:val="0E7D5BB1"/>
    <w:rsid w:val="0E825EC9"/>
    <w:rsid w:val="0E98559B"/>
    <w:rsid w:val="0ED005BE"/>
    <w:rsid w:val="0EEE3FF5"/>
    <w:rsid w:val="0FA0771C"/>
    <w:rsid w:val="0FB128FB"/>
    <w:rsid w:val="0FE867D2"/>
    <w:rsid w:val="10063CFB"/>
    <w:rsid w:val="106D7CF8"/>
    <w:rsid w:val="10B368BA"/>
    <w:rsid w:val="11725359"/>
    <w:rsid w:val="117C0C48"/>
    <w:rsid w:val="11DE42F6"/>
    <w:rsid w:val="124D2754"/>
    <w:rsid w:val="130C2F23"/>
    <w:rsid w:val="132A47BA"/>
    <w:rsid w:val="132B7801"/>
    <w:rsid w:val="1366091C"/>
    <w:rsid w:val="13BB1C6E"/>
    <w:rsid w:val="140D46EA"/>
    <w:rsid w:val="14E47FA2"/>
    <w:rsid w:val="15291D8A"/>
    <w:rsid w:val="1566744A"/>
    <w:rsid w:val="160B5864"/>
    <w:rsid w:val="161931F0"/>
    <w:rsid w:val="167B0FA5"/>
    <w:rsid w:val="16EF398A"/>
    <w:rsid w:val="170625B5"/>
    <w:rsid w:val="172A6EB6"/>
    <w:rsid w:val="17751199"/>
    <w:rsid w:val="17962F2C"/>
    <w:rsid w:val="192A1141"/>
    <w:rsid w:val="1962067B"/>
    <w:rsid w:val="1AAA6BC2"/>
    <w:rsid w:val="1AB05454"/>
    <w:rsid w:val="1AC07983"/>
    <w:rsid w:val="1AE43D90"/>
    <w:rsid w:val="1B793C03"/>
    <w:rsid w:val="1B877835"/>
    <w:rsid w:val="1C4F2CA3"/>
    <w:rsid w:val="1D590342"/>
    <w:rsid w:val="1EC6180B"/>
    <w:rsid w:val="1EC7350F"/>
    <w:rsid w:val="1ED135DD"/>
    <w:rsid w:val="1F142F2B"/>
    <w:rsid w:val="1F707692"/>
    <w:rsid w:val="1FA85304"/>
    <w:rsid w:val="1FE4278E"/>
    <w:rsid w:val="20222FD0"/>
    <w:rsid w:val="206D1DDE"/>
    <w:rsid w:val="20B733A9"/>
    <w:rsid w:val="20D43F2B"/>
    <w:rsid w:val="20E030AF"/>
    <w:rsid w:val="211047A4"/>
    <w:rsid w:val="218F0575"/>
    <w:rsid w:val="2191334D"/>
    <w:rsid w:val="21F22089"/>
    <w:rsid w:val="21FC09B6"/>
    <w:rsid w:val="22382E17"/>
    <w:rsid w:val="22E32770"/>
    <w:rsid w:val="231957EE"/>
    <w:rsid w:val="23DB021E"/>
    <w:rsid w:val="242A295B"/>
    <w:rsid w:val="246B4B9D"/>
    <w:rsid w:val="24704D58"/>
    <w:rsid w:val="24907A4B"/>
    <w:rsid w:val="24E0229F"/>
    <w:rsid w:val="24E4051B"/>
    <w:rsid w:val="25A52498"/>
    <w:rsid w:val="25A95725"/>
    <w:rsid w:val="25C805CE"/>
    <w:rsid w:val="25CA54CF"/>
    <w:rsid w:val="260556ED"/>
    <w:rsid w:val="26B472CA"/>
    <w:rsid w:val="270F3A97"/>
    <w:rsid w:val="281E4DBF"/>
    <w:rsid w:val="28C509BB"/>
    <w:rsid w:val="28F37DFC"/>
    <w:rsid w:val="2902700D"/>
    <w:rsid w:val="297F3D61"/>
    <w:rsid w:val="29DF779C"/>
    <w:rsid w:val="2A64469C"/>
    <w:rsid w:val="2A9F2877"/>
    <w:rsid w:val="2AD84132"/>
    <w:rsid w:val="2B2972D8"/>
    <w:rsid w:val="2B6715F1"/>
    <w:rsid w:val="2B6A4E71"/>
    <w:rsid w:val="2B803D1F"/>
    <w:rsid w:val="2C592299"/>
    <w:rsid w:val="2C684AC7"/>
    <w:rsid w:val="2CE411AF"/>
    <w:rsid w:val="2CFF626A"/>
    <w:rsid w:val="2D2741A7"/>
    <w:rsid w:val="2D585BE2"/>
    <w:rsid w:val="2D692994"/>
    <w:rsid w:val="2D737120"/>
    <w:rsid w:val="2D9364C1"/>
    <w:rsid w:val="2D973753"/>
    <w:rsid w:val="2DA05C48"/>
    <w:rsid w:val="2DB364FE"/>
    <w:rsid w:val="2E095F8E"/>
    <w:rsid w:val="2E4C4620"/>
    <w:rsid w:val="2E4D5C42"/>
    <w:rsid w:val="2EA155F5"/>
    <w:rsid w:val="2EEA13C2"/>
    <w:rsid w:val="2F2D5640"/>
    <w:rsid w:val="2F491A8B"/>
    <w:rsid w:val="30251E31"/>
    <w:rsid w:val="30A23AA6"/>
    <w:rsid w:val="32764B81"/>
    <w:rsid w:val="337771AE"/>
    <w:rsid w:val="33A44D88"/>
    <w:rsid w:val="33AB2920"/>
    <w:rsid w:val="34077AD9"/>
    <w:rsid w:val="343E3863"/>
    <w:rsid w:val="345F6783"/>
    <w:rsid w:val="34E70B18"/>
    <w:rsid w:val="34E934C3"/>
    <w:rsid w:val="34EB7904"/>
    <w:rsid w:val="35042041"/>
    <w:rsid w:val="35395A3C"/>
    <w:rsid w:val="35B64649"/>
    <w:rsid w:val="36077027"/>
    <w:rsid w:val="36654C0D"/>
    <w:rsid w:val="36815B7A"/>
    <w:rsid w:val="36C65BC8"/>
    <w:rsid w:val="37F914BF"/>
    <w:rsid w:val="38935BEA"/>
    <w:rsid w:val="38954861"/>
    <w:rsid w:val="392D68C7"/>
    <w:rsid w:val="39301E45"/>
    <w:rsid w:val="39F0435D"/>
    <w:rsid w:val="39FE0C3B"/>
    <w:rsid w:val="3A710D3C"/>
    <w:rsid w:val="3A7A0AF7"/>
    <w:rsid w:val="3B10056B"/>
    <w:rsid w:val="3B80651E"/>
    <w:rsid w:val="3C1F0F28"/>
    <w:rsid w:val="3CB25EBE"/>
    <w:rsid w:val="3D4B7F63"/>
    <w:rsid w:val="3D6A27ED"/>
    <w:rsid w:val="3D7C2E1A"/>
    <w:rsid w:val="3D8D4204"/>
    <w:rsid w:val="3D9925CE"/>
    <w:rsid w:val="3EB30248"/>
    <w:rsid w:val="3F042E85"/>
    <w:rsid w:val="3F1A237F"/>
    <w:rsid w:val="3F2766DF"/>
    <w:rsid w:val="3F401596"/>
    <w:rsid w:val="3F8148BD"/>
    <w:rsid w:val="3F84244A"/>
    <w:rsid w:val="3FCB5DF6"/>
    <w:rsid w:val="3FD73F43"/>
    <w:rsid w:val="401F2879"/>
    <w:rsid w:val="40313667"/>
    <w:rsid w:val="40692A04"/>
    <w:rsid w:val="406C1714"/>
    <w:rsid w:val="406F2DAB"/>
    <w:rsid w:val="407A0574"/>
    <w:rsid w:val="40D31478"/>
    <w:rsid w:val="4177115D"/>
    <w:rsid w:val="41FE5225"/>
    <w:rsid w:val="42B47811"/>
    <w:rsid w:val="430331D8"/>
    <w:rsid w:val="435E5DA7"/>
    <w:rsid w:val="43A65325"/>
    <w:rsid w:val="446B3544"/>
    <w:rsid w:val="447A4FE7"/>
    <w:rsid w:val="45222498"/>
    <w:rsid w:val="45375A78"/>
    <w:rsid w:val="45897DC9"/>
    <w:rsid w:val="45A2041E"/>
    <w:rsid w:val="463922AC"/>
    <w:rsid w:val="46546343"/>
    <w:rsid w:val="47010D61"/>
    <w:rsid w:val="48AA28D4"/>
    <w:rsid w:val="4927760C"/>
    <w:rsid w:val="492E731C"/>
    <w:rsid w:val="493F1EA8"/>
    <w:rsid w:val="49D362C2"/>
    <w:rsid w:val="4A0325BC"/>
    <w:rsid w:val="4A0C0DA6"/>
    <w:rsid w:val="4A805707"/>
    <w:rsid w:val="4AA806C1"/>
    <w:rsid w:val="4B334AD6"/>
    <w:rsid w:val="4B410282"/>
    <w:rsid w:val="4B8B7C04"/>
    <w:rsid w:val="4C474FD4"/>
    <w:rsid w:val="4C934054"/>
    <w:rsid w:val="4D1E7251"/>
    <w:rsid w:val="4D7A44F1"/>
    <w:rsid w:val="4E2626B4"/>
    <w:rsid w:val="4E7F4C09"/>
    <w:rsid w:val="4E7F4CFA"/>
    <w:rsid w:val="4EA813CC"/>
    <w:rsid w:val="4EB17A99"/>
    <w:rsid w:val="4EBA18C4"/>
    <w:rsid w:val="4EBE3A02"/>
    <w:rsid w:val="4F2364B4"/>
    <w:rsid w:val="4F6A5207"/>
    <w:rsid w:val="4F9050D9"/>
    <w:rsid w:val="4FF935BE"/>
    <w:rsid w:val="50AE672B"/>
    <w:rsid w:val="50C25646"/>
    <w:rsid w:val="51365297"/>
    <w:rsid w:val="5183738D"/>
    <w:rsid w:val="51F31B90"/>
    <w:rsid w:val="525C65FC"/>
    <w:rsid w:val="52980E29"/>
    <w:rsid w:val="529E20DC"/>
    <w:rsid w:val="534F066E"/>
    <w:rsid w:val="535D15FF"/>
    <w:rsid w:val="53C11B12"/>
    <w:rsid w:val="54324EA2"/>
    <w:rsid w:val="54B75B3D"/>
    <w:rsid w:val="54E5137B"/>
    <w:rsid w:val="552B313A"/>
    <w:rsid w:val="56604BF7"/>
    <w:rsid w:val="5743228A"/>
    <w:rsid w:val="576778F7"/>
    <w:rsid w:val="57EB526C"/>
    <w:rsid w:val="58012B03"/>
    <w:rsid w:val="58321962"/>
    <w:rsid w:val="58652D07"/>
    <w:rsid w:val="58C97A56"/>
    <w:rsid w:val="58F95864"/>
    <w:rsid w:val="5910234B"/>
    <w:rsid w:val="59684220"/>
    <w:rsid w:val="59854BB3"/>
    <w:rsid w:val="59AA556D"/>
    <w:rsid w:val="5A162AD0"/>
    <w:rsid w:val="5A750608"/>
    <w:rsid w:val="5AAD08C7"/>
    <w:rsid w:val="5ABB6ED3"/>
    <w:rsid w:val="5AC17A2A"/>
    <w:rsid w:val="5B0E7D27"/>
    <w:rsid w:val="5BB0645C"/>
    <w:rsid w:val="5C5E6675"/>
    <w:rsid w:val="5C8C6195"/>
    <w:rsid w:val="5C953647"/>
    <w:rsid w:val="5CA53100"/>
    <w:rsid w:val="5CC40607"/>
    <w:rsid w:val="5CE775EA"/>
    <w:rsid w:val="5D11109E"/>
    <w:rsid w:val="5D2176DB"/>
    <w:rsid w:val="5D75000C"/>
    <w:rsid w:val="5DD412CD"/>
    <w:rsid w:val="5E1A6673"/>
    <w:rsid w:val="5E3B76E6"/>
    <w:rsid w:val="5ED243DA"/>
    <w:rsid w:val="5EEB21D5"/>
    <w:rsid w:val="5EEB79DA"/>
    <w:rsid w:val="5F9E59DC"/>
    <w:rsid w:val="5FBA7A6E"/>
    <w:rsid w:val="5FFE25D4"/>
    <w:rsid w:val="60023EB1"/>
    <w:rsid w:val="601D2224"/>
    <w:rsid w:val="60255FFD"/>
    <w:rsid w:val="604209E9"/>
    <w:rsid w:val="604F18F2"/>
    <w:rsid w:val="6076411E"/>
    <w:rsid w:val="60DB72F5"/>
    <w:rsid w:val="60EB26E9"/>
    <w:rsid w:val="611C4170"/>
    <w:rsid w:val="612F7EF8"/>
    <w:rsid w:val="616921F2"/>
    <w:rsid w:val="61991A4A"/>
    <w:rsid w:val="61CB51AB"/>
    <w:rsid w:val="62117169"/>
    <w:rsid w:val="621E74EE"/>
    <w:rsid w:val="62361618"/>
    <w:rsid w:val="63092980"/>
    <w:rsid w:val="6325117C"/>
    <w:rsid w:val="6374530C"/>
    <w:rsid w:val="63793102"/>
    <w:rsid w:val="63837544"/>
    <w:rsid w:val="63D03F3D"/>
    <w:rsid w:val="63E44DE5"/>
    <w:rsid w:val="63FA4EE0"/>
    <w:rsid w:val="64413FFC"/>
    <w:rsid w:val="64637F8A"/>
    <w:rsid w:val="64D55E2D"/>
    <w:rsid w:val="652776D4"/>
    <w:rsid w:val="65723B18"/>
    <w:rsid w:val="65925B51"/>
    <w:rsid w:val="65E24DFB"/>
    <w:rsid w:val="65F11A7A"/>
    <w:rsid w:val="66137642"/>
    <w:rsid w:val="66785312"/>
    <w:rsid w:val="66FB7391"/>
    <w:rsid w:val="677072AC"/>
    <w:rsid w:val="677535E7"/>
    <w:rsid w:val="679B7F0C"/>
    <w:rsid w:val="67C45965"/>
    <w:rsid w:val="683141E7"/>
    <w:rsid w:val="68675358"/>
    <w:rsid w:val="68A23826"/>
    <w:rsid w:val="68AB2F3F"/>
    <w:rsid w:val="68C31386"/>
    <w:rsid w:val="698208E1"/>
    <w:rsid w:val="699E0D1D"/>
    <w:rsid w:val="69A92C57"/>
    <w:rsid w:val="69E24EA6"/>
    <w:rsid w:val="6A7F4EC1"/>
    <w:rsid w:val="6B7408C8"/>
    <w:rsid w:val="6B7D18A3"/>
    <w:rsid w:val="6B8F1F18"/>
    <w:rsid w:val="6C4E1ACD"/>
    <w:rsid w:val="6CB763B5"/>
    <w:rsid w:val="6D2A55A8"/>
    <w:rsid w:val="6D5765B8"/>
    <w:rsid w:val="6D7C445E"/>
    <w:rsid w:val="6DA4733B"/>
    <w:rsid w:val="6DDB31DF"/>
    <w:rsid w:val="6E1F0E53"/>
    <w:rsid w:val="6E1F4E0E"/>
    <w:rsid w:val="6E286BC7"/>
    <w:rsid w:val="6E4350D0"/>
    <w:rsid w:val="6FBD78E8"/>
    <w:rsid w:val="70136853"/>
    <w:rsid w:val="702738B6"/>
    <w:rsid w:val="70934C70"/>
    <w:rsid w:val="70B05D93"/>
    <w:rsid w:val="70DB3315"/>
    <w:rsid w:val="717F0E22"/>
    <w:rsid w:val="71B005D0"/>
    <w:rsid w:val="71D0160F"/>
    <w:rsid w:val="721B1AD5"/>
    <w:rsid w:val="723A7C61"/>
    <w:rsid w:val="725D4685"/>
    <w:rsid w:val="72607B6D"/>
    <w:rsid w:val="728E4425"/>
    <w:rsid w:val="72DF181A"/>
    <w:rsid w:val="733E00DF"/>
    <w:rsid w:val="737317F4"/>
    <w:rsid w:val="7379075D"/>
    <w:rsid w:val="7380076E"/>
    <w:rsid w:val="74120E29"/>
    <w:rsid w:val="7460548D"/>
    <w:rsid w:val="74AA192C"/>
    <w:rsid w:val="755C3CD9"/>
    <w:rsid w:val="771C7682"/>
    <w:rsid w:val="77385674"/>
    <w:rsid w:val="777B13BC"/>
    <w:rsid w:val="77810E8B"/>
    <w:rsid w:val="779859D0"/>
    <w:rsid w:val="77C615C9"/>
    <w:rsid w:val="782750BB"/>
    <w:rsid w:val="78A41775"/>
    <w:rsid w:val="78A66995"/>
    <w:rsid w:val="7A20522B"/>
    <w:rsid w:val="7A6460B7"/>
    <w:rsid w:val="7AC1726A"/>
    <w:rsid w:val="7AFB7D07"/>
    <w:rsid w:val="7B4114C1"/>
    <w:rsid w:val="7BA77728"/>
    <w:rsid w:val="7BC70195"/>
    <w:rsid w:val="7BCC689C"/>
    <w:rsid w:val="7C250BB9"/>
    <w:rsid w:val="7C2B3CF9"/>
    <w:rsid w:val="7C4B3A6E"/>
    <w:rsid w:val="7C803414"/>
    <w:rsid w:val="7C8C35B3"/>
    <w:rsid w:val="7CA026E3"/>
    <w:rsid w:val="7CBD492A"/>
    <w:rsid w:val="7D600D1F"/>
    <w:rsid w:val="7DE54B45"/>
    <w:rsid w:val="7E664CBC"/>
    <w:rsid w:val="7E6D312B"/>
    <w:rsid w:val="7ECC0AFE"/>
    <w:rsid w:val="7F0F0DFC"/>
    <w:rsid w:val="7F662284"/>
    <w:rsid w:val="7FB85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Arial Unicode MS" w:hAnsi="Arial Unicode MS" w:eastAsia="Times New Roman" w:cs="Arial Unicode MS"/>
      <w:color w:val="000000"/>
      <w:sz w:val="22"/>
      <w:szCs w:val="22"/>
      <w:u w:color="000000"/>
      <w:lang w:val="en-US" w:eastAsia="zh-CN" w:bidi="ar-SA"/>
    </w:rPr>
  </w:style>
  <w:style w:type="paragraph" w:styleId="3">
    <w:name w:val="heading 1"/>
    <w:basedOn w:val="1"/>
    <w:next w:val="1"/>
    <w:link w:val="34"/>
    <w:qFormat/>
    <w:uiPriority w:val="99"/>
    <w:pPr>
      <w:keepNext/>
      <w:keepLines/>
      <w:widowControl w:val="0"/>
      <w:spacing w:before="240" w:after="120" w:line="300" w:lineRule="auto"/>
      <w:jc w:val="center"/>
      <w:outlineLvl w:val="0"/>
    </w:pPr>
    <w:rPr>
      <w:rFonts w:ascii="宋体" w:hAnsi="宋体" w:eastAsia="宋体" w:cs="宋体"/>
      <w:b/>
      <w:bCs/>
      <w:kern w:val="44"/>
      <w:sz w:val="32"/>
      <w:szCs w:val="32"/>
    </w:rPr>
  </w:style>
  <w:style w:type="paragraph" w:styleId="4">
    <w:name w:val="heading 2"/>
    <w:basedOn w:val="1"/>
    <w:next w:val="1"/>
    <w:link w:val="35"/>
    <w:qFormat/>
    <w:uiPriority w:val="99"/>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30"/>
    <w:semiHidden/>
    <w:unhideWhenUsed/>
    <w:qFormat/>
    <w:uiPriority w:val="0"/>
    <w:pPr>
      <w:keepNext/>
      <w:keepLines/>
      <w:spacing w:before="260" w:after="260" w:line="416" w:lineRule="auto"/>
      <w:outlineLvl w:val="2"/>
    </w:pPr>
    <w:rPr>
      <w:b/>
      <w:bCs/>
      <w:sz w:val="32"/>
      <w:szCs w:val="32"/>
    </w:rPr>
  </w:style>
  <w:style w:type="paragraph" w:styleId="6">
    <w:name w:val="heading 6"/>
    <w:basedOn w:val="1"/>
    <w:next w:val="1"/>
    <w:qFormat/>
    <w:uiPriority w:val="1"/>
    <w:pPr>
      <w:ind w:left="1440"/>
      <w:outlineLvl w:val="5"/>
    </w:pPr>
    <w:rPr>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val="0"/>
      <w:spacing w:after="0"/>
      <w:ind w:firstLine="420"/>
    </w:pPr>
    <w:rPr>
      <w:rFonts w:ascii="宋体" w:hAnsi="宋体" w:eastAsia="宋体" w:cs="宋体"/>
      <w:sz w:val="24"/>
      <w:szCs w:val="24"/>
    </w:rPr>
  </w:style>
  <w:style w:type="paragraph" w:styleId="7">
    <w:name w:val="caption"/>
    <w:basedOn w:val="1"/>
    <w:next w:val="1"/>
    <w:qFormat/>
    <w:uiPriority w:val="0"/>
    <w:rPr>
      <w:rFonts w:ascii="Arial" w:hAnsi="Arial" w:eastAsia="黑体"/>
      <w:sz w:val="20"/>
    </w:rPr>
  </w:style>
  <w:style w:type="paragraph" w:styleId="8">
    <w:name w:val="annotation text"/>
    <w:basedOn w:val="1"/>
    <w:link w:val="38"/>
    <w:unhideWhenUsed/>
    <w:qFormat/>
    <w:uiPriority w:val="99"/>
    <w:pPr>
      <w:spacing w:after="0"/>
    </w:pPr>
    <w:rPr>
      <w:rFonts w:ascii="Times New Roman" w:hAnsi="Times New Roman" w:eastAsia="宋体" w:cs="Times New Roman"/>
      <w:color w:val="auto"/>
      <w:sz w:val="21"/>
      <w:szCs w:val="21"/>
    </w:rPr>
  </w:style>
  <w:style w:type="paragraph" w:styleId="9">
    <w:name w:val="toc 3"/>
    <w:basedOn w:val="1"/>
    <w:next w:val="1"/>
    <w:qFormat/>
    <w:uiPriority w:val="39"/>
    <w:pPr>
      <w:ind w:left="840" w:leftChars="400"/>
    </w:pPr>
  </w:style>
  <w:style w:type="paragraph" w:styleId="10">
    <w:name w:val="Plain Text"/>
    <w:basedOn w:val="1"/>
    <w:link w:val="26"/>
    <w:qFormat/>
    <w:uiPriority w:val="0"/>
    <w:pPr>
      <w:widowControl w:val="0"/>
      <w:spacing w:after="0"/>
      <w:jc w:val="both"/>
    </w:pPr>
    <w:rPr>
      <w:rFonts w:ascii="宋体" w:hAnsi="宋体" w:eastAsia="宋体" w:cs="Times New Roman"/>
    </w:rPr>
  </w:style>
  <w:style w:type="paragraph" w:styleId="11">
    <w:name w:val="Balloon Text"/>
    <w:basedOn w:val="1"/>
    <w:link w:val="27"/>
    <w:semiHidden/>
    <w:qFormat/>
    <w:uiPriority w:val="0"/>
    <w:pPr>
      <w:spacing w:after="0"/>
    </w:pPr>
    <w:rPr>
      <w:sz w:val="18"/>
      <w:szCs w:val="18"/>
    </w:rPr>
  </w:style>
  <w:style w:type="paragraph" w:styleId="12">
    <w:name w:val="footer"/>
    <w:basedOn w:val="1"/>
    <w:link w:val="33"/>
    <w:qFormat/>
    <w:uiPriority w:val="99"/>
    <w:pPr>
      <w:tabs>
        <w:tab w:val="center" w:pos="4153"/>
        <w:tab w:val="right" w:pos="8306"/>
      </w:tabs>
      <w:snapToGrid w:val="0"/>
    </w:pPr>
    <w:rPr>
      <w:sz w:val="18"/>
      <w:szCs w:val="18"/>
    </w:rPr>
  </w:style>
  <w:style w:type="paragraph" w:styleId="13">
    <w:name w:val="header"/>
    <w:basedOn w:val="1"/>
    <w:next w:val="7"/>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Body Text Indent 3"/>
    <w:basedOn w:val="1"/>
    <w:qFormat/>
    <w:uiPriority w:val="0"/>
    <w:pPr>
      <w:widowControl w:val="0"/>
      <w:spacing w:after="120"/>
      <w:ind w:left="420"/>
      <w:jc w:val="both"/>
    </w:pPr>
    <w:rPr>
      <w:rFonts w:ascii="宋体" w:hAnsi="宋体" w:eastAsia="宋体" w:cs="宋体"/>
      <w:sz w:val="16"/>
      <w:szCs w:val="16"/>
    </w:rPr>
  </w:style>
  <w:style w:type="paragraph" w:styleId="16">
    <w:name w:val="toc 2"/>
    <w:basedOn w:val="1"/>
    <w:next w:val="1"/>
    <w:qFormat/>
    <w:uiPriority w:val="39"/>
    <w:pPr>
      <w:ind w:left="420" w:leftChars="200"/>
    </w:pPr>
  </w:style>
  <w:style w:type="paragraph" w:styleId="17">
    <w:name w:val="Normal (Web)"/>
    <w:basedOn w:val="1"/>
    <w:qFormat/>
    <w:uiPriority w:val="0"/>
    <w:pPr>
      <w:spacing w:before="100" w:after="100"/>
    </w:pPr>
    <w:rPr>
      <w:rFonts w:ascii="宋体" w:hAnsi="宋体" w:eastAsia="宋体" w:cs="宋体"/>
      <w:sz w:val="24"/>
      <w:szCs w:val="24"/>
    </w:rPr>
  </w:style>
  <w:style w:type="table" w:styleId="19">
    <w:name w:val="Table Grid"/>
    <w:basedOn w:val="18"/>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qFormat/>
    <w:uiPriority w:val="99"/>
    <w:rPr>
      <w:u w:val="single"/>
    </w:rPr>
  </w:style>
  <w:style w:type="character" w:styleId="23">
    <w:name w:val="annotation reference"/>
    <w:basedOn w:val="20"/>
    <w:qFormat/>
    <w:uiPriority w:val="0"/>
    <w:rPr>
      <w:sz w:val="21"/>
      <w:szCs w:val="21"/>
    </w:rPr>
  </w:style>
  <w:style w:type="character" w:customStyle="1" w:styleId="24">
    <w:name w:val="Hyperlink.0"/>
    <w:qFormat/>
    <w:uiPriority w:val="99"/>
    <w:rPr>
      <w:rFonts w:ascii="微软雅黑" w:hAnsi="微软雅黑" w:eastAsia="微软雅黑"/>
      <w:sz w:val="24"/>
      <w:lang w:val="zh-TW" w:eastAsia="zh-TW"/>
    </w:rPr>
  </w:style>
  <w:style w:type="character" w:customStyle="1" w:styleId="25">
    <w:name w:val="页眉 Char"/>
    <w:basedOn w:val="20"/>
    <w:link w:val="13"/>
    <w:qFormat/>
    <w:uiPriority w:val="99"/>
    <w:rPr>
      <w:rFonts w:ascii="Arial Unicode MS" w:hAnsi="Arial Unicode MS" w:eastAsia="Times New Roman" w:cs="Arial Unicode MS"/>
      <w:color w:val="000000"/>
      <w:sz w:val="18"/>
      <w:szCs w:val="18"/>
      <w:u w:color="000000"/>
    </w:rPr>
  </w:style>
  <w:style w:type="character" w:customStyle="1" w:styleId="26">
    <w:name w:val="纯文本 Char"/>
    <w:link w:val="10"/>
    <w:qFormat/>
    <w:locked/>
    <w:uiPriority w:val="0"/>
    <w:rPr>
      <w:rFonts w:ascii="宋体" w:hAnsi="宋体" w:eastAsia="宋体"/>
      <w:color w:val="000000"/>
      <w:sz w:val="22"/>
      <w:szCs w:val="22"/>
      <w:u w:color="000000"/>
      <w:lang w:val="en-US" w:eastAsia="zh-CN" w:bidi="ar-SA"/>
    </w:rPr>
  </w:style>
  <w:style w:type="character" w:customStyle="1" w:styleId="27">
    <w:name w:val="批注框文本 Char"/>
    <w:basedOn w:val="20"/>
    <w:link w:val="11"/>
    <w:semiHidden/>
    <w:qFormat/>
    <w:locked/>
    <w:uiPriority w:val="0"/>
    <w:rPr>
      <w:rFonts w:ascii="Arial Unicode MS" w:hAnsi="Arial Unicode MS" w:cs="Arial Unicode MS"/>
      <w:color w:val="000000"/>
      <w:sz w:val="18"/>
      <w:szCs w:val="18"/>
      <w:u w:color="000000"/>
      <w:lang w:val="en-US" w:eastAsia="zh-CN" w:bidi="ar-SA"/>
    </w:rPr>
  </w:style>
  <w:style w:type="paragraph" w:customStyle="1" w:styleId="28">
    <w:name w:val="普通(网站) New"/>
    <w:qFormat/>
    <w:uiPriority w:val="0"/>
    <w:pPr>
      <w:spacing w:before="100" w:after="100"/>
    </w:pPr>
    <w:rPr>
      <w:rFonts w:ascii="宋体" w:hAnsi="宋体" w:eastAsia="宋体" w:cs="宋体"/>
      <w:color w:val="000000"/>
      <w:sz w:val="24"/>
      <w:szCs w:val="24"/>
      <w:u w:color="000000"/>
      <w:lang w:val="en-US" w:eastAsia="zh-CN" w:bidi="ar-SA"/>
    </w:rPr>
  </w:style>
  <w:style w:type="paragraph" w:customStyle="1" w:styleId="29">
    <w:name w:val="*正文"/>
    <w:basedOn w:val="1"/>
    <w:qFormat/>
    <w:uiPriority w:val="0"/>
    <w:pPr>
      <w:widowControl w:val="0"/>
      <w:spacing w:line="360" w:lineRule="auto"/>
      <w:ind w:firstLine="200" w:firstLineChars="200"/>
      <w:jc w:val="both"/>
    </w:pPr>
    <w:rPr>
      <w:rFonts w:ascii="宋体" w:hAnsi="宋体"/>
      <w:snapToGrid w:val="0"/>
      <w:sz w:val="24"/>
      <w:szCs w:val="24"/>
    </w:rPr>
  </w:style>
  <w:style w:type="character" w:customStyle="1" w:styleId="30">
    <w:name w:val="标题 3 Char"/>
    <w:basedOn w:val="20"/>
    <w:link w:val="5"/>
    <w:semiHidden/>
    <w:qFormat/>
    <w:uiPriority w:val="0"/>
    <w:rPr>
      <w:rFonts w:ascii="Arial Unicode MS" w:hAnsi="Arial Unicode MS" w:eastAsia="Times New Roman" w:cs="Arial Unicode MS"/>
      <w:b/>
      <w:bCs/>
      <w:color w:val="000000"/>
      <w:sz w:val="32"/>
      <w:szCs w:val="32"/>
      <w:u w:color="000000"/>
    </w:rPr>
  </w:style>
  <w:style w:type="paragraph" w:styleId="31">
    <w:name w:val="List Paragraph"/>
    <w:basedOn w:val="1"/>
    <w:qFormat/>
    <w:uiPriority w:val="99"/>
    <w:pPr>
      <w:widowControl w:val="0"/>
      <w:spacing w:after="0"/>
      <w:ind w:firstLine="420" w:firstLineChars="200"/>
      <w:jc w:val="both"/>
    </w:pPr>
    <w:rPr>
      <w:rFonts w:ascii="Calibri" w:hAnsi="Calibri" w:eastAsia="宋体" w:cs="Times New Roman"/>
      <w:color w:val="auto"/>
      <w:kern w:val="2"/>
      <w:sz w:val="21"/>
    </w:rPr>
  </w:style>
  <w:style w:type="paragraph" w:customStyle="1" w:styleId="32">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33">
    <w:name w:val="页脚 Char"/>
    <w:basedOn w:val="20"/>
    <w:link w:val="12"/>
    <w:qFormat/>
    <w:uiPriority w:val="99"/>
    <w:rPr>
      <w:rFonts w:ascii="Arial Unicode MS" w:hAnsi="Arial Unicode MS" w:eastAsia="Times New Roman" w:cs="Arial Unicode MS"/>
      <w:color w:val="000000"/>
      <w:sz w:val="18"/>
      <w:szCs w:val="18"/>
      <w:u w:color="000000"/>
    </w:rPr>
  </w:style>
  <w:style w:type="character" w:customStyle="1" w:styleId="34">
    <w:name w:val="标题 1 Char"/>
    <w:basedOn w:val="20"/>
    <w:link w:val="3"/>
    <w:qFormat/>
    <w:uiPriority w:val="99"/>
    <w:rPr>
      <w:rFonts w:ascii="宋体" w:hAnsi="宋体" w:eastAsia="宋体" w:cs="宋体"/>
      <w:b/>
      <w:bCs/>
      <w:color w:val="000000"/>
      <w:kern w:val="44"/>
      <w:sz w:val="32"/>
      <w:szCs w:val="32"/>
      <w:u w:color="000000"/>
    </w:rPr>
  </w:style>
  <w:style w:type="character" w:customStyle="1" w:styleId="35">
    <w:name w:val="标题 2 Char"/>
    <w:basedOn w:val="20"/>
    <w:link w:val="4"/>
    <w:qFormat/>
    <w:uiPriority w:val="99"/>
    <w:rPr>
      <w:rFonts w:ascii="Arial" w:hAnsi="Arial" w:eastAsia="黑体" w:cs="Times New Roman"/>
      <w:b/>
      <w:bCs/>
      <w:color w:val="000000"/>
      <w:sz w:val="32"/>
      <w:szCs w:val="32"/>
      <w:u w:color="000000"/>
    </w:rPr>
  </w:style>
  <w:style w:type="paragraph" w:customStyle="1" w:styleId="36">
    <w:name w:val="标题 2（网御星云）"/>
    <w:basedOn w:val="4"/>
    <w:next w:val="1"/>
    <w:qFormat/>
    <w:uiPriority w:val="0"/>
    <w:pPr>
      <w:widowControl w:val="0"/>
      <w:spacing w:before="0" w:after="0" w:line="412" w:lineRule="auto"/>
      <w:ind w:left="794" w:hanging="794"/>
    </w:pPr>
    <w:rPr>
      <w:rFonts w:cs="Arial"/>
      <w:bCs w:val="0"/>
      <w:color w:val="auto"/>
      <w:kern w:val="2"/>
    </w:rPr>
  </w:style>
  <w:style w:type="paragraph" w:customStyle="1" w:styleId="37">
    <w:name w:val="列出段落1"/>
    <w:basedOn w:val="1"/>
    <w:qFormat/>
    <w:uiPriority w:val="0"/>
    <w:pPr>
      <w:widowControl w:val="0"/>
      <w:spacing w:after="0" w:line="360" w:lineRule="auto"/>
      <w:ind w:firstLine="420" w:firstLineChars="200"/>
      <w:jc w:val="both"/>
    </w:pPr>
    <w:rPr>
      <w:rFonts w:ascii="Calibri" w:hAnsi="Calibri" w:eastAsia="宋体" w:cs="宋体"/>
      <w:color w:val="auto"/>
      <w:kern w:val="2"/>
      <w:sz w:val="24"/>
      <w:szCs w:val="24"/>
    </w:rPr>
  </w:style>
  <w:style w:type="character" w:customStyle="1" w:styleId="38">
    <w:name w:val="批注文字 Char"/>
    <w:basedOn w:val="20"/>
    <w:link w:val="8"/>
    <w:qFormat/>
    <w:uiPriority w:val="99"/>
    <w:rPr>
      <w:rFonts w:ascii="Times New Roman" w:hAnsi="Times New Roman" w:eastAsia="宋体" w:cs="Times New Roman"/>
      <w:sz w:val="21"/>
      <w:szCs w:val="21"/>
    </w:rPr>
  </w:style>
  <w:style w:type="character" w:customStyle="1" w:styleId="39">
    <w:name w:val="font181"/>
    <w:basedOn w:val="20"/>
    <w:qFormat/>
    <w:uiPriority w:val="0"/>
    <w:rPr>
      <w:rFonts w:hint="eastAsia" w:ascii="微软雅黑" w:hAnsi="微软雅黑" w:eastAsia="微软雅黑" w:cs="微软雅黑"/>
      <w:color w:val="000000"/>
      <w:sz w:val="18"/>
      <w:szCs w:val="18"/>
      <w:u w:val="none"/>
      <w:vertAlign w:val="superscript"/>
    </w:rPr>
  </w:style>
  <w:style w:type="character" w:customStyle="1" w:styleId="40">
    <w:name w:val="font51"/>
    <w:basedOn w:val="20"/>
    <w:qFormat/>
    <w:uiPriority w:val="0"/>
    <w:rPr>
      <w:rFonts w:hint="eastAsia" w:ascii="宋体" w:hAnsi="宋体" w:eastAsia="宋体" w:cs="宋体"/>
      <w:color w:val="000000"/>
      <w:sz w:val="18"/>
      <w:szCs w:val="18"/>
      <w:u w:val="none"/>
    </w:rPr>
  </w:style>
  <w:style w:type="character" w:customStyle="1" w:styleId="41">
    <w:name w:val="font151"/>
    <w:basedOn w:val="20"/>
    <w:qFormat/>
    <w:uiPriority w:val="0"/>
    <w:rPr>
      <w:rFonts w:hint="eastAsia" w:ascii="微软雅黑" w:hAnsi="微软雅黑" w:eastAsia="微软雅黑" w:cs="微软雅黑"/>
      <w:color w:val="000000"/>
      <w:sz w:val="18"/>
      <w:szCs w:val="18"/>
      <w:u w:val="none"/>
    </w:rPr>
  </w:style>
  <w:style w:type="character" w:customStyle="1" w:styleId="42">
    <w:name w:val="font191"/>
    <w:basedOn w:val="20"/>
    <w:qFormat/>
    <w:uiPriority w:val="0"/>
    <w:rPr>
      <w:rFonts w:ascii="Arial Unicode MS" w:hAnsi="Arial Unicode MS" w:eastAsia="Arial Unicode MS" w:cs="Arial Unicode MS"/>
      <w:color w:val="000000"/>
      <w:sz w:val="21"/>
      <w:szCs w:val="21"/>
      <w:u w:val="none"/>
    </w:rPr>
  </w:style>
  <w:style w:type="character" w:customStyle="1" w:styleId="43">
    <w:name w:val="font201"/>
    <w:basedOn w:val="20"/>
    <w:qFormat/>
    <w:uiPriority w:val="0"/>
    <w:rPr>
      <w:rFonts w:hint="default" w:ascii="Arial Unicode MS" w:hAnsi="Arial Unicode MS" w:eastAsia="Arial Unicode MS" w:cs="Arial Unicode MS"/>
      <w:color w:val="000000"/>
      <w:sz w:val="21"/>
      <w:szCs w:val="21"/>
      <w:u w:val="none"/>
      <w:vertAlign w:val="superscript"/>
    </w:rPr>
  </w:style>
  <w:style w:type="paragraph" w:customStyle="1" w:styleId="4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53286-ADC2-431C-978A-C696A40A1262}">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90</Pages>
  <Words>8285</Words>
  <Characters>47230</Characters>
  <Lines>393</Lines>
  <Paragraphs>110</Paragraphs>
  <TotalTime>155</TotalTime>
  <ScaleCrop>false</ScaleCrop>
  <LinksUpToDate>false</LinksUpToDate>
  <CharactersWithSpaces>55405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2021-04-26T04:03:00Z</dcterms:created>
  <dc:creator>微软用户</dc:creator>
  <cp:lastModifiedBy>Administrator</cp:lastModifiedBy>
  <cp:lastPrinted>2021-05-10T07:50:00Z</cp:lastPrinted>
  <dcterms:modified xsi:type="dcterms:W3CDTF">2021-06-09T08:18:21Z</dcterms:modified>
  <dc:title>国家税务总局东方市税务局</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AC1CE1348B3A4202B35FACB629F619FD</vt:lpwstr>
  </property>
</Properties>
</file>