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A7" w:rsidRDefault="00917DA7" w:rsidP="00917DA7">
      <w:pPr>
        <w:spacing w:line="360" w:lineRule="exact"/>
        <w:jc w:val="center"/>
        <w:rPr>
          <w:rFonts w:ascii="宋体" w:hAnsi="宋体" w:hint="eastAsia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第七部分-招标项目需求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1460"/>
        <w:gridCol w:w="10933"/>
        <w:gridCol w:w="850"/>
        <w:gridCol w:w="851"/>
      </w:tblGrid>
      <w:tr w:rsidR="00917DA7" w:rsidTr="00B82DCD">
        <w:trPr>
          <w:trHeight w:val="348"/>
        </w:trPr>
        <w:tc>
          <w:tcPr>
            <w:tcW w:w="79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采购品目名称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参考型号及技术参数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 w:rsidR="00917DA7" w:rsidTr="00B82DCD">
        <w:trPr>
          <w:trHeight w:val="792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示波器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双模拟通道，100MHZ带宽，数字存储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917DA7" w:rsidTr="00B82DCD">
        <w:trPr>
          <w:trHeight w:val="1178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高精度3D打印机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成型体积：14.5 × 14.5 × 18.5 cm；打印层高：25 - 300 微米；光斑大小：85 微米激光光斑；激光功率：250 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mW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；测试耗材一套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17DA7" w:rsidTr="00B82DCD">
        <w:trPr>
          <w:trHeight w:val="852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高速3D打印机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成型体积：18 × 10 ×20 cm；分辨率精度0.095mm，打印速度2-15s/层；分辨率1920*1080；测试耗材一套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17DA7" w:rsidTr="00B82DCD">
        <w:trPr>
          <w:trHeight w:val="3900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超声教学实验系统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1.发射模式：A-line发射（可编程聚焦深度），发射电平可调，最大±60V；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2.实验教案个数不少于10个；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3.可连续不低于40次发射事件；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4.便携：10寸防护平板，Windows10系统；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5.电源输入：12V/2A 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6.采样时钟：40MHz；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7.采样分辨率：12 bits；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8.采样数目：2048采样点/通道；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9.外部触发2个；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10.多路数字测试信号不低于32种；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11.HDMI输出；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12.支持触摸屏；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13.JTAG在线调试；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14.显示分辨率不低于1280*800；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15.支持VC二次开发；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17DA7" w:rsidTr="00B82DCD">
        <w:trPr>
          <w:trHeight w:val="6060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人体生理参数监测系统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1.▲CPU：ARM+FPGA双结构；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2.电源：AC220 DC12V/2A电源适配器；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3.开关：电源开关；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4.LCD：至少可以显示背光模式、数据模式、通讯模式和参数模式；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5.按键：至少可以进行功能和模式切换；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6.背光模式：背光开和背光关；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7.数据模式：至少支持演示模式和实时模式；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8.通讯模式：至少支持USB、UART、BT和Wi-Fi；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9.参数模式：至少支持体温、血氧、血压、呼吸、心电五个参数，支持单个参数独立传输，支持五个参数同时传输；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10.心电参数：心电信号测量范围：30~350BPM，误差±2BPM，可实时输出，也可模拟输出；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11.血氧参数：血氧信号测量范围：0~100%，分辨率1%，精度2%（70%~100%），3%（40~69%），脉搏次数：20~250BPM，可实时输出，也可模拟输出；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12.体温参数：温度信号测温范围：0℃~+45℃，精度为±0.1℃，可实时输出，也可模拟输出；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13.呼吸参数：呼吸率范围：5~60BPM，误差±1BPM，可实时输出，也可模拟输出；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14.血压参数：收缩压范围：60mmHg~240mmHg、平均压范围：40mmHg~210mmHg、舒张压范围：30mmHg~190mmHg，误差±5mmHg，可实时输出，也可模拟输出；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15.配套软件：开放源码的Android移动开发软件，能够实时测量和显示心电、血氧、体温、呼吸、呼吸波形和数据，可以进行Java移动开发；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16.配套软件的计算机软件著作权登记证书复印件；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17.▲通讯协议：人体生理参数监测系统的通讯协议完全开放，并配套至少包括C语言、C#语言、Java语言和MATLAB语言版本的标准接口，支持上位机软件的二次开发；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18.▲配套资料：完整的C、C#、Java、MATLAB版本源码，以及实验讲义、配套实验和实验教材；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917DA7" w:rsidTr="00B82DCD">
        <w:trPr>
          <w:trHeight w:val="6192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医学信号采集平台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1.▲CPU：ARM+FPGA双结构；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2.电源：AC220 DC12V/2A电源适配器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3.开关：电源开关；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4.LCD：至少可以显示背光模式和通讯模式；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5.按键：至少可以进行功能和模式切换；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6.背光模式：背光开和背光关；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7.通讯模式：至少支持USB、UART、BT和Wi-Fi；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8.参数模式：至少支持体温、血氧、血压、呼吸、心电五个参数的原始信号独立传输；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9.心电信号：至少一路心电原始信号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10.血氧信号：至少一路血氧原始信号；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11.体温信号：至少两路体温原始信号；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12.呼吸信号：至少一路呼吸原始信号；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13.血压信号：至少包含脉搏波信号和袖带压信号；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14.配套软件：开放源码的五个上位机软件，能够对人体生命信息参数（体温、血氧、血压、呼吸、心电）的原始信号进行实时采集和处理，功能包括，波形数据存储，波形显示设置（比例1/4、1/2、1、2、4），数据处理（FFT、FIR、IIR），参数计算（体温、血氧饱和度、血压、呼吸滤、心率），演示数据回放等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15.配套软件的计算机软件著作权登记证书；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16.▲通讯协议：医学信号采集平台的通讯协议完全开放，并配套MATLAB语言版本的标准接口，支持上位机软件的二次开发；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17.开发控制系统：支持对医学信号采集平台的参数配置；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18.▲配套资料：完整的源码，以及实验讲义、配套实验和实验教材；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917DA7" w:rsidTr="00B82DCD">
        <w:trPr>
          <w:trHeight w:val="1845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生物医学智能传感电子设备平台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1.▲CPU：ARM Cortex-M4；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2.电源：DC12V/2A电源适配器；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3.JTAG/SWD接口：支持JLINK和ST-LINK下载和调试；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4.电容触摸屏：7寸串口电容触摸屏，分辨率不低于800*480，带蜂鸣器；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5.OLED：分辨率不低于128*64；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6.USB转UART：至少1路，可以连接到计算机；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7.环境温湿度传感器：SHT20；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8.热敏电阻测温传感器：NTC热敏电阻；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9.红外测温传感器：支持；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10.红光光电传感器：支持；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11.红外光光电传感器：支持；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12.超声测距传感器：HC-SR04；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13.测速光电传感器：支持；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14.红外反射传感器：支持；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15.电容触摸传感器：8位电容触摸条；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16.空气质量传感器：DSH02-N；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17.甲醛检测传感器：WZ-H3-NK；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18.压力传感器：支持；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19.热释电探头红外传感器：HC-SR501；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20.继电器：2组；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21.直流电机：支持；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22.蓝牙：串口蓝牙；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23.Wi-Fi：串口Wi-Fi；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24.远距通信：NL668；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25.物联通信：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LoRa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26.独立LED：3位；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27.独立按键：4位；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28.蜂鸣器：1位；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917DA7" w:rsidTr="00B82DCD">
        <w:trPr>
          <w:trHeight w:val="4212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液面检测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与移液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实验平台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1.平台尺寸：长不大于600mm、宽不大于500mm、高不大于500mm；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2.水平电机行程：不小于170个单位；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3.垂直电机行程：不小于30mm；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4.步进电机相数：2相4线；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5.滚珠花键规格：WSP12；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6.▲液面检测灵敏度：不大于2uL；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7.加样针材料：钛合金；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8.光电开关数量：不少于2个；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9.柱塞泵量程：不小于1000uL；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10.柱塞泵精度：不大于5uL；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11.▲试管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架位置数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：不小于7个；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12.▲配套资料：配套完整的单片机C版本源码，以及实验讲义、配套实验和实验教材，包括（1）步进电机微步细分控制实验（2）光电开关——电机联合 控制实验（3）加样针液面探测实验（4）液面探测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与随吸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实验（5）高精度加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样控制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实验；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17DA7" w:rsidTr="00B82DCD">
        <w:trPr>
          <w:trHeight w:val="1210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直线加样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与液路清洗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平台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平台尺寸：长不大于5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>mm、宽不大于300mm、高不大于4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0mm；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2.水平电机行程：不小于200mm；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3.垂直电机行程：不小于92mm；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4.样本位数：不少于2；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5.步进电机相数：2相4线；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6.液面探测精度：不大于2uL；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7.</w:t>
            </w:r>
            <w:r>
              <w:rPr>
                <w:rFonts w:ascii="宋体" w:hAnsi="宋体" w:hint="eastAsia"/>
                <w:color w:val="000000"/>
                <w:szCs w:val="21"/>
              </w:rPr>
              <w:t>▲加样针材料：钛合金-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特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氟龙；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8.清洗方式：内外壁清洗；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9.滚珠花键规格：WSP12；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10.光电开关数量：不少于3；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11.柱塞泵量程：不小于1000uL；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12.柱塞泵精度：不大于5uL；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13.电磁阀电压：不低于12V；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14.电磁阀端口数：不少于3；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15.隔膜泵流量：不小于300mL/min；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16.隔膜泵电压：不低于12V；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17.旋转泵流量：不小于320mL/min；</w:t>
            </w:r>
          </w:p>
          <w:p w:rsidR="00917DA7" w:rsidRDefault="00917DA7" w:rsidP="00B82DCD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18.▲配套资料：提供完整的单片机C版本源码，以及实验讲义、配套实验和实验教材，包括（1）步进电机微步细分控制实验（2）光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耦一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电机联合控制实验（3）取样针液面探测实验（4）液面探测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与随吸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实验（5）高精度加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样控制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实验（6）PWM泵阀控制实验（7）直线加样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与液路清洗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平台控制实验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17DA7" w:rsidTr="00B82DCD">
        <w:trPr>
          <w:trHeight w:val="1210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全自动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移液移杯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实验平台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1.平台尺寸：长不大于350mm、宽不大于300mm、高不大于400mm；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2.加样电机角度：不小于170°；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夹爪电机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行程：X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轴不小于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160mm、Y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轴不小于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130mm、Z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轴不小于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58mm；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4.步进电机相数：2相4线；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5.滚珠花键规格：WSP12；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6.▲矩阵样本位数：不少于20；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7.反应盘样本位数：不少于20；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8.加样位数：不少于5；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9.加样针材料：钛合金；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10.光电开关数量：不少于3个；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夹爪通信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方式：至少包括485、CAN；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夹爪最大夹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持力：不小于35N；</w:t>
            </w:r>
          </w:p>
          <w:p w:rsidR="00917DA7" w:rsidRDefault="00917DA7" w:rsidP="00B82DCD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夹爪行程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：不小于8mm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17DA7" w:rsidTr="00B82DCD">
        <w:trPr>
          <w:trHeight w:val="1210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液路凝块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检测实验平台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平台尺寸：长不大于</w:t>
            </w:r>
            <w:r>
              <w:rPr>
                <w:rFonts w:ascii="宋体" w:hAnsi="宋体"/>
                <w:color w:val="000000"/>
                <w:szCs w:val="21"/>
              </w:rPr>
              <w:t>400mm</w:t>
            </w:r>
            <w:r>
              <w:rPr>
                <w:rFonts w:ascii="宋体" w:hAnsi="宋体" w:hint="eastAsia"/>
                <w:color w:val="000000"/>
                <w:szCs w:val="21"/>
              </w:rPr>
              <w:t>、宽不大于</w:t>
            </w:r>
            <w:r>
              <w:rPr>
                <w:rFonts w:ascii="宋体" w:hAnsi="宋体"/>
                <w:color w:val="000000"/>
                <w:szCs w:val="21"/>
              </w:rPr>
              <w:t xml:space="preserve">400mm </w:t>
            </w:r>
            <w:r>
              <w:rPr>
                <w:rFonts w:ascii="宋体" w:hAnsi="宋体" w:hint="eastAsia"/>
                <w:color w:val="000000"/>
                <w:szCs w:val="21"/>
              </w:rPr>
              <w:t>、高不大于</w:t>
            </w:r>
            <w:r>
              <w:rPr>
                <w:rFonts w:ascii="宋体" w:hAnsi="宋体"/>
                <w:color w:val="000000"/>
                <w:szCs w:val="21"/>
              </w:rPr>
              <w:t>350mm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2.水平电机行程：不小于170°；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3.竖直电机行程：不小于</w:t>
            </w:r>
            <w:r>
              <w:rPr>
                <w:rFonts w:ascii="宋体" w:hAnsi="宋体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mm；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>
              <w:rPr>
                <w:rFonts w:ascii="宋体" w:hAnsi="宋体"/>
                <w:color w:val="000000"/>
                <w:szCs w:val="21"/>
              </w:rPr>
              <w:t>反应盘位数：</w:t>
            </w:r>
            <w:r>
              <w:rPr>
                <w:rFonts w:ascii="宋体" w:hAnsi="宋体" w:hint="eastAsia"/>
                <w:color w:val="000000"/>
                <w:szCs w:val="21"/>
              </w:rPr>
              <w:t>不少于2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5.步进电机相数：2相4线；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6.液面检测精度：不大于2uL；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7.取样针材料：钛合金-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特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氟龙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8.滚珠花键规格：WSP12；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9.槽型光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数量：不少于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10.流体压力传感器量程：0</w:t>
            </w:r>
            <w:r>
              <w:rPr>
                <w:rFonts w:ascii="宋体" w:hAnsi="宋体"/>
                <w:color w:val="000000"/>
                <w:szCs w:val="21"/>
              </w:rPr>
              <w:t>~100psi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11.流体压力传感器精度：不高于1</w:t>
            </w:r>
            <w:r>
              <w:rPr>
                <w:rFonts w:ascii="宋体" w:hAnsi="宋体"/>
                <w:color w:val="000000"/>
                <w:szCs w:val="21"/>
              </w:rPr>
              <w:t>.0mV/psi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12.柱塞泵量程：不小于1000 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uL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13.柱塞泵精度：不大于5 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uL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14.电磁阀电压:</w:t>
            </w:r>
            <w:r>
              <w:rPr>
                <w:rFonts w:ascii="宋体" w:hAnsi="宋体"/>
                <w:color w:val="000000"/>
                <w:szCs w:val="21"/>
              </w:rPr>
              <w:t>12V/24V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15.电磁阀端口数:不少于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16.隔膜泵流量:不小于</w:t>
            </w:r>
            <w:r>
              <w:rPr>
                <w:rFonts w:ascii="宋体" w:hAnsi="宋体"/>
                <w:color w:val="000000"/>
                <w:szCs w:val="21"/>
              </w:rPr>
              <w:t>300mL/min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17.隔膜泵电压:</w:t>
            </w:r>
            <w:r>
              <w:rPr>
                <w:rFonts w:ascii="宋体" w:hAnsi="宋体"/>
                <w:color w:val="000000"/>
                <w:szCs w:val="21"/>
              </w:rPr>
              <w:t>12V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917DA7" w:rsidRDefault="00917DA7" w:rsidP="00B82DCD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18.旋转泵流量:不小于</w:t>
            </w:r>
            <w:r>
              <w:rPr>
                <w:rFonts w:ascii="宋体" w:hAnsi="宋体"/>
                <w:color w:val="000000"/>
                <w:szCs w:val="21"/>
              </w:rPr>
              <w:t>320mL/min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917DA7" w:rsidTr="00B82DCD">
        <w:trPr>
          <w:trHeight w:val="780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宽场光学准直扫描教学平台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扫描距离 37.8 ± 4 mm，工作波长450 to 1100 nm，扫描透镜有效焦距50 mm，扫描透镜工作距离26.4 mm，管透镜工作波段400 - 1300 nm，有效焦距148 mm，管透镜与扫描透镜组合消色差，光纤准直器FC接口，工作波段400-2000nm，全波段消色差，单模扫描蓝色激光，功率不稳定性小于1%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17DA7" w:rsidTr="00B82DCD">
        <w:trPr>
          <w:trHeight w:val="1669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高速光电数据采集教学模块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感光材料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Multialkali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，工作波段300 - 800 nm，光电转换你效率51 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mA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/W (at 420 nm)，工作元件尺寸Ø21 mm，带放大，采样，两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计数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器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数字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触发4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AI（12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位，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 MS/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s/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ch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），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AO，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DIO，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PCI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多功能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I/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设备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17DA7" w:rsidTr="00B82DCD">
        <w:trPr>
          <w:trHeight w:val="780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光学机械组合教学模块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 滤光片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笼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组合，2. 透镜笼式组合，3. 光纤准直器组合，4. 光电探测器安装套管，5.物镜安装套管，6. 可调焦套管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17DA7" w:rsidTr="00B82DCD">
        <w:trPr>
          <w:trHeight w:val="912"/>
        </w:trPr>
        <w:tc>
          <w:tcPr>
            <w:tcW w:w="791" w:type="dxa"/>
            <w:noWrap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6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10933" w:type="dxa"/>
            <w:vAlign w:val="center"/>
          </w:tcPr>
          <w:p w:rsidR="00917DA7" w:rsidRDefault="00917DA7" w:rsidP="00B82D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S1248    48个10/100/1000Mbps自适应以太网端口，交换容量96Gpbs，包转发率71.4Mpps</w:t>
            </w:r>
          </w:p>
        </w:tc>
        <w:tc>
          <w:tcPr>
            <w:tcW w:w="850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851" w:type="dxa"/>
            <w:vAlign w:val="center"/>
          </w:tcPr>
          <w:p w:rsidR="00917DA7" w:rsidRDefault="00917DA7" w:rsidP="00B82D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917DA7" w:rsidRDefault="00917DA7" w:rsidP="00917DA7">
      <w:pPr>
        <w:tabs>
          <w:tab w:val="left" w:pos="6131"/>
        </w:tabs>
        <w:jc w:val="left"/>
        <w:rPr>
          <w:rFonts w:hint="eastAsia"/>
          <w:sz w:val="24"/>
        </w:rPr>
      </w:pPr>
    </w:p>
    <w:p w:rsidR="004003C1" w:rsidRPr="00917DA7" w:rsidRDefault="00B9259E" w:rsidP="00917DA7"/>
    <w:sectPr w:rsidR="004003C1" w:rsidRPr="00917DA7"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9E" w:rsidRDefault="00B9259E" w:rsidP="004D65FC">
      <w:r>
        <w:separator/>
      </w:r>
    </w:p>
  </w:endnote>
  <w:endnote w:type="continuationSeparator" w:id="0">
    <w:p w:rsidR="00B9259E" w:rsidRDefault="00B9259E" w:rsidP="004D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9E" w:rsidRDefault="00B9259E" w:rsidP="004D65FC">
      <w:r>
        <w:separator/>
      </w:r>
    </w:p>
  </w:footnote>
  <w:footnote w:type="continuationSeparator" w:id="0">
    <w:p w:rsidR="00B9259E" w:rsidRDefault="00B9259E" w:rsidP="004D6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FEE0"/>
    <w:multiLevelType w:val="singleLevel"/>
    <w:tmpl w:val="016AFEE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A7"/>
    <w:rsid w:val="00004CBA"/>
    <w:rsid w:val="000051B0"/>
    <w:rsid w:val="00241762"/>
    <w:rsid w:val="00446282"/>
    <w:rsid w:val="004D65FC"/>
    <w:rsid w:val="00664EEE"/>
    <w:rsid w:val="007F1CD7"/>
    <w:rsid w:val="00870B27"/>
    <w:rsid w:val="008B2EA7"/>
    <w:rsid w:val="00917DA7"/>
    <w:rsid w:val="00B9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B2EA7"/>
    <w:pPr>
      <w:jc w:val="left"/>
    </w:pPr>
  </w:style>
  <w:style w:type="character" w:customStyle="1" w:styleId="Char">
    <w:name w:val="批注文字 Char"/>
    <w:basedOn w:val="a0"/>
    <w:link w:val="a3"/>
    <w:qFormat/>
    <w:rsid w:val="008B2EA7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qFormat/>
    <w:rsid w:val="008B2EA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4"/>
    <w:uiPriority w:val="99"/>
    <w:qFormat/>
    <w:rsid w:val="008B2EA7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4D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D65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663</Words>
  <Characters>3783</Characters>
  <Application>Microsoft Office Word</Application>
  <DocSecurity>0</DocSecurity>
  <Lines>31</Lines>
  <Paragraphs>8</Paragraphs>
  <ScaleCrop>false</ScaleCrop>
  <Company>china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2021-07-02T01:27:00Z</dcterms:created>
  <dcterms:modified xsi:type="dcterms:W3CDTF">2021-07-02T01:27:00Z</dcterms:modified>
</cp:coreProperties>
</file>