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Lines="0" w:after="0" w:afterLines="0" w:line="360" w:lineRule="auto"/>
        <w:rPr>
          <w:color w:val="auto"/>
          <w:sz w:val="24"/>
          <w:szCs w:val="24"/>
        </w:rPr>
      </w:pPr>
      <w:bookmarkStart w:id="0" w:name="_Toc9517"/>
      <w:r>
        <w:rPr>
          <w:rFonts w:hint="eastAsia"/>
          <w:color w:val="auto"/>
          <w:sz w:val="24"/>
          <w:szCs w:val="24"/>
        </w:rPr>
        <w:t xml:space="preserve">第四章 </w:t>
      </w:r>
      <w:r>
        <w:rPr>
          <w:rFonts w:hint="eastAsia"/>
          <w:color w:val="auto"/>
          <w:sz w:val="24"/>
          <w:szCs w:val="24"/>
          <w:lang w:eastAsia="zh-CN"/>
        </w:rPr>
        <w:t>采购</w:t>
      </w:r>
      <w:r>
        <w:rPr>
          <w:rFonts w:hint="eastAsia"/>
          <w:color w:val="auto"/>
          <w:sz w:val="24"/>
          <w:szCs w:val="24"/>
        </w:rPr>
        <w:t>需求</w:t>
      </w:r>
      <w:bookmarkEnd w:id="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Calibri" w:cs="Times New Roman"/>
          <w:b/>
          <w:color w:val="auto"/>
          <w:sz w:val="24"/>
          <w:szCs w:val="24"/>
          <w:lang w:eastAsia="zh-CN"/>
        </w:rPr>
      </w:pPr>
      <w:r>
        <w:rPr>
          <w:rFonts w:hint="eastAsia" w:ascii="宋体" w:hAnsi="宋体" w:eastAsia="Calibri" w:cs="Times New Roman"/>
          <w:b/>
          <w:color w:val="auto"/>
          <w:sz w:val="24"/>
          <w:szCs w:val="24"/>
          <w:lang w:eastAsia="zh-CN"/>
        </w:rPr>
        <w:t>一、采购对象需实现的功能或者目标</w:t>
      </w:r>
    </w:p>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Calibri" w:hAnsi="Calibri" w:eastAsia="Calibri" w:cs="Times New Roman"/>
          <w:color w:val="auto"/>
          <w:sz w:val="24"/>
          <w:szCs w:val="24"/>
          <w:lang w:eastAsia="zh-CN"/>
        </w:rPr>
      </w:pPr>
      <w:r>
        <w:rPr>
          <w:rFonts w:hint="eastAsia"/>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w:t>
      </w:r>
      <w:r>
        <w:rPr>
          <w:rFonts w:hint="eastAsia" w:ascii="Calibri" w:hAnsi="Calibri" w:eastAsia="Calibri" w:cs="Times New Roman"/>
          <w:color w:val="auto"/>
          <w:sz w:val="24"/>
          <w:szCs w:val="24"/>
          <w:lang w:eastAsia="zh-CN"/>
        </w:rPr>
        <w:t>业标准、地方标准等规范。</w:t>
      </w:r>
    </w:p>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Calibri" w:hAnsi="Calibri" w:eastAsia="Calibri" w:cs="Times New Roman"/>
          <w:color w:val="auto"/>
          <w:sz w:val="24"/>
          <w:szCs w:val="24"/>
          <w:lang w:val="en-US" w:eastAsia="zh-CN"/>
        </w:rPr>
      </w:pPr>
      <w:r>
        <w:rPr>
          <w:rFonts w:hint="eastAsia" w:ascii="Calibri" w:hAnsi="Calibri" w:eastAsia="Calibri" w:cs="Times New Roman"/>
          <w:color w:val="auto"/>
          <w:sz w:val="24"/>
          <w:szCs w:val="24"/>
          <w:lang w:val="en-US" w:eastAsia="zh-CN"/>
        </w:rPr>
        <w:t>本项目采购标的对应的中小企业划分标准所属行业：</w:t>
      </w:r>
      <w:r>
        <w:rPr>
          <w:rFonts w:hint="eastAsia" w:ascii="Calibri" w:hAnsi="Calibri" w:eastAsia="Calibri" w:cs="Times New Roman"/>
          <w:color w:val="auto"/>
          <w:sz w:val="24"/>
          <w:szCs w:val="24"/>
          <w:u w:val="single"/>
          <w:lang w:val="en-US" w:eastAsia="zh-CN"/>
        </w:rPr>
        <w:t xml:space="preserve"> 零售业  </w:t>
      </w:r>
      <w:r>
        <w:rPr>
          <w:rFonts w:hint="eastAsia" w:ascii="Calibri" w:hAnsi="Calibri" w:eastAsia="Calibri"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Calibri" w:cs="Times New Roman"/>
          <w:b/>
          <w:color w:val="auto"/>
          <w:sz w:val="24"/>
          <w:szCs w:val="24"/>
          <w:lang w:eastAsia="zh-CN"/>
        </w:rPr>
      </w:pPr>
      <w:r>
        <w:rPr>
          <w:rFonts w:hint="eastAsia" w:ascii="宋体" w:hAnsi="宋体" w:eastAsia="Calibri" w:cs="Times New Roman"/>
          <w:b/>
          <w:color w:val="auto"/>
          <w:sz w:val="24"/>
          <w:szCs w:val="24"/>
          <w:lang w:eastAsia="zh-CN"/>
        </w:rPr>
        <w:t>二、满足项目需要的技术、服务、安全等要求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4221"/>
        <w:gridCol w:w="133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38" w:type="dxa"/>
            <w:noWrap w:val="0"/>
            <w:vAlign w:val="center"/>
          </w:tcPr>
          <w:p>
            <w:pPr>
              <w:spacing w:line="360" w:lineRule="auto"/>
              <w:jc w:val="center"/>
              <w:rPr>
                <w:rFonts w:hint="eastAsia"/>
                <w:sz w:val="24"/>
                <w:szCs w:val="24"/>
              </w:rPr>
            </w:pPr>
            <w:r>
              <w:rPr>
                <w:rFonts w:hint="eastAsia"/>
                <w:sz w:val="24"/>
                <w:szCs w:val="24"/>
              </w:rPr>
              <w:t>序号</w:t>
            </w:r>
          </w:p>
        </w:tc>
        <w:tc>
          <w:tcPr>
            <w:tcW w:w="4221" w:type="dxa"/>
            <w:noWrap w:val="0"/>
            <w:vAlign w:val="center"/>
          </w:tcPr>
          <w:p>
            <w:pPr>
              <w:spacing w:line="360" w:lineRule="auto"/>
              <w:jc w:val="center"/>
              <w:rPr>
                <w:rFonts w:hint="eastAsia"/>
                <w:sz w:val="24"/>
                <w:szCs w:val="24"/>
              </w:rPr>
            </w:pPr>
            <w:r>
              <w:rPr>
                <w:rFonts w:hint="eastAsia"/>
                <w:sz w:val="24"/>
                <w:szCs w:val="24"/>
              </w:rPr>
              <w:t>货物名称</w:t>
            </w:r>
          </w:p>
        </w:tc>
        <w:tc>
          <w:tcPr>
            <w:tcW w:w="1330" w:type="dxa"/>
            <w:noWrap w:val="0"/>
            <w:vAlign w:val="center"/>
          </w:tcPr>
          <w:p>
            <w:pPr>
              <w:spacing w:line="360" w:lineRule="auto"/>
              <w:jc w:val="center"/>
              <w:rPr>
                <w:rFonts w:hint="eastAsia"/>
                <w:sz w:val="24"/>
                <w:szCs w:val="24"/>
              </w:rPr>
            </w:pPr>
            <w:r>
              <w:rPr>
                <w:rFonts w:hint="eastAsia"/>
                <w:sz w:val="24"/>
                <w:szCs w:val="24"/>
              </w:rPr>
              <w:t>单位</w:t>
            </w:r>
          </w:p>
        </w:tc>
        <w:tc>
          <w:tcPr>
            <w:tcW w:w="1429" w:type="dxa"/>
            <w:noWrap w:val="0"/>
            <w:vAlign w:val="center"/>
          </w:tcPr>
          <w:p>
            <w:pPr>
              <w:spacing w:line="360" w:lineRule="auto"/>
              <w:jc w:val="center"/>
              <w:rPr>
                <w:rFonts w:hint="eastAsia"/>
                <w:sz w:val="24"/>
                <w:szCs w:val="24"/>
              </w:rPr>
            </w:pPr>
            <w:r>
              <w:rPr>
                <w:rFonts w:hint="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38" w:type="dxa"/>
            <w:noWrap w:val="0"/>
            <w:vAlign w:val="center"/>
          </w:tcPr>
          <w:p>
            <w:pPr>
              <w:spacing w:line="360" w:lineRule="auto"/>
              <w:jc w:val="center"/>
              <w:rPr>
                <w:sz w:val="24"/>
                <w:szCs w:val="24"/>
              </w:rPr>
            </w:pPr>
            <w:r>
              <w:rPr>
                <w:rFonts w:hint="eastAsia"/>
                <w:sz w:val="24"/>
                <w:szCs w:val="24"/>
              </w:rPr>
              <w:t>1</w:t>
            </w:r>
          </w:p>
        </w:tc>
        <w:tc>
          <w:tcPr>
            <w:tcW w:w="4221" w:type="dxa"/>
            <w:noWrap w:val="0"/>
            <w:vAlign w:val="center"/>
          </w:tcPr>
          <w:p>
            <w:pPr>
              <w:spacing w:line="360" w:lineRule="auto"/>
              <w:jc w:val="center"/>
              <w:rPr>
                <w:rFonts w:hint="eastAsia"/>
                <w:sz w:val="24"/>
                <w:szCs w:val="24"/>
              </w:rPr>
            </w:pPr>
            <w:r>
              <w:rPr>
                <w:sz w:val="24"/>
                <w:szCs w:val="24"/>
                <w:lang w:bidi="zh-CN"/>
              </w:rPr>
              <w:t>遗传分析仪</w:t>
            </w:r>
          </w:p>
        </w:tc>
        <w:tc>
          <w:tcPr>
            <w:tcW w:w="1330" w:type="dxa"/>
            <w:noWrap w:val="0"/>
            <w:vAlign w:val="center"/>
          </w:tcPr>
          <w:p>
            <w:pPr>
              <w:spacing w:line="360" w:lineRule="auto"/>
              <w:jc w:val="center"/>
              <w:rPr>
                <w:sz w:val="24"/>
                <w:szCs w:val="24"/>
              </w:rPr>
            </w:pPr>
            <w:r>
              <w:rPr>
                <w:rFonts w:hint="eastAsia"/>
                <w:sz w:val="24"/>
                <w:szCs w:val="24"/>
              </w:rPr>
              <w:t>1</w:t>
            </w:r>
          </w:p>
        </w:tc>
        <w:tc>
          <w:tcPr>
            <w:tcW w:w="1429" w:type="dxa"/>
            <w:noWrap w:val="0"/>
            <w:vAlign w:val="center"/>
          </w:tcPr>
          <w:p>
            <w:pPr>
              <w:spacing w:line="360" w:lineRule="auto"/>
              <w:jc w:val="center"/>
              <w:rPr>
                <w:rFonts w:hint="eastAsia"/>
                <w:sz w:val="24"/>
                <w:szCs w:val="24"/>
              </w:rPr>
            </w:pPr>
            <w:r>
              <w:rPr>
                <w:rFonts w:hint="eastAsia"/>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38" w:type="dxa"/>
            <w:noWrap w:val="0"/>
            <w:vAlign w:val="center"/>
          </w:tcPr>
          <w:p>
            <w:pPr>
              <w:spacing w:line="360" w:lineRule="auto"/>
              <w:jc w:val="center"/>
              <w:rPr>
                <w:sz w:val="24"/>
                <w:szCs w:val="24"/>
              </w:rPr>
            </w:pPr>
            <w:r>
              <w:rPr>
                <w:rFonts w:hint="eastAsia"/>
                <w:sz w:val="24"/>
                <w:szCs w:val="24"/>
              </w:rPr>
              <w:t>2</w:t>
            </w:r>
          </w:p>
        </w:tc>
        <w:tc>
          <w:tcPr>
            <w:tcW w:w="4221" w:type="dxa"/>
            <w:noWrap w:val="0"/>
            <w:vAlign w:val="center"/>
          </w:tcPr>
          <w:p>
            <w:pPr>
              <w:spacing w:line="360" w:lineRule="auto"/>
              <w:jc w:val="center"/>
              <w:rPr>
                <w:rFonts w:hint="eastAsia"/>
                <w:sz w:val="24"/>
                <w:szCs w:val="24"/>
              </w:rPr>
            </w:pPr>
            <w:r>
              <w:rPr>
                <w:sz w:val="24"/>
                <w:szCs w:val="24"/>
                <w:lang w:bidi="zh-CN"/>
              </w:rPr>
              <w:t xml:space="preserve">PCR </w:t>
            </w:r>
            <w:r>
              <w:rPr>
                <w:rFonts w:hint="eastAsia"/>
                <w:sz w:val="24"/>
                <w:szCs w:val="24"/>
                <w:lang w:bidi="zh-CN"/>
              </w:rPr>
              <w:t>基因</w:t>
            </w:r>
            <w:r>
              <w:rPr>
                <w:sz w:val="24"/>
                <w:szCs w:val="24"/>
                <w:lang w:bidi="zh-CN"/>
              </w:rPr>
              <w:t>扩增仪</w:t>
            </w:r>
          </w:p>
        </w:tc>
        <w:tc>
          <w:tcPr>
            <w:tcW w:w="1330" w:type="dxa"/>
            <w:noWrap w:val="0"/>
            <w:vAlign w:val="center"/>
          </w:tcPr>
          <w:p>
            <w:pPr>
              <w:spacing w:line="360" w:lineRule="auto"/>
              <w:jc w:val="center"/>
              <w:rPr>
                <w:sz w:val="24"/>
                <w:szCs w:val="24"/>
              </w:rPr>
            </w:pPr>
            <w:r>
              <w:rPr>
                <w:rFonts w:hint="eastAsia"/>
                <w:sz w:val="24"/>
                <w:szCs w:val="24"/>
              </w:rPr>
              <w:t>1</w:t>
            </w:r>
          </w:p>
        </w:tc>
        <w:tc>
          <w:tcPr>
            <w:tcW w:w="1429" w:type="dxa"/>
            <w:noWrap w:val="0"/>
            <w:vAlign w:val="center"/>
          </w:tcPr>
          <w:p>
            <w:pPr>
              <w:spacing w:line="360" w:lineRule="auto"/>
              <w:jc w:val="center"/>
              <w:rPr>
                <w:rFonts w:hint="eastAsia"/>
                <w:sz w:val="24"/>
                <w:szCs w:val="24"/>
              </w:rPr>
            </w:pPr>
            <w:r>
              <w:rPr>
                <w:rFonts w:hint="eastAsia"/>
                <w:sz w:val="24"/>
                <w:szCs w:val="24"/>
              </w:rPr>
              <w:t>台</w:t>
            </w:r>
          </w:p>
        </w:tc>
      </w:tr>
    </w:tbl>
    <w:p>
      <w:pPr>
        <w:spacing w:line="360" w:lineRule="auto"/>
        <w:rPr>
          <w:sz w:val="24"/>
          <w:szCs w:val="24"/>
        </w:rPr>
      </w:pPr>
      <w:r>
        <w:rPr>
          <w:rFonts w:hint="eastAsia"/>
          <w:sz w:val="24"/>
          <w:szCs w:val="24"/>
        </w:rPr>
        <w:t>（一）</w:t>
      </w:r>
      <w:r>
        <w:rPr>
          <w:sz w:val="24"/>
          <w:szCs w:val="24"/>
          <w:lang w:bidi="zh-CN"/>
        </w:rPr>
        <w:t>遗传分析仪</w:t>
      </w:r>
      <w:r>
        <w:rPr>
          <w:rFonts w:hint="eastAsia"/>
          <w:sz w:val="24"/>
          <w:szCs w:val="24"/>
        </w:rPr>
        <w:t>技术参数</w:t>
      </w:r>
    </w:p>
    <w:p>
      <w:pPr>
        <w:spacing w:line="360" w:lineRule="auto"/>
        <w:ind w:left="0" w:leftChars="0" w:firstLine="480" w:firstLineChars="200"/>
        <w:rPr>
          <w:rFonts w:hint="eastAsia" w:eastAsia="Calibri"/>
          <w:sz w:val="24"/>
          <w:szCs w:val="24"/>
        </w:rPr>
      </w:pPr>
      <w:r>
        <w:rPr>
          <w:rFonts w:hint="eastAsia"/>
          <w:sz w:val="24"/>
          <w:szCs w:val="24"/>
        </w:rPr>
        <w:t>1、24通道毛细管电泳系统。</w:t>
      </w:r>
    </w:p>
    <w:p>
      <w:pPr>
        <w:spacing w:line="360" w:lineRule="auto"/>
        <w:ind w:left="0" w:leftChars="0" w:firstLine="480" w:firstLineChars="200"/>
        <w:rPr>
          <w:rFonts w:hint="eastAsia" w:eastAsia="Calibri"/>
          <w:sz w:val="24"/>
          <w:szCs w:val="24"/>
        </w:rPr>
      </w:pPr>
      <w:r>
        <w:rPr>
          <w:rFonts w:hint="eastAsia"/>
          <w:sz w:val="24"/>
          <w:szCs w:val="24"/>
        </w:rPr>
        <w:t>2、使用波长505nm的固态激光激发源 。</w:t>
      </w:r>
    </w:p>
    <w:p>
      <w:pPr>
        <w:spacing w:line="360" w:lineRule="auto"/>
        <w:ind w:left="420" w:leftChars="200" w:firstLine="0" w:firstLineChars="0"/>
        <w:rPr>
          <w:rFonts w:hint="eastAsia" w:eastAsia="Calibri"/>
          <w:sz w:val="24"/>
          <w:szCs w:val="24"/>
        </w:rPr>
      </w:pPr>
      <w:r>
        <w:rPr>
          <w:rFonts w:hint="eastAsia"/>
          <w:sz w:val="24"/>
          <w:szCs w:val="24"/>
        </w:rPr>
        <w:t>3、可对DNA片段进行六种荧光染料的多重检测。</w:t>
      </w:r>
      <w:r>
        <w:rPr>
          <w:rFonts w:hint="eastAsia"/>
          <w:sz w:val="24"/>
          <w:szCs w:val="24"/>
        </w:rPr>
        <w:br w:type="textWrapping"/>
      </w:r>
      <w:r>
        <w:rPr>
          <w:rFonts w:hint="eastAsia"/>
          <w:sz w:val="24"/>
          <w:szCs w:val="24"/>
        </w:rPr>
        <w:t>4、使用无线射频识别（RFID）技术追踪关键消耗品的使用数据。</w:t>
      </w:r>
    </w:p>
    <w:p>
      <w:pPr>
        <w:spacing w:line="360" w:lineRule="auto"/>
        <w:ind w:left="0" w:leftChars="0" w:firstLine="480" w:firstLineChars="200"/>
        <w:rPr>
          <w:rFonts w:hint="eastAsia" w:eastAsia="Calibri"/>
          <w:sz w:val="24"/>
          <w:szCs w:val="24"/>
        </w:rPr>
      </w:pPr>
      <w:r>
        <w:rPr>
          <w:rFonts w:hint="eastAsia"/>
          <w:sz w:val="24"/>
          <w:szCs w:val="24"/>
        </w:rPr>
        <w:t>5、使用即插即用型方便安装的消耗品。</w:t>
      </w:r>
    </w:p>
    <w:p>
      <w:pPr>
        <w:spacing w:line="360" w:lineRule="auto"/>
        <w:ind w:left="0" w:leftChars="0" w:firstLine="480" w:firstLineChars="200"/>
        <w:rPr>
          <w:rFonts w:hint="eastAsia" w:eastAsia="Calibri"/>
          <w:sz w:val="24"/>
          <w:szCs w:val="24"/>
        </w:rPr>
      </w:pPr>
      <w:r>
        <w:rPr>
          <w:rFonts w:hint="eastAsia"/>
          <w:sz w:val="24"/>
          <w:szCs w:val="24"/>
        </w:rPr>
        <w:t>6、使用内部无涂层的24通道毛细管。</w:t>
      </w:r>
    </w:p>
    <w:p>
      <w:pPr>
        <w:spacing w:line="360" w:lineRule="auto"/>
        <w:ind w:left="0" w:leftChars="0" w:firstLine="480" w:firstLineChars="200"/>
        <w:rPr>
          <w:rFonts w:hint="eastAsia"/>
          <w:sz w:val="24"/>
          <w:szCs w:val="24"/>
        </w:rPr>
      </w:pPr>
      <w:r>
        <w:rPr>
          <w:rFonts w:hint="eastAsia"/>
          <w:sz w:val="24"/>
          <w:szCs w:val="24"/>
        </w:rPr>
        <w:t>7、毛细管使用可用于固定的框架，便于安装。</w:t>
      </w:r>
    </w:p>
    <w:p>
      <w:pPr>
        <w:spacing w:line="360" w:lineRule="auto"/>
        <w:ind w:left="0" w:leftChars="0" w:firstLine="480" w:firstLineChars="200"/>
        <w:rPr>
          <w:rFonts w:hint="eastAsia" w:eastAsia="Calibri"/>
          <w:sz w:val="24"/>
          <w:szCs w:val="24"/>
        </w:rPr>
      </w:pPr>
      <w:r>
        <w:rPr>
          <w:rFonts w:hint="eastAsia"/>
          <w:sz w:val="24"/>
          <w:szCs w:val="24"/>
        </w:rPr>
        <w:t>8、每天最大可分析1100个样本。</w:t>
      </w:r>
    </w:p>
    <w:p>
      <w:pPr>
        <w:spacing w:line="360" w:lineRule="auto"/>
        <w:ind w:left="0" w:leftChars="0" w:firstLine="480" w:firstLineChars="200"/>
        <w:rPr>
          <w:rFonts w:hint="eastAsia" w:eastAsia="Calibri"/>
          <w:sz w:val="24"/>
          <w:szCs w:val="24"/>
        </w:rPr>
      </w:pPr>
      <w:r>
        <w:rPr>
          <w:rFonts w:hint="eastAsia"/>
          <w:sz w:val="24"/>
          <w:szCs w:val="24"/>
        </w:rPr>
        <w:t>9、软件具有安全管理、审核管理和多用户数据库管理功能。</w:t>
      </w:r>
    </w:p>
    <w:p>
      <w:pPr>
        <w:spacing w:line="360" w:lineRule="auto"/>
        <w:ind w:left="0" w:leftChars="0" w:firstLine="480" w:firstLineChars="200"/>
        <w:rPr>
          <w:rFonts w:hint="eastAsia" w:eastAsia="宋体"/>
          <w:sz w:val="24"/>
          <w:szCs w:val="24"/>
          <w:lang w:eastAsia="zh-CN"/>
        </w:rPr>
      </w:pPr>
      <w:r>
        <w:rPr>
          <w:rFonts w:hint="eastAsia"/>
          <w:sz w:val="24"/>
          <w:szCs w:val="24"/>
        </w:rPr>
        <w:t>10、操作便捷，具有快速启动功能、系统维护提醒、提供向导式样品板设置</w:t>
      </w:r>
      <w:r>
        <w:rPr>
          <w:rFonts w:hint="eastAsia" w:eastAsia="宋体"/>
          <w:sz w:val="24"/>
          <w:szCs w:val="24"/>
          <w:lang w:eastAsia="zh-CN"/>
        </w:rPr>
        <w:t>。</w:t>
      </w:r>
    </w:p>
    <w:p>
      <w:pPr>
        <w:spacing w:line="360" w:lineRule="auto"/>
        <w:ind w:left="0" w:leftChars="0" w:firstLine="480" w:firstLineChars="200"/>
        <w:rPr>
          <w:rFonts w:hint="eastAsia"/>
          <w:sz w:val="24"/>
          <w:szCs w:val="24"/>
        </w:rPr>
      </w:pPr>
      <w:r>
        <w:rPr>
          <w:rFonts w:hint="eastAsia"/>
          <w:sz w:val="24"/>
          <w:szCs w:val="24"/>
        </w:rPr>
        <w:t>11、数据分析软件支持中文，英语两种语言界面。</w:t>
      </w:r>
    </w:p>
    <w:p>
      <w:pPr>
        <w:spacing w:line="360" w:lineRule="auto"/>
        <w:ind w:left="0" w:leftChars="0" w:firstLine="480" w:firstLineChars="200"/>
        <w:rPr>
          <w:rFonts w:hint="eastAsia" w:eastAsia="宋体"/>
          <w:sz w:val="24"/>
          <w:szCs w:val="24"/>
          <w:lang w:eastAsia="zh-CN"/>
        </w:rPr>
      </w:pPr>
      <w:r>
        <w:rPr>
          <w:rFonts w:hint="eastAsia"/>
          <w:sz w:val="24"/>
          <w:szCs w:val="24"/>
        </w:rPr>
        <w:t>12、数据分析软件兼容CODIS，包括CODIS 8、CMF3.2、R.16和CMF3.3格式</w:t>
      </w:r>
      <w:r>
        <w:rPr>
          <w:rFonts w:hint="eastAsia" w:eastAsia="宋体"/>
          <w:sz w:val="24"/>
          <w:szCs w:val="24"/>
          <w:lang w:eastAsia="zh-CN"/>
        </w:rPr>
        <w:t>。</w:t>
      </w:r>
    </w:p>
    <w:p>
      <w:pPr>
        <w:spacing w:line="360" w:lineRule="auto"/>
        <w:ind w:left="0" w:leftChars="0" w:firstLine="480" w:firstLineChars="200"/>
        <w:rPr>
          <w:rFonts w:hint="eastAsia" w:eastAsia="Calibri"/>
          <w:sz w:val="24"/>
          <w:szCs w:val="24"/>
        </w:rPr>
      </w:pPr>
      <w:r>
        <w:rPr>
          <w:rFonts w:hint="eastAsia"/>
          <w:sz w:val="24"/>
          <w:szCs w:val="24"/>
        </w:rPr>
        <w:t>13、数据分析软件具有过饱和(Off-scale)数据恢复功能，具有更高的数据库检材一次分析通过率。</w:t>
      </w:r>
    </w:p>
    <w:p>
      <w:pPr>
        <w:spacing w:line="360" w:lineRule="auto"/>
        <w:rPr>
          <w:sz w:val="24"/>
          <w:szCs w:val="24"/>
        </w:rPr>
      </w:pPr>
    </w:p>
    <w:p>
      <w:pPr>
        <w:spacing w:line="360" w:lineRule="auto"/>
        <w:rPr>
          <w:sz w:val="24"/>
          <w:szCs w:val="24"/>
        </w:rPr>
      </w:pPr>
      <w:r>
        <w:rPr>
          <w:rFonts w:hint="eastAsia"/>
          <w:sz w:val="24"/>
          <w:szCs w:val="24"/>
        </w:rPr>
        <w:t>（二）</w:t>
      </w:r>
      <w:r>
        <w:rPr>
          <w:sz w:val="24"/>
          <w:szCs w:val="24"/>
          <w:lang w:bidi="zh-CN"/>
        </w:rPr>
        <w:t xml:space="preserve">PCR </w:t>
      </w:r>
      <w:r>
        <w:rPr>
          <w:rFonts w:hint="eastAsia"/>
          <w:sz w:val="24"/>
          <w:szCs w:val="24"/>
          <w:lang w:bidi="zh-CN"/>
        </w:rPr>
        <w:t>基因</w:t>
      </w:r>
      <w:r>
        <w:rPr>
          <w:sz w:val="24"/>
          <w:szCs w:val="24"/>
          <w:lang w:bidi="zh-CN"/>
        </w:rPr>
        <w:t>扩增仪</w:t>
      </w:r>
      <w:r>
        <w:rPr>
          <w:rFonts w:hint="eastAsia"/>
          <w:sz w:val="24"/>
          <w:szCs w:val="24"/>
        </w:rPr>
        <w:t>技术参数</w:t>
      </w:r>
    </w:p>
    <w:p>
      <w:pPr>
        <w:spacing w:line="360" w:lineRule="auto"/>
        <w:ind w:left="0" w:leftChars="0" w:firstLine="480" w:firstLineChars="200"/>
        <w:rPr>
          <w:sz w:val="24"/>
          <w:szCs w:val="24"/>
          <w:lang w:bidi="zh-CN"/>
        </w:rPr>
      </w:pPr>
      <w:r>
        <w:rPr>
          <w:sz w:val="24"/>
          <w:szCs w:val="24"/>
          <w:lang w:bidi="zh-CN"/>
        </w:rPr>
        <w:t>1</w:t>
      </w:r>
      <w:r>
        <w:rPr>
          <w:rFonts w:hint="eastAsia"/>
          <w:sz w:val="24"/>
          <w:szCs w:val="24"/>
          <w:lang w:bidi="zh-CN"/>
        </w:rPr>
        <w:t>、</w:t>
      </w:r>
      <w:r>
        <w:rPr>
          <w:sz w:val="24"/>
          <w:szCs w:val="24"/>
          <w:lang w:bidi="zh-CN"/>
        </w:rPr>
        <w:t>加热模块：支持 4 种加热模块，3×32 孔独立模块，优于梯度的VeriFlex 96 孔模块，双 96 孔高通量模块以及可以用于数字芯片的双槽式模块，可自由更换；</w:t>
      </w:r>
    </w:p>
    <w:p>
      <w:pPr>
        <w:spacing w:line="360" w:lineRule="auto"/>
        <w:ind w:left="0" w:leftChars="0" w:firstLine="480" w:firstLineChars="200"/>
        <w:rPr>
          <w:sz w:val="24"/>
          <w:szCs w:val="24"/>
          <w:lang w:bidi="zh-CN"/>
        </w:rPr>
      </w:pPr>
      <w:r>
        <w:rPr>
          <w:sz w:val="24"/>
          <w:szCs w:val="24"/>
          <w:lang w:bidi="zh-CN"/>
        </w:rPr>
        <w:t>2</w:t>
      </w:r>
      <w:r>
        <w:rPr>
          <w:rFonts w:hint="eastAsia"/>
          <w:sz w:val="24"/>
          <w:szCs w:val="24"/>
          <w:lang w:bidi="zh-CN"/>
        </w:rPr>
        <w:t>、</w:t>
      </w:r>
      <w:r>
        <w:rPr>
          <w:sz w:val="24"/>
          <w:szCs w:val="24"/>
          <w:lang w:bidi="zh-CN"/>
        </w:rPr>
        <w:t>3×32 孔独立模块：可同时运行 3 个独立的实验，每个模块分为 2 个 VeriFlex 温控区域，可设置 2 个不同的退火温度，温差可达5°C；VeriFlex 96 孔模块：6 个独立控制的 VeriFlex 温控区域，区域间温度差异可以达到 5°C，整板温差可以达到 25°C；</w:t>
      </w:r>
    </w:p>
    <w:p>
      <w:pPr>
        <w:spacing w:line="360" w:lineRule="auto"/>
        <w:ind w:left="0" w:leftChars="0" w:firstLine="480" w:firstLineChars="200"/>
        <w:rPr>
          <w:sz w:val="24"/>
          <w:szCs w:val="24"/>
          <w:lang w:bidi="zh-CN"/>
        </w:rPr>
      </w:pPr>
      <w:r>
        <w:rPr>
          <w:rFonts w:hint="eastAsia"/>
          <w:sz w:val="24"/>
          <w:szCs w:val="24"/>
          <w:lang w:bidi="zh-CN"/>
        </w:rPr>
        <w:t>3、</w:t>
      </w:r>
      <w:r>
        <w:rPr>
          <w:sz w:val="24"/>
          <w:szCs w:val="24"/>
          <w:lang w:bidi="zh-CN"/>
        </w:rPr>
        <w:t>样品通量：支持 0.2ml 单管、八联管，96 孔模块还可支持 0.2ml 96 孔板；</w:t>
      </w:r>
    </w:p>
    <w:p>
      <w:pPr>
        <w:spacing w:line="360" w:lineRule="auto"/>
        <w:ind w:left="0" w:leftChars="0" w:firstLine="480" w:firstLineChars="200"/>
        <w:rPr>
          <w:sz w:val="24"/>
          <w:szCs w:val="24"/>
          <w:lang w:bidi="zh-CN"/>
        </w:rPr>
      </w:pPr>
      <w:r>
        <w:rPr>
          <w:rFonts w:hint="eastAsia"/>
          <w:sz w:val="24"/>
          <w:szCs w:val="24"/>
          <w:lang w:bidi="zh-CN"/>
        </w:rPr>
        <w:t>4、</w:t>
      </w:r>
      <w:r>
        <w:rPr>
          <w:sz w:val="24"/>
          <w:szCs w:val="24"/>
          <w:lang w:bidi="zh-CN"/>
        </w:rPr>
        <w:t xml:space="preserve">PCR 体积范围：10-100μl，其中双槽加热模块为 33 nL </w:t>
      </w:r>
      <w:r>
        <w:rPr>
          <w:rFonts w:hint="eastAsia"/>
          <w:sz w:val="24"/>
          <w:szCs w:val="24"/>
          <w:lang w:bidi="zh-CN"/>
        </w:rPr>
        <w:t>；</w:t>
      </w:r>
    </w:p>
    <w:p>
      <w:pPr>
        <w:spacing w:line="360" w:lineRule="auto"/>
        <w:ind w:left="0" w:leftChars="0" w:firstLine="480" w:firstLineChars="200"/>
        <w:rPr>
          <w:sz w:val="24"/>
          <w:szCs w:val="24"/>
          <w:lang w:bidi="zh-CN"/>
        </w:rPr>
      </w:pPr>
      <w:r>
        <w:rPr>
          <w:rFonts w:hint="eastAsia"/>
          <w:sz w:val="24"/>
          <w:szCs w:val="24"/>
          <w:lang w:bidi="zh-CN"/>
        </w:rPr>
        <w:t>5、</w:t>
      </w:r>
      <w:r>
        <w:rPr>
          <w:sz w:val="24"/>
          <w:szCs w:val="24"/>
          <w:lang w:bidi="zh-CN"/>
        </w:rPr>
        <w:t>温度范围：0℃-100.0℃；</w:t>
      </w:r>
    </w:p>
    <w:p>
      <w:pPr>
        <w:spacing w:line="360" w:lineRule="auto"/>
        <w:ind w:left="0" w:leftChars="0" w:firstLine="480" w:firstLineChars="200"/>
        <w:rPr>
          <w:sz w:val="24"/>
          <w:szCs w:val="24"/>
          <w:lang w:bidi="zh-CN"/>
        </w:rPr>
      </w:pPr>
      <w:r>
        <w:rPr>
          <w:rFonts w:hint="eastAsia"/>
          <w:sz w:val="24"/>
          <w:szCs w:val="24"/>
          <w:lang w:bidi="zh-CN"/>
        </w:rPr>
        <w:t>6、</w:t>
      </w:r>
      <w:r>
        <w:rPr>
          <w:sz w:val="24"/>
          <w:szCs w:val="24"/>
          <w:lang w:bidi="zh-CN"/>
        </w:rPr>
        <w:t>温度显示：显示经计算机计算的样品实际温度，精确到 0.1℃；</w:t>
      </w:r>
    </w:p>
    <w:p>
      <w:pPr>
        <w:pStyle w:val="7"/>
        <w:spacing w:line="360" w:lineRule="auto"/>
        <w:ind w:left="0" w:leftChars="0" w:firstLine="480" w:firstLineChars="200"/>
        <w:rPr>
          <w:sz w:val="24"/>
          <w:szCs w:val="24"/>
          <w:lang w:bidi="zh-CN"/>
        </w:rPr>
      </w:pPr>
      <w:r>
        <w:rPr>
          <w:rFonts w:hint="eastAsia"/>
          <w:sz w:val="24"/>
          <w:szCs w:val="24"/>
          <w:lang w:bidi="zh-CN"/>
        </w:rPr>
        <w:t>7、加热模块最高升降温速率达</w:t>
      </w:r>
      <w:r>
        <w:rPr>
          <w:sz w:val="24"/>
          <w:szCs w:val="24"/>
          <w:lang w:bidi="zh-CN"/>
        </w:rPr>
        <w:t xml:space="preserve"> 6.0°C/秒，样品升降温速率达 4.4℃/秒；</w:t>
      </w:r>
    </w:p>
    <w:p>
      <w:pPr>
        <w:spacing w:line="360" w:lineRule="auto"/>
        <w:ind w:left="0" w:leftChars="0" w:firstLine="480" w:firstLineChars="200"/>
        <w:rPr>
          <w:sz w:val="24"/>
          <w:szCs w:val="24"/>
          <w:lang w:bidi="zh-CN"/>
        </w:rPr>
      </w:pPr>
      <w:r>
        <w:rPr>
          <w:rFonts w:hint="eastAsia"/>
          <w:sz w:val="24"/>
          <w:szCs w:val="24"/>
          <w:lang w:bidi="zh-CN"/>
        </w:rPr>
        <w:t>8、</w:t>
      </w:r>
      <w:r>
        <w:rPr>
          <w:sz w:val="24"/>
          <w:szCs w:val="24"/>
          <w:lang w:bidi="zh-CN"/>
        </w:rPr>
        <w:t>温度准确度：±0.25°C（35-99.9°C）</w:t>
      </w:r>
      <w:r>
        <w:rPr>
          <w:rFonts w:hint="eastAsia"/>
          <w:sz w:val="24"/>
          <w:szCs w:val="24"/>
          <w:lang w:bidi="zh-CN"/>
        </w:rPr>
        <w:t>；</w:t>
      </w:r>
    </w:p>
    <w:p>
      <w:pPr>
        <w:pStyle w:val="7"/>
        <w:spacing w:line="360" w:lineRule="auto"/>
        <w:ind w:left="0" w:leftChars="0" w:firstLine="480" w:firstLineChars="200"/>
        <w:rPr>
          <w:sz w:val="24"/>
          <w:szCs w:val="24"/>
          <w:lang w:bidi="zh-CN"/>
        </w:rPr>
      </w:pPr>
      <w:r>
        <w:rPr>
          <w:rFonts w:hint="eastAsia"/>
          <w:sz w:val="24"/>
          <w:szCs w:val="24"/>
          <w:lang w:bidi="zh-CN"/>
        </w:rPr>
        <w:t>9、重现性：任意温度达到时间误差小于</w:t>
      </w:r>
      <w:r>
        <w:rPr>
          <w:sz w:val="24"/>
          <w:szCs w:val="24"/>
          <w:lang w:bidi="zh-CN"/>
        </w:rPr>
        <w:t xml:space="preserve"> 5 秒；</w:t>
      </w:r>
    </w:p>
    <w:p>
      <w:pPr>
        <w:pStyle w:val="7"/>
        <w:spacing w:line="360" w:lineRule="auto"/>
        <w:ind w:left="0" w:leftChars="0" w:firstLine="480" w:firstLineChars="200"/>
        <w:rPr>
          <w:sz w:val="24"/>
          <w:szCs w:val="24"/>
          <w:lang w:bidi="zh-CN"/>
        </w:rPr>
      </w:pPr>
      <w:r>
        <w:rPr>
          <w:rFonts w:hint="eastAsia"/>
          <w:sz w:val="24"/>
          <w:szCs w:val="24"/>
          <w:lang w:bidi="zh-CN"/>
        </w:rPr>
        <w:t>10、</w:t>
      </w:r>
      <w:r>
        <w:rPr>
          <w:sz w:val="24"/>
          <w:szCs w:val="24"/>
          <w:lang w:bidi="zh-CN"/>
        </w:rPr>
        <w:t>8.4 英寸彩色 TFT LCD 屏幕，编程快速简便直观；</w:t>
      </w:r>
    </w:p>
    <w:p>
      <w:pPr>
        <w:pStyle w:val="7"/>
        <w:spacing w:line="360" w:lineRule="auto"/>
        <w:ind w:left="0" w:leftChars="0" w:firstLine="480" w:firstLineChars="200"/>
        <w:rPr>
          <w:sz w:val="24"/>
          <w:szCs w:val="24"/>
          <w:lang w:bidi="zh-CN"/>
        </w:rPr>
      </w:pPr>
      <w:r>
        <w:rPr>
          <w:rFonts w:hint="eastAsia"/>
          <w:sz w:val="24"/>
          <w:szCs w:val="24"/>
          <w:lang w:bidi="zh-CN"/>
        </w:rPr>
        <w:t>11、显示屏显示倒计时时间和已完成循环数，闪烁图形提示温度变</w:t>
      </w:r>
      <w:r>
        <w:rPr>
          <w:sz w:val="24"/>
          <w:szCs w:val="24"/>
          <w:lang w:bidi="zh-CN"/>
        </w:rPr>
        <w:t>化当前状态；</w:t>
      </w:r>
    </w:p>
    <w:p>
      <w:pPr>
        <w:pStyle w:val="7"/>
        <w:spacing w:line="360" w:lineRule="auto"/>
        <w:ind w:left="0" w:leftChars="0" w:firstLine="480" w:firstLineChars="200"/>
        <w:rPr>
          <w:sz w:val="24"/>
          <w:szCs w:val="24"/>
          <w:lang w:bidi="zh-CN"/>
        </w:rPr>
      </w:pPr>
      <w:r>
        <w:rPr>
          <w:rFonts w:hint="eastAsia"/>
          <w:sz w:val="24"/>
          <w:szCs w:val="24"/>
          <w:lang w:bidi="zh-CN"/>
        </w:rPr>
        <w:t>12、存储能力：主机可储存</w:t>
      </w:r>
      <w:r>
        <w:rPr>
          <w:sz w:val="24"/>
          <w:szCs w:val="24"/>
          <w:lang w:bidi="zh-CN"/>
        </w:rPr>
        <w:t xml:space="preserve"> PCR 程序 1000 个，若使用 U 盘存储则无限制；</w:t>
      </w:r>
    </w:p>
    <w:p>
      <w:pPr>
        <w:pStyle w:val="7"/>
        <w:spacing w:line="360" w:lineRule="auto"/>
        <w:ind w:left="0" w:leftChars="0" w:firstLine="480" w:firstLineChars="200"/>
        <w:rPr>
          <w:sz w:val="24"/>
          <w:szCs w:val="24"/>
          <w:lang w:bidi="zh-CN"/>
        </w:rPr>
      </w:pPr>
      <w:r>
        <w:rPr>
          <w:rFonts w:hint="eastAsia"/>
          <w:sz w:val="24"/>
          <w:szCs w:val="24"/>
          <w:lang w:bidi="zh-CN"/>
        </w:rPr>
        <w:t>13、自动断电保护，恢复供电后自动执行未完成循环；</w:t>
      </w:r>
    </w:p>
    <w:p>
      <w:pPr>
        <w:pStyle w:val="7"/>
        <w:spacing w:line="360" w:lineRule="auto"/>
        <w:ind w:left="0" w:leftChars="0" w:firstLine="480" w:firstLineChars="200"/>
        <w:rPr>
          <w:sz w:val="24"/>
          <w:szCs w:val="24"/>
          <w:lang w:bidi="zh-CN"/>
        </w:rPr>
      </w:pPr>
      <w:r>
        <w:rPr>
          <w:rFonts w:hint="eastAsia"/>
          <w:sz w:val="24"/>
          <w:szCs w:val="24"/>
          <w:lang w:bidi="zh-CN"/>
        </w:rPr>
        <w:t>14、软件功能：循环时间和温度自动延伸</w:t>
      </w:r>
      <w:r>
        <w:rPr>
          <w:sz w:val="24"/>
          <w:szCs w:val="24"/>
          <w:lang w:bidi="zh-CN"/>
        </w:rPr>
        <w:t>/自动下降；有时间日期显示；</w:t>
      </w:r>
    </w:p>
    <w:p>
      <w:pPr>
        <w:pStyle w:val="7"/>
        <w:spacing w:line="360" w:lineRule="auto"/>
        <w:ind w:left="0" w:leftChars="0" w:firstLine="480" w:firstLineChars="200"/>
        <w:rPr>
          <w:sz w:val="24"/>
          <w:szCs w:val="24"/>
          <w:lang w:bidi="zh-CN"/>
        </w:rPr>
      </w:pPr>
      <w:r>
        <w:rPr>
          <w:rFonts w:hint="eastAsia"/>
          <w:sz w:val="24"/>
          <w:szCs w:val="24"/>
          <w:lang w:bidi="zh-CN"/>
        </w:rPr>
        <w:t>15、用户自检程序：用户可常规运行多种诊断程序以检测仪器升降</w:t>
      </w:r>
      <w:r>
        <w:rPr>
          <w:sz w:val="24"/>
          <w:szCs w:val="24"/>
          <w:lang w:bidi="zh-CN"/>
        </w:rPr>
        <w:t xml:space="preserve"> 温速度和升降温精度</w:t>
      </w:r>
      <w:r>
        <w:rPr>
          <w:rFonts w:hint="eastAsia"/>
          <w:sz w:val="24"/>
          <w:szCs w:val="24"/>
          <w:lang w:bidi="zh-CN"/>
        </w:rPr>
        <w:t>；</w:t>
      </w:r>
    </w:p>
    <w:p>
      <w:pPr>
        <w:pStyle w:val="7"/>
        <w:spacing w:line="360" w:lineRule="auto"/>
        <w:ind w:left="0" w:leftChars="0" w:firstLine="480" w:firstLineChars="200"/>
        <w:rPr>
          <w:sz w:val="24"/>
          <w:szCs w:val="24"/>
          <w:lang w:bidi="zh-CN"/>
        </w:rPr>
      </w:pPr>
      <w:r>
        <w:rPr>
          <w:rFonts w:hint="eastAsia"/>
          <w:sz w:val="24"/>
          <w:szCs w:val="24"/>
          <w:lang w:bidi="zh-CN"/>
        </w:rPr>
        <w:t>16、无线连接，在任何地方都能通过手机实时监控仪器运行状态；</w:t>
      </w:r>
    </w:p>
    <w:p>
      <w:pPr>
        <w:pStyle w:val="7"/>
        <w:spacing w:line="360" w:lineRule="auto"/>
        <w:ind w:left="0" w:leftChars="0" w:firstLine="480" w:firstLineChars="200"/>
        <w:rPr>
          <w:sz w:val="24"/>
          <w:szCs w:val="24"/>
          <w:lang w:bidi="zh-CN"/>
        </w:rPr>
      </w:pPr>
      <w:r>
        <w:rPr>
          <w:rFonts w:hint="eastAsia"/>
          <w:sz w:val="24"/>
          <w:szCs w:val="24"/>
          <w:lang w:bidi="zh-CN"/>
        </w:rPr>
        <w:t>17、热学模拟模式：简单准确地模拟市场上其他</w:t>
      </w:r>
      <w:r>
        <w:rPr>
          <w:sz w:val="24"/>
          <w:szCs w:val="24"/>
          <w:lang w:bidi="zh-CN"/>
        </w:rPr>
        <w:t xml:space="preserve"> PCR 仪的变温速率，实现无缝过渡。</w:t>
      </w:r>
    </w:p>
    <w:p>
      <w:pPr>
        <w:spacing w:line="360" w:lineRule="auto"/>
        <w:ind w:firstLine="480" w:firstLineChars="200"/>
        <w:jc w:val="left"/>
        <w:rPr>
          <w:rFonts w:hint="eastAsia" w:ascii="宋体" w:hAnsi="宋体" w:cs="宋体"/>
          <w:b/>
          <w:sz w:val="24"/>
          <w:szCs w:val="24"/>
        </w:rPr>
      </w:pPr>
      <w:r>
        <w:rPr>
          <w:rFonts w:hint="eastAsia" w:ascii="宋体" w:hAnsi="宋体" w:cs="宋体"/>
          <w:b/>
          <w:sz w:val="24"/>
          <w:szCs w:val="24"/>
        </w:rPr>
        <w:t>特别说明：</w:t>
      </w:r>
    </w:p>
    <w:p>
      <w:pPr>
        <w:spacing w:line="360" w:lineRule="auto"/>
        <w:ind w:right="485" w:rightChars="231" w:firstLine="480" w:firstLineChars="200"/>
        <w:jc w:val="left"/>
        <w:rPr>
          <w:rFonts w:hint="eastAsia" w:ascii="宋体" w:hAnsi="宋体" w:cs="宋体"/>
          <w:b/>
          <w:sz w:val="24"/>
          <w:szCs w:val="24"/>
        </w:rPr>
      </w:pPr>
      <w:r>
        <w:rPr>
          <w:rFonts w:hint="eastAsia" w:ascii="宋体" w:hAnsi="宋体" w:cs="宋体"/>
          <w:b/>
          <w:sz w:val="24"/>
          <w:szCs w:val="24"/>
        </w:rPr>
        <w:t>1.以上采购清单中所列明的规格或技术要求，涉及的供应商或产品并非特定供应商或是特定产品，而是参照或相当于这些供应商或产品的技术标准和要求。</w:t>
      </w:r>
    </w:p>
    <w:p>
      <w:pPr>
        <w:pStyle w:val="3"/>
        <w:tabs>
          <w:tab w:val="left" w:pos="1184"/>
        </w:tabs>
        <w:spacing w:before="2" w:after="0" w:line="360" w:lineRule="auto"/>
        <w:ind w:right="485" w:rightChars="231" w:firstLine="480" w:firstLineChars="200"/>
        <w:rPr>
          <w:rFonts w:hint="eastAsia" w:ascii="宋体" w:hAnsi="宋体" w:eastAsia="Calibri" w:cs="宋体"/>
          <w:b/>
          <w:bCs w:val="0"/>
          <w:kern w:val="2"/>
          <w:sz w:val="24"/>
          <w:szCs w:val="24"/>
          <w:lang w:val="en-US" w:eastAsia="zh-CN" w:bidi="ar-SA"/>
        </w:rPr>
      </w:pPr>
      <w:r>
        <w:rPr>
          <w:rFonts w:hint="eastAsia" w:ascii="宋体" w:hAnsi="宋体" w:eastAsia="Calibri" w:cs="宋体"/>
          <w:b/>
          <w:bCs w:val="0"/>
          <w:kern w:val="2"/>
          <w:sz w:val="24"/>
          <w:szCs w:val="24"/>
          <w:lang w:val="en-US" w:eastAsia="zh-CN" w:bidi="ar-SA"/>
        </w:rPr>
        <w:t>2.以上采购清单中所列明的技术参数并非固定值，而是相当于或者优于该技术参数。</w:t>
      </w:r>
    </w:p>
    <w:p>
      <w:pPr>
        <w:autoSpaceDE w:val="0"/>
        <w:autoSpaceDN w:val="0"/>
        <w:spacing w:before="235" w:line="360" w:lineRule="auto"/>
        <w:ind w:firstLine="480" w:firstLineChars="200"/>
        <w:jc w:val="left"/>
        <w:outlineLvl w:val="4"/>
        <w:rPr>
          <w:rFonts w:hint="eastAsia" w:ascii="宋体" w:hAnsi="宋体" w:cs="宋体"/>
          <w:b/>
          <w:bCs/>
          <w:sz w:val="24"/>
          <w:szCs w:val="24"/>
          <w:lang w:val="zh-CN" w:bidi="zh-CN"/>
        </w:rPr>
      </w:pPr>
      <w:r>
        <w:rPr>
          <w:rFonts w:hint="eastAsia" w:ascii="宋体" w:hAnsi="宋体" w:cs="宋体"/>
          <w:b/>
          <w:bCs/>
          <w:sz w:val="24"/>
          <w:szCs w:val="24"/>
          <w:lang w:val="zh-CN" w:bidi="zh-CN"/>
        </w:rPr>
        <w:t>三、采购对象实施的时间和地点</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（一）交付时间：合同签订生效之日起</w:t>
      </w:r>
      <w:r>
        <w:rPr>
          <w:rFonts w:hint="eastAsia" w:ascii="宋体" w:hAnsi="宋体" w:eastAsia="宋体" w:cs="宋体"/>
          <w:color w:val="auto"/>
          <w:sz w:val="24"/>
          <w:szCs w:val="24"/>
          <w:lang w:val="en-US" w:eastAsia="zh-CN"/>
        </w:rPr>
        <w:t>15</w:t>
      </w:r>
      <w:r>
        <w:rPr>
          <w:rFonts w:hint="eastAsia" w:ascii="宋体" w:hAnsi="宋体" w:cs="宋体"/>
          <w:color w:val="auto"/>
          <w:sz w:val="24"/>
          <w:szCs w:val="24"/>
        </w:rPr>
        <w:t>天内。</w:t>
      </w:r>
    </w:p>
    <w:p>
      <w:pPr>
        <w:spacing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rPr>
        <w:t>（二）</w:t>
      </w:r>
      <w:r>
        <w:rPr>
          <w:rFonts w:hint="eastAsia" w:ascii="宋体" w:hAnsi="宋体" w:cs="宋体"/>
          <w:color w:val="auto"/>
          <w:sz w:val="24"/>
          <w:szCs w:val="24"/>
          <w:lang w:val="zh-CN"/>
        </w:rPr>
        <w:t>付款方式：签订合同时采购双方另行约定。</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三</w:t>
      </w:r>
      <w:r>
        <w:rPr>
          <w:rFonts w:hint="eastAsia" w:ascii="宋体" w:hAnsi="宋体" w:cs="宋体"/>
          <w:color w:val="auto"/>
          <w:sz w:val="24"/>
          <w:szCs w:val="24"/>
          <w:lang w:val="zh-CN"/>
        </w:rPr>
        <w:t>）交付地点：采购人指定地点。</w:t>
      </w:r>
    </w:p>
    <w:p>
      <w:pPr>
        <w:spacing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 xml:space="preserve">（四）设备保修期限按原厂商标准，但不得低于一年。保修期自双方代表在合格验收单上签字之日起计算。 </w:t>
      </w:r>
    </w:p>
    <w:p>
      <w:pPr>
        <w:spacing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 xml:space="preserve">（五）保修期内,供货商提供上门保修，即由供货商派人员到用户现场维护，由此产生的一切费用均由供货商承担。保修期内，供货商必须根据用户要求负责进行售后技术支持和服务，对于非用户人为原因而出现产品质量及安装问题，由供货商负责包修、包换或包退，并承担因此而产生的一切费用。 </w:t>
      </w:r>
    </w:p>
    <w:p>
      <w:pPr>
        <w:spacing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（六）服务期间，供货商应提供但不限于下述服务：在保修期间提供免费保修，7×24 小时上门服务，免费更换故障配件。提供7×24小时技术支持和服务，1小时内响应，通过远程方式无法解决的，2小时到达故障现场进行处理。故障设备现场无法修复的，在24小时内提供相同品质规格的设备备用。</w:t>
      </w:r>
    </w:p>
    <w:p>
      <w:pPr>
        <w:autoSpaceDE w:val="0"/>
        <w:autoSpaceDN w:val="0"/>
        <w:spacing w:before="235" w:line="360" w:lineRule="auto"/>
        <w:ind w:firstLine="480" w:firstLineChars="200"/>
        <w:jc w:val="left"/>
        <w:outlineLvl w:val="4"/>
        <w:rPr>
          <w:rFonts w:hint="eastAsia" w:ascii="宋体" w:hAnsi="宋体" w:cs="宋体"/>
          <w:b/>
          <w:bCs/>
          <w:sz w:val="24"/>
          <w:szCs w:val="24"/>
          <w:lang w:val="zh-CN" w:bidi="zh-CN"/>
        </w:rPr>
      </w:pPr>
      <w:r>
        <w:rPr>
          <w:rFonts w:hint="eastAsia" w:ascii="宋体" w:hAnsi="宋体" w:cs="宋体"/>
          <w:b/>
          <w:bCs/>
          <w:sz w:val="24"/>
          <w:szCs w:val="24"/>
          <w:lang w:val="zh-CN" w:bidi="zh-CN"/>
        </w:rPr>
        <w:t>四、采购对象的验收标准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本项目由采购人自行组织验收。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（一）完整细化编制验收方案。采购人根据项目特点编制验收方案，明确履约验收的时间、方式、程序等内容。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（二）本项目可以邀请参加本项目的其他供应商或第三方专业机构及专家参与验收，相关验收意见作为验收书的参考材料。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B02DD"/>
    <w:rsid w:val="733B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paragraph" w:styleId="2">
    <w:name w:val="heading 2"/>
    <w:basedOn w:val="1"/>
    <w:next w:val="1"/>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paragraph" w:styleId="3">
    <w:name w:val="heading 6"/>
    <w:basedOn w:val="1"/>
    <w:next w:val="1"/>
    <w:qFormat/>
    <w:uiPriority w:val="0"/>
    <w:pPr>
      <w:keepNext/>
      <w:keepLines/>
      <w:spacing w:before="240" w:beforeLines="0" w:after="64" w:afterLines="0" w:line="317" w:lineRule="auto"/>
      <w:outlineLvl w:val="5"/>
    </w:pPr>
    <w:rPr>
      <w:rFonts w:ascii="Cambria" w:hAnsi="Cambria" w:eastAsia="宋体" w:cs="Times New Roman"/>
      <w:b/>
      <w:bCs/>
      <w:sz w:val="24"/>
      <w:szCs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uiPriority w:val="0"/>
    <w:pPr>
      <w:spacing w:before="240" w:beforeLines="0" w:after="60" w:afterLines="0"/>
      <w:jc w:val="center"/>
      <w:outlineLvl w:val="0"/>
    </w:pPr>
    <w:rPr>
      <w:rFonts w:ascii="Cambria" w:hAnsi="Cambria" w:eastAsia="宋体" w:cs="Times New Roman"/>
      <w:b/>
      <w:bCs/>
      <w:sz w:val="32"/>
      <w:szCs w:val="32"/>
    </w:rPr>
  </w:style>
  <w:style w:type="paragraph" w:styleId="7">
    <w:name w:val="List Paragraph"/>
    <w:basedOn w:val="1"/>
    <w:uiPriority w:val="0"/>
    <w:pPr>
      <w:ind w:firstLine="420" w:firstLineChars="200"/>
    </w:pPr>
    <w:rPr>
      <w:rFonts w:ascii="Calibri" w:hAnsi="Calibri" w:eastAsia="Calibri"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2044</Words>
  <Characters>2200</Characters>
  <Lines>0</Lines>
  <Paragraphs>0</Paragraphs>
  <TotalTime>0</TotalTime>
  <ScaleCrop>false</ScaleCrop>
  <LinksUpToDate>false</LinksUpToDate>
  <CharactersWithSpaces>2262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2021-07-05T11:24:00Z</dcterms:created>
  <dc:creator>瑾</dc:creator>
  <cp:lastModifiedBy>瑾</cp:lastModifiedBy>
  <dcterms:modified xsi:type="dcterms:W3CDTF">2021-07-05T11:25:52Z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8D8F4467CCAB4D12A19CFFF76A772435</vt:lpwstr>
  </property>
</Properties>
</file>