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spacing w:line="240" w:lineRule="auto"/>
        <w:jc w:val="center"/>
        <w:rPr>
          <w:rFonts w:hint="default"/>
          <w:color w:val="auto"/>
          <w:lang w:val="en-US" w:eastAsia="zh-CN"/>
        </w:rPr>
      </w:pPr>
      <w:bookmarkStart w:id="0" w:name="_Toc32611"/>
      <w:r>
        <w:rPr>
          <w:rFonts w:hint="eastAsia"/>
          <w:color w:val="auto"/>
          <w:lang w:eastAsia="zh-CN"/>
        </w:rPr>
        <w:t>第三章</w:t>
      </w:r>
      <w:r>
        <w:rPr>
          <w:rFonts w:hint="eastAsia"/>
          <w:color w:val="auto"/>
          <w:lang w:val="en-US" w:eastAsia="zh-CN"/>
        </w:rPr>
        <w:t xml:space="preserve">  用户需求书</w:t>
      </w:r>
      <w:bookmarkEnd w:id="0"/>
    </w:p>
    <w:p>
      <w:pPr>
        <w:pStyle w:val="4"/>
        <w:pageBreakBefore w:val="0"/>
        <w:widowControl w:val="0"/>
        <w:numPr>
          <w:ilvl w:val="0"/>
          <w:numId w:val="0"/>
        </w:numPr>
        <w:kinsoku/>
        <w:wordWrap/>
        <w:overflowPunct/>
        <w:topLinePunct w:val="0"/>
        <w:bidi w:val="0"/>
        <w:adjustRightInd/>
        <w:snapToGrid/>
        <w:spacing w:line="360" w:lineRule="auto"/>
        <w:ind w:leftChars="0"/>
        <w:textAlignment w:val="auto"/>
        <w:rPr>
          <w:rFonts w:hint="eastAsia" w:ascii="宋体" w:hAnsi="宋体" w:eastAsia="宋体" w:cs="宋体"/>
          <w:color w:val="auto"/>
          <w:sz w:val="28"/>
          <w:szCs w:val="28"/>
          <w:highlight w:val="none"/>
        </w:rPr>
      </w:pPr>
      <w:bookmarkStart w:id="6" w:name="_GoBack"/>
      <w:bookmarkEnd w:id="6"/>
      <w:r>
        <w:rPr>
          <w:rFonts w:hint="eastAsia" w:ascii="宋体" w:hAnsi="宋体" w:eastAsia="宋体" w:cs="宋体"/>
          <w:color w:val="auto"/>
          <w:sz w:val="28"/>
          <w:szCs w:val="28"/>
          <w:highlight w:val="none"/>
          <w:lang w:eastAsia="zh-CN"/>
        </w:rPr>
        <w:t>一、项目概况</w:t>
      </w:r>
    </w:p>
    <w:p>
      <w:pPr>
        <w:pStyle w:val="11"/>
        <w:pageBreakBefore w:val="0"/>
        <w:widowControl w:val="0"/>
        <w:kinsoku/>
        <w:wordWrap/>
        <w:overflowPunct/>
        <w:topLinePunct w:val="0"/>
        <w:bidi w:val="0"/>
        <w:adjustRightInd/>
        <w:snapToGrid/>
        <w:spacing w:line="360" w:lineRule="auto"/>
        <w:textAlignment w:val="auto"/>
        <w:rPr>
          <w:rFonts w:hint="eastAsia" w:ascii="宋体" w:hAnsi="宋体" w:eastAsia="宋体" w:cs="宋体"/>
          <w:bCs/>
          <w:color w:val="auto"/>
          <w:kern w:val="0"/>
          <w:sz w:val="24"/>
          <w:highlight w:val="none"/>
          <w:lang w:val="en-GB" w:eastAsia="zh-CN"/>
        </w:rPr>
      </w:pPr>
      <w:r>
        <w:rPr>
          <w:rFonts w:hint="eastAsia" w:ascii="宋体" w:hAnsi="宋体" w:eastAsia="宋体" w:cs="宋体"/>
          <w:color w:val="auto"/>
          <w:sz w:val="24"/>
          <w:highlight w:val="none"/>
          <w:lang w:eastAsia="zh-CN"/>
        </w:rPr>
        <w:t>（一）</w:t>
      </w:r>
      <w:r>
        <w:rPr>
          <w:rFonts w:hint="eastAsia" w:ascii="宋体" w:hAnsi="宋体" w:eastAsia="宋体" w:cs="宋体"/>
          <w:color w:val="auto"/>
          <w:sz w:val="24"/>
          <w:highlight w:val="none"/>
          <w:lang w:val="zh-CN"/>
        </w:rPr>
        <w:t>项目名称：精准扶贫档案收集整理及电子化服务项目</w:t>
      </w:r>
    </w:p>
    <w:p>
      <w:pPr>
        <w:pStyle w:val="11"/>
        <w:pageBreakBefore w:val="0"/>
        <w:widowControl w:val="0"/>
        <w:kinsoku/>
        <w:wordWrap/>
        <w:overflowPunct/>
        <w:topLinePunct w:val="0"/>
        <w:bidi w:val="0"/>
        <w:adjustRightInd/>
        <w:snapToGrid/>
        <w:spacing w:line="360" w:lineRule="auto"/>
        <w:ind w:firstLine="48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（二）</w:t>
      </w:r>
      <w:r>
        <w:rPr>
          <w:rFonts w:hint="eastAsia" w:ascii="宋体" w:hAnsi="宋体" w:eastAsia="宋体" w:cs="宋体"/>
          <w:color w:val="auto"/>
          <w:sz w:val="24"/>
          <w:highlight w:val="none"/>
        </w:rPr>
        <w:t>项目</w:t>
      </w:r>
      <w:r>
        <w:rPr>
          <w:rFonts w:hint="eastAsia" w:ascii="宋体" w:hAnsi="宋体" w:eastAsia="宋体" w:cs="宋体"/>
          <w:color w:val="auto"/>
          <w:sz w:val="24"/>
          <w:highlight w:val="none"/>
          <w:lang w:eastAsia="zh-CN"/>
        </w:rPr>
        <w:t>预算</w:t>
      </w:r>
      <w:r>
        <w:rPr>
          <w:rFonts w:hint="eastAsia" w:ascii="宋体" w:hAnsi="宋体" w:eastAsia="宋体" w:cs="宋体"/>
          <w:color w:val="auto"/>
          <w:sz w:val="24"/>
          <w:highlight w:val="none"/>
          <w:lang w:val="en-US" w:eastAsia="zh-CN"/>
        </w:rPr>
        <w:t>：133万元（壹佰叁拾叁万元整）</w:t>
      </w:r>
    </w:p>
    <w:p>
      <w:pPr>
        <w:pStyle w:val="11"/>
        <w:pageBreakBefore w:val="0"/>
        <w:widowControl w:val="0"/>
        <w:kinsoku/>
        <w:wordWrap/>
        <w:overflowPunct/>
        <w:topLinePunct w:val="0"/>
        <w:bidi w:val="0"/>
        <w:adjustRightInd/>
        <w:snapToGrid/>
        <w:spacing w:line="360" w:lineRule="auto"/>
        <w:ind w:firstLine="48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（三）</w:t>
      </w:r>
      <w:r>
        <w:rPr>
          <w:rFonts w:hint="eastAsia" w:ascii="宋体" w:hAnsi="宋体" w:eastAsia="宋体" w:cs="宋体"/>
          <w:bCs/>
          <w:color w:val="auto"/>
          <w:kern w:val="0"/>
          <w:sz w:val="24"/>
          <w:highlight w:val="none"/>
          <w:lang w:eastAsia="zh-CN"/>
        </w:rPr>
        <w:t>资金来源</w:t>
      </w:r>
      <w:r>
        <w:rPr>
          <w:rFonts w:hint="eastAsia" w:ascii="宋体" w:hAnsi="宋体" w:eastAsia="宋体" w:cs="宋体"/>
          <w:bCs/>
          <w:color w:val="auto"/>
          <w:kern w:val="0"/>
          <w:sz w:val="24"/>
          <w:highlight w:val="none"/>
        </w:rPr>
        <w:t>：</w:t>
      </w:r>
      <w:r>
        <w:rPr>
          <w:rFonts w:hint="eastAsia" w:ascii="宋体" w:hAnsi="宋体" w:eastAsia="宋体" w:cs="宋体"/>
          <w:bCs/>
          <w:color w:val="auto"/>
          <w:kern w:val="0"/>
          <w:sz w:val="24"/>
          <w:highlight w:val="none"/>
          <w:lang w:eastAsia="zh-CN"/>
        </w:rPr>
        <w:t>财政资金</w:t>
      </w:r>
    </w:p>
    <w:p>
      <w:pPr>
        <w:pStyle w:val="11"/>
        <w:pageBreakBefore w:val="0"/>
        <w:widowControl w:val="0"/>
        <w:kinsoku/>
        <w:wordWrap/>
        <w:overflowPunct/>
        <w:topLinePunct w:val="0"/>
        <w:bidi w:val="0"/>
        <w:adjustRightInd/>
        <w:snapToGrid/>
        <w:spacing w:line="360" w:lineRule="auto"/>
        <w:ind w:firstLine="48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（四）</w:t>
      </w:r>
      <w:r>
        <w:rPr>
          <w:rFonts w:hint="eastAsia" w:ascii="宋体" w:hAnsi="宋体" w:eastAsia="宋体" w:cs="宋体"/>
          <w:color w:val="auto"/>
          <w:sz w:val="24"/>
          <w:highlight w:val="none"/>
          <w:lang w:val="en-US" w:eastAsia="zh-CN"/>
        </w:rPr>
        <w:t>实施地点：屯昌县乡村振兴局</w:t>
      </w:r>
    </w:p>
    <w:p>
      <w:pPr>
        <w:snapToGrid/>
        <w:spacing w:before="0" w:beforeAutospacing="0" w:after="0" w:afterAutospacing="0" w:line="360" w:lineRule="auto"/>
        <w:ind w:firstLine="480" w:firstLineChars="200"/>
        <w:jc w:val="both"/>
        <w:textAlignment w:val="baseline"/>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（五）</w:t>
      </w:r>
      <w:r>
        <w:rPr>
          <w:rFonts w:hint="eastAsia" w:ascii="宋体" w:hAnsi="宋体" w:eastAsia="宋体" w:cs="宋体"/>
          <w:color w:val="auto"/>
          <w:sz w:val="24"/>
          <w:highlight w:val="none"/>
          <w:lang w:val="en-US" w:eastAsia="zh-CN"/>
        </w:rPr>
        <w:t>完成时间：签订合同后十五日内进场，并自进场之日起三个月内完成（中标方在服务中如因项目内容超出合同所划定的数量或其他原因而须延长时间时，须报请采购方同意）</w:t>
      </w:r>
    </w:p>
    <w:p>
      <w:pPr>
        <w:pStyle w:val="11"/>
        <w:pageBreakBefore w:val="0"/>
        <w:widowControl w:val="0"/>
        <w:kinsoku/>
        <w:wordWrap/>
        <w:overflowPunct/>
        <w:topLinePunct w:val="0"/>
        <w:bidi w:val="0"/>
        <w:adjustRightInd/>
        <w:snapToGrid/>
        <w:spacing w:line="360" w:lineRule="auto"/>
        <w:ind w:firstLine="48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（六）验收要求：按《海南省扶贫工作办公室 海南省省档案局关于印发&lt;海南省脱贫攻坚精准扶贫档案检查验收标准&gt;的通知》（琼扶办发</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2020</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88 号）文件的要求进行验收</w:t>
      </w:r>
    </w:p>
    <w:p>
      <w:pPr>
        <w:pStyle w:val="4"/>
        <w:pageBreakBefore w:val="0"/>
        <w:widowControl w:val="0"/>
        <w:numPr>
          <w:ilvl w:val="0"/>
          <w:numId w:val="0"/>
        </w:numPr>
        <w:kinsoku/>
        <w:wordWrap/>
        <w:overflowPunct/>
        <w:topLinePunct w:val="0"/>
        <w:bidi w:val="0"/>
        <w:adjustRightInd/>
        <w:snapToGrid/>
        <w:spacing w:line="360" w:lineRule="auto"/>
        <w:ind w:leftChars="0"/>
        <w:textAlignment w:val="auto"/>
        <w:rPr>
          <w:rFonts w:hint="eastAsia" w:ascii="宋体" w:hAnsi="宋体" w:eastAsia="宋体" w:cs="宋体"/>
          <w:color w:val="auto"/>
          <w:sz w:val="28"/>
          <w:szCs w:val="28"/>
          <w:highlight w:val="none"/>
          <w:lang w:eastAsia="zh-CN"/>
        </w:rPr>
      </w:pPr>
      <w:bookmarkStart w:id="1" w:name="_Toc28575"/>
      <w:bookmarkStart w:id="2" w:name="_Toc16801"/>
      <w:bookmarkStart w:id="3" w:name="_Toc17019"/>
      <w:bookmarkStart w:id="4" w:name="_Toc19963"/>
      <w:bookmarkStart w:id="5" w:name="_Toc1042"/>
      <w:r>
        <w:rPr>
          <w:rFonts w:hint="eastAsia" w:ascii="宋体" w:hAnsi="宋体" w:eastAsia="宋体" w:cs="宋体"/>
          <w:color w:val="auto"/>
          <w:sz w:val="28"/>
          <w:szCs w:val="28"/>
          <w:highlight w:val="none"/>
          <w:lang w:eastAsia="zh-CN"/>
        </w:rPr>
        <w:t>二、项目需求</w:t>
      </w:r>
    </w:p>
    <w:p>
      <w:pPr>
        <w:pStyle w:val="11"/>
        <w:pageBreakBefore w:val="0"/>
        <w:widowControl w:val="0"/>
        <w:kinsoku/>
        <w:wordWrap/>
        <w:overflowPunct/>
        <w:topLinePunct w:val="0"/>
        <w:bidi w:val="0"/>
        <w:adjustRightInd/>
        <w:snapToGrid/>
        <w:spacing w:line="360" w:lineRule="auto"/>
        <w:ind w:left="0" w:leftChars="0" w:firstLine="0" w:firstLineChars="0"/>
        <w:textAlignment w:val="auto"/>
        <w:rPr>
          <w:rFonts w:hint="eastAsia" w:ascii="宋体" w:hAnsi="宋体" w:eastAsia="宋体" w:cs="宋体"/>
          <w:color w:val="auto"/>
          <w:sz w:val="24"/>
          <w:highlight w:val="none"/>
          <w:lang w:val="en-US" w:eastAsia="zh-CN"/>
        </w:rPr>
      </w:pPr>
      <w:r>
        <w:rPr>
          <w:rFonts w:hint="eastAsia" w:ascii="宋体" w:hAnsi="宋体" w:eastAsia="宋体" w:cs="宋体"/>
          <w:b w:val="0"/>
          <w:bCs w:val="0"/>
          <w:color w:val="auto"/>
          <w:sz w:val="24"/>
          <w:szCs w:val="24"/>
          <w:highlight w:val="none"/>
          <w:lang w:val="en-US" w:eastAsia="zh-CN"/>
        </w:rPr>
        <w:t>（一）</w:t>
      </w:r>
      <w:r>
        <w:rPr>
          <w:rFonts w:hint="eastAsia" w:ascii="宋体" w:hAnsi="宋体" w:eastAsia="宋体" w:cs="宋体"/>
          <w:color w:val="auto"/>
          <w:sz w:val="24"/>
          <w:highlight w:val="none"/>
          <w:lang w:val="en-US" w:eastAsia="zh-CN"/>
        </w:rPr>
        <w:t>项目概述</w:t>
      </w:r>
    </w:p>
    <w:p>
      <w:pPr>
        <w:pStyle w:val="11"/>
        <w:pageBreakBefore w:val="0"/>
        <w:widowControl w:val="0"/>
        <w:kinsoku/>
        <w:wordWrap/>
        <w:overflowPunct/>
        <w:topLinePunct w:val="0"/>
        <w:bidi w:val="0"/>
        <w:adjustRightInd/>
        <w:snapToGrid/>
        <w:spacing w:line="360" w:lineRule="auto"/>
        <w:ind w:firstLine="48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扶贫档案是国家实施精准扶贫、精准脱贫工作的客观记录，是国家档案的重</w:t>
      </w:r>
    </w:p>
    <w:p>
      <w:pPr>
        <w:pStyle w:val="11"/>
        <w:pageBreakBefore w:val="0"/>
        <w:widowControl w:val="0"/>
        <w:kinsoku/>
        <w:wordWrap/>
        <w:overflowPunct/>
        <w:topLinePunct w:val="0"/>
        <w:bidi w:val="0"/>
        <w:adjustRightInd/>
        <w:snapToGrid/>
        <w:spacing w:line="360" w:lineRule="auto"/>
        <w:ind w:left="0" w:leftChars="0" w:firstLine="0" w:firstLineChars="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要组成部分。为进一步加强屯昌县精准扶贫档案管理工作，确保精准扶贫档案的完整归档、规范整理、安全保管和有效利用，根据</w:t>
      </w:r>
      <w:r>
        <w:rPr>
          <w:rFonts w:hint="eastAsia" w:ascii="宋体" w:hAnsi="宋体" w:eastAsia="宋体" w:cs="宋体"/>
          <w:b w:val="0"/>
          <w:i w:val="0"/>
          <w:caps w:val="0"/>
          <w:color w:val="auto"/>
          <w:spacing w:val="0"/>
          <w:w w:val="100"/>
          <w:sz w:val="24"/>
          <w:szCs w:val="24"/>
          <w:highlight w:val="none"/>
        </w:rPr>
        <w:t>国家档案局、国务院扶贫办《关于做好精准扶贫档案工作的意见》</w:t>
      </w:r>
      <w:r>
        <w:rPr>
          <w:rFonts w:hint="eastAsia" w:ascii="宋体" w:hAnsi="宋体" w:eastAsia="宋体" w:cs="宋体"/>
          <w:color w:val="auto"/>
          <w:sz w:val="24"/>
          <w:highlight w:val="none"/>
          <w:lang w:val="en-US" w:eastAsia="zh-CN"/>
        </w:rPr>
        <w:t>（档发</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2016</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12 号）、《精准扶贫档案管理办法》（档发</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2016</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13 号）、海南省档案局、海南省扶贫办印发的《海南省精准扶贫档案工作实施细则》（琼档字</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2017</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84 号）、《关于进一步落实&lt;海南省精准扶贫档案工作实施细则&gt;的通知》（琼档字</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2018</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86 号）和《关于进一步加强我省精准扶贫档案工作的通知》（琼扶办发</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2020</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44 号）等文件要求，切实按有关规定做好屯昌县精准扶贫档案收集整理及数字化服务工作，确保精准扶贫档案的真实、完整、系统和安全，充分发挥档案在脱贫攻坚中的特殊作用。</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（二）服务内容、具体要求及数量</w:t>
      </w:r>
    </w:p>
    <w:tbl>
      <w:tblPr>
        <w:tblStyle w:val="8"/>
        <w:tblW w:w="8839" w:type="dxa"/>
        <w:tblInd w:w="98" w:type="dxa"/>
        <w:tblLayout w:type="fixed"/>
        <w:tblCellMar>
          <w:top w:w="0" w:type="dxa"/>
          <w:left w:w="108" w:type="dxa"/>
          <w:bottom w:w="0" w:type="dxa"/>
          <w:right w:w="108" w:type="dxa"/>
        </w:tblCellMar>
      </w:tblPr>
      <w:tblGrid>
        <w:gridCol w:w="590"/>
        <w:gridCol w:w="1031"/>
        <w:gridCol w:w="605"/>
        <w:gridCol w:w="1773"/>
        <w:gridCol w:w="1513"/>
        <w:gridCol w:w="962"/>
        <w:gridCol w:w="2365"/>
      </w:tblGrid>
      <w:tr>
        <w:tblPrEx>
          <w:tblCellMar>
            <w:top w:w="0" w:type="dxa"/>
            <w:left w:w="108" w:type="dxa"/>
            <w:bottom w:w="0" w:type="dxa"/>
            <w:right w:w="108" w:type="dxa"/>
          </w:tblCellMar>
        </w:tblPrEx>
        <w:trPr>
          <w:trHeight w:val="540" w:hRule="atLeast"/>
        </w:trPr>
        <w:tc>
          <w:tcPr>
            <w:tcW w:w="590" w:type="dxa"/>
            <w:tcBorders>
              <w:top w:val="single" w:color="000000" w:sz="4" w:space="0"/>
              <w:left w:val="single" w:color="000000" w:sz="4" w:space="0"/>
              <w:bottom w:val="single" w:color="000000" w:sz="4" w:space="0"/>
              <w:right w:val="single" w:color="000000" w:sz="4" w:space="0"/>
            </w:tcBorders>
            <w:shd w:val="clear" w:color="auto" w:fill="94DC9E" w:themeFill="background1" w:themeFillShade="D8"/>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序号</w:t>
            </w:r>
          </w:p>
        </w:tc>
        <w:tc>
          <w:tcPr>
            <w:tcW w:w="1031" w:type="dxa"/>
            <w:tcBorders>
              <w:top w:val="single" w:color="000000" w:sz="4" w:space="0"/>
              <w:left w:val="single" w:color="000000" w:sz="4" w:space="0"/>
              <w:bottom w:val="single" w:color="000000" w:sz="4" w:space="0"/>
              <w:right w:val="single" w:color="000000" w:sz="4" w:space="0"/>
            </w:tcBorders>
            <w:shd w:val="clear" w:color="auto" w:fill="94DC9E" w:themeFill="background1" w:themeFillShade="D8"/>
            <w:noWrap/>
            <w:vAlign w:val="center"/>
          </w:tcPr>
          <w:p>
            <w:pPr>
              <w:widowControl/>
              <w:jc w:val="center"/>
              <w:textAlignment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项目</w:t>
            </w:r>
          </w:p>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名称</w:t>
            </w:r>
          </w:p>
        </w:tc>
        <w:tc>
          <w:tcPr>
            <w:tcW w:w="605" w:type="dxa"/>
            <w:tcBorders>
              <w:top w:val="single" w:color="000000" w:sz="4" w:space="0"/>
              <w:left w:val="single" w:color="000000" w:sz="4" w:space="0"/>
              <w:bottom w:val="single" w:color="000000" w:sz="4" w:space="0"/>
              <w:right w:val="single" w:color="000000" w:sz="4" w:space="0"/>
            </w:tcBorders>
            <w:shd w:val="clear" w:color="auto" w:fill="94DC9E" w:themeFill="background1" w:themeFillShade="D8"/>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eastAsia="zh-CN"/>
              </w:rPr>
              <w:t>分</w:t>
            </w:r>
            <w:r>
              <w:rPr>
                <w:rFonts w:hint="eastAsia" w:ascii="宋体" w:hAnsi="宋体" w:eastAsia="宋体" w:cs="宋体"/>
                <w:b/>
                <w:bCs/>
                <w:color w:val="auto"/>
                <w:kern w:val="0"/>
                <w:sz w:val="24"/>
                <w:szCs w:val="24"/>
                <w:highlight w:val="none"/>
              </w:rPr>
              <w:t>项</w:t>
            </w:r>
          </w:p>
        </w:tc>
        <w:tc>
          <w:tcPr>
            <w:tcW w:w="1773" w:type="dxa"/>
            <w:tcBorders>
              <w:top w:val="single" w:color="000000" w:sz="4" w:space="0"/>
              <w:left w:val="single" w:color="000000" w:sz="4" w:space="0"/>
              <w:bottom w:val="single" w:color="000000" w:sz="4" w:space="0"/>
              <w:right w:val="single" w:color="000000" w:sz="4" w:space="0"/>
            </w:tcBorders>
            <w:shd w:val="clear" w:color="auto" w:fill="94DC9E" w:themeFill="background1" w:themeFillShade="D8"/>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服务或货物名称</w:t>
            </w:r>
          </w:p>
        </w:tc>
        <w:tc>
          <w:tcPr>
            <w:tcW w:w="1513" w:type="dxa"/>
            <w:tcBorders>
              <w:top w:val="single" w:color="000000" w:sz="4" w:space="0"/>
              <w:left w:val="single" w:color="000000" w:sz="4" w:space="0"/>
              <w:bottom w:val="single" w:color="000000" w:sz="4" w:space="0"/>
              <w:right w:val="single" w:color="000000" w:sz="4" w:space="0"/>
            </w:tcBorders>
            <w:shd w:val="clear" w:color="auto" w:fill="94DC9E" w:themeFill="background1" w:themeFillShade="D8"/>
            <w:noWrap/>
            <w:vAlign w:val="center"/>
          </w:tcPr>
          <w:p>
            <w:pPr>
              <w:widowControl/>
              <w:jc w:val="center"/>
              <w:textAlignment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kern w:val="0"/>
                <w:sz w:val="24"/>
                <w:szCs w:val="24"/>
                <w:highlight w:val="none"/>
              </w:rPr>
              <w:t>预</w:t>
            </w:r>
            <w:r>
              <w:rPr>
                <w:rFonts w:hint="eastAsia" w:ascii="宋体" w:hAnsi="宋体" w:eastAsia="宋体" w:cs="宋体"/>
                <w:b/>
                <w:bCs/>
                <w:color w:val="auto"/>
                <w:kern w:val="0"/>
                <w:sz w:val="24"/>
                <w:szCs w:val="24"/>
                <w:highlight w:val="none"/>
                <w:lang w:eastAsia="zh-CN"/>
              </w:rPr>
              <w:t>估数量</w:t>
            </w:r>
          </w:p>
        </w:tc>
        <w:tc>
          <w:tcPr>
            <w:tcW w:w="962" w:type="dxa"/>
            <w:tcBorders>
              <w:top w:val="single" w:color="000000" w:sz="4" w:space="0"/>
              <w:left w:val="single" w:color="000000" w:sz="4" w:space="0"/>
              <w:bottom w:val="single" w:color="000000" w:sz="4" w:space="0"/>
              <w:right w:val="single" w:color="000000" w:sz="4" w:space="0"/>
            </w:tcBorders>
            <w:shd w:val="clear" w:color="auto" w:fill="94DC9E" w:themeFill="background1" w:themeFillShade="D8"/>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单位</w:t>
            </w:r>
          </w:p>
        </w:tc>
        <w:tc>
          <w:tcPr>
            <w:tcW w:w="2365" w:type="dxa"/>
            <w:tcBorders>
              <w:top w:val="single" w:color="000000" w:sz="4" w:space="0"/>
              <w:left w:val="single" w:color="000000" w:sz="4" w:space="0"/>
              <w:bottom w:val="single" w:color="000000" w:sz="4" w:space="0"/>
              <w:right w:val="single" w:color="000000" w:sz="4" w:space="0"/>
            </w:tcBorders>
            <w:shd w:val="clear" w:color="auto" w:fill="94DC9E" w:themeFill="background1" w:themeFillShade="D8"/>
            <w:noWrap/>
            <w:vAlign w:val="center"/>
          </w:tcPr>
          <w:p>
            <w:pPr>
              <w:widowControl/>
              <w:jc w:val="center"/>
              <w:textAlignment w:val="center"/>
              <w:rPr>
                <w:rFonts w:hint="eastAsia" w:ascii="宋体" w:hAnsi="宋体" w:eastAsia="宋体" w:cs="宋体"/>
                <w:b/>
                <w:bCs/>
                <w:color w:val="auto"/>
                <w:sz w:val="24"/>
                <w:szCs w:val="32"/>
                <w:highlight w:val="none"/>
              </w:rPr>
            </w:pPr>
            <w:r>
              <w:rPr>
                <w:rFonts w:hint="eastAsia" w:ascii="宋体" w:hAnsi="宋体" w:eastAsia="宋体" w:cs="宋体"/>
                <w:b/>
                <w:bCs/>
                <w:color w:val="auto"/>
                <w:kern w:val="0"/>
                <w:sz w:val="24"/>
                <w:szCs w:val="32"/>
                <w:highlight w:val="none"/>
              </w:rPr>
              <w:t>备 注</w:t>
            </w:r>
          </w:p>
        </w:tc>
      </w:tr>
      <w:tr>
        <w:tblPrEx>
          <w:tblCellMar>
            <w:top w:w="0" w:type="dxa"/>
            <w:left w:w="108" w:type="dxa"/>
            <w:bottom w:w="0" w:type="dxa"/>
            <w:right w:w="108" w:type="dxa"/>
          </w:tblCellMar>
        </w:tblPrEx>
        <w:trPr>
          <w:trHeight w:val="980"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综合</w:t>
            </w:r>
            <w:r>
              <w:rPr>
                <w:rFonts w:hint="eastAsia" w:ascii="宋体" w:hAnsi="宋体" w:eastAsia="宋体" w:cs="宋体"/>
                <w:color w:val="auto"/>
                <w:kern w:val="0"/>
                <w:sz w:val="24"/>
                <w:szCs w:val="24"/>
                <w:highlight w:val="none"/>
                <w:lang w:eastAsia="zh-CN"/>
              </w:rPr>
              <w:t>管理</w:t>
            </w:r>
            <w:r>
              <w:rPr>
                <w:rFonts w:hint="eastAsia" w:ascii="宋体" w:hAnsi="宋体" w:eastAsia="宋体" w:cs="宋体"/>
                <w:color w:val="auto"/>
                <w:kern w:val="0"/>
                <w:sz w:val="24"/>
                <w:szCs w:val="24"/>
                <w:highlight w:val="none"/>
              </w:rPr>
              <w:t>类、贫困村类、项目</w:t>
            </w:r>
            <w:r>
              <w:rPr>
                <w:rFonts w:hint="eastAsia" w:ascii="宋体" w:hAnsi="宋体" w:eastAsia="宋体" w:cs="宋体"/>
                <w:color w:val="auto"/>
                <w:kern w:val="0"/>
                <w:sz w:val="24"/>
                <w:szCs w:val="24"/>
                <w:highlight w:val="none"/>
                <w:lang w:eastAsia="zh-CN"/>
              </w:rPr>
              <w:t>管理</w:t>
            </w:r>
            <w:r>
              <w:rPr>
                <w:rFonts w:hint="eastAsia" w:ascii="宋体" w:hAnsi="宋体" w:eastAsia="宋体" w:cs="宋体"/>
                <w:color w:val="auto"/>
                <w:kern w:val="0"/>
                <w:sz w:val="24"/>
                <w:szCs w:val="24"/>
                <w:highlight w:val="none"/>
              </w:rPr>
              <w:t>类文件材料</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精准扶贫档案规范化、精细化整理</w:t>
            </w:r>
          </w:p>
        </w:tc>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787000</w:t>
            </w:r>
          </w:p>
        </w:tc>
        <w:tc>
          <w:tcPr>
            <w:tcW w:w="962"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页</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包括上传、挂接至精准扶贫档案管理系统</w:t>
            </w:r>
          </w:p>
        </w:tc>
      </w:tr>
      <w:tr>
        <w:tblPrEx>
          <w:tblCellMar>
            <w:top w:w="0" w:type="dxa"/>
            <w:left w:w="108" w:type="dxa"/>
            <w:bottom w:w="0" w:type="dxa"/>
            <w:right w:w="108" w:type="dxa"/>
          </w:tblCellMar>
        </w:tblPrEx>
        <w:trPr>
          <w:trHeight w:val="940"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szCs w:val="24"/>
                <w:highlight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24"/>
                <w:highlight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精准扶贫档案数字化加工</w:t>
            </w:r>
          </w:p>
        </w:tc>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szCs w:val="24"/>
                <w:highlight w:val="none"/>
              </w:rPr>
            </w:pPr>
          </w:p>
        </w:tc>
        <w:tc>
          <w:tcPr>
            <w:tcW w:w="962"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szCs w:val="32"/>
                <w:highlight w:val="none"/>
              </w:rPr>
            </w:pPr>
          </w:p>
        </w:tc>
      </w:tr>
      <w:tr>
        <w:tblPrEx>
          <w:tblCellMar>
            <w:top w:w="0" w:type="dxa"/>
            <w:left w:w="108" w:type="dxa"/>
            <w:bottom w:w="0" w:type="dxa"/>
            <w:right w:w="108" w:type="dxa"/>
          </w:tblCellMar>
        </w:tblPrEx>
        <w:trPr>
          <w:trHeight w:val="12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脱贫户文件材料</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脱贫户文件材料规范化、精细化整理，及数字化加工</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750000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页</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32"/>
                <w:highlight w:val="none"/>
              </w:rPr>
            </w:pPr>
            <w:r>
              <w:rPr>
                <w:rFonts w:hint="eastAsia" w:ascii="宋体" w:hAnsi="宋体" w:eastAsia="宋体" w:cs="宋体"/>
                <w:color w:val="auto"/>
                <w:kern w:val="0"/>
                <w:sz w:val="24"/>
                <w:szCs w:val="32"/>
                <w:highlight w:val="none"/>
              </w:rPr>
              <w:t>包括上传、挂接至精准扶贫档案管理系统</w:t>
            </w:r>
          </w:p>
        </w:tc>
      </w:tr>
      <w:tr>
        <w:tblPrEx>
          <w:tblCellMar>
            <w:top w:w="0" w:type="dxa"/>
            <w:left w:w="108" w:type="dxa"/>
            <w:bottom w:w="0" w:type="dxa"/>
            <w:right w:w="108" w:type="dxa"/>
          </w:tblCellMar>
        </w:tblPrEx>
        <w:trPr>
          <w:trHeight w:val="120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特殊载体类</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照片</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音像类材料规范化、精细化整理，及数字化加工</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5000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页</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32"/>
                <w:highlight w:val="none"/>
                <w:lang w:eastAsia="zh-CN"/>
              </w:rPr>
            </w:pPr>
            <w:r>
              <w:rPr>
                <w:rFonts w:hint="eastAsia" w:ascii="宋体" w:hAnsi="宋体" w:eastAsia="宋体" w:cs="宋体"/>
                <w:color w:val="auto"/>
                <w:kern w:val="0"/>
                <w:sz w:val="24"/>
                <w:szCs w:val="32"/>
                <w:highlight w:val="none"/>
                <w:lang w:eastAsia="zh-CN"/>
              </w:rPr>
              <w:t>以实际数据量为准，</w:t>
            </w:r>
            <w:r>
              <w:rPr>
                <w:rFonts w:hint="eastAsia" w:ascii="宋体" w:hAnsi="宋体" w:eastAsia="宋体" w:cs="宋体"/>
                <w:color w:val="auto"/>
                <w:kern w:val="0"/>
                <w:sz w:val="24"/>
                <w:szCs w:val="32"/>
                <w:highlight w:val="none"/>
              </w:rPr>
              <w:t>包括整理、上传、挂接至精准扶贫档案管理系统</w:t>
            </w:r>
          </w:p>
        </w:tc>
      </w:tr>
      <w:tr>
        <w:tblPrEx>
          <w:tblCellMar>
            <w:top w:w="0" w:type="dxa"/>
            <w:left w:w="108" w:type="dxa"/>
            <w:bottom w:w="0" w:type="dxa"/>
            <w:right w:w="108" w:type="dxa"/>
          </w:tblCellMar>
        </w:tblPrEx>
        <w:trPr>
          <w:trHeight w:val="700" w:hRule="atLeast"/>
        </w:trPr>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w:t>
            </w:r>
          </w:p>
        </w:tc>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档案盒及档案存储光盘</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档案盒</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9976</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盒</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32"/>
                <w:highlight w:val="none"/>
                <w:lang w:eastAsia="zh-CN"/>
              </w:rPr>
            </w:pPr>
            <w:r>
              <w:rPr>
                <w:rFonts w:hint="eastAsia" w:ascii="宋体" w:hAnsi="宋体" w:eastAsia="宋体" w:cs="宋体"/>
                <w:color w:val="auto"/>
                <w:kern w:val="0"/>
                <w:sz w:val="24"/>
                <w:szCs w:val="32"/>
                <w:highlight w:val="none"/>
              </w:rPr>
              <w:t>按需定制</w:t>
            </w:r>
          </w:p>
        </w:tc>
      </w:tr>
      <w:tr>
        <w:tblPrEx>
          <w:tblCellMar>
            <w:top w:w="0" w:type="dxa"/>
            <w:left w:w="108" w:type="dxa"/>
            <w:bottom w:w="0" w:type="dxa"/>
            <w:right w:w="108" w:type="dxa"/>
          </w:tblCellMar>
        </w:tblPrEx>
        <w:trPr>
          <w:trHeight w:val="700" w:hRule="atLeast"/>
        </w:trPr>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 w:val="24"/>
                <w:szCs w:val="24"/>
                <w:highlight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24"/>
                <w:szCs w:val="24"/>
                <w:highlight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val="en-US" w:eastAsia="zh-CN"/>
              </w:rPr>
              <w:t>2</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档案存储光盘</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以实际</w:t>
            </w:r>
          </w:p>
          <w:p>
            <w:pPr>
              <w:widowControl/>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eastAsia="zh-CN"/>
              </w:rPr>
              <w:t>发生为准</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张</w:t>
            </w: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highlight w:val="none"/>
              </w:rPr>
            </w:pPr>
          </w:p>
        </w:tc>
      </w:tr>
    </w:tbl>
    <w:p>
      <w:pPr>
        <w:pStyle w:val="5"/>
        <w:keepNext w:val="0"/>
        <w:keepLines w:val="0"/>
        <w:pageBreakBefore w:val="0"/>
        <w:widowControl w:val="0"/>
        <w:kinsoku/>
        <w:wordWrap/>
        <w:overflowPunct/>
        <w:topLinePunct w:val="0"/>
        <w:autoSpaceDE/>
        <w:autoSpaceDN/>
        <w:bidi w:val="0"/>
        <w:adjustRightInd/>
        <w:snapToGrid/>
        <w:spacing w:before="120" w:beforeAutospacing="0" w:after="0" w:afterAutospacing="0" w:line="360" w:lineRule="auto"/>
        <w:ind w:hangingChars="300"/>
        <w:jc w:val="both"/>
        <w:textAlignment w:val="baseline"/>
        <w:rPr>
          <w:rFonts w:hint="eastAsia" w:ascii="宋体" w:hAnsi="宋体" w:eastAsia="宋体" w:cs="宋体"/>
          <w:color w:val="auto"/>
          <w:highlight w:val="none"/>
        </w:rPr>
      </w:pPr>
      <w:r>
        <w:rPr>
          <w:rFonts w:hint="eastAsia" w:ascii="宋体" w:hAnsi="宋体" w:eastAsia="宋体" w:cs="宋体"/>
          <w:b w:val="0"/>
          <w:i w:val="0"/>
          <w:caps w:val="0"/>
          <w:color w:val="auto"/>
          <w:spacing w:val="0"/>
          <w:w w:val="100"/>
          <w:sz w:val="24"/>
          <w:szCs w:val="24"/>
          <w:highlight w:val="none"/>
        </w:rPr>
        <w:t>说明：</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120" w:beforeAutospacing="0" w:after="0" w:afterAutospacing="0" w:line="360" w:lineRule="auto"/>
        <w:ind w:firstLine="480" w:firstLineChars="200"/>
        <w:jc w:val="both"/>
        <w:textAlignment w:val="baseline"/>
        <w:rPr>
          <w:rFonts w:hint="eastAsia" w:ascii="宋体" w:hAnsi="宋体" w:eastAsia="宋体" w:cs="宋体"/>
          <w:b w:val="0"/>
          <w:bCs w:val="0"/>
          <w:i w:val="0"/>
          <w:caps w:val="0"/>
          <w:color w:val="auto"/>
          <w:spacing w:val="0"/>
          <w:w w:val="100"/>
          <w:sz w:val="24"/>
          <w:szCs w:val="24"/>
          <w:highlight w:val="none"/>
          <w:lang w:eastAsia="zh-CN"/>
        </w:rPr>
      </w:pPr>
      <w:r>
        <w:rPr>
          <w:rFonts w:hint="eastAsia" w:ascii="宋体" w:hAnsi="宋体" w:eastAsia="宋体" w:cs="宋体"/>
          <w:b w:val="0"/>
          <w:bCs w:val="0"/>
          <w:i w:val="0"/>
          <w:caps w:val="0"/>
          <w:color w:val="auto"/>
          <w:spacing w:val="0"/>
          <w:w w:val="100"/>
          <w:sz w:val="24"/>
          <w:szCs w:val="24"/>
          <w:highlight w:val="none"/>
          <w:lang w:val="en-US" w:eastAsia="zh-CN"/>
        </w:rPr>
        <w:t>1.</w:t>
      </w:r>
      <w:r>
        <w:rPr>
          <w:rFonts w:hint="eastAsia" w:ascii="宋体" w:hAnsi="宋体" w:eastAsia="宋体" w:cs="宋体"/>
          <w:b w:val="0"/>
          <w:bCs w:val="0"/>
          <w:i w:val="0"/>
          <w:caps w:val="0"/>
          <w:color w:val="auto"/>
          <w:spacing w:val="0"/>
          <w:w w:val="100"/>
          <w:sz w:val="24"/>
          <w:szCs w:val="24"/>
          <w:highlight w:val="none"/>
        </w:rPr>
        <w:t>以上数量为预估数量，根据项目最终实际完成的数量进行结算</w:t>
      </w:r>
      <w:r>
        <w:rPr>
          <w:rFonts w:hint="eastAsia" w:ascii="宋体" w:hAnsi="宋体" w:eastAsia="宋体" w:cs="宋体"/>
          <w:b w:val="0"/>
          <w:bCs w:val="0"/>
          <w:i w:val="0"/>
          <w:caps w:val="0"/>
          <w:color w:val="auto"/>
          <w:spacing w:val="0"/>
          <w:w w:val="100"/>
          <w:sz w:val="24"/>
          <w:szCs w:val="24"/>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before="120" w:beforeAutospacing="0" w:after="0" w:afterAutospacing="0" w:line="360" w:lineRule="auto"/>
        <w:ind w:left="0" w:firstLine="480" w:firstLineChars="200"/>
        <w:jc w:val="both"/>
        <w:textAlignment w:val="baseline"/>
        <w:rPr>
          <w:rFonts w:hint="eastAsia" w:ascii="宋体" w:hAnsi="宋体" w:eastAsia="宋体" w:cs="宋体"/>
          <w:b w:val="0"/>
          <w:bCs w:val="0"/>
          <w:i w:val="0"/>
          <w:caps w:val="0"/>
          <w:color w:val="auto"/>
          <w:spacing w:val="0"/>
          <w:w w:val="100"/>
          <w:sz w:val="24"/>
          <w:szCs w:val="24"/>
          <w:highlight w:val="none"/>
        </w:rPr>
      </w:pPr>
      <w:r>
        <w:rPr>
          <w:rFonts w:hint="eastAsia" w:ascii="宋体" w:hAnsi="宋体" w:eastAsia="宋体" w:cs="宋体"/>
          <w:b w:val="0"/>
          <w:bCs w:val="0"/>
          <w:i w:val="0"/>
          <w:caps w:val="0"/>
          <w:color w:val="auto"/>
          <w:spacing w:val="0"/>
          <w:w w:val="100"/>
          <w:sz w:val="24"/>
          <w:szCs w:val="24"/>
          <w:highlight w:val="none"/>
          <w:lang w:val="en-US" w:eastAsia="zh-CN"/>
        </w:rPr>
        <w:t>2.</w:t>
      </w:r>
      <w:r>
        <w:rPr>
          <w:rFonts w:hint="eastAsia" w:ascii="宋体" w:hAnsi="宋体" w:eastAsia="宋体" w:cs="宋体"/>
          <w:b w:val="0"/>
          <w:bCs w:val="0"/>
          <w:i w:val="0"/>
          <w:caps w:val="0"/>
          <w:color w:val="auto"/>
          <w:spacing w:val="0"/>
          <w:w w:val="100"/>
          <w:sz w:val="24"/>
          <w:szCs w:val="24"/>
          <w:highlight w:val="none"/>
        </w:rPr>
        <w:t>项目拟采用外包服务方式实施</w:t>
      </w:r>
      <w:r>
        <w:rPr>
          <w:rFonts w:hint="eastAsia" w:ascii="宋体" w:hAnsi="宋体" w:eastAsia="宋体" w:cs="宋体"/>
          <w:b w:val="0"/>
          <w:bCs w:val="0"/>
          <w:i w:val="0"/>
          <w:caps w:val="0"/>
          <w:color w:val="auto"/>
          <w:spacing w:val="0"/>
          <w:w w:val="100"/>
          <w:sz w:val="24"/>
          <w:szCs w:val="24"/>
          <w:highlight w:val="none"/>
          <w:lang w:eastAsia="zh-CN"/>
        </w:rPr>
        <w:t>，采购方仅提供档案整理及数字化加工所需场地</w:t>
      </w:r>
      <w:r>
        <w:rPr>
          <w:rFonts w:hint="eastAsia" w:ascii="宋体" w:hAnsi="宋体" w:eastAsia="宋体" w:cs="宋体"/>
          <w:b w:val="0"/>
          <w:bCs w:val="0"/>
          <w:i w:val="0"/>
          <w:caps w:val="0"/>
          <w:color w:val="auto"/>
          <w:spacing w:val="0"/>
          <w:w w:val="100"/>
          <w:sz w:val="24"/>
          <w:szCs w:val="24"/>
          <w:highlight w:val="none"/>
        </w:rPr>
        <w:t>。</w:t>
      </w:r>
    </w:p>
    <w:p>
      <w:pPr>
        <w:pStyle w:val="5"/>
        <w:keepNext w:val="0"/>
        <w:keepLines w:val="0"/>
        <w:pageBreakBefore w:val="0"/>
        <w:widowControl w:val="0"/>
        <w:kinsoku/>
        <w:wordWrap/>
        <w:overflowPunct/>
        <w:topLinePunct w:val="0"/>
        <w:autoSpaceDE/>
        <w:autoSpaceDN/>
        <w:bidi w:val="0"/>
        <w:adjustRightInd/>
        <w:snapToGrid/>
        <w:spacing w:before="120" w:beforeAutospacing="0" w:after="0" w:afterAutospacing="0" w:line="360" w:lineRule="auto"/>
        <w:ind w:firstLine="480" w:firstLineChars="200"/>
        <w:jc w:val="both"/>
        <w:textAlignment w:val="baseline"/>
        <w:rPr>
          <w:rFonts w:hint="eastAsia" w:ascii="宋体" w:hAnsi="宋体" w:eastAsia="宋体" w:cs="宋体"/>
          <w:color w:val="auto"/>
          <w:highlight w:val="none"/>
          <w:lang w:val="en-US" w:eastAsia="zh-CN"/>
        </w:rPr>
      </w:pPr>
      <w:r>
        <w:rPr>
          <w:rFonts w:hint="eastAsia" w:ascii="宋体" w:hAnsi="宋体" w:eastAsia="宋体" w:cs="宋体"/>
          <w:b w:val="0"/>
          <w:bCs w:val="0"/>
          <w:i w:val="0"/>
          <w:caps w:val="0"/>
          <w:color w:val="auto"/>
          <w:spacing w:val="0"/>
          <w:w w:val="100"/>
          <w:sz w:val="24"/>
          <w:szCs w:val="24"/>
          <w:highlight w:val="none"/>
          <w:lang w:val="en-US" w:eastAsia="zh-CN"/>
        </w:rPr>
        <w:t>3.以上费用为包干费，含人工费、耗材（含必须移交的档案级光盘）、设备、培训、扫描、验收等全部档案整理和数字化扫描费用，项目</w:t>
      </w:r>
      <w:r>
        <w:rPr>
          <w:rFonts w:hint="eastAsia" w:ascii="宋体" w:hAnsi="宋体" w:eastAsia="宋体" w:cs="宋体"/>
          <w:b w:val="0"/>
          <w:i w:val="0"/>
          <w:caps w:val="0"/>
          <w:color w:val="auto"/>
          <w:spacing w:val="0"/>
          <w:w w:val="100"/>
          <w:sz w:val="24"/>
          <w:highlight w:val="none"/>
          <w:lang w:val="en-US" w:eastAsia="zh-CN"/>
        </w:rPr>
        <w:t>实施过程中所需的、采购文件中未列出的其他一切费用（如运费、税费、安装调试费、驻点人员差旅费等），供应商在报价时一并考虑</w:t>
      </w:r>
      <w:r>
        <w:rPr>
          <w:rFonts w:hint="eastAsia" w:ascii="宋体" w:hAnsi="宋体" w:eastAsia="宋体" w:cs="宋体"/>
          <w:b w:val="0"/>
          <w:bCs w:val="0"/>
          <w:i w:val="0"/>
          <w:caps w:val="0"/>
          <w:color w:val="auto"/>
          <w:spacing w:val="0"/>
          <w:w w:val="100"/>
          <w:sz w:val="24"/>
          <w:szCs w:val="24"/>
          <w:highlight w:val="none"/>
          <w:lang w:val="en-US" w:eastAsia="zh-CN"/>
        </w:rPr>
        <w:t>。档案整理及数字化加工所需的相应设备、材料及备份用数据硬盘，由成交供应商自行提供（不另外报价）。</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（三）服务范围</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本项目服务范围为</w:t>
      </w:r>
      <w:r>
        <w:rPr>
          <w:rFonts w:hint="eastAsia" w:ascii="宋体" w:hAnsi="宋体" w:eastAsia="宋体" w:cs="宋体"/>
          <w:color w:val="auto"/>
          <w:sz w:val="24"/>
          <w:highlight w:val="none"/>
          <w:lang w:eastAsia="zh-CN"/>
        </w:rPr>
        <w:t>屯昌</w:t>
      </w:r>
      <w:r>
        <w:rPr>
          <w:rFonts w:hint="eastAsia" w:ascii="宋体" w:hAnsi="宋体" w:eastAsia="宋体" w:cs="宋体"/>
          <w:color w:val="auto"/>
          <w:sz w:val="24"/>
          <w:highlight w:val="none"/>
        </w:rPr>
        <w:t>县2012 年至2020年精准扶贫工作档案的整理及数字化加工服务</w:t>
      </w:r>
      <w:r>
        <w:rPr>
          <w:rFonts w:hint="eastAsia" w:ascii="宋体" w:hAnsi="宋体" w:eastAsia="宋体" w:cs="宋体"/>
          <w:color w:val="auto"/>
          <w:sz w:val="24"/>
          <w:highlight w:val="none"/>
          <w:lang w:eastAsia="zh-CN"/>
        </w:rPr>
        <w:t>（包括上传、挂接至精准扶贫档案管理系统）</w:t>
      </w:r>
      <w:r>
        <w:rPr>
          <w:rFonts w:hint="eastAsia" w:ascii="宋体" w:hAnsi="宋体" w:eastAsia="宋体" w:cs="宋体"/>
          <w:color w:val="auto"/>
          <w:sz w:val="24"/>
          <w:highlight w:val="none"/>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（四）项目工作总量及内容</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综合类、贫困村类、特殊载体类、项目类文件材料数字化建设：</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auto"/>
          <w:highlight w:val="none"/>
        </w:rPr>
      </w:pPr>
      <w:r>
        <w:rPr>
          <w:rFonts w:hint="eastAsia" w:ascii="宋体" w:hAnsi="宋体" w:eastAsia="宋体" w:cs="宋体"/>
          <w:b w:val="0"/>
          <w:bCs w:val="0"/>
          <w:color w:val="auto"/>
          <w:kern w:val="2"/>
          <w:sz w:val="24"/>
          <w:szCs w:val="24"/>
          <w:highlight w:val="none"/>
          <w:lang w:val="en-US" w:eastAsia="zh-CN" w:bidi="ar-SA"/>
        </w:rPr>
        <w:t>屯昌县乡村振兴局（以下称采购方）（包括屯昌县乡村振兴局及屯昌县8个镇111个行政村和相关县级行业部门）综合管理类、贫困村类、特殊载体类、项目管理类等</w:t>
      </w:r>
      <w:r>
        <w:rPr>
          <w:rFonts w:hint="eastAsia" w:ascii="宋体" w:hAnsi="宋体" w:eastAsia="宋体" w:cs="宋体"/>
          <w:color w:val="auto"/>
          <w:sz w:val="24"/>
          <w:highlight w:val="none"/>
        </w:rPr>
        <w:t>相关精准扶贫档案纸质材料</w:t>
      </w:r>
      <w:r>
        <w:rPr>
          <w:rFonts w:hint="eastAsia" w:ascii="宋体" w:hAnsi="宋体" w:eastAsia="宋体" w:cs="宋体"/>
          <w:color w:val="auto"/>
          <w:sz w:val="24"/>
          <w:highlight w:val="none"/>
          <w:lang w:eastAsia="zh-CN"/>
        </w:rPr>
        <w:t>整理及</w:t>
      </w:r>
      <w:r>
        <w:rPr>
          <w:rFonts w:hint="eastAsia" w:ascii="宋体" w:hAnsi="宋体" w:eastAsia="宋体" w:cs="宋体"/>
          <w:color w:val="auto"/>
          <w:sz w:val="24"/>
          <w:highlight w:val="none"/>
        </w:rPr>
        <w:t>数字化加工（</w:t>
      </w:r>
      <w:r>
        <w:rPr>
          <w:rFonts w:hint="eastAsia" w:ascii="宋体" w:hAnsi="宋体" w:eastAsia="宋体" w:cs="宋体"/>
          <w:color w:val="auto"/>
          <w:sz w:val="24"/>
          <w:highlight w:val="none"/>
          <w:lang w:val="en-US" w:eastAsia="zh-CN"/>
        </w:rPr>
        <w:t>2012-2020年</w:t>
      </w:r>
      <w:r>
        <w:rPr>
          <w:rFonts w:hint="eastAsia" w:ascii="宋体" w:hAnsi="宋体" w:eastAsia="宋体" w:cs="宋体"/>
          <w:color w:val="auto"/>
          <w:sz w:val="24"/>
          <w:highlight w:val="none"/>
        </w:rPr>
        <w:t>约</w:t>
      </w:r>
      <w:r>
        <w:rPr>
          <w:rFonts w:hint="eastAsia" w:ascii="宋体" w:hAnsi="宋体" w:eastAsia="宋体" w:cs="宋体"/>
          <w:color w:val="auto"/>
          <w:sz w:val="24"/>
          <w:highlight w:val="none"/>
          <w:lang w:val="en-US" w:eastAsia="zh-CN"/>
        </w:rPr>
        <w:t>79.2</w:t>
      </w:r>
      <w:r>
        <w:rPr>
          <w:rFonts w:hint="eastAsia" w:ascii="宋体" w:hAnsi="宋体" w:eastAsia="宋体" w:cs="宋体"/>
          <w:color w:val="auto"/>
          <w:sz w:val="24"/>
          <w:highlight w:val="none"/>
        </w:rPr>
        <w:t xml:space="preserve"> 万页），按纸质档案（材料）实有页数计算。项目主要工作包括档案领取、拆装</w:t>
      </w:r>
      <w:r>
        <w:rPr>
          <w:rFonts w:hint="eastAsia" w:ascii="宋体" w:hAnsi="宋体" w:eastAsia="宋体" w:cs="宋体"/>
          <w:color w:val="auto"/>
          <w:sz w:val="24"/>
          <w:highlight w:val="none"/>
          <w:lang w:eastAsia="zh-CN"/>
        </w:rPr>
        <w:t>、分件、档案修补</w:t>
      </w:r>
      <w:r>
        <w:rPr>
          <w:rFonts w:hint="eastAsia" w:ascii="宋体" w:hAnsi="宋体" w:eastAsia="宋体" w:cs="宋体"/>
          <w:color w:val="auto"/>
          <w:sz w:val="24"/>
          <w:highlight w:val="none"/>
        </w:rPr>
        <w:t>、档案整平</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档案分类</w:t>
      </w:r>
      <w:r>
        <w:rPr>
          <w:rFonts w:hint="eastAsia" w:ascii="宋体" w:hAnsi="宋体" w:eastAsia="宋体" w:cs="宋体"/>
          <w:color w:val="auto"/>
          <w:sz w:val="24"/>
          <w:highlight w:val="none"/>
        </w:rPr>
        <w:t>、档案扫描、图像质检、图像处理、目录著录、目录与图像校对、批量挂接、挂接校对、数据总体检查、总目录打印、数据光盘刻录、电脑备份、数据交付、档案装订装盒</w:t>
      </w:r>
      <w:r>
        <w:rPr>
          <w:rFonts w:hint="eastAsia" w:ascii="宋体" w:hAnsi="宋体" w:eastAsia="宋体" w:cs="宋体"/>
          <w:color w:val="auto"/>
          <w:sz w:val="24"/>
          <w:highlight w:val="none"/>
          <w:lang w:eastAsia="zh-CN"/>
        </w:rPr>
        <w:t>等</w:t>
      </w:r>
      <w:r>
        <w:rPr>
          <w:rFonts w:hint="eastAsia" w:ascii="宋体" w:hAnsi="宋体" w:eastAsia="宋体" w:cs="宋体"/>
          <w:color w:val="auto"/>
          <w:sz w:val="24"/>
          <w:highlight w:val="none"/>
        </w:rPr>
        <w:t>，直至验收合格并通过与</w:t>
      </w:r>
      <w:r>
        <w:rPr>
          <w:rFonts w:hint="eastAsia" w:ascii="宋体" w:hAnsi="宋体" w:eastAsia="宋体" w:cs="宋体"/>
          <w:color w:val="auto"/>
          <w:sz w:val="24"/>
          <w:highlight w:val="none"/>
          <w:lang w:eastAsia="zh-CN"/>
        </w:rPr>
        <w:t>采购</w:t>
      </w:r>
      <w:r>
        <w:rPr>
          <w:rFonts w:hint="eastAsia" w:ascii="宋体" w:hAnsi="宋体" w:eastAsia="宋体" w:cs="宋体"/>
          <w:color w:val="auto"/>
          <w:sz w:val="24"/>
          <w:highlight w:val="none"/>
        </w:rPr>
        <w:t>方</w:t>
      </w:r>
      <w:r>
        <w:rPr>
          <w:rFonts w:hint="eastAsia" w:ascii="宋体" w:hAnsi="宋体" w:eastAsia="宋体" w:cs="宋体"/>
          <w:color w:val="auto"/>
          <w:sz w:val="24"/>
          <w:highlight w:val="none"/>
          <w:lang w:eastAsia="zh-CN"/>
        </w:rPr>
        <w:t>指定</w:t>
      </w:r>
      <w:r>
        <w:rPr>
          <w:rFonts w:hint="eastAsia" w:ascii="宋体" w:hAnsi="宋体" w:eastAsia="宋体" w:cs="宋体"/>
          <w:color w:val="auto"/>
          <w:sz w:val="24"/>
          <w:highlight w:val="none"/>
        </w:rPr>
        <w:t>的精准扶贫电子档案管理系统连接，实现网上查询管理功能。</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脱贫户档案材料数字化建设：</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b w:val="0"/>
          <w:bCs w:val="0"/>
          <w:color w:val="auto"/>
          <w:sz w:val="24"/>
          <w:highlight w:val="none"/>
        </w:rPr>
      </w:pPr>
      <w:r>
        <w:rPr>
          <w:rFonts w:hint="eastAsia" w:ascii="宋体" w:hAnsi="宋体" w:eastAsia="宋体" w:cs="宋体"/>
          <w:color w:val="auto"/>
          <w:sz w:val="24"/>
          <w:highlight w:val="none"/>
          <w:lang w:val="en-US" w:eastAsia="zh-CN"/>
        </w:rPr>
        <w:t>屯昌县乡村振兴局现有脱贫户档案页数预计75万页，按纸质档案（材料）实有页数计算。项目主要工作包括档案领取、拆装、分件、档案修补、档案整平、档案分类、档案扫描、图像质检、图像处理、目录著录、目录与图像校对、批量挂接、挂接校对、数据总体检查、总目录打印、数据光盘刻录、电脑备份、数据交付、档案装订装盒等，直至验收合格并通过与采购方指定的精准扶贫电子档案管理系统连接，实现网上查询管理功能。</w:t>
      </w:r>
    </w:p>
    <w:p>
      <w:pPr>
        <w:pStyle w:val="4"/>
        <w:pageBreakBefore w:val="0"/>
        <w:widowControl w:val="0"/>
        <w:numPr>
          <w:ilvl w:val="0"/>
          <w:numId w:val="0"/>
        </w:numPr>
        <w:kinsoku/>
        <w:wordWrap/>
        <w:overflowPunct/>
        <w:topLinePunct w:val="0"/>
        <w:bidi w:val="0"/>
        <w:adjustRightInd/>
        <w:snapToGrid/>
        <w:spacing w:line="360" w:lineRule="auto"/>
        <w:ind w:leftChars="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三、项目建设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（一）技术标准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为规范精准扶贫档案工作，提高纸质档案的数字化质量，维护档案实体和档</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案信息安全，根据国家档案局、国务院扶贫办《关于做好精准扶贫档案工作的意见》(档发</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2016</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12 号</w:t>
      </w:r>
      <w:r>
        <w:rPr>
          <w:rFonts w:hint="eastAsia" w:ascii="宋体" w:hAnsi="宋体" w:eastAsia="宋体" w:cs="宋体"/>
          <w:color w:val="auto"/>
          <w:kern w:val="2"/>
          <w:sz w:val="24"/>
          <w:szCs w:val="24"/>
          <w:highlight w:val="none"/>
          <w:lang w:val="en-US" w:eastAsia="zh-CN" w:bidi="ar-SA"/>
        </w:rPr>
        <w:t>)和《精准扶贫档案管理办法》(档发</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2016</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13 号</w:t>
      </w:r>
      <w:r>
        <w:rPr>
          <w:rFonts w:hint="eastAsia" w:ascii="宋体" w:hAnsi="宋体" w:eastAsia="宋体" w:cs="宋体"/>
          <w:color w:val="auto"/>
          <w:kern w:val="2"/>
          <w:sz w:val="24"/>
          <w:szCs w:val="24"/>
          <w:highlight w:val="none"/>
          <w:lang w:val="en-US" w:eastAsia="zh-CN" w:bidi="ar-SA"/>
        </w:rPr>
        <w:t>)的通知精神，结合《海南省精准扶贫档案工作实施细则》（琼档字</w:t>
      </w:r>
      <w:r>
        <w:rPr>
          <w:rFonts w:hint="eastAsia" w:ascii="宋体" w:hAnsi="宋体" w:eastAsia="宋体" w:cs="宋体"/>
          <w:color w:val="auto"/>
          <w:sz w:val="24"/>
          <w:highlight w:val="none"/>
        </w:rPr>
        <w:t>〔</w:t>
      </w:r>
      <w:r>
        <w:rPr>
          <w:rFonts w:hint="eastAsia" w:ascii="宋体" w:hAnsi="宋体" w:eastAsia="宋体" w:cs="宋体"/>
          <w:color w:val="auto"/>
          <w:kern w:val="2"/>
          <w:sz w:val="24"/>
          <w:szCs w:val="24"/>
          <w:highlight w:val="none"/>
          <w:lang w:val="en-US" w:eastAsia="zh-CN" w:bidi="ar-SA"/>
        </w:rPr>
        <w:t>2017</w:t>
      </w:r>
      <w:r>
        <w:rPr>
          <w:rFonts w:hint="eastAsia" w:ascii="宋体" w:hAnsi="宋体" w:eastAsia="宋体" w:cs="宋体"/>
          <w:color w:val="auto"/>
          <w:sz w:val="24"/>
          <w:highlight w:val="none"/>
        </w:rPr>
        <w:t>〕</w:t>
      </w:r>
      <w:r>
        <w:rPr>
          <w:rFonts w:hint="eastAsia" w:ascii="宋体" w:hAnsi="宋体" w:eastAsia="宋体" w:cs="宋体"/>
          <w:color w:val="auto"/>
          <w:kern w:val="2"/>
          <w:sz w:val="24"/>
          <w:szCs w:val="24"/>
          <w:highlight w:val="none"/>
          <w:lang w:val="en-US" w:eastAsia="zh-CN" w:bidi="ar-SA"/>
        </w:rPr>
        <w:t>84 号）、海南省扶贫工作办公室《关于进一步加强我省精准扶贫档案工作的通知》（琼扶办发</w:t>
      </w:r>
      <w:r>
        <w:rPr>
          <w:rFonts w:hint="eastAsia" w:ascii="宋体" w:hAnsi="宋体" w:eastAsia="宋体" w:cs="宋体"/>
          <w:color w:val="auto"/>
          <w:sz w:val="24"/>
          <w:highlight w:val="none"/>
        </w:rPr>
        <w:t>〔</w:t>
      </w:r>
      <w:r>
        <w:rPr>
          <w:rFonts w:hint="eastAsia" w:ascii="宋体" w:hAnsi="宋体" w:eastAsia="宋体" w:cs="宋体"/>
          <w:color w:val="auto"/>
          <w:kern w:val="2"/>
          <w:sz w:val="24"/>
          <w:szCs w:val="24"/>
          <w:highlight w:val="none"/>
          <w:lang w:val="en-US" w:eastAsia="zh-CN" w:bidi="ar-SA"/>
        </w:rPr>
        <w:t>2020</w:t>
      </w:r>
      <w:r>
        <w:rPr>
          <w:rFonts w:hint="eastAsia" w:ascii="宋体" w:hAnsi="宋体" w:eastAsia="宋体" w:cs="宋体"/>
          <w:color w:val="auto"/>
          <w:sz w:val="24"/>
          <w:highlight w:val="none"/>
        </w:rPr>
        <w:t>〕</w:t>
      </w:r>
      <w:r>
        <w:rPr>
          <w:rFonts w:hint="eastAsia" w:ascii="宋体" w:hAnsi="宋体" w:eastAsia="宋体" w:cs="宋体"/>
          <w:color w:val="auto"/>
          <w:kern w:val="2"/>
          <w:sz w:val="24"/>
          <w:szCs w:val="24"/>
          <w:highlight w:val="none"/>
          <w:lang w:val="en-US" w:eastAsia="zh-CN" w:bidi="ar-SA"/>
        </w:rPr>
        <w:t>44 号）及数字化加工技术流程标准等相关法规标准，项目总体要求如下：</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1.符合国家标准《电子文件归档与电子档案管理规范》（GB/T 11894-2016）。</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2.符合海南省地方标准《海南省纸质档案数字化技术规范（试行）》，确保在扫描过程中不对档案原件造成二次损伤，保证档案扫描图像与原件一致和整洁、清晰。</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3.符合国家档案局国务院扶贫开发领导小组办公室关于印发《精准扶贫档案管理办法》的通知（档发</w:t>
      </w:r>
      <w:r>
        <w:rPr>
          <w:rFonts w:hint="eastAsia" w:ascii="宋体" w:hAnsi="宋体" w:eastAsia="宋体" w:cs="宋体"/>
          <w:color w:val="auto"/>
          <w:sz w:val="24"/>
          <w:highlight w:val="none"/>
        </w:rPr>
        <w:t>〔</w:t>
      </w:r>
      <w:r>
        <w:rPr>
          <w:rFonts w:hint="eastAsia" w:ascii="宋体" w:hAnsi="宋体" w:eastAsia="宋体" w:cs="宋体"/>
          <w:color w:val="auto"/>
          <w:kern w:val="2"/>
          <w:sz w:val="24"/>
          <w:szCs w:val="24"/>
          <w:highlight w:val="none"/>
          <w:lang w:val="en-US" w:eastAsia="zh-CN" w:bidi="ar-SA"/>
        </w:rPr>
        <w:t>2016</w:t>
      </w:r>
      <w:r>
        <w:rPr>
          <w:rFonts w:hint="eastAsia" w:ascii="宋体" w:hAnsi="宋体" w:eastAsia="宋体" w:cs="宋体"/>
          <w:color w:val="auto"/>
          <w:sz w:val="24"/>
          <w:highlight w:val="none"/>
        </w:rPr>
        <w:t>〕</w:t>
      </w:r>
      <w:r>
        <w:rPr>
          <w:rFonts w:hint="eastAsia" w:ascii="宋体" w:hAnsi="宋体" w:eastAsia="宋体" w:cs="宋体"/>
          <w:color w:val="auto"/>
          <w:kern w:val="2"/>
          <w:sz w:val="24"/>
          <w:szCs w:val="24"/>
          <w:highlight w:val="none"/>
          <w:lang w:val="en-US" w:eastAsia="zh-CN" w:bidi="ar-SA"/>
        </w:rPr>
        <w:t>13号）。</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4.符合海南省档案局海南省扶贫工作办公室关于印发《海南省精准扶贫档案工作实施细则》的通知（琼档字</w:t>
      </w:r>
      <w:r>
        <w:rPr>
          <w:rFonts w:hint="eastAsia" w:ascii="宋体" w:hAnsi="宋体" w:eastAsia="宋体" w:cs="宋体"/>
          <w:color w:val="auto"/>
          <w:sz w:val="24"/>
          <w:highlight w:val="none"/>
        </w:rPr>
        <w:t>〔</w:t>
      </w:r>
      <w:r>
        <w:rPr>
          <w:rFonts w:hint="eastAsia" w:ascii="宋体" w:hAnsi="宋体" w:eastAsia="宋体" w:cs="宋体"/>
          <w:color w:val="auto"/>
          <w:kern w:val="2"/>
          <w:sz w:val="24"/>
          <w:szCs w:val="24"/>
          <w:highlight w:val="none"/>
          <w:lang w:val="en-US" w:eastAsia="zh-CN" w:bidi="ar-SA"/>
        </w:rPr>
        <w:t>2017</w:t>
      </w:r>
      <w:r>
        <w:rPr>
          <w:rFonts w:hint="eastAsia" w:ascii="宋体" w:hAnsi="宋体" w:eastAsia="宋体" w:cs="宋体"/>
          <w:color w:val="auto"/>
          <w:sz w:val="24"/>
          <w:highlight w:val="none"/>
        </w:rPr>
        <w:t>〕</w:t>
      </w:r>
      <w:r>
        <w:rPr>
          <w:rFonts w:hint="eastAsia" w:ascii="宋体" w:hAnsi="宋体" w:eastAsia="宋体" w:cs="宋体"/>
          <w:color w:val="auto"/>
          <w:kern w:val="2"/>
          <w:sz w:val="24"/>
          <w:szCs w:val="24"/>
          <w:highlight w:val="none"/>
          <w:lang w:val="en-US" w:eastAsia="zh-CN" w:bidi="ar-SA"/>
        </w:rPr>
        <w:t>84 号）、海南省档案局海南省扶贫工作办公室关于进一步落实《海南省精准扶贫档案工作实施细则》的通知（琼档字</w:t>
      </w:r>
      <w:r>
        <w:rPr>
          <w:rFonts w:hint="eastAsia" w:ascii="宋体" w:hAnsi="宋体" w:eastAsia="宋体" w:cs="宋体"/>
          <w:color w:val="auto"/>
          <w:sz w:val="24"/>
          <w:highlight w:val="none"/>
        </w:rPr>
        <w:t>〔</w:t>
      </w:r>
      <w:r>
        <w:rPr>
          <w:rFonts w:hint="eastAsia" w:ascii="宋体" w:hAnsi="宋体" w:eastAsia="宋体" w:cs="宋体"/>
          <w:color w:val="auto"/>
          <w:kern w:val="2"/>
          <w:sz w:val="24"/>
          <w:szCs w:val="24"/>
          <w:highlight w:val="none"/>
          <w:lang w:val="en-US" w:eastAsia="zh-CN" w:bidi="ar-SA"/>
        </w:rPr>
        <w:t>2018</w:t>
      </w:r>
      <w:r>
        <w:rPr>
          <w:rFonts w:hint="eastAsia" w:ascii="宋体" w:hAnsi="宋体" w:eastAsia="宋体" w:cs="宋体"/>
          <w:color w:val="auto"/>
          <w:sz w:val="24"/>
          <w:highlight w:val="none"/>
        </w:rPr>
        <w:t>〕</w:t>
      </w:r>
      <w:r>
        <w:rPr>
          <w:rFonts w:hint="eastAsia" w:ascii="宋体" w:hAnsi="宋体" w:eastAsia="宋体" w:cs="宋体"/>
          <w:color w:val="auto"/>
          <w:kern w:val="2"/>
          <w:sz w:val="24"/>
          <w:szCs w:val="24"/>
          <w:highlight w:val="none"/>
          <w:lang w:val="en-US" w:eastAsia="zh-CN" w:bidi="ar-SA"/>
        </w:rPr>
        <w:t>86号）、海南省扶贫工作办公室《关于进一步加强我省精准扶贫档案工作的通知》（琼扶办发</w:t>
      </w:r>
      <w:r>
        <w:rPr>
          <w:rFonts w:hint="eastAsia" w:ascii="宋体" w:hAnsi="宋体" w:eastAsia="宋体" w:cs="宋体"/>
          <w:color w:val="auto"/>
          <w:sz w:val="24"/>
          <w:highlight w:val="none"/>
        </w:rPr>
        <w:t>〔</w:t>
      </w:r>
      <w:r>
        <w:rPr>
          <w:rFonts w:hint="eastAsia" w:ascii="宋体" w:hAnsi="宋体" w:eastAsia="宋体" w:cs="宋体"/>
          <w:color w:val="auto"/>
          <w:kern w:val="2"/>
          <w:sz w:val="24"/>
          <w:szCs w:val="24"/>
          <w:highlight w:val="none"/>
          <w:lang w:val="en-US" w:eastAsia="zh-CN" w:bidi="ar-SA"/>
        </w:rPr>
        <w:t>2020</w:t>
      </w:r>
      <w:r>
        <w:rPr>
          <w:rFonts w:hint="eastAsia" w:ascii="宋体" w:hAnsi="宋体" w:eastAsia="宋体" w:cs="宋体"/>
          <w:color w:val="auto"/>
          <w:sz w:val="24"/>
          <w:highlight w:val="none"/>
        </w:rPr>
        <w:t>〕</w:t>
      </w:r>
      <w:r>
        <w:rPr>
          <w:rFonts w:hint="eastAsia" w:ascii="宋体" w:hAnsi="宋体" w:eastAsia="宋体" w:cs="宋体"/>
          <w:color w:val="auto"/>
          <w:kern w:val="2"/>
          <w:sz w:val="24"/>
          <w:szCs w:val="24"/>
          <w:highlight w:val="none"/>
          <w:lang w:val="en-US" w:eastAsia="zh-CN" w:bidi="ar-SA"/>
        </w:rPr>
        <w:t>44号）和《海南省脱贫攻坚精准扶贫档案检查验收标准的通知》（琼扶办发〔2020〕88号）。</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5.精准扶贫档案综合管理类、贫困村类、贫困户类、建设项目类按照《海南省精准扶贫归档文件整理方法》、《归档文件整理规则》（DA/T 22-2015）、《文书档案案卷格式》（GB/T 9705-2008）等标准进行标准化整理和数字化扫描。</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6.照片和电子档案等特殊载体档案，分别按《照片档案管理规范》（GB/T11821-2002）、《数码照片归档与管理规范》（DA/T 50-2014）和《磁性载体档案管理与保护规范》进行整理；《电子文件归档与管理规范》（GB/T 18894-2016）和《录音录像档案数字化规范》（DA/T 62-2017）等进行标准化整理和数字化扫描。</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7.项目管理类精准扶贫档案按《文书档案案卷格式》（GB/T 9705-2008）、项目档案管理办法进行标准化整理和数字化扫描。</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8.精准扶贫资金会计档案按《会计档案管理办法》进行标准化整理和数字化扫描。</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9.严格依照《档案服务外包工作规范》（DA/T 68-2020）执行。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（二）档案数字化建设</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1.扫描加工技术要求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（1）严格遵守中华人民共和国档案行业标准《纸质档案数字化技术规范》（DA/T 31-2017）、《海南省纸质档案数字化技术规范（试行）》标准对纸质档案进行数字化扫描加工。</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（2）案卷级和文件级条目录入符合《档案著录规则DA/T 18-1999》的规定对档案目录信息进行数字化加工（著录）。</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w:t>
      </w:r>
      <w:r>
        <w:rPr>
          <w:rFonts w:hint="eastAsia" w:ascii="宋体" w:hAnsi="宋体" w:eastAsia="宋体" w:cs="宋体"/>
          <w:color w:val="auto"/>
          <w:kern w:val="2"/>
          <w:sz w:val="24"/>
          <w:szCs w:val="24"/>
          <w:highlight w:val="none"/>
          <w:lang w:val="en-US" w:eastAsia="zh-CN" w:bidi="ar-SA"/>
        </w:rPr>
        <w:t>扫描纸质文书档案校对需根据中华人民共和国行业标准《纸质档案数字化技术规范》（DA/T 31-2017）、《海南省纸质档案数字化技术规范（试行）》标准，对扫描数据进行质量检查，检查是否有漏扫、次序颠倒、污点、黑边、图像不清晰、图像歪斜等情况，对不符合要求的进行补扫、重扫、图像处理等进行修正。</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lang w:eastAsia="zh-CN"/>
        </w:rPr>
        <w:t>）</w:t>
      </w:r>
      <w:r>
        <w:rPr>
          <w:rFonts w:hint="eastAsia" w:ascii="宋体" w:hAnsi="宋体" w:eastAsia="宋体" w:cs="宋体"/>
          <w:color w:val="auto"/>
          <w:kern w:val="2"/>
          <w:sz w:val="24"/>
          <w:szCs w:val="24"/>
          <w:highlight w:val="none"/>
          <w:lang w:val="en-US" w:eastAsia="zh-CN" w:bidi="ar-SA"/>
        </w:rPr>
        <w:t>档案整理、裱糊。对页面破损严重、无法直接进行扫描的档案，应做相应的技术修复后再扫描；折皱不平影响扫描质量的应先压平或用低温熨斗熨平后再进行扫描。修复工作要求按照《档案修裱技术规范》（DA/T 25-2000）进行操作。</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2.扫描图像处理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扫描后的原始图像应进行优化处理，使得成品图像清晰、端正。根据档案扫描后的具体情况，要进行如下图像处理：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（1）图像歪斜：采用自动或手动纠偏功能，调整图像角度。以视觉上不感觉偏斜为准，对方向不正确的图像应进行旋转还原，以符合阅读习惯。</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图像脏点、脏斑：对图像页面中出现的影响图像质量的杂质如黑点、黑线、黑框、黑边等应进行去污处理。处理过程中应遵循保持档案原貌的原则。为了节省存储空间，应对图像进行裁边处理，去除多余白边。</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（3）字迹洇透：采用字迹锐化的功能，清晰字迹笔画。</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（4）图像深浅不一：采用平衡功能，调整图像深浅一致。</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（5）对特殊纸质档案，如照片等，应选择符合规范标准的分辨率。</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（6）扫描图像质量要求图像不出现偏斜度、清晰度、失真等图像质量问题。扫描文件完整有序，能够清晰识别、不漏页、不跳页，与档案原件一致。</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3.档案整理、装订、装盒</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档案扫描完成后，要进行细致认真的装订。具体装订要求如下：</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（1）遵循保护档案和尽可能保持档案原貌的原则，对扫描后的档案进行装订。</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（2）档案装订应按照历史档案原有的装订方向进行，不可更换装订的位置（如：改右装订为左装订）。</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（3）对于装订时某些页面必须进行折叠的情况，应以尽可能地减少折痕数为原则，能不折叠就尽量不折叠。</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（4）档案装订，应遵循“两对齐”要求，即装订线一侧边缘对齐，档案内页下边缘对齐。</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（5）精准扶贫归档文件一般以“卷”为单位左侧装订，装订时采用三孔一线或不锈钢钉等符合归档文件长期保管需要的装订方式。</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（6）精准扶贫归档文件装订顺序为：档案封面—卷内文件目录—精准扶贫归档文件—备考表—封底。</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（7）案卷封面、案卷目录、卷内目录、卷内备考表表格规格为：297mm×210mm，案卷封面、封底用黄色牛皮纸。</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4.图像数据挂接</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档案扫描完成后，将扫描图像按顺序一一对应存储到相应的文件目录。</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为确保数据挂接的正确性，中标方应确保档案目录数据与档案扫描图像的一一对应，确保加工扫描成果在采购方所使用的档案管理系统中有效检索和显示。</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确保扫描图像与案卷目录、卷内目录100%挂接正确，并将正确的数据导入采购方指定的档案数据库中。</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档案整理及电子化形成的档案数字信息，其分类方法符合海南省扶贫档案管理办法的基础上，兼容国家关于扶贫档案整理相关标准规范。</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填写挂接流程单，记录数据关联后的页数，核对每一份文件关联后的页数与档案处理</w:t>
      </w:r>
      <w:r>
        <w:rPr>
          <w:rFonts w:hint="eastAsia" w:ascii="宋体" w:hAnsi="宋体" w:eastAsia="宋体" w:cs="宋体"/>
          <w:color w:val="auto"/>
          <w:sz w:val="24"/>
          <w:highlight w:val="none"/>
          <w:lang w:eastAsia="zh-CN"/>
        </w:rPr>
        <w:t>前</w:t>
      </w:r>
      <w:r>
        <w:rPr>
          <w:rFonts w:hint="eastAsia" w:ascii="宋体" w:hAnsi="宋体" w:eastAsia="宋体" w:cs="宋体"/>
          <w:color w:val="auto"/>
          <w:sz w:val="24"/>
          <w:highlight w:val="none"/>
        </w:rPr>
        <w:t>、扫描时填写的页数是否一致，不一致时应注明具体原因和处理办法。并提交采购</w:t>
      </w:r>
      <w:r>
        <w:rPr>
          <w:rFonts w:hint="eastAsia" w:ascii="宋体" w:hAnsi="宋体" w:eastAsia="宋体" w:cs="宋体"/>
          <w:color w:val="auto"/>
          <w:sz w:val="24"/>
          <w:highlight w:val="none"/>
          <w:lang w:eastAsia="zh-CN"/>
        </w:rPr>
        <w:t>方</w:t>
      </w:r>
      <w:r>
        <w:rPr>
          <w:rFonts w:hint="eastAsia" w:ascii="宋体" w:hAnsi="宋体" w:eastAsia="宋体" w:cs="宋体"/>
          <w:color w:val="auto"/>
          <w:sz w:val="24"/>
          <w:highlight w:val="none"/>
        </w:rPr>
        <w:t>项目管理人员审核同意后，进行处理。</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5.档案扫描加工质量要求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（1）图像要求：图像整洁、无歪斜、无黑边、浏览及打印清晰。</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（2）数据对应：档案目录数据与扫描图像100%正确对应。</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采购方对中标方质检后的扫描图像进行抽检，抽检率不低于10%，当抽检合格率达到95%时，采购方可提供下一批次案卷，但中标方需对错误数据重新检查修改，直到合格率达100%；如抽检合格率低于95%，采购方有权不予接收错误数据并且不再提供下一批案卷，采购方将该批案卷全部退回给中标方重新检查修改，直到合格率达100%，由此造成的损失和后果由中标方负责。</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6.数据备份存储介质</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（1）提交原始扫描图像数据存储介质（移动硬盘、光盘）3套，内容包括：</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本存储介质所包含档案卷号及图像清单（Excel格式）；档案扫描图像文件和档案目录数据。</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（2）提交存储介质目录表叁套，记录存储介质号与案卷内容。</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（3）档案数字化加工成果经验收合格后进行备份，数据一式三份。光盘备份两份，移动硬盘备份一份,区分不同全宗进行备份。一套封存、一套异地保存，一套提供利用。</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7.验收要求</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中标方履行完合同约定的加工内容后，采购方将组织</w:t>
      </w:r>
      <w:r>
        <w:rPr>
          <w:rFonts w:hint="eastAsia" w:ascii="宋体" w:hAnsi="宋体" w:eastAsia="宋体" w:cs="宋体"/>
          <w:color w:val="auto"/>
          <w:sz w:val="24"/>
          <w:highlight w:val="none"/>
          <w:lang w:eastAsia="zh-CN"/>
        </w:rPr>
        <w:t>相关部门及人员</w:t>
      </w:r>
      <w:r>
        <w:rPr>
          <w:rFonts w:hint="eastAsia" w:ascii="宋体" w:hAnsi="宋体" w:eastAsia="宋体" w:cs="宋体"/>
          <w:color w:val="auto"/>
          <w:sz w:val="24"/>
          <w:highlight w:val="none"/>
          <w:lang w:val="en-US" w:eastAsia="zh-CN"/>
        </w:rPr>
        <w:t>根据《海南省扶贫工作办公室 海南省省档案局关于印发&lt;海南省脱贫攻坚精准扶贫档案检查验收标准&gt;的通知》（琼扶办发</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2020</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88 号）</w:t>
      </w:r>
      <w:r>
        <w:rPr>
          <w:rFonts w:hint="eastAsia" w:ascii="宋体" w:hAnsi="宋体" w:eastAsia="宋体" w:cs="宋体"/>
          <w:color w:val="auto"/>
          <w:sz w:val="24"/>
          <w:highlight w:val="none"/>
          <w:lang w:eastAsia="zh-CN"/>
        </w:rPr>
        <w:t>及</w:t>
      </w:r>
      <w:r>
        <w:rPr>
          <w:rFonts w:hint="eastAsia" w:ascii="宋体" w:hAnsi="宋体" w:eastAsia="宋体" w:cs="宋体"/>
          <w:color w:val="auto"/>
          <w:sz w:val="24"/>
          <w:highlight w:val="none"/>
          <w:lang w:val="en-US" w:eastAsia="zh-CN"/>
        </w:rPr>
        <w:t>国家行业标准和招标文件的要求</w:t>
      </w:r>
      <w:r>
        <w:rPr>
          <w:rFonts w:hint="eastAsia" w:ascii="宋体" w:hAnsi="宋体" w:eastAsia="宋体" w:cs="宋体"/>
          <w:color w:val="auto"/>
          <w:sz w:val="24"/>
          <w:highlight w:val="none"/>
        </w:rPr>
        <w:t>进行验收</w:t>
      </w:r>
      <w:r>
        <w:rPr>
          <w:rFonts w:hint="eastAsia" w:ascii="宋体" w:hAnsi="宋体" w:eastAsia="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（1）数据抽检：以抽检的方式检查已完成数字化转换的所有数据，包括目录数据库、图像文件及数据标准的总体质量。一个批次的档案，数据验收时抽检的比率不得低于5%。</w:t>
      </w:r>
      <w:r>
        <w:rPr>
          <w:rFonts w:hint="eastAsia" w:ascii="宋体" w:hAnsi="宋体" w:eastAsia="宋体" w:cs="宋体"/>
          <w:color w:val="auto"/>
          <w:sz w:val="24"/>
          <w:highlight w:val="none"/>
          <w:lang w:eastAsia="zh-CN"/>
        </w:rPr>
        <w:t>贫困户类档案数量在</w:t>
      </w:r>
      <w:r>
        <w:rPr>
          <w:rFonts w:hint="eastAsia" w:ascii="宋体" w:hAnsi="宋体" w:eastAsia="宋体" w:cs="宋体"/>
          <w:color w:val="auto"/>
          <w:sz w:val="24"/>
          <w:highlight w:val="none"/>
          <w:lang w:val="en-US" w:eastAsia="zh-CN"/>
        </w:rPr>
        <w:t>1000卷以下的，抽查数量按10%抽取。</w:t>
      </w:r>
      <w:r>
        <w:rPr>
          <w:rFonts w:hint="eastAsia" w:ascii="宋体" w:hAnsi="宋体" w:eastAsia="宋体" w:cs="宋体"/>
          <w:color w:val="auto"/>
          <w:sz w:val="24"/>
          <w:highlight w:val="none"/>
        </w:rPr>
        <w:t>贫困户类档案数量在1000卷以上的，抽查数量按照5%抽取</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综合管理类、贫困村类档案数量在200卷以下的，抽查数量按10%抽取，数量在200卷以上的，抽查数量按5%抽取；特殊载体类档案按100%抽查；建设类项目按项目数量抽查，项目数量在200以下的，按10%抽取，项目数量在200个以上的，按5%抽取。</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（2）验收审核：</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①采购方对中标方每一分批数据进行验收。数据验收以抽检方式进行。中标方提交验收的数据不论涉及验收标准哪一条，不合格的，全部发回由中标方全面自检，采购方的验收记录不向中标方公开，待验收通过后，采购方公开验收记录。在退回自检期间，采购方将不再向中标方提供加工的档案。</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②采购方在验收中检出的错误，中标方</w:t>
      </w:r>
      <w:r>
        <w:rPr>
          <w:rFonts w:hint="eastAsia" w:ascii="宋体" w:hAnsi="宋体" w:eastAsia="宋体" w:cs="宋体"/>
          <w:color w:val="auto"/>
          <w:sz w:val="24"/>
          <w:highlight w:val="none"/>
          <w:lang w:eastAsia="zh-CN"/>
        </w:rPr>
        <w:t>应</w:t>
      </w:r>
      <w:r>
        <w:rPr>
          <w:rFonts w:hint="eastAsia" w:ascii="宋体" w:hAnsi="宋体" w:eastAsia="宋体" w:cs="宋体"/>
          <w:color w:val="auto"/>
          <w:sz w:val="24"/>
          <w:highlight w:val="none"/>
        </w:rPr>
        <w:t>及时、无偿予以纠正并再提交采购方验收。</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③一个全宗的档案，数字化转换质量的合格率达到100％时，给予验收“通过”（合格率=抽检合格的文件数／抽检文件总数×100％）。</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④数据验收合格后，中标方须刻录光盘一式三份提交给采购方，著录条目和全文数据向采购方数据库迁移。</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）验收登记：</w:t>
      </w:r>
      <w:r>
        <w:rPr>
          <w:rFonts w:hint="eastAsia" w:ascii="宋体" w:hAnsi="宋体" w:eastAsia="宋体" w:cs="宋体"/>
          <w:color w:val="auto"/>
          <w:sz w:val="24"/>
          <w:highlight w:val="none"/>
          <w:lang w:eastAsia="zh-CN"/>
        </w:rPr>
        <w:t>验收通过后，须填写验收报告单，须经采购方分管领导及其他监督人员审核、签字后方有效。</w:t>
      </w:r>
    </w:p>
    <w:p>
      <w:pPr>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若</w:t>
      </w:r>
      <w:r>
        <w:rPr>
          <w:rFonts w:hint="eastAsia" w:ascii="宋体" w:hAnsi="宋体" w:eastAsia="宋体" w:cs="宋体"/>
          <w:color w:val="auto"/>
          <w:sz w:val="24"/>
          <w:highlight w:val="none"/>
          <w:lang w:eastAsia="zh-CN"/>
        </w:rPr>
        <w:t>项目</w:t>
      </w:r>
      <w:r>
        <w:rPr>
          <w:rFonts w:hint="eastAsia" w:ascii="宋体" w:hAnsi="宋体" w:eastAsia="宋体" w:cs="宋体"/>
          <w:color w:val="auto"/>
          <w:sz w:val="24"/>
          <w:highlight w:val="none"/>
        </w:rPr>
        <w:t>完成后</w:t>
      </w:r>
      <w:r>
        <w:rPr>
          <w:rFonts w:hint="eastAsia" w:ascii="宋体" w:hAnsi="宋体" w:eastAsia="宋体" w:cs="宋体"/>
          <w:color w:val="auto"/>
          <w:sz w:val="24"/>
          <w:highlight w:val="none"/>
          <w:lang w:eastAsia="zh-CN"/>
        </w:rPr>
        <w:t>未能按照</w:t>
      </w:r>
      <w:r>
        <w:rPr>
          <w:rFonts w:hint="eastAsia" w:ascii="宋体" w:hAnsi="宋体" w:eastAsia="宋体" w:cs="宋体"/>
          <w:color w:val="auto"/>
          <w:sz w:val="24"/>
          <w:highlight w:val="none"/>
          <w:lang w:val="en-US" w:eastAsia="zh-CN"/>
        </w:rPr>
        <w:t>《海南省扶贫工作办公室 海南省省档案局关于印发&lt;海南省脱贫攻坚精准扶贫档案检查验收标准&gt;的通知》（琼扶办发</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2020</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88 号）文件的要求通过</w:t>
      </w:r>
      <w:r>
        <w:rPr>
          <w:rFonts w:hint="eastAsia" w:ascii="宋体" w:hAnsi="宋体" w:eastAsia="宋体" w:cs="宋体"/>
          <w:color w:val="auto"/>
          <w:sz w:val="24"/>
          <w:highlight w:val="none"/>
        </w:rPr>
        <w:t>验收，</w:t>
      </w:r>
      <w:r>
        <w:rPr>
          <w:rFonts w:hint="eastAsia" w:ascii="宋体" w:hAnsi="宋体" w:eastAsia="宋体" w:cs="宋体"/>
          <w:color w:val="auto"/>
          <w:sz w:val="24"/>
          <w:highlight w:val="none"/>
          <w:lang w:eastAsia="zh-CN"/>
        </w:rPr>
        <w:t>中标方应立即整改，直至验收通过，</w:t>
      </w:r>
      <w:r>
        <w:rPr>
          <w:rFonts w:hint="eastAsia" w:ascii="宋体" w:hAnsi="宋体" w:eastAsia="宋体" w:cs="宋体"/>
          <w:color w:val="auto"/>
          <w:sz w:val="24"/>
          <w:highlight w:val="none"/>
        </w:rPr>
        <w:t>由于中标方的质量等问题，而引发的误时、经济等问题均由中标方承担。</w:t>
      </w:r>
    </w:p>
    <w:bookmarkEnd w:id="1"/>
    <w:bookmarkEnd w:id="2"/>
    <w:bookmarkEnd w:id="3"/>
    <w:bookmarkEnd w:id="4"/>
    <w:bookmarkEnd w:id="5"/>
    <w:p>
      <w:pPr>
        <w:pStyle w:val="4"/>
        <w:pageBreakBefore w:val="0"/>
        <w:widowControl w:val="0"/>
        <w:numPr>
          <w:ilvl w:val="0"/>
          <w:numId w:val="0"/>
        </w:numPr>
        <w:kinsoku/>
        <w:wordWrap/>
        <w:overflowPunct/>
        <w:topLinePunct w:val="0"/>
        <w:bidi w:val="0"/>
        <w:adjustRightInd/>
        <w:snapToGrid/>
        <w:spacing w:line="360" w:lineRule="auto"/>
        <w:ind w:leftChars="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四、项目服务及管理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bCs w:val="0"/>
          <w:color w:val="auto"/>
          <w:sz w:val="24"/>
          <w:szCs w:val="24"/>
          <w:highlight w:val="none"/>
          <w:lang w:eastAsia="zh-CN"/>
        </w:rPr>
        <w:t>（一）</w:t>
      </w:r>
      <w:r>
        <w:rPr>
          <w:rFonts w:hint="eastAsia" w:ascii="宋体" w:hAnsi="宋体" w:eastAsia="宋体" w:cs="宋体"/>
          <w:b w:val="0"/>
          <w:i w:val="0"/>
          <w:caps w:val="0"/>
          <w:color w:val="auto"/>
          <w:spacing w:val="0"/>
          <w:w w:val="100"/>
          <w:sz w:val="24"/>
          <w:highlight w:val="none"/>
          <w:lang w:val="en-US" w:eastAsia="zh-CN"/>
        </w:rPr>
        <w:t>数字化加工所需档案盒由中标方提供。中标方需自携设备和人员上门提供加工、安装、测试、运行等服务，相关人员的一切费用全部由中标方负担，采购方不提供档案整理及数字化所需的任何相应设备和数字化加工软件等。采购方仅提供场地和相关水电需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bCs w:val="0"/>
          <w:color w:val="auto"/>
          <w:sz w:val="24"/>
          <w:szCs w:val="24"/>
          <w:highlight w:val="none"/>
          <w:lang w:eastAsia="zh-CN"/>
        </w:rPr>
        <w:t>（二）</w:t>
      </w:r>
      <w:r>
        <w:rPr>
          <w:rFonts w:hint="eastAsia" w:ascii="宋体" w:hAnsi="宋体" w:eastAsia="宋体" w:cs="宋体"/>
          <w:b w:val="0"/>
          <w:i w:val="0"/>
          <w:caps w:val="0"/>
          <w:color w:val="auto"/>
          <w:spacing w:val="0"/>
          <w:w w:val="100"/>
          <w:sz w:val="24"/>
          <w:highlight w:val="none"/>
          <w:lang w:val="en-US" w:eastAsia="zh-CN"/>
        </w:rPr>
        <w:t>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en-US" w:eastAsia="zh-CN"/>
        </w:rPr>
        <w:t>在签订合同时应成立项目组，配备符合项目要求、具有相应知识水平和业务技能的项目经理和工作人员，未经采购方同意不得随意更换项目经理，若项目经理不能满足采购方工作需求，应按采购方要求及时更换。</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bCs w:val="0"/>
          <w:color w:val="auto"/>
          <w:sz w:val="24"/>
          <w:szCs w:val="24"/>
          <w:highlight w:val="none"/>
          <w:lang w:eastAsia="zh-CN"/>
        </w:rPr>
        <w:t>（三）</w:t>
      </w:r>
      <w:r>
        <w:rPr>
          <w:rFonts w:hint="eastAsia" w:ascii="宋体" w:hAnsi="宋体" w:eastAsia="宋体" w:cs="宋体"/>
          <w:b w:val="0"/>
          <w:i w:val="0"/>
          <w:caps w:val="0"/>
          <w:color w:val="auto"/>
          <w:spacing w:val="0"/>
          <w:w w:val="100"/>
          <w:sz w:val="24"/>
          <w:highlight w:val="none"/>
          <w:lang w:val="en-US" w:eastAsia="zh-CN"/>
        </w:rPr>
        <w:t>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en-US" w:eastAsia="zh-CN"/>
        </w:rPr>
        <w:t>应列出具体的项目操作标准及流程、项目实施计划、操作人员岗位职责、档案实体及数据安全保密措施等。</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bCs w:val="0"/>
          <w:color w:val="auto"/>
          <w:sz w:val="24"/>
          <w:szCs w:val="24"/>
          <w:highlight w:val="none"/>
          <w:lang w:eastAsia="zh-CN"/>
        </w:rPr>
        <w:t>（四）</w:t>
      </w:r>
      <w:r>
        <w:rPr>
          <w:rFonts w:hint="eastAsia" w:ascii="宋体" w:hAnsi="宋体" w:eastAsia="宋体" w:cs="宋体"/>
          <w:b w:val="0"/>
          <w:i w:val="0"/>
          <w:caps w:val="0"/>
          <w:color w:val="auto"/>
          <w:spacing w:val="0"/>
          <w:w w:val="100"/>
          <w:sz w:val="24"/>
          <w:highlight w:val="none"/>
          <w:lang w:val="en-US" w:eastAsia="zh-CN"/>
        </w:rPr>
        <w:t>由中标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en-US" w:eastAsia="zh-CN"/>
        </w:rPr>
        <w:t>负责在加工现场安装视频监控系统，接受采购方对本项目实施的全过程进行实时监控；中标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en-US" w:eastAsia="zh-CN"/>
        </w:rPr>
        <w:t>应定期对视频监控数据进行回放检查，在删除视频监控数据之前，要留存视频回放安全检查记录。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bCs w:val="0"/>
          <w:color w:val="auto"/>
          <w:sz w:val="24"/>
          <w:szCs w:val="24"/>
          <w:highlight w:val="none"/>
          <w:lang w:eastAsia="zh-CN"/>
        </w:rPr>
        <w:t>（五）</w:t>
      </w:r>
      <w:r>
        <w:rPr>
          <w:rFonts w:hint="eastAsia" w:ascii="宋体" w:hAnsi="宋体" w:eastAsia="宋体" w:cs="宋体"/>
          <w:b w:val="0"/>
          <w:i w:val="0"/>
          <w:caps w:val="0"/>
          <w:color w:val="auto"/>
          <w:spacing w:val="0"/>
          <w:w w:val="100"/>
          <w:sz w:val="24"/>
          <w:highlight w:val="none"/>
          <w:lang w:val="en-US" w:eastAsia="zh-CN"/>
        </w:rPr>
        <w:t>在项目实施完毕后，中标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en-US" w:eastAsia="zh-CN"/>
        </w:rPr>
        <w:t>应自觉遵守《保密法》，对此次加工成果以书面方式向采购方承诺数据无存留承诺。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bCs w:val="0"/>
          <w:color w:val="auto"/>
          <w:sz w:val="24"/>
          <w:szCs w:val="24"/>
          <w:highlight w:val="none"/>
          <w:lang w:eastAsia="zh-CN"/>
        </w:rPr>
        <w:t>（六）</w:t>
      </w:r>
      <w:r>
        <w:rPr>
          <w:rFonts w:hint="eastAsia" w:ascii="宋体" w:hAnsi="宋体" w:eastAsia="宋体" w:cs="宋体"/>
          <w:b w:val="0"/>
          <w:i w:val="0"/>
          <w:caps w:val="0"/>
          <w:color w:val="auto"/>
          <w:spacing w:val="0"/>
          <w:w w:val="100"/>
          <w:sz w:val="24"/>
          <w:highlight w:val="none"/>
          <w:lang w:val="en-US" w:eastAsia="zh-CN"/>
        </w:rPr>
        <w:t>加工现场布置要协调、整齐，中标公司名称、工作区域均标识清楚、管理有序。工作人员要求挂牌上岗，并遵守采购方各项规章制度，不得在加工区内喝水、进食、吸烟等，严禁携带火种进入加工场所，并保持工作场所干净、整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bCs w:val="0"/>
          <w:color w:val="auto"/>
          <w:sz w:val="24"/>
          <w:szCs w:val="24"/>
          <w:highlight w:val="none"/>
          <w:lang w:eastAsia="zh-CN"/>
        </w:rPr>
        <w:t>（七）</w:t>
      </w:r>
      <w:r>
        <w:rPr>
          <w:rFonts w:hint="eastAsia" w:ascii="宋体" w:hAnsi="宋体" w:eastAsia="宋体" w:cs="宋体"/>
          <w:color w:val="auto"/>
          <w:sz w:val="24"/>
          <w:szCs w:val="24"/>
          <w:highlight w:val="none"/>
        </w:rPr>
        <w:t>中标方负责工作场所的日常安全，应有相应措施保证档案和工作场所的安全</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bCs w:val="0"/>
          <w:color w:val="auto"/>
          <w:sz w:val="24"/>
          <w:szCs w:val="24"/>
          <w:highlight w:val="none"/>
          <w:lang w:eastAsia="zh-CN"/>
        </w:rPr>
        <w:t>（八）</w:t>
      </w:r>
      <w:r>
        <w:rPr>
          <w:rFonts w:hint="eastAsia" w:ascii="宋体" w:hAnsi="宋体" w:eastAsia="宋体" w:cs="宋体"/>
          <w:b w:val="0"/>
          <w:i w:val="0"/>
          <w:caps w:val="0"/>
          <w:color w:val="auto"/>
          <w:spacing w:val="0"/>
          <w:w w:val="100"/>
          <w:sz w:val="24"/>
          <w:highlight w:val="none"/>
          <w:lang w:val="en-US" w:eastAsia="zh-CN"/>
        </w:rPr>
        <w:t>为保障项目质量，中标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en-US" w:eastAsia="zh-CN"/>
        </w:rPr>
        <w:t>提供的档案数字化加工软件除具有日常档案数字化功能以外，还需具备信息记录、档案安全保障等相关功能，以便提供追溯管理。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bCs w:val="0"/>
          <w:color w:val="auto"/>
          <w:sz w:val="24"/>
          <w:szCs w:val="24"/>
          <w:highlight w:val="none"/>
          <w:lang w:eastAsia="zh-CN"/>
        </w:rPr>
        <w:t>（九）</w:t>
      </w:r>
      <w:r>
        <w:rPr>
          <w:rFonts w:hint="eastAsia" w:ascii="宋体" w:hAnsi="宋体" w:eastAsia="宋体" w:cs="宋体"/>
          <w:b w:val="0"/>
          <w:i w:val="0"/>
          <w:caps w:val="0"/>
          <w:color w:val="auto"/>
          <w:spacing w:val="0"/>
          <w:w w:val="100"/>
          <w:sz w:val="24"/>
          <w:highlight w:val="none"/>
          <w:lang w:val="en-US" w:eastAsia="zh-CN"/>
        </w:rPr>
        <w:t>加工现场内所有纸质材料的销毁，必须经过采购方项目管理人员办理相关手续后方可销毁。分批验收进行数据移交完成后，工作站上的数据必须在采购方项目管理人员的现场监督下销毁。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bCs w:val="0"/>
          <w:color w:val="auto"/>
          <w:sz w:val="24"/>
          <w:szCs w:val="24"/>
          <w:highlight w:val="none"/>
          <w:lang w:eastAsia="zh-CN"/>
        </w:rPr>
        <w:t>（十）</w:t>
      </w:r>
      <w:r>
        <w:rPr>
          <w:rFonts w:hint="eastAsia" w:ascii="宋体" w:hAnsi="宋体" w:eastAsia="宋体" w:cs="宋体"/>
          <w:b w:val="0"/>
          <w:i w:val="0"/>
          <w:caps w:val="0"/>
          <w:color w:val="auto"/>
          <w:spacing w:val="0"/>
          <w:w w:val="100"/>
          <w:sz w:val="24"/>
          <w:highlight w:val="none"/>
          <w:lang w:val="en-US" w:eastAsia="zh-CN"/>
        </w:rPr>
        <w:t>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en-US" w:eastAsia="zh-CN"/>
        </w:rPr>
        <w:t>应保证在项目运行期间工作人员稳定，尤其是项目业务骨干的变动不得超过20%。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bCs w:val="0"/>
          <w:color w:val="auto"/>
          <w:sz w:val="24"/>
          <w:szCs w:val="24"/>
          <w:highlight w:val="none"/>
          <w:lang w:eastAsia="zh-CN"/>
        </w:rPr>
        <w:t>（十一）</w:t>
      </w:r>
      <w:r>
        <w:rPr>
          <w:rFonts w:hint="eastAsia" w:ascii="宋体" w:hAnsi="宋体" w:eastAsia="宋体" w:cs="宋体"/>
          <w:b w:val="0"/>
          <w:i w:val="0"/>
          <w:caps w:val="0"/>
          <w:color w:val="auto"/>
          <w:spacing w:val="0"/>
          <w:w w:val="100"/>
          <w:sz w:val="24"/>
          <w:highlight w:val="none"/>
          <w:lang w:val="en-US" w:eastAsia="zh-CN"/>
        </w:rPr>
        <w:t>涉及项目管理人员调配、进度安排等决策问题，须由中标方负责人与采购方负责人直接协商解决。</w:t>
      </w:r>
    </w:p>
    <w:p>
      <w:pPr>
        <w:pStyle w:val="7"/>
        <w:rPr>
          <w:rFonts w:hint="eastAsia" w:ascii="宋体" w:hAnsi="宋体" w:eastAsia="宋体" w:cs="宋体"/>
          <w:b w:val="0"/>
          <w:i w:val="0"/>
          <w:caps w:val="0"/>
          <w:color w:val="auto"/>
          <w:spacing w:val="0"/>
          <w:w w:val="100"/>
          <w:sz w:val="24"/>
          <w:highlight w:val="none"/>
          <w:lang w:val="en-US" w:eastAsia="zh-CN"/>
        </w:rPr>
      </w:pPr>
    </w:p>
    <w:p>
      <w:pPr>
        <w:pStyle w:val="4"/>
        <w:snapToGrid/>
        <w:spacing w:before="260" w:beforeAutospacing="0" w:after="260" w:afterAutospacing="0" w:line="240" w:lineRule="auto"/>
        <w:jc w:val="both"/>
        <w:textAlignment w:val="baseline"/>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b/>
          <w:i w:val="0"/>
          <w:caps w:val="0"/>
          <w:color w:val="auto"/>
          <w:spacing w:val="0"/>
          <w:w w:val="100"/>
          <w:sz w:val="28"/>
          <w:szCs w:val="36"/>
          <w:highlight w:val="none"/>
          <w:lang w:val="en-US" w:eastAsia="zh-CN"/>
        </w:rPr>
        <w:t>五、保密要求</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color w:val="auto"/>
          <w:kern w:val="2"/>
          <w:sz w:val="24"/>
          <w:szCs w:val="24"/>
          <w:highlight w:val="none"/>
          <w:lang w:val="en-US" w:eastAsia="zh-CN" w:bidi="ar-SA"/>
        </w:rPr>
        <w:t>为确保档案的安全，</w:t>
      </w:r>
      <w:r>
        <w:rPr>
          <w:rFonts w:hint="eastAsia" w:ascii="宋体" w:hAnsi="宋体" w:eastAsia="宋体" w:cs="宋体"/>
          <w:b w:val="0"/>
          <w:i w:val="0"/>
          <w:caps w:val="0"/>
          <w:color w:val="auto"/>
          <w:spacing w:val="0"/>
          <w:w w:val="100"/>
          <w:sz w:val="24"/>
          <w:highlight w:val="none"/>
          <w:lang w:val="en-US" w:eastAsia="zh-CN"/>
        </w:rPr>
        <w:t>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en-US" w:eastAsia="zh-CN"/>
        </w:rPr>
        <w:t>必须严格遵守《中华人民共和国档案法》、《档案数字化外包安全管理规范》等国家和海南省的保密规定及相关规章制度，与采购方签订安全管理责任书，自觉接受采购方监督检查，确保工作场所的正常秩序和安全。档案不得遗失，如有损坏，由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en-US" w:eastAsia="zh-CN"/>
        </w:rPr>
        <w:t>无偿修复，如发生档案遗失、损毁情况，采购方将依法追究中标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en-US" w:eastAsia="zh-CN"/>
        </w:rPr>
        <w:t>的法律责任。中标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en-US" w:eastAsia="zh-CN"/>
        </w:rPr>
        <w:t>应与采购方签订保密协议，同时应做到：</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（一）与项目工作人员签订保密协议，加强对工作人员的保密教育。</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（二）建立严格的保密制度，加强管理，杜绝工作人员对档案及档案信息的私自复制行为。</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（三）</w:t>
      </w:r>
      <w:r>
        <w:rPr>
          <w:rFonts w:hint="eastAsia" w:ascii="宋体" w:hAnsi="宋体" w:eastAsia="宋体" w:cs="宋体"/>
          <w:color w:val="auto"/>
          <w:kern w:val="2"/>
          <w:sz w:val="24"/>
          <w:szCs w:val="24"/>
          <w:highlight w:val="none"/>
          <w:lang w:val="en-US" w:eastAsia="zh-CN" w:bidi="ar-SA"/>
        </w:rPr>
        <w:t>中标方必须严格遵守保密协议及相关保密要求，</w:t>
      </w:r>
      <w:r>
        <w:rPr>
          <w:rFonts w:hint="eastAsia" w:ascii="宋体" w:hAnsi="宋体" w:eastAsia="宋体" w:cs="宋体"/>
          <w:b w:val="0"/>
          <w:i w:val="0"/>
          <w:caps w:val="0"/>
          <w:color w:val="auto"/>
          <w:spacing w:val="0"/>
          <w:w w:val="100"/>
          <w:sz w:val="24"/>
          <w:highlight w:val="none"/>
          <w:lang w:val="en-US" w:eastAsia="zh-CN"/>
        </w:rPr>
        <w:t>不同的工序之间要采取措施，杜绝泄密事故的发生。在加工过程中，中标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en-US" w:eastAsia="zh-CN"/>
        </w:rPr>
        <w:t>不能丢失、损毁档案，档案资料不能放错卷、盒。由于中标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en-US" w:eastAsia="zh-CN"/>
        </w:rPr>
        <w:t>过错导致档案资料及数据损毁或泄密的，中标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en-US" w:eastAsia="zh-CN"/>
        </w:rPr>
        <w:t>承担一切责任。</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（四）中标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en-US" w:eastAsia="zh-CN"/>
        </w:rPr>
        <w:t>对项目的各个环节均应进行详细的登记，建立工作日志并及时整理、汇总、装订成册，在项目工作完成的同时建立起完整、规范的记录。</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（五）不得在工作场所使用与工作无关的任何电器设备，如手提电脑、手机、相机、mp3、mp4及其他移动存储介质。</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（六）完成项目后，中标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en-US" w:eastAsia="zh-CN"/>
        </w:rPr>
        <w:t>对本项目的技术情报和数据资料保密承担责任。</w:t>
      </w:r>
    </w:p>
    <w:p>
      <w:pPr>
        <w:snapToGrid/>
        <w:spacing w:before="0" w:beforeAutospacing="0" w:after="0" w:afterAutospacing="0" w:line="360" w:lineRule="auto"/>
        <w:ind w:firstLine="480" w:firstLineChars="200"/>
        <w:jc w:val="both"/>
        <w:textAlignment w:val="baseline"/>
        <w:rPr>
          <w:rFonts w:hint="eastAsia" w:ascii="宋体" w:hAnsi="宋体" w:eastAsia="宋体" w:cs="宋体"/>
          <w:color w:val="auto"/>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（七）本次档案数字化加工，未经采购方同意，项目实施过程中任何人不得擅自修改、删除和拷贝加工数据。</w:t>
      </w:r>
    </w:p>
    <w:p>
      <w:pPr>
        <w:pStyle w:val="7"/>
        <w:rPr>
          <w:rFonts w:hint="eastAsia" w:ascii="宋体" w:hAnsi="宋体" w:eastAsia="宋体" w:cs="宋体"/>
          <w:b w:val="0"/>
          <w:i w:val="0"/>
          <w:caps w:val="0"/>
          <w:color w:val="auto"/>
          <w:spacing w:val="0"/>
          <w:w w:val="100"/>
          <w:sz w:val="24"/>
          <w:szCs w:val="24"/>
          <w:highlight w:val="none"/>
          <w:lang w:val="en-US" w:eastAsia="zh-CN"/>
        </w:rPr>
      </w:pPr>
    </w:p>
    <w:p>
      <w:pPr>
        <w:pStyle w:val="4"/>
        <w:bidi w:val="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六、项目进度要求及付款方式</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完成时间：签订合同后十五日内进场，并自进场之日起三个月内完成。（中标方在服务中如因项目内容超出合同所划定的数量或其他原因而须延长时间时，须报请采购方同意）</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实施地点：屯昌县乡村振兴局</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szCs w:val="24"/>
          <w:highlight w:val="none"/>
          <w:lang w:val="en-US" w:eastAsia="zh-CN"/>
        </w:rPr>
        <w:t>付款方式：</w:t>
      </w:r>
      <w:r>
        <w:rPr>
          <w:rFonts w:hint="eastAsia" w:ascii="宋体" w:hAnsi="宋体" w:eastAsia="宋体" w:cs="宋体"/>
          <w:color w:val="auto"/>
          <w:sz w:val="24"/>
          <w:highlight w:val="none"/>
          <w:lang w:val="en-US" w:eastAsia="zh-CN"/>
        </w:rPr>
        <w:t>项目签订合同并供应商进场后，采购方先向供应商支付项目款的30%，项目完成后采购方向供应商支付项目款至项目款总数的80%，经验收合格后，采购方向供应商支付项目款至95%，项目款的5%作为质保金，售后服务期期满后，付清质保金。</w:t>
      </w:r>
      <w:r>
        <w:rPr>
          <w:rFonts w:hint="eastAsia" w:ascii="宋体" w:hAnsi="宋体" w:eastAsia="宋体" w:cs="宋体"/>
          <w:b w:val="0"/>
          <w:i w:val="0"/>
          <w:caps w:val="0"/>
          <w:color w:val="auto"/>
          <w:spacing w:val="0"/>
          <w:w w:val="100"/>
          <w:sz w:val="24"/>
          <w:szCs w:val="24"/>
          <w:highlight w:val="none"/>
          <w:lang w:val="en-US" w:eastAsia="zh-CN"/>
        </w:rPr>
        <w:t>加工量以海南省屯昌县乡村振兴局和中标单位双方共同对档案系统中，质检合格的数据进行统计，费用结算按实际加工量结算，</w:t>
      </w:r>
      <w:r>
        <w:rPr>
          <w:rFonts w:hint="eastAsia" w:ascii="宋体" w:hAnsi="宋体" w:eastAsia="宋体" w:cs="宋体"/>
          <w:b w:val="0"/>
          <w:i w:val="0"/>
          <w:caps w:val="0"/>
          <w:color w:val="auto"/>
          <w:spacing w:val="0"/>
          <w:w w:val="100"/>
          <w:sz w:val="24"/>
          <w:highlight w:val="none"/>
        </w:rPr>
        <w:t>加工中产生的测试数据、报废数据等无效数据不计入工作量</w:t>
      </w:r>
      <w:r>
        <w:rPr>
          <w:rFonts w:hint="eastAsia" w:ascii="宋体" w:hAnsi="宋体" w:eastAsia="宋体" w:cs="宋体"/>
          <w:b w:val="0"/>
          <w:i w:val="0"/>
          <w:caps w:val="0"/>
          <w:color w:val="auto"/>
          <w:spacing w:val="0"/>
          <w:w w:val="100"/>
          <w:sz w:val="24"/>
          <w:szCs w:val="24"/>
          <w:highlight w:val="none"/>
          <w:lang w:val="en-US" w:eastAsia="zh-CN"/>
        </w:rPr>
        <w:t>。当实际加工量大于预估加工量时，由双方协商解决</w:t>
      </w:r>
    </w:p>
    <w:p>
      <w:pPr>
        <w:pStyle w:val="7"/>
        <w:rPr>
          <w:rFonts w:hint="eastAsia" w:ascii="宋体" w:hAnsi="宋体" w:eastAsia="宋体" w:cs="宋体"/>
          <w:color w:val="auto"/>
          <w:highlight w:val="none"/>
          <w:lang w:val="en-US" w:eastAsia="zh-CN"/>
        </w:rPr>
      </w:pPr>
    </w:p>
    <w:p>
      <w:pPr>
        <w:pStyle w:val="4"/>
        <w:bidi w:val="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七、知识产权</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（一）本次采购数据成果产权属于采购方所有。中标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zh-CN"/>
        </w:rPr>
        <w:t>不得将本次采购数据成果向采购方以外的其他地区和单位、个人提供使用，不得在采购方使用的产品上擅自加入安装、使用的控制序列号等影响功能的陷阱。应用系统中的所有数据的所有权归采购方，中标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zh-CN"/>
        </w:rPr>
        <w:t>未经采购方书面同意，不得擅自使用数据和向外泄露数据。</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（二）中标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zh-CN"/>
        </w:rPr>
        <w:t>应保证，采购方在中华人民共和国使用中标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zh-CN"/>
        </w:rPr>
        <w:t>提供的货物及服务时免受第三方提出的侵犯其专利权或其它知识产权的起诉。任何第三方如果提出侵权指控，中标</w:t>
      </w:r>
      <w:r>
        <w:rPr>
          <w:rFonts w:hint="eastAsia" w:ascii="宋体" w:hAnsi="宋体" w:eastAsia="宋体" w:cs="宋体"/>
          <w:color w:val="auto"/>
          <w:kern w:val="2"/>
          <w:sz w:val="24"/>
          <w:szCs w:val="24"/>
          <w:highlight w:val="none"/>
          <w:lang w:val="en-US" w:eastAsia="zh-CN" w:bidi="ar-SA"/>
        </w:rPr>
        <w:t>方</w:t>
      </w:r>
      <w:r>
        <w:rPr>
          <w:rFonts w:hint="eastAsia" w:ascii="宋体" w:hAnsi="宋体" w:eastAsia="宋体" w:cs="宋体"/>
          <w:b w:val="0"/>
          <w:i w:val="0"/>
          <w:caps w:val="0"/>
          <w:color w:val="auto"/>
          <w:spacing w:val="0"/>
          <w:w w:val="100"/>
          <w:sz w:val="24"/>
          <w:highlight w:val="none"/>
          <w:lang w:val="zh-CN"/>
        </w:rPr>
        <w:t>须与第三方交涉并承担由此而引起的一切法律责任和费用。</w:t>
      </w:r>
    </w:p>
    <w:p>
      <w:pPr>
        <w:pStyle w:val="4"/>
        <w:bidi w:val="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八、技术支持和售后服务</w:t>
      </w:r>
    </w:p>
    <w:p>
      <w:pPr>
        <w:widowControl w:val="0"/>
        <w:snapToGrid/>
        <w:spacing w:before="0" w:beforeAutospacing="0" w:after="0" w:afterAutospacing="0" w:line="360" w:lineRule="auto"/>
        <w:ind w:firstLine="480" w:firstLineChars="200"/>
        <w:jc w:val="both"/>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中标方须为采购方提供自项目整体验收合格之日起，为期</w:t>
      </w:r>
      <w:r>
        <w:rPr>
          <w:rFonts w:hint="eastAsia" w:ascii="宋体" w:hAnsi="宋体" w:eastAsia="宋体" w:cs="宋体"/>
          <w:b w:val="0"/>
          <w:bCs/>
          <w:i w:val="0"/>
          <w:caps w:val="0"/>
          <w:color w:val="auto"/>
          <w:spacing w:val="0"/>
          <w:w w:val="100"/>
          <w:sz w:val="24"/>
          <w:szCs w:val="24"/>
          <w:highlight w:val="none"/>
          <w:lang w:val="zh-CN"/>
        </w:rPr>
        <w:t>一年的数据质保期，并</w:t>
      </w:r>
      <w:r>
        <w:rPr>
          <w:rFonts w:hint="eastAsia" w:ascii="宋体" w:hAnsi="宋体" w:eastAsia="宋体" w:cs="宋体"/>
          <w:b w:val="0"/>
          <w:i w:val="0"/>
          <w:caps w:val="0"/>
          <w:color w:val="auto"/>
          <w:spacing w:val="0"/>
          <w:w w:val="100"/>
          <w:sz w:val="24"/>
          <w:highlight w:val="none"/>
          <w:lang w:val="en-US" w:eastAsia="zh-CN"/>
        </w:rPr>
        <w:t>无偿为采购方提供人员培训。质保期内</w:t>
      </w:r>
      <w:r>
        <w:rPr>
          <w:rFonts w:hint="eastAsia" w:ascii="宋体" w:hAnsi="宋体" w:eastAsia="宋体" w:cs="宋体"/>
          <w:b w:val="0"/>
          <w:bCs/>
          <w:i w:val="0"/>
          <w:caps w:val="0"/>
          <w:color w:val="auto"/>
          <w:spacing w:val="0"/>
          <w:w w:val="100"/>
          <w:sz w:val="24"/>
          <w:szCs w:val="24"/>
          <w:highlight w:val="none"/>
          <w:lang w:val="zh-CN"/>
        </w:rPr>
        <w:t>档案数字化数据错误应由中标方无偿整改。</w:t>
      </w:r>
    </w:p>
    <w:p>
      <w:pPr>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color w:val="auto"/>
          <w:spacing w:val="0"/>
          <w:w w:val="100"/>
          <w:sz w:val="24"/>
          <w:highlight w:val="none"/>
          <w:lang w:val="en-US" w:eastAsia="zh-CN"/>
        </w:rPr>
      </w:pPr>
      <w:r>
        <w:rPr>
          <w:rFonts w:hint="eastAsia" w:ascii="宋体" w:hAnsi="宋体" w:eastAsia="宋体" w:cs="宋体"/>
          <w:b w:val="0"/>
          <w:i w:val="0"/>
          <w:caps w:val="0"/>
          <w:color w:val="auto"/>
          <w:spacing w:val="0"/>
          <w:w w:val="100"/>
          <w:sz w:val="24"/>
          <w:highlight w:val="none"/>
          <w:lang w:val="en-US" w:eastAsia="zh-CN"/>
        </w:rPr>
        <w:t>（一）中标方须对其实施的项目提供24小时不间断技术支持服务，提供电话、传真、电子邮件、现场等多种方式的技术支持服务，全方位响应需求。当采购方遇到电话咨询不能解决的技术及使用问题时，中标方能及时到达现场，并最迟在第2个工作日内排除错误，2个工作日内不能解决的，必须采取临时应急等措施，以保证采购方的正常使用。</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i w:val="0"/>
          <w:caps w:val="0"/>
          <w:color w:val="auto"/>
          <w:spacing w:val="0"/>
          <w:w w:val="100"/>
          <w:kern w:val="2"/>
          <w:sz w:val="24"/>
          <w:szCs w:val="24"/>
          <w:highlight w:val="none"/>
          <w:lang w:val="en-US" w:eastAsia="zh-CN" w:bidi="ar-SA"/>
        </w:rPr>
      </w:pPr>
      <w:r>
        <w:rPr>
          <w:rFonts w:hint="eastAsia" w:ascii="宋体" w:hAnsi="宋体" w:eastAsia="宋体" w:cs="宋体"/>
          <w:b w:val="0"/>
          <w:i w:val="0"/>
          <w:caps w:val="0"/>
          <w:color w:val="auto"/>
          <w:spacing w:val="0"/>
          <w:w w:val="100"/>
          <w:sz w:val="24"/>
          <w:highlight w:val="none"/>
          <w:lang w:val="en-US" w:eastAsia="zh-CN"/>
        </w:rPr>
        <w:t>（二）</w:t>
      </w:r>
      <w:r>
        <w:rPr>
          <w:rFonts w:hint="eastAsia" w:ascii="宋体" w:hAnsi="宋体" w:eastAsia="宋体" w:cs="宋体"/>
          <w:b w:val="0"/>
          <w:i w:val="0"/>
          <w:caps w:val="0"/>
          <w:color w:val="auto"/>
          <w:spacing w:val="0"/>
          <w:w w:val="100"/>
          <w:kern w:val="2"/>
          <w:sz w:val="24"/>
          <w:szCs w:val="24"/>
          <w:highlight w:val="none"/>
          <w:lang w:val="en-US" w:eastAsia="zh-CN" w:bidi="ar-SA"/>
        </w:rPr>
        <w:t>中标方能提供及时响应的项目后期维护服务。施工结束后一年内因采购方自身系统升级而需要进行档案扫描数据的升迁，需要配合采购方提供免费数据升迁服务。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highlight w:val="none"/>
          <w:lang w:val="zh-CN"/>
        </w:rPr>
      </w:pPr>
      <w:r>
        <w:rPr>
          <w:rFonts w:hint="eastAsia" w:ascii="宋体" w:hAnsi="宋体" w:eastAsia="宋体" w:cs="宋体"/>
          <w:b w:val="0"/>
          <w:i w:val="0"/>
          <w:caps w:val="0"/>
          <w:color w:val="auto"/>
          <w:spacing w:val="0"/>
          <w:w w:val="100"/>
          <w:kern w:val="2"/>
          <w:sz w:val="24"/>
          <w:szCs w:val="24"/>
          <w:highlight w:val="none"/>
          <w:lang w:val="en-US" w:eastAsia="zh-CN" w:bidi="ar-SA"/>
        </w:rPr>
        <w:t>（三）中标方应提供的售后服务承诺包括（不限于）：免费服务期的期限、免费服务期满后的服务方式和费用、服务响应时间、项目完成时间、公司的技术力量、技术服务内容、保密措施和质量水平、免费培训项目等。</w:t>
      </w:r>
    </w:p>
    <w:p>
      <w:pPr>
        <w:rPr>
          <w:rFonts w:hint="eastAsia" w:ascii="宋体" w:hAnsi="宋体" w:eastAsia="宋体" w:cs="宋体"/>
          <w:color w:val="auto"/>
          <w:highlight w:val="none"/>
          <w:lang w:val="en-US" w:eastAsia="zh-CN"/>
        </w:rPr>
      </w:pPr>
    </w:p>
    <w:p>
      <w:pPr>
        <w:pStyle w:val="4"/>
        <w:bidi w:val="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九、其他</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4"/>
          <w:szCs w:val="24"/>
          <w:highlight w:val="none"/>
          <w:lang w:eastAsia="zh-CN"/>
        </w:rPr>
        <w:t>（一）</w:t>
      </w:r>
      <w:r>
        <w:rPr>
          <w:rFonts w:hint="eastAsia" w:ascii="宋体" w:hAnsi="宋体" w:eastAsia="宋体" w:cs="宋体"/>
          <w:b w:val="0"/>
          <w:i w:val="0"/>
          <w:caps w:val="0"/>
          <w:color w:val="auto"/>
          <w:spacing w:val="0"/>
          <w:w w:val="100"/>
          <w:sz w:val="24"/>
          <w:highlight w:val="none"/>
          <w:lang w:val="en-US" w:eastAsia="zh-CN"/>
        </w:rPr>
        <w:t>在合同履行过程中，采购方将提供必要的配合及协调，如根据合同规定及时付款、及时签署有关确认证书、与供应商一起确认进场安装条件、提供安装调试所需的相关工作条件等等。</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sz w:val="24"/>
          <w:highlight w:val="none"/>
          <w:lang w:val="en-US" w:eastAsia="zh-CN"/>
        </w:rPr>
      </w:pPr>
      <w:r>
        <w:rPr>
          <w:rFonts w:hint="eastAsia" w:ascii="宋体" w:hAnsi="宋体" w:eastAsia="宋体" w:cs="宋体"/>
          <w:b w:val="0"/>
          <w:bCs w:val="0"/>
          <w:color w:val="auto"/>
          <w:sz w:val="24"/>
          <w:szCs w:val="24"/>
          <w:highlight w:val="none"/>
          <w:lang w:eastAsia="zh-CN"/>
        </w:rPr>
        <w:t>（二）</w:t>
      </w:r>
      <w:r>
        <w:rPr>
          <w:rFonts w:hint="eastAsia" w:ascii="宋体" w:hAnsi="宋体" w:eastAsia="宋体" w:cs="宋体"/>
          <w:b w:val="0"/>
          <w:i w:val="0"/>
          <w:caps w:val="0"/>
          <w:color w:val="auto"/>
          <w:spacing w:val="0"/>
          <w:w w:val="100"/>
          <w:sz w:val="24"/>
          <w:highlight w:val="none"/>
          <w:lang w:val="en-US" w:eastAsia="zh-CN"/>
        </w:rPr>
        <w:t>如发生争议，可由双方友好协商达成一致,在60</w:t>
      </w:r>
      <w:r>
        <w:rPr>
          <w:rFonts w:hint="eastAsia" w:ascii="宋体" w:hAnsi="宋体" w:eastAsia="宋体" w:cs="宋体"/>
          <w:b w:val="0"/>
          <w:i w:val="0"/>
          <w:caps w:val="0"/>
          <w:spacing w:val="0"/>
          <w:w w:val="100"/>
          <w:sz w:val="24"/>
          <w:highlight w:val="none"/>
          <w:lang w:val="en-US" w:eastAsia="zh-CN"/>
        </w:rPr>
        <w:t>天内双方协商不能达成协议的,可提请采购方当地仲裁机构仲裁。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Fonts w:hint="eastAsia" w:ascii="宋体" w:hAnsi="宋体" w:eastAsia="宋体" w:cs="宋体"/>
          <w:b w:val="0"/>
          <w:i w:val="0"/>
          <w:caps w:val="0"/>
          <w:spacing w:val="0"/>
          <w:w w:val="100"/>
          <w:sz w:val="24"/>
          <w:highlight w:val="none"/>
          <w:lang w:val="en-US" w:eastAsia="zh-CN"/>
        </w:rPr>
      </w:pPr>
      <w:r>
        <w:rPr>
          <w:rFonts w:hint="eastAsia" w:ascii="宋体" w:hAnsi="宋体" w:eastAsia="宋体" w:cs="宋体"/>
          <w:b w:val="0"/>
          <w:bCs w:val="0"/>
          <w:sz w:val="24"/>
          <w:szCs w:val="24"/>
          <w:highlight w:val="none"/>
          <w:lang w:eastAsia="zh-CN"/>
        </w:rPr>
        <w:t>（三）</w:t>
      </w:r>
      <w:r>
        <w:rPr>
          <w:rFonts w:hint="eastAsia" w:ascii="宋体" w:hAnsi="宋体" w:eastAsia="宋体" w:cs="宋体"/>
          <w:b w:val="0"/>
          <w:i w:val="0"/>
          <w:caps w:val="0"/>
          <w:spacing w:val="0"/>
          <w:w w:val="100"/>
          <w:sz w:val="24"/>
          <w:highlight w:val="none"/>
          <w:lang w:val="en-US" w:eastAsia="zh-CN"/>
        </w:rPr>
        <w:t>其他未尽事宜由双方在采购合同中详细约定。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D3BCF"/>
    <w:rsid w:val="00A57FBA"/>
    <w:rsid w:val="00FD772C"/>
    <w:rsid w:val="01063B51"/>
    <w:rsid w:val="01C67605"/>
    <w:rsid w:val="02387F56"/>
    <w:rsid w:val="023A6127"/>
    <w:rsid w:val="02620B3C"/>
    <w:rsid w:val="02753B6F"/>
    <w:rsid w:val="02BB2132"/>
    <w:rsid w:val="03282A6F"/>
    <w:rsid w:val="037E57A2"/>
    <w:rsid w:val="03872B05"/>
    <w:rsid w:val="03C64C14"/>
    <w:rsid w:val="03C704F4"/>
    <w:rsid w:val="03D711C8"/>
    <w:rsid w:val="03EB041B"/>
    <w:rsid w:val="04520C0E"/>
    <w:rsid w:val="045859D2"/>
    <w:rsid w:val="04D5210B"/>
    <w:rsid w:val="05125B41"/>
    <w:rsid w:val="0610613A"/>
    <w:rsid w:val="066D5E5F"/>
    <w:rsid w:val="073A4715"/>
    <w:rsid w:val="078A159B"/>
    <w:rsid w:val="07A745E7"/>
    <w:rsid w:val="07A80BE9"/>
    <w:rsid w:val="07CA223C"/>
    <w:rsid w:val="07DD488F"/>
    <w:rsid w:val="08A21598"/>
    <w:rsid w:val="08EF059E"/>
    <w:rsid w:val="08F707AE"/>
    <w:rsid w:val="098F657A"/>
    <w:rsid w:val="09993381"/>
    <w:rsid w:val="099D1D7D"/>
    <w:rsid w:val="09EF09A0"/>
    <w:rsid w:val="09F251F6"/>
    <w:rsid w:val="0A2425E6"/>
    <w:rsid w:val="0A3C2B6A"/>
    <w:rsid w:val="0A9B0017"/>
    <w:rsid w:val="0B382D26"/>
    <w:rsid w:val="0B8E2DE0"/>
    <w:rsid w:val="0BB767B0"/>
    <w:rsid w:val="0C6D68CD"/>
    <w:rsid w:val="0C7E13A4"/>
    <w:rsid w:val="0CC27375"/>
    <w:rsid w:val="0D9E1CC6"/>
    <w:rsid w:val="0DAC0A9B"/>
    <w:rsid w:val="0DC7586B"/>
    <w:rsid w:val="0DFD760A"/>
    <w:rsid w:val="0ED25EAF"/>
    <w:rsid w:val="0F4543C3"/>
    <w:rsid w:val="0F740AF7"/>
    <w:rsid w:val="0F9B040A"/>
    <w:rsid w:val="1039798F"/>
    <w:rsid w:val="10DE2F0E"/>
    <w:rsid w:val="11F22E80"/>
    <w:rsid w:val="12C55E54"/>
    <w:rsid w:val="13051575"/>
    <w:rsid w:val="1399367D"/>
    <w:rsid w:val="15022F4F"/>
    <w:rsid w:val="15C904EB"/>
    <w:rsid w:val="15D745EE"/>
    <w:rsid w:val="15EC36D9"/>
    <w:rsid w:val="1625563B"/>
    <w:rsid w:val="16551B63"/>
    <w:rsid w:val="168A4818"/>
    <w:rsid w:val="16E23BE0"/>
    <w:rsid w:val="16F302F9"/>
    <w:rsid w:val="180A2238"/>
    <w:rsid w:val="18510D7C"/>
    <w:rsid w:val="18855CCA"/>
    <w:rsid w:val="18961F94"/>
    <w:rsid w:val="19FE36F1"/>
    <w:rsid w:val="1A746A06"/>
    <w:rsid w:val="1A7962C5"/>
    <w:rsid w:val="1ABD180F"/>
    <w:rsid w:val="1BD42EDE"/>
    <w:rsid w:val="1C0F5934"/>
    <w:rsid w:val="1C2B7A2F"/>
    <w:rsid w:val="1C532F25"/>
    <w:rsid w:val="1CDA70A4"/>
    <w:rsid w:val="1D475451"/>
    <w:rsid w:val="1D5C65D1"/>
    <w:rsid w:val="1D8425D1"/>
    <w:rsid w:val="1DEA3526"/>
    <w:rsid w:val="1DEE3781"/>
    <w:rsid w:val="1E016B83"/>
    <w:rsid w:val="1E6216E7"/>
    <w:rsid w:val="20E3509F"/>
    <w:rsid w:val="20F12051"/>
    <w:rsid w:val="21396E2E"/>
    <w:rsid w:val="215E3CB0"/>
    <w:rsid w:val="21695BCA"/>
    <w:rsid w:val="21766646"/>
    <w:rsid w:val="21CC22B0"/>
    <w:rsid w:val="225B4308"/>
    <w:rsid w:val="226D56A5"/>
    <w:rsid w:val="22A1156E"/>
    <w:rsid w:val="22D75B0C"/>
    <w:rsid w:val="2450358F"/>
    <w:rsid w:val="24DF3B83"/>
    <w:rsid w:val="25490F56"/>
    <w:rsid w:val="261A7CEE"/>
    <w:rsid w:val="2789334F"/>
    <w:rsid w:val="27A75986"/>
    <w:rsid w:val="27CF7D7B"/>
    <w:rsid w:val="28B44934"/>
    <w:rsid w:val="29361A75"/>
    <w:rsid w:val="29442FDD"/>
    <w:rsid w:val="295D5582"/>
    <w:rsid w:val="29743B37"/>
    <w:rsid w:val="29757F35"/>
    <w:rsid w:val="299B365B"/>
    <w:rsid w:val="29E56139"/>
    <w:rsid w:val="2ADC7C87"/>
    <w:rsid w:val="2AFD0519"/>
    <w:rsid w:val="2B745C62"/>
    <w:rsid w:val="2BB71038"/>
    <w:rsid w:val="2C3B2D6C"/>
    <w:rsid w:val="2C3F0531"/>
    <w:rsid w:val="2C5B6C08"/>
    <w:rsid w:val="2CD61990"/>
    <w:rsid w:val="2DA82482"/>
    <w:rsid w:val="2DB40C94"/>
    <w:rsid w:val="2DF63090"/>
    <w:rsid w:val="2E25708D"/>
    <w:rsid w:val="2E2E00A5"/>
    <w:rsid w:val="2EC21423"/>
    <w:rsid w:val="2F3F26F4"/>
    <w:rsid w:val="2F7E278F"/>
    <w:rsid w:val="2FF059BB"/>
    <w:rsid w:val="302B40B2"/>
    <w:rsid w:val="303D3812"/>
    <w:rsid w:val="31242EC5"/>
    <w:rsid w:val="316D637D"/>
    <w:rsid w:val="3173148D"/>
    <w:rsid w:val="318B04EC"/>
    <w:rsid w:val="3194313A"/>
    <w:rsid w:val="31976C7C"/>
    <w:rsid w:val="319E15E4"/>
    <w:rsid w:val="31C256BD"/>
    <w:rsid w:val="32001D41"/>
    <w:rsid w:val="323F6A3F"/>
    <w:rsid w:val="329D4051"/>
    <w:rsid w:val="32EF2A38"/>
    <w:rsid w:val="33434371"/>
    <w:rsid w:val="33BD6E99"/>
    <w:rsid w:val="33C349B7"/>
    <w:rsid w:val="344C6FD6"/>
    <w:rsid w:val="34724FB6"/>
    <w:rsid w:val="34863ECC"/>
    <w:rsid w:val="34A71658"/>
    <w:rsid w:val="352847C4"/>
    <w:rsid w:val="352C1A29"/>
    <w:rsid w:val="35BE562F"/>
    <w:rsid w:val="361651B2"/>
    <w:rsid w:val="366007F3"/>
    <w:rsid w:val="36604166"/>
    <w:rsid w:val="36C7434E"/>
    <w:rsid w:val="37257345"/>
    <w:rsid w:val="377A0C96"/>
    <w:rsid w:val="37BF57CA"/>
    <w:rsid w:val="38117F7A"/>
    <w:rsid w:val="387B32C4"/>
    <w:rsid w:val="38D92EBA"/>
    <w:rsid w:val="3904388C"/>
    <w:rsid w:val="39E70C66"/>
    <w:rsid w:val="3A765529"/>
    <w:rsid w:val="3A7C6511"/>
    <w:rsid w:val="3A912552"/>
    <w:rsid w:val="3AD34ED1"/>
    <w:rsid w:val="3B39452A"/>
    <w:rsid w:val="3B656794"/>
    <w:rsid w:val="3BF56769"/>
    <w:rsid w:val="3D5419C2"/>
    <w:rsid w:val="3D7A13BC"/>
    <w:rsid w:val="3DB67BF4"/>
    <w:rsid w:val="3E7D2074"/>
    <w:rsid w:val="3EA357DE"/>
    <w:rsid w:val="3EC22664"/>
    <w:rsid w:val="3EE53D4D"/>
    <w:rsid w:val="3F8B258F"/>
    <w:rsid w:val="3F9D708C"/>
    <w:rsid w:val="3FA91BC4"/>
    <w:rsid w:val="3FCD6998"/>
    <w:rsid w:val="3FE710FF"/>
    <w:rsid w:val="400F607E"/>
    <w:rsid w:val="40D90542"/>
    <w:rsid w:val="415A788F"/>
    <w:rsid w:val="428519D1"/>
    <w:rsid w:val="42A1570A"/>
    <w:rsid w:val="42FA6852"/>
    <w:rsid w:val="4427757C"/>
    <w:rsid w:val="443A552C"/>
    <w:rsid w:val="447A14FB"/>
    <w:rsid w:val="4531061E"/>
    <w:rsid w:val="45A60286"/>
    <w:rsid w:val="45B6047F"/>
    <w:rsid w:val="46F437AB"/>
    <w:rsid w:val="482D159A"/>
    <w:rsid w:val="488D4CBD"/>
    <w:rsid w:val="48F423B9"/>
    <w:rsid w:val="49022831"/>
    <w:rsid w:val="490E3286"/>
    <w:rsid w:val="49AC5E73"/>
    <w:rsid w:val="49B70B5E"/>
    <w:rsid w:val="49ED5E4A"/>
    <w:rsid w:val="4A446DE7"/>
    <w:rsid w:val="4B114213"/>
    <w:rsid w:val="4B7116AB"/>
    <w:rsid w:val="4B9768A9"/>
    <w:rsid w:val="4C6C1198"/>
    <w:rsid w:val="4C7E66DC"/>
    <w:rsid w:val="4C834801"/>
    <w:rsid w:val="4C9141D2"/>
    <w:rsid w:val="4D7972F4"/>
    <w:rsid w:val="4DC42683"/>
    <w:rsid w:val="4DF96BEA"/>
    <w:rsid w:val="4E8330AC"/>
    <w:rsid w:val="4EAE36CE"/>
    <w:rsid w:val="4F2E10A8"/>
    <w:rsid w:val="4F6967A4"/>
    <w:rsid w:val="4FED0AC8"/>
    <w:rsid w:val="51AC5495"/>
    <w:rsid w:val="523C0E8A"/>
    <w:rsid w:val="52874E6A"/>
    <w:rsid w:val="529340F7"/>
    <w:rsid w:val="52E94EB6"/>
    <w:rsid w:val="530C280C"/>
    <w:rsid w:val="53431F08"/>
    <w:rsid w:val="53A46F1C"/>
    <w:rsid w:val="540875CE"/>
    <w:rsid w:val="545C1CEC"/>
    <w:rsid w:val="54855BC4"/>
    <w:rsid w:val="557D74FF"/>
    <w:rsid w:val="55F62351"/>
    <w:rsid w:val="566E719E"/>
    <w:rsid w:val="56CA7750"/>
    <w:rsid w:val="57A83E68"/>
    <w:rsid w:val="580776D2"/>
    <w:rsid w:val="580E4B0D"/>
    <w:rsid w:val="5812252C"/>
    <w:rsid w:val="582E19BE"/>
    <w:rsid w:val="585204B7"/>
    <w:rsid w:val="586B6C68"/>
    <w:rsid w:val="586F009C"/>
    <w:rsid w:val="58884628"/>
    <w:rsid w:val="58B305BC"/>
    <w:rsid w:val="58F60560"/>
    <w:rsid w:val="59D27D7D"/>
    <w:rsid w:val="59FE5BB2"/>
    <w:rsid w:val="5A872C37"/>
    <w:rsid w:val="5ADE41C7"/>
    <w:rsid w:val="5B275316"/>
    <w:rsid w:val="5B535735"/>
    <w:rsid w:val="5BE050EB"/>
    <w:rsid w:val="5BF1707E"/>
    <w:rsid w:val="5C853450"/>
    <w:rsid w:val="5D113EFB"/>
    <w:rsid w:val="5DC3734B"/>
    <w:rsid w:val="5DDA0FAB"/>
    <w:rsid w:val="5DE46D44"/>
    <w:rsid w:val="5E971546"/>
    <w:rsid w:val="5EF37541"/>
    <w:rsid w:val="5F0419EF"/>
    <w:rsid w:val="5FFC5164"/>
    <w:rsid w:val="60A4683C"/>
    <w:rsid w:val="61C5698F"/>
    <w:rsid w:val="61D97A65"/>
    <w:rsid w:val="6215308B"/>
    <w:rsid w:val="62C940DC"/>
    <w:rsid w:val="63B36792"/>
    <w:rsid w:val="640D3B53"/>
    <w:rsid w:val="6430027C"/>
    <w:rsid w:val="65121979"/>
    <w:rsid w:val="651F6C1C"/>
    <w:rsid w:val="654F5CE9"/>
    <w:rsid w:val="65666337"/>
    <w:rsid w:val="65C467DB"/>
    <w:rsid w:val="66D66BE3"/>
    <w:rsid w:val="67481E36"/>
    <w:rsid w:val="67D1636F"/>
    <w:rsid w:val="68072190"/>
    <w:rsid w:val="683657F4"/>
    <w:rsid w:val="683D5B7A"/>
    <w:rsid w:val="685A55A9"/>
    <w:rsid w:val="69335AF4"/>
    <w:rsid w:val="69706952"/>
    <w:rsid w:val="697B6228"/>
    <w:rsid w:val="69A3406C"/>
    <w:rsid w:val="69B74147"/>
    <w:rsid w:val="69F01E69"/>
    <w:rsid w:val="69F2318D"/>
    <w:rsid w:val="6A4D716F"/>
    <w:rsid w:val="6A5F0872"/>
    <w:rsid w:val="6AC12825"/>
    <w:rsid w:val="6B873D1F"/>
    <w:rsid w:val="6B892FEB"/>
    <w:rsid w:val="6BED28DA"/>
    <w:rsid w:val="6D4D5DB1"/>
    <w:rsid w:val="6D7F13D1"/>
    <w:rsid w:val="6E1751F6"/>
    <w:rsid w:val="6E6631A8"/>
    <w:rsid w:val="6EF41F0C"/>
    <w:rsid w:val="6F684691"/>
    <w:rsid w:val="6FCD1BFF"/>
    <w:rsid w:val="700F2AFF"/>
    <w:rsid w:val="70652D42"/>
    <w:rsid w:val="70BD3880"/>
    <w:rsid w:val="712E655A"/>
    <w:rsid w:val="71C40797"/>
    <w:rsid w:val="7210141F"/>
    <w:rsid w:val="7246733C"/>
    <w:rsid w:val="72AD7201"/>
    <w:rsid w:val="73284C3B"/>
    <w:rsid w:val="73540851"/>
    <w:rsid w:val="73E96F84"/>
    <w:rsid w:val="752E7484"/>
    <w:rsid w:val="75CD708C"/>
    <w:rsid w:val="77BD6DB1"/>
    <w:rsid w:val="780F5765"/>
    <w:rsid w:val="7843546A"/>
    <w:rsid w:val="78837DA0"/>
    <w:rsid w:val="78977EAA"/>
    <w:rsid w:val="78E350C5"/>
    <w:rsid w:val="79931DA4"/>
    <w:rsid w:val="7A1B24C0"/>
    <w:rsid w:val="7A6968DD"/>
    <w:rsid w:val="7AF92FE4"/>
    <w:rsid w:val="7B4F15B9"/>
    <w:rsid w:val="7BC40E3A"/>
    <w:rsid w:val="7C446176"/>
    <w:rsid w:val="7C5B7467"/>
    <w:rsid w:val="7C6F2338"/>
    <w:rsid w:val="7D396F6C"/>
    <w:rsid w:val="7D7B383C"/>
    <w:rsid w:val="7DFD5A7D"/>
    <w:rsid w:val="7FED5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Courier New" w:hAnsi="Courier New" w:eastAsia="宋体" w:cs="Times New Roman"/>
      <w:szCs w:val="20"/>
    </w:rPr>
  </w:style>
  <w:style w:type="paragraph" w:styleId="5">
    <w:name w:val="Body Text"/>
    <w:basedOn w:val="1"/>
    <w:next w:val="1"/>
    <w:qFormat/>
    <w:uiPriority w:val="0"/>
    <w:pPr>
      <w:tabs>
        <w:tab w:val="left" w:pos="567"/>
      </w:tabs>
      <w:spacing w:before="120" w:line="22" w:lineRule="atLeast"/>
    </w:pPr>
    <w:rPr>
      <w:rFonts w:ascii="宋体"/>
      <w:sz w:val="24"/>
      <w:szCs w:val="24"/>
    </w:rPr>
  </w:style>
  <w:style w:type="paragraph" w:styleId="6">
    <w:name w:val="Body Text Indent"/>
    <w:basedOn w:val="1"/>
    <w:semiHidden/>
    <w:unhideWhenUsed/>
    <w:qFormat/>
    <w:uiPriority w:val="99"/>
    <w:pPr>
      <w:spacing w:after="120"/>
      <w:ind w:left="420" w:leftChars="200"/>
    </w:pPr>
  </w:style>
  <w:style w:type="paragraph" w:styleId="7">
    <w:name w:val="Body Text First Indent 2"/>
    <w:basedOn w:val="6"/>
    <w:semiHidden/>
    <w:unhideWhenUsed/>
    <w:qFormat/>
    <w:uiPriority w:val="99"/>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2021-07-20T03:53:00Z</dcterms:created>
  <dc:creator>飞越翔云</dc:creator>
  <cp:lastModifiedBy>飞越翔云</cp:lastModifiedBy>
  <dcterms:modified xsi:type="dcterms:W3CDTF">2021-08-03T04:28:09Z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9BEEF7BB5CC0416DB85B18BF87768CEC</vt:lpwstr>
  </property>
</Properties>
</file>