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line="360" w:lineRule="auto"/>
        <w:jc w:val="center"/>
      </w:pPr>
      <w:r>
        <w:rPr>
          <w:rFonts w:hint="eastAsia" w:ascii="宋体" w:hAnsi="宋体" w:cs="宋体"/>
          <w:b/>
          <w:kern w:val="0"/>
          <w:sz w:val="44"/>
          <w:szCs w:val="44"/>
        </w:rPr>
        <w:t>采购需求</w:t>
      </w:r>
    </w:p>
    <w:p>
      <w:pPr>
        <w:spacing w:line="360" w:lineRule="auto"/>
        <w:ind w:firstLine="643" w:firstLineChars="200"/>
        <w:jc w:val="left"/>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一、项目概况</w:t>
      </w:r>
    </w:p>
    <w:p>
      <w:pPr>
        <w:spacing w:line="360" w:lineRule="auto"/>
        <w:ind w:firstLine="640" w:firstLineChars="200"/>
        <w:jc w:val="left"/>
        <w:rPr>
          <w:rFonts w:hint="eastAsia" w:cs="宋体" w:asciiTheme="minorEastAsia" w:hAnsiTheme="minorEastAsia" w:eastAsiaTheme="minorEastAsia"/>
          <w:b/>
          <w:kern w:val="0"/>
          <w:sz w:val="32"/>
          <w:szCs w:val="32"/>
          <w:lang w:eastAsia="zh-CN"/>
        </w:rPr>
      </w:pPr>
      <w:r>
        <w:rPr>
          <w:rFonts w:hint="eastAsia" w:asciiTheme="minorEastAsia" w:hAnsiTheme="minorEastAsia" w:eastAsiaTheme="minorEastAsia"/>
          <w:sz w:val="32"/>
          <w:szCs w:val="32"/>
        </w:rPr>
        <w:t>1、项目名称：</w:t>
      </w:r>
      <w:r>
        <w:rPr>
          <w:rFonts w:hint="eastAsia" w:cs="宋体" w:asciiTheme="minorEastAsia" w:hAnsiTheme="minorEastAsia" w:eastAsiaTheme="minorEastAsia"/>
          <w:kern w:val="0"/>
          <w:sz w:val="32"/>
          <w:szCs w:val="32"/>
          <w:lang w:eastAsia="zh-CN"/>
        </w:rPr>
        <w:t>建筑工程项目专业技术咨询服务</w:t>
      </w:r>
    </w:p>
    <w:p>
      <w:pPr>
        <w:spacing w:line="360" w:lineRule="auto"/>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、项目预算：175</w:t>
      </w:r>
      <w:r>
        <w:rPr>
          <w:rFonts w:hint="eastAsia" w:asciiTheme="minorEastAsia" w:hAnsiTheme="minorEastAsia" w:eastAsiaTheme="minorEastAsia"/>
          <w:sz w:val="32"/>
          <w:szCs w:val="32"/>
          <w:lang w:val="en-US" w:eastAsia="zh-CN"/>
        </w:rPr>
        <w:t>万</w:t>
      </w:r>
      <w:r>
        <w:rPr>
          <w:rFonts w:hint="eastAsia" w:asciiTheme="minorEastAsia" w:hAnsiTheme="minorEastAsia" w:eastAsiaTheme="minorEastAsia"/>
          <w:sz w:val="32"/>
          <w:szCs w:val="32"/>
        </w:rPr>
        <w:t>元/年</w:t>
      </w:r>
    </w:p>
    <w:p>
      <w:pPr>
        <w:spacing w:line="360" w:lineRule="auto"/>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、项目位置：三亚市吉阳区</w:t>
      </w:r>
    </w:p>
    <w:p>
      <w:pPr>
        <w:spacing w:line="360" w:lineRule="auto"/>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、服务期：两年，合同一年一签</w:t>
      </w:r>
    </w:p>
    <w:p>
      <w:pPr>
        <w:spacing w:line="360" w:lineRule="auto"/>
        <w:ind w:firstLine="643"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二、项目采购需求</w:t>
      </w:r>
    </w:p>
    <w:p>
      <w:pPr>
        <w:spacing w:line="360" w:lineRule="auto"/>
        <w:ind w:firstLine="640" w:firstLineChars="200"/>
        <w:rPr>
          <w:rFonts w:asciiTheme="minorEastAsia" w:hAnsiTheme="minorEastAsia" w:eastAsiaTheme="minorEastAsia"/>
          <w:b/>
          <w:color w:val="auto"/>
          <w:sz w:val="32"/>
          <w:szCs w:val="32"/>
        </w:rPr>
      </w:pPr>
      <w:r>
        <w:rPr>
          <w:rFonts w:hint="eastAsia" w:asciiTheme="minorEastAsia" w:hAnsiTheme="minorEastAsia" w:eastAsiaTheme="minorEastAsia"/>
          <w:color w:val="auto"/>
          <w:sz w:val="32"/>
          <w:szCs w:val="32"/>
        </w:rPr>
        <w:t>三亚市吉阳区住房和城乡建设局（以下简称“区住建局”）组织实施吉阳区房屋市政建设项目和交通运输管理工作</w:t>
      </w:r>
      <w:r>
        <w:rPr>
          <w:rFonts w:hint="eastAsia" w:asciiTheme="minorEastAsia" w:hAnsiTheme="minorEastAsia" w:eastAsiaTheme="minorEastAsia"/>
          <w:b/>
          <w:color w:val="auto"/>
          <w:sz w:val="32"/>
          <w:szCs w:val="32"/>
        </w:rPr>
        <w:t>，</w:t>
      </w:r>
      <w:r>
        <w:rPr>
          <w:rFonts w:hint="eastAsia" w:asciiTheme="minorEastAsia" w:hAnsiTheme="minorEastAsia" w:eastAsiaTheme="minorEastAsia"/>
          <w:color w:val="auto"/>
          <w:sz w:val="32"/>
          <w:szCs w:val="32"/>
        </w:rPr>
        <w:t>具体涉及范围如以下10个方面：</w:t>
      </w:r>
    </w:p>
    <w:p>
      <w:pPr>
        <w:spacing w:line="360" w:lineRule="auto"/>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1、调查统计本区住房情况。</w:t>
      </w:r>
    </w:p>
    <w:p>
      <w:pPr>
        <w:spacing w:line="360" w:lineRule="auto"/>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2、区管市政工程、公共建筑项目的建设及维护管理；负责区管道路（除主、次干道之外）及相应道路路灯、排污、排水等市政基础设施及市政配套设施的建设、统筹协调工作；负责本区燃气设施的管理。</w:t>
      </w:r>
    </w:p>
    <w:p>
      <w:pPr>
        <w:spacing w:line="360" w:lineRule="auto"/>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3、参与本局监管的房屋和市政工程质量安全工作。</w:t>
      </w:r>
    </w:p>
    <w:p>
      <w:pPr>
        <w:spacing w:line="360" w:lineRule="auto"/>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4、负责本局监管项目竣工验收备案管理。</w:t>
      </w:r>
    </w:p>
    <w:p>
      <w:pPr>
        <w:spacing w:line="360" w:lineRule="auto"/>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5、</w:t>
      </w:r>
      <w:r>
        <w:rPr>
          <w:rFonts w:asciiTheme="minorEastAsia" w:hAnsiTheme="minorEastAsia" w:eastAsiaTheme="minorEastAsia"/>
          <w:color w:val="auto"/>
          <w:sz w:val="32"/>
          <w:szCs w:val="32"/>
        </w:rPr>
        <w:t>承担本区公路运输经营市场监管责任。</w:t>
      </w:r>
    </w:p>
    <w:p>
      <w:pPr>
        <w:spacing w:line="360" w:lineRule="auto"/>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6、</w:t>
      </w:r>
      <w:r>
        <w:rPr>
          <w:rFonts w:asciiTheme="minorEastAsia" w:hAnsiTheme="minorEastAsia" w:eastAsiaTheme="minorEastAsia"/>
          <w:color w:val="auto"/>
          <w:sz w:val="32"/>
          <w:szCs w:val="32"/>
        </w:rPr>
        <w:t>承担本</w:t>
      </w:r>
      <w:r>
        <w:rPr>
          <w:rFonts w:hint="eastAsia" w:asciiTheme="minorEastAsia" w:hAnsiTheme="minorEastAsia" w:eastAsiaTheme="minorEastAsia"/>
          <w:color w:val="auto"/>
          <w:sz w:val="32"/>
          <w:szCs w:val="32"/>
          <w:lang w:eastAsia="zh-CN"/>
        </w:rPr>
        <w:t>区</w:t>
      </w:r>
      <w:r>
        <w:rPr>
          <w:rFonts w:asciiTheme="minorEastAsia" w:hAnsiTheme="minorEastAsia" w:eastAsiaTheme="minorEastAsia"/>
          <w:color w:val="auto"/>
          <w:sz w:val="32"/>
          <w:szCs w:val="32"/>
        </w:rPr>
        <w:t>公路建设市场监管责任。</w:t>
      </w:r>
    </w:p>
    <w:p>
      <w:pPr>
        <w:spacing w:line="360" w:lineRule="auto"/>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7、负责本区住房和城乡建设、交通运输等领域信息化建设和管理工作。</w:t>
      </w:r>
    </w:p>
    <w:p>
      <w:pPr>
        <w:spacing w:line="360" w:lineRule="auto"/>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8、组织开展本</w:t>
      </w:r>
      <w:r>
        <w:rPr>
          <w:rFonts w:hint="eastAsia" w:asciiTheme="minorEastAsia" w:hAnsiTheme="minorEastAsia" w:eastAsiaTheme="minorEastAsia"/>
          <w:color w:val="auto"/>
          <w:sz w:val="32"/>
          <w:szCs w:val="32"/>
          <w:lang w:eastAsia="zh-CN"/>
        </w:rPr>
        <w:t>区</w:t>
      </w:r>
      <w:r>
        <w:rPr>
          <w:rFonts w:hint="eastAsia" w:asciiTheme="minorEastAsia" w:hAnsiTheme="minorEastAsia" w:eastAsiaTheme="minorEastAsia"/>
          <w:color w:val="auto"/>
          <w:sz w:val="32"/>
          <w:szCs w:val="32"/>
        </w:rPr>
        <w:t>住房和城乡建设、交通运输等领域的宣传教育培训工作。</w:t>
      </w:r>
    </w:p>
    <w:p>
      <w:pPr>
        <w:spacing w:line="360" w:lineRule="auto"/>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9、负责本</w:t>
      </w:r>
      <w:r>
        <w:rPr>
          <w:rFonts w:hint="eastAsia" w:asciiTheme="minorEastAsia" w:hAnsiTheme="minorEastAsia" w:eastAsiaTheme="minorEastAsia"/>
          <w:color w:val="auto"/>
          <w:sz w:val="32"/>
          <w:szCs w:val="32"/>
          <w:lang w:eastAsia="zh-CN"/>
        </w:rPr>
        <w:t>区</w:t>
      </w:r>
      <w:r>
        <w:rPr>
          <w:rFonts w:hint="eastAsia" w:asciiTheme="minorEastAsia" w:hAnsiTheme="minorEastAsia" w:eastAsiaTheme="minorEastAsia"/>
          <w:color w:val="auto"/>
          <w:sz w:val="32"/>
          <w:szCs w:val="32"/>
        </w:rPr>
        <w:t>住房和城乡建设、交通运输等领域的行政许可事项；负责相关领域行政诉讼的应诉工作；处理有关住房和城乡建设、交通运输方面的</w:t>
      </w:r>
      <w:r>
        <w:rPr>
          <w:rFonts w:asciiTheme="minorEastAsia" w:hAnsiTheme="minorEastAsia" w:eastAsiaTheme="minorEastAsia"/>
          <w:color w:val="auto"/>
          <w:sz w:val="32"/>
          <w:szCs w:val="32"/>
        </w:rPr>
        <w:t>群众举报、来信来访</w:t>
      </w:r>
      <w:r>
        <w:rPr>
          <w:rFonts w:hint="eastAsia" w:asciiTheme="minorEastAsia" w:hAnsiTheme="minorEastAsia" w:eastAsiaTheme="minorEastAsia"/>
          <w:color w:val="auto"/>
          <w:sz w:val="32"/>
          <w:szCs w:val="32"/>
        </w:rPr>
        <w:t>、纠纷。</w:t>
      </w:r>
    </w:p>
    <w:p>
      <w:pPr>
        <w:spacing w:line="360" w:lineRule="auto"/>
        <w:ind w:firstLine="640" w:firstLineChars="20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1</w:t>
      </w:r>
      <w:r>
        <w:rPr>
          <w:rFonts w:hint="eastAsia" w:asciiTheme="minorEastAsia" w:hAnsiTheme="minorEastAsia" w:eastAsiaTheme="minorEastAsia"/>
          <w:color w:val="auto"/>
          <w:sz w:val="32"/>
          <w:szCs w:val="32"/>
        </w:rPr>
        <w:t>0、承办区政府和上级部门交办的工作。</w:t>
      </w:r>
    </w:p>
    <w:p>
      <w:pPr>
        <w:spacing w:line="360" w:lineRule="auto"/>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区住建局承担全区市政基础设施建设、应急维修维护、农村危房改造等建设项目100余个，承接项目类型多样，工程技术要求高，但区住建局具有专业知识的工作人员较少，技术人员严重不足，限制了项目建设发展，为提高区住建局建设项目质量控管水平，推进项目建设决策综合性咨询和工程建设全过程咨询，做好市级住建局下放到区住建局承接“ 1万㎡以下（含）房屋建筑及区发改立项的投资额度3</w:t>
      </w:r>
      <w:r>
        <w:rPr>
          <w:rFonts w:asciiTheme="minorEastAsia" w:hAnsiTheme="minorEastAsia" w:eastAsiaTheme="minorEastAsia"/>
          <w:color w:val="auto"/>
          <w:sz w:val="32"/>
          <w:szCs w:val="32"/>
        </w:rPr>
        <w:t>000</w:t>
      </w:r>
      <w:r>
        <w:rPr>
          <w:rFonts w:hint="eastAsia" w:asciiTheme="minorEastAsia" w:hAnsiTheme="minorEastAsia" w:eastAsiaTheme="minorEastAsia"/>
          <w:color w:val="auto"/>
          <w:sz w:val="32"/>
          <w:szCs w:val="32"/>
        </w:rPr>
        <w:t>万元以下（含）的市政基础设施工程项目建筑工程竣工验收备案”等事项工作，为建设项目固定资产投资及工程建设活动提供高质量智力技术服务，全面提升建设项目的效益、工程建设质量和运营效率，推动高质量项目发展。</w:t>
      </w:r>
      <w:bookmarkStart w:id="0" w:name="_Toc61542534"/>
      <w:bookmarkStart w:id="1" w:name="_Toc34774160"/>
    </w:p>
    <w:p>
      <w:pPr>
        <w:spacing w:line="360" w:lineRule="auto"/>
        <w:ind w:firstLine="643" w:firstLineChars="200"/>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三、工程技术咨询服务内容</w:t>
      </w:r>
      <w:bookmarkEnd w:id="0"/>
      <w:bookmarkEnd w:id="1"/>
    </w:p>
    <w:p>
      <w:pPr>
        <w:spacing w:line="360" w:lineRule="auto"/>
        <w:ind w:firstLine="640" w:firstLineChars="200"/>
        <w:rPr>
          <w:rFonts w:cs="宋体" w:asciiTheme="minorEastAsia" w:hAnsiTheme="minorEastAsia" w:eastAsiaTheme="minorEastAsia"/>
          <w:color w:val="auto"/>
          <w:sz w:val="32"/>
          <w:szCs w:val="32"/>
        </w:rPr>
      </w:pPr>
      <w:bookmarkStart w:id="2" w:name="_Toc524707400"/>
      <w:r>
        <w:rPr>
          <w:rFonts w:hint="eastAsia" w:cs="宋体" w:asciiTheme="minorEastAsia" w:hAnsiTheme="minorEastAsia" w:eastAsiaTheme="minorEastAsia"/>
          <w:color w:val="auto"/>
          <w:sz w:val="32"/>
          <w:szCs w:val="32"/>
        </w:rPr>
        <w:t>1、参与辖区内建设项目管理服务工作，提供专业技术咨询服务，解决项目建设工程中出现的技术问题。</w:t>
      </w:r>
    </w:p>
    <w:p>
      <w:pPr>
        <w:spacing w:line="360" w:lineRule="auto"/>
        <w:ind w:firstLine="640" w:firstLineChars="200"/>
        <w:rPr>
          <w:rFonts w:cs="宋体" w:asciiTheme="minorEastAsia" w:hAnsiTheme="minorEastAsia" w:eastAsiaTheme="minorEastAsia"/>
          <w:color w:val="auto"/>
          <w:sz w:val="32"/>
          <w:szCs w:val="32"/>
          <w:highlight w:val="none"/>
        </w:rPr>
      </w:pPr>
      <w:r>
        <w:rPr>
          <w:rFonts w:hint="eastAsia" w:cs="宋体" w:asciiTheme="minorEastAsia" w:hAnsiTheme="minorEastAsia" w:eastAsiaTheme="minorEastAsia"/>
          <w:color w:val="auto"/>
          <w:sz w:val="32"/>
          <w:szCs w:val="32"/>
        </w:rPr>
        <w:t>2</w:t>
      </w:r>
      <w:r>
        <w:rPr>
          <w:rFonts w:hint="eastAsia" w:cs="宋体" w:asciiTheme="minorEastAsia" w:hAnsiTheme="minorEastAsia" w:eastAsiaTheme="minorEastAsia"/>
          <w:color w:val="auto"/>
          <w:sz w:val="32"/>
          <w:szCs w:val="32"/>
          <w:highlight w:val="none"/>
        </w:rPr>
        <w:t>、</w:t>
      </w:r>
      <w:r>
        <w:rPr>
          <w:rFonts w:hint="eastAsia" w:cs="宋体" w:asciiTheme="minorEastAsia" w:hAnsiTheme="minorEastAsia" w:eastAsiaTheme="minorEastAsia"/>
          <w:bCs/>
          <w:color w:val="auto"/>
          <w:sz w:val="32"/>
          <w:szCs w:val="32"/>
          <w:highlight w:val="none"/>
        </w:rPr>
        <w:t>选派</w:t>
      </w:r>
      <w:r>
        <w:rPr>
          <w:rFonts w:hint="eastAsia" w:cs="宋体" w:asciiTheme="minorEastAsia" w:hAnsiTheme="minorEastAsia" w:eastAsiaTheme="minorEastAsia"/>
          <w:color w:val="auto"/>
          <w:sz w:val="32"/>
          <w:szCs w:val="32"/>
          <w:highlight w:val="none"/>
        </w:rPr>
        <w:t>专业技术专家参与</w:t>
      </w:r>
      <w:r>
        <w:rPr>
          <w:rFonts w:asciiTheme="minorEastAsia" w:hAnsiTheme="minorEastAsia" w:eastAsiaTheme="minorEastAsia"/>
          <w:color w:val="auto"/>
          <w:sz w:val="32"/>
          <w:szCs w:val="32"/>
          <w:highlight w:val="none"/>
        </w:rPr>
        <w:t>本</w:t>
      </w:r>
      <w:r>
        <w:rPr>
          <w:rFonts w:hint="eastAsia" w:cs="宋体" w:asciiTheme="minorEastAsia" w:hAnsiTheme="minorEastAsia" w:eastAsiaTheme="minorEastAsia"/>
          <w:color w:val="auto"/>
          <w:sz w:val="32"/>
          <w:szCs w:val="32"/>
          <w:highlight w:val="none"/>
        </w:rPr>
        <w:t>辖区建设项目施工过程的质量监管</w:t>
      </w:r>
      <w:r>
        <w:rPr>
          <w:rFonts w:hint="eastAsia" w:cs="宋体" w:asciiTheme="minorEastAsia" w:hAnsiTheme="minorEastAsia" w:eastAsiaTheme="minorEastAsia"/>
          <w:color w:val="auto"/>
          <w:sz w:val="32"/>
          <w:szCs w:val="32"/>
          <w:highlight w:val="none"/>
          <w:lang w:eastAsia="zh-CN"/>
        </w:rPr>
        <w:t>，</w:t>
      </w:r>
      <w:r>
        <w:rPr>
          <w:rFonts w:hint="eastAsia" w:cs="宋体" w:asciiTheme="minorEastAsia" w:hAnsiTheme="minorEastAsia" w:eastAsiaTheme="minorEastAsia"/>
          <w:color w:val="auto"/>
          <w:sz w:val="32"/>
          <w:szCs w:val="32"/>
          <w:highlight w:val="none"/>
          <w:lang w:val="en-US" w:eastAsia="zh-CN"/>
        </w:rPr>
        <w:t>参与管理委托人为项目业主的建设项目各参建单位人员在岗履行职责和安全生产情况，严格把关建设过程的进度和造价</w:t>
      </w:r>
      <w:bookmarkStart w:id="12" w:name="_GoBack"/>
      <w:bookmarkEnd w:id="12"/>
      <w:r>
        <w:rPr>
          <w:rFonts w:hint="eastAsia" w:cs="宋体" w:asciiTheme="minorEastAsia" w:hAnsiTheme="minorEastAsia" w:eastAsiaTheme="minorEastAsia"/>
          <w:color w:val="auto"/>
          <w:sz w:val="32"/>
          <w:szCs w:val="32"/>
          <w:highlight w:val="none"/>
        </w:rPr>
        <w:t>。</w:t>
      </w:r>
    </w:p>
    <w:p>
      <w:pPr>
        <w:spacing w:line="360" w:lineRule="auto"/>
        <w:ind w:firstLine="640" w:firstLineChars="200"/>
        <w:rPr>
          <w:rFonts w:cs="宋体" w:asciiTheme="minorEastAsia" w:hAnsiTheme="minorEastAsia" w:eastAsiaTheme="minorEastAsia"/>
          <w:color w:val="auto"/>
          <w:sz w:val="32"/>
          <w:szCs w:val="32"/>
          <w:highlight w:val="none"/>
        </w:rPr>
      </w:pPr>
      <w:r>
        <w:rPr>
          <w:rFonts w:hint="eastAsia" w:cs="宋体" w:asciiTheme="minorEastAsia" w:hAnsiTheme="minorEastAsia" w:eastAsiaTheme="minorEastAsia"/>
          <w:color w:val="auto"/>
          <w:sz w:val="32"/>
          <w:szCs w:val="32"/>
          <w:highlight w:val="none"/>
        </w:rPr>
        <w:t>3、</w:t>
      </w:r>
      <w:r>
        <w:rPr>
          <w:rFonts w:hint="eastAsia" w:cs="宋体" w:asciiTheme="minorEastAsia" w:hAnsiTheme="minorEastAsia" w:eastAsiaTheme="minorEastAsia"/>
          <w:bCs/>
          <w:color w:val="auto"/>
          <w:sz w:val="32"/>
          <w:szCs w:val="32"/>
          <w:highlight w:val="none"/>
        </w:rPr>
        <w:t>选派</w:t>
      </w:r>
      <w:r>
        <w:rPr>
          <w:rFonts w:hint="eastAsia" w:cs="宋体" w:asciiTheme="minorEastAsia" w:hAnsiTheme="minorEastAsia" w:eastAsiaTheme="minorEastAsia"/>
          <w:color w:val="auto"/>
          <w:sz w:val="32"/>
          <w:szCs w:val="32"/>
          <w:highlight w:val="none"/>
        </w:rPr>
        <w:t>专业技术专家参与本辖区负责的</w:t>
      </w:r>
      <w:r>
        <w:rPr>
          <w:rFonts w:hint="eastAsia" w:asciiTheme="minorEastAsia" w:hAnsiTheme="minorEastAsia" w:eastAsiaTheme="minorEastAsia"/>
          <w:color w:val="auto"/>
          <w:sz w:val="32"/>
          <w:szCs w:val="32"/>
          <w:highlight w:val="none"/>
        </w:rPr>
        <w:t>1万㎡以下（含）房屋建筑及区发改立项的投资额度3</w:t>
      </w:r>
      <w:r>
        <w:rPr>
          <w:rFonts w:asciiTheme="minorEastAsia" w:hAnsiTheme="minorEastAsia" w:eastAsiaTheme="minorEastAsia"/>
          <w:color w:val="auto"/>
          <w:sz w:val="32"/>
          <w:szCs w:val="32"/>
          <w:highlight w:val="none"/>
        </w:rPr>
        <w:t>000</w:t>
      </w:r>
      <w:r>
        <w:rPr>
          <w:rFonts w:hint="eastAsia" w:asciiTheme="minorEastAsia" w:hAnsiTheme="minorEastAsia" w:eastAsiaTheme="minorEastAsia"/>
          <w:color w:val="auto"/>
          <w:sz w:val="32"/>
          <w:szCs w:val="32"/>
          <w:highlight w:val="none"/>
        </w:rPr>
        <w:t>万元以下（含）的市政基础设施工程项目</w:t>
      </w:r>
      <w:r>
        <w:rPr>
          <w:rFonts w:hint="eastAsia" w:asciiTheme="minorEastAsia" w:hAnsiTheme="minorEastAsia" w:eastAsiaTheme="minorEastAsia"/>
          <w:color w:val="auto"/>
          <w:sz w:val="32"/>
          <w:szCs w:val="32"/>
          <w:highlight w:val="none"/>
          <w:lang w:val="en-US" w:eastAsia="zh-CN"/>
        </w:rPr>
        <w:t>等</w:t>
      </w:r>
      <w:r>
        <w:rPr>
          <w:rFonts w:hint="eastAsia" w:asciiTheme="minorEastAsia" w:hAnsiTheme="minorEastAsia" w:eastAsiaTheme="minorEastAsia"/>
          <w:color w:val="auto"/>
          <w:sz w:val="32"/>
          <w:szCs w:val="32"/>
          <w:highlight w:val="none"/>
        </w:rPr>
        <w:t>建</w:t>
      </w:r>
      <w:r>
        <w:rPr>
          <w:rFonts w:hint="eastAsia" w:asciiTheme="minorEastAsia" w:hAnsiTheme="minorEastAsia" w:eastAsiaTheme="minorEastAsia"/>
          <w:color w:val="auto"/>
          <w:sz w:val="32"/>
          <w:szCs w:val="32"/>
          <w:highlight w:val="none"/>
          <w:lang w:val="en-US" w:eastAsia="zh-CN"/>
        </w:rPr>
        <w:t>设</w:t>
      </w:r>
      <w:r>
        <w:rPr>
          <w:rFonts w:hint="eastAsia" w:asciiTheme="minorEastAsia" w:hAnsiTheme="minorEastAsia" w:eastAsiaTheme="minorEastAsia"/>
          <w:color w:val="auto"/>
          <w:sz w:val="32"/>
          <w:szCs w:val="32"/>
          <w:highlight w:val="none"/>
        </w:rPr>
        <w:t>工程</w:t>
      </w:r>
      <w:r>
        <w:rPr>
          <w:rFonts w:hint="eastAsia" w:asciiTheme="minorEastAsia" w:hAnsiTheme="minorEastAsia" w:eastAsiaTheme="minorEastAsia"/>
          <w:color w:val="auto"/>
          <w:sz w:val="32"/>
          <w:szCs w:val="32"/>
          <w:highlight w:val="none"/>
          <w:lang w:val="en-US" w:eastAsia="zh-CN"/>
        </w:rPr>
        <w:t>施工许可的审批和</w:t>
      </w:r>
      <w:r>
        <w:rPr>
          <w:rFonts w:hint="eastAsia" w:asciiTheme="minorEastAsia" w:hAnsiTheme="minorEastAsia" w:eastAsiaTheme="minorEastAsia"/>
          <w:color w:val="auto"/>
          <w:sz w:val="32"/>
          <w:szCs w:val="32"/>
          <w:highlight w:val="none"/>
        </w:rPr>
        <w:t>验收</w:t>
      </w:r>
      <w:r>
        <w:rPr>
          <w:rFonts w:hint="eastAsia" w:cs="宋体" w:asciiTheme="minorEastAsia" w:hAnsiTheme="minorEastAsia" w:eastAsiaTheme="minorEastAsia"/>
          <w:color w:val="auto"/>
          <w:sz w:val="32"/>
          <w:szCs w:val="32"/>
          <w:highlight w:val="none"/>
        </w:rPr>
        <w:t>工作。</w:t>
      </w:r>
    </w:p>
    <w:p>
      <w:pPr>
        <w:spacing w:line="360" w:lineRule="auto"/>
        <w:ind w:firstLine="560"/>
        <w:rPr>
          <w:rFonts w:cs="宋体" w:asciiTheme="minorEastAsia" w:hAnsiTheme="minorEastAsia" w:eastAsiaTheme="minorEastAsia"/>
          <w:color w:val="auto"/>
          <w:sz w:val="32"/>
          <w:szCs w:val="32"/>
          <w:highlight w:val="none"/>
        </w:rPr>
      </w:pPr>
      <w:r>
        <w:rPr>
          <w:rFonts w:hint="eastAsia" w:cs="宋体" w:asciiTheme="minorEastAsia" w:hAnsiTheme="minorEastAsia" w:eastAsiaTheme="minorEastAsia"/>
          <w:color w:val="auto"/>
          <w:sz w:val="32"/>
          <w:szCs w:val="32"/>
          <w:highlight w:val="none"/>
        </w:rPr>
        <w:t>4、</w:t>
      </w:r>
      <w:r>
        <w:rPr>
          <w:rFonts w:hint="eastAsia" w:cs="宋体" w:asciiTheme="minorEastAsia" w:hAnsiTheme="minorEastAsia" w:eastAsiaTheme="minorEastAsia"/>
          <w:color w:val="auto"/>
          <w:sz w:val="32"/>
          <w:szCs w:val="32"/>
          <w:highlight w:val="none"/>
          <w:lang w:val="en-US" w:eastAsia="zh-CN"/>
        </w:rPr>
        <w:t>可配合质安部门</w:t>
      </w:r>
      <w:r>
        <w:rPr>
          <w:rFonts w:hint="eastAsia" w:cs="宋体" w:asciiTheme="minorEastAsia" w:hAnsiTheme="minorEastAsia" w:eastAsiaTheme="minorEastAsia"/>
          <w:color w:val="auto"/>
          <w:sz w:val="32"/>
          <w:szCs w:val="32"/>
          <w:highlight w:val="none"/>
        </w:rPr>
        <w:t>对辖区市政工程及房建项目开展审批后的安全监管，以及协助</w:t>
      </w:r>
      <w:r>
        <w:rPr>
          <w:rFonts w:hint="eastAsia" w:asciiTheme="minorEastAsia" w:hAnsiTheme="minorEastAsia" w:eastAsiaTheme="minorEastAsia"/>
          <w:color w:val="auto"/>
          <w:sz w:val="32"/>
          <w:szCs w:val="32"/>
          <w:highlight w:val="none"/>
        </w:rPr>
        <w:t>区住建局</w:t>
      </w:r>
      <w:r>
        <w:rPr>
          <w:rFonts w:hint="eastAsia" w:cs="宋体" w:asciiTheme="minorEastAsia" w:hAnsiTheme="minorEastAsia" w:eastAsiaTheme="minorEastAsia"/>
          <w:color w:val="auto"/>
          <w:sz w:val="32"/>
          <w:szCs w:val="32"/>
          <w:highlight w:val="none"/>
        </w:rPr>
        <w:t>处理本辖区内建设工程质量安全的监督执法、违反安全生产管理条例和建筑市场行为的处罚，依法提出处理意见建议。</w:t>
      </w:r>
    </w:p>
    <w:p>
      <w:pPr>
        <w:spacing w:line="360" w:lineRule="auto"/>
        <w:ind w:firstLine="640" w:firstLineChars="200"/>
        <w:rPr>
          <w:rFonts w:cs="宋体" w:asciiTheme="minorEastAsia" w:hAnsiTheme="minorEastAsia" w:eastAsiaTheme="minorEastAsia"/>
          <w:color w:val="auto"/>
          <w:sz w:val="32"/>
          <w:szCs w:val="32"/>
          <w:highlight w:val="none"/>
        </w:rPr>
      </w:pPr>
      <w:r>
        <w:rPr>
          <w:rFonts w:hint="eastAsia" w:cs="宋体" w:asciiTheme="minorEastAsia" w:hAnsiTheme="minorEastAsia" w:eastAsiaTheme="minorEastAsia"/>
          <w:color w:val="auto"/>
          <w:sz w:val="32"/>
          <w:szCs w:val="32"/>
          <w:highlight w:val="none"/>
        </w:rPr>
        <w:t>5、组织造价专业人员对建设项目进度款拨付审核进行项目实施动态造价管理。</w:t>
      </w:r>
    </w:p>
    <w:p>
      <w:pPr>
        <w:spacing w:line="360" w:lineRule="auto"/>
        <w:ind w:firstLine="640" w:firstLineChars="200"/>
        <w:rPr>
          <w:rFonts w:cs="宋体" w:asciiTheme="minorEastAsia" w:hAnsiTheme="minorEastAsia" w:eastAsiaTheme="minorEastAsia"/>
          <w:color w:val="auto"/>
          <w:sz w:val="32"/>
          <w:szCs w:val="32"/>
          <w:highlight w:val="none"/>
        </w:rPr>
      </w:pPr>
      <w:r>
        <w:rPr>
          <w:rFonts w:hint="eastAsia" w:cs="宋体" w:asciiTheme="minorEastAsia" w:hAnsiTheme="minorEastAsia" w:eastAsiaTheme="minorEastAsia"/>
          <w:color w:val="auto"/>
          <w:sz w:val="32"/>
          <w:szCs w:val="32"/>
          <w:highlight w:val="none"/>
        </w:rPr>
        <w:t>6、协助</w:t>
      </w:r>
      <w:r>
        <w:rPr>
          <w:rFonts w:hint="eastAsia" w:asciiTheme="minorEastAsia" w:hAnsiTheme="minorEastAsia" w:eastAsiaTheme="minorEastAsia"/>
          <w:color w:val="auto"/>
          <w:sz w:val="32"/>
          <w:szCs w:val="32"/>
          <w:highlight w:val="none"/>
          <w:lang w:val="en-US" w:eastAsia="zh-CN"/>
        </w:rPr>
        <w:t>委托人</w:t>
      </w:r>
      <w:r>
        <w:rPr>
          <w:rFonts w:asciiTheme="minorEastAsia" w:hAnsiTheme="minorEastAsia" w:eastAsiaTheme="minorEastAsia"/>
          <w:color w:val="auto"/>
          <w:sz w:val="32"/>
          <w:szCs w:val="32"/>
          <w:highlight w:val="none"/>
        </w:rPr>
        <w:t>小于10万元应急</w:t>
      </w:r>
      <w:r>
        <w:rPr>
          <w:rFonts w:hint="eastAsia" w:cs="宋体" w:asciiTheme="minorEastAsia" w:hAnsiTheme="minorEastAsia" w:eastAsiaTheme="minorEastAsia"/>
          <w:color w:val="auto"/>
          <w:sz w:val="32"/>
          <w:szCs w:val="32"/>
          <w:highlight w:val="none"/>
        </w:rPr>
        <w:t>项目的造价结算审核工作。</w:t>
      </w:r>
      <w:bookmarkStart w:id="3" w:name="_Toc34774161"/>
      <w:bookmarkStart w:id="4" w:name="_Toc61542535"/>
    </w:p>
    <w:p>
      <w:pPr>
        <w:tabs>
          <w:tab w:val="left" w:pos="6530"/>
        </w:tabs>
        <w:spacing w:line="360" w:lineRule="auto"/>
        <w:ind w:firstLine="643" w:firstLineChars="200"/>
        <w:rPr>
          <w:rFonts w:cs="宋体"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四、</w:t>
      </w:r>
      <w:bookmarkEnd w:id="2"/>
      <w:r>
        <w:rPr>
          <w:rFonts w:hint="eastAsia" w:asciiTheme="minorEastAsia" w:hAnsiTheme="minorEastAsia" w:eastAsiaTheme="minorEastAsia"/>
          <w:b/>
          <w:color w:val="auto"/>
          <w:sz w:val="32"/>
          <w:szCs w:val="32"/>
          <w:highlight w:val="none"/>
        </w:rPr>
        <w:t>工程技术咨询服务</w:t>
      </w:r>
      <w:bookmarkEnd w:id="3"/>
      <w:r>
        <w:rPr>
          <w:rFonts w:hint="eastAsia" w:asciiTheme="minorEastAsia" w:hAnsiTheme="minorEastAsia" w:eastAsiaTheme="minorEastAsia"/>
          <w:b/>
          <w:color w:val="auto"/>
          <w:sz w:val="32"/>
          <w:szCs w:val="32"/>
          <w:highlight w:val="none"/>
        </w:rPr>
        <w:t>工作方式及要求</w:t>
      </w:r>
      <w:bookmarkEnd w:id="4"/>
      <w:r>
        <w:rPr>
          <w:rFonts w:asciiTheme="minorEastAsia" w:hAnsiTheme="minorEastAsia" w:eastAsiaTheme="minorEastAsia"/>
          <w:b/>
          <w:color w:val="auto"/>
          <w:sz w:val="32"/>
          <w:szCs w:val="32"/>
          <w:highlight w:val="none"/>
        </w:rPr>
        <w:tab/>
      </w:r>
    </w:p>
    <w:p>
      <w:pPr>
        <w:spacing w:line="360" w:lineRule="auto"/>
        <w:ind w:firstLine="640" w:firstLineChars="200"/>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1、</w:t>
      </w:r>
      <w:r>
        <w:rPr>
          <w:rFonts w:hint="eastAsia" w:ascii="宋体" w:hAnsi="宋体" w:cs="宋体"/>
          <w:kern w:val="0"/>
          <w:sz w:val="32"/>
          <w:szCs w:val="32"/>
          <w:highlight w:val="none"/>
        </w:rPr>
        <w:t>在三亚组建一支建设工程类专业技术咨询综合管理团队（成员包括若干名教授级</w:t>
      </w:r>
      <w:r>
        <w:rPr>
          <w:rFonts w:hint="eastAsia" w:ascii="宋体" w:hAnsi="宋体" w:cs="宋体"/>
          <w:kern w:val="0"/>
          <w:sz w:val="32"/>
          <w:szCs w:val="32"/>
          <w:highlight w:val="none"/>
          <w:lang w:val="en-US" w:eastAsia="zh-CN"/>
        </w:rPr>
        <w:t>高级</w:t>
      </w:r>
      <w:r>
        <w:rPr>
          <w:rFonts w:hint="eastAsia" w:ascii="宋体" w:hAnsi="宋体" w:cs="宋体"/>
          <w:kern w:val="0"/>
          <w:sz w:val="32"/>
          <w:szCs w:val="32"/>
          <w:highlight w:val="none"/>
        </w:rPr>
        <w:t>工程师、工程师，以及</w:t>
      </w:r>
      <w:r>
        <w:rPr>
          <w:rFonts w:hint="eastAsia" w:ascii="宋体" w:hAnsi="宋体" w:cs="宋体"/>
          <w:kern w:val="0"/>
          <w:sz w:val="32"/>
          <w:szCs w:val="32"/>
          <w:highlight w:val="none"/>
          <w:lang w:val="en-US" w:eastAsia="zh-CN"/>
        </w:rPr>
        <w:t>相关</w:t>
      </w:r>
      <w:r>
        <w:rPr>
          <w:rFonts w:hint="eastAsia" w:ascii="宋体" w:hAnsi="宋体" w:cs="宋体"/>
          <w:color w:val="auto"/>
          <w:kern w:val="0"/>
          <w:sz w:val="32"/>
          <w:szCs w:val="32"/>
          <w:highlight w:val="none"/>
          <w:lang w:eastAsia="zh-CN"/>
        </w:rPr>
        <w:t>注</w:t>
      </w:r>
      <w:r>
        <w:rPr>
          <w:rFonts w:hint="eastAsia" w:ascii="宋体" w:hAnsi="宋体" w:cs="宋体"/>
          <w:color w:val="auto"/>
          <w:kern w:val="0"/>
          <w:sz w:val="32"/>
          <w:szCs w:val="32"/>
          <w:highlight w:val="none"/>
          <w:lang w:val="en-US" w:eastAsia="zh-CN"/>
        </w:rPr>
        <w:t>册类</w:t>
      </w:r>
      <w:r>
        <w:rPr>
          <w:rFonts w:hint="eastAsia" w:ascii="宋体" w:hAnsi="宋体" w:cs="宋体"/>
          <w:kern w:val="0"/>
          <w:sz w:val="32"/>
          <w:szCs w:val="32"/>
          <w:highlight w:val="none"/>
        </w:rPr>
        <w:t>人员</w:t>
      </w:r>
      <w:r>
        <w:rPr>
          <w:rFonts w:hint="eastAsia" w:ascii="宋体" w:hAnsi="宋体" w:cs="宋体"/>
          <w:color w:val="auto"/>
          <w:kern w:val="0"/>
          <w:sz w:val="32"/>
          <w:szCs w:val="32"/>
          <w:highlight w:val="none"/>
        </w:rPr>
        <w:t>，涉及到建筑工程，</w:t>
      </w:r>
      <w:r>
        <w:rPr>
          <w:rFonts w:hint="eastAsia" w:ascii="宋体" w:hAnsi="宋体" w:cs="宋体"/>
          <w:color w:val="auto"/>
          <w:kern w:val="0"/>
          <w:sz w:val="32"/>
          <w:szCs w:val="32"/>
          <w:highlight w:val="none"/>
          <w:lang w:val="en-US" w:eastAsia="zh-CN"/>
        </w:rPr>
        <w:t>建筑设计、结构设计、道路与桥梁、暖通工程、</w:t>
      </w:r>
      <w:r>
        <w:rPr>
          <w:rFonts w:hint="eastAsia" w:ascii="宋体" w:hAnsi="宋体" w:cs="宋体"/>
          <w:color w:val="auto"/>
          <w:kern w:val="0"/>
          <w:sz w:val="32"/>
          <w:szCs w:val="32"/>
          <w:highlight w:val="none"/>
        </w:rPr>
        <w:t>给排水工程</w:t>
      </w:r>
      <w:r>
        <w:rPr>
          <w:rFonts w:hint="eastAsia" w:ascii="宋体" w:hAnsi="宋体" w:cs="宋体"/>
          <w:color w:val="auto"/>
          <w:kern w:val="0"/>
          <w:sz w:val="32"/>
          <w:szCs w:val="32"/>
          <w:highlight w:val="none"/>
          <w:lang w:eastAsia="zh-CN"/>
        </w:rPr>
        <w:t>、</w:t>
      </w:r>
      <w:r>
        <w:rPr>
          <w:rFonts w:hint="eastAsia" w:ascii="宋体" w:hAnsi="宋体" w:cs="宋体"/>
          <w:color w:val="auto"/>
          <w:kern w:val="0"/>
          <w:sz w:val="32"/>
          <w:szCs w:val="32"/>
          <w:highlight w:val="none"/>
        </w:rPr>
        <w:t>电气工程</w:t>
      </w:r>
      <w:r>
        <w:rPr>
          <w:rFonts w:hint="eastAsia" w:ascii="宋体" w:hAnsi="宋体" w:cs="宋体"/>
          <w:color w:val="auto"/>
          <w:kern w:val="0"/>
          <w:sz w:val="32"/>
          <w:szCs w:val="32"/>
          <w:highlight w:val="none"/>
          <w:lang w:eastAsia="zh-CN"/>
        </w:rPr>
        <w:t>、</w:t>
      </w:r>
      <w:r>
        <w:rPr>
          <w:rFonts w:hint="eastAsia" w:ascii="宋体" w:hAnsi="宋体" w:cs="宋体"/>
          <w:color w:val="auto"/>
          <w:kern w:val="0"/>
          <w:sz w:val="32"/>
          <w:szCs w:val="32"/>
          <w:highlight w:val="none"/>
          <w:lang w:val="en-US" w:eastAsia="zh-CN"/>
        </w:rPr>
        <w:t>安全工程、</w:t>
      </w:r>
      <w:r>
        <w:rPr>
          <w:rFonts w:hint="eastAsia" w:ascii="宋体" w:hAnsi="宋体" w:cs="宋体"/>
          <w:color w:val="auto"/>
          <w:kern w:val="0"/>
          <w:sz w:val="32"/>
          <w:szCs w:val="32"/>
          <w:highlight w:val="none"/>
          <w:lang w:eastAsia="zh-CN"/>
        </w:rPr>
        <w:t>工程管理、</w:t>
      </w:r>
      <w:r>
        <w:rPr>
          <w:rFonts w:hint="eastAsia" w:ascii="宋体" w:hAnsi="宋体" w:cs="宋体"/>
          <w:color w:val="auto"/>
          <w:kern w:val="0"/>
          <w:sz w:val="32"/>
          <w:szCs w:val="32"/>
          <w:highlight w:val="none"/>
          <w:lang w:val="en-US" w:eastAsia="zh-CN"/>
        </w:rPr>
        <w:t>工程监理、工程造价</w:t>
      </w:r>
      <w:r>
        <w:rPr>
          <w:rFonts w:hint="eastAsia" w:ascii="宋体" w:hAnsi="宋体" w:cs="宋体"/>
          <w:color w:val="auto"/>
          <w:kern w:val="0"/>
          <w:sz w:val="32"/>
          <w:szCs w:val="32"/>
          <w:highlight w:val="none"/>
        </w:rPr>
        <w:t>等</w:t>
      </w:r>
      <w:r>
        <w:rPr>
          <w:rFonts w:hint="eastAsia" w:ascii="宋体" w:hAnsi="宋体" w:cs="宋体"/>
          <w:color w:val="auto"/>
          <w:kern w:val="0"/>
          <w:sz w:val="32"/>
          <w:szCs w:val="32"/>
          <w:highlight w:val="none"/>
          <w:lang w:eastAsia="zh-CN"/>
        </w:rPr>
        <w:t>）</w:t>
      </w:r>
      <w:r>
        <w:rPr>
          <w:rFonts w:hint="eastAsia" w:ascii="宋体" w:hAnsi="宋体" w:cs="宋体"/>
          <w:color w:val="auto"/>
          <w:kern w:val="0"/>
          <w:sz w:val="32"/>
          <w:szCs w:val="32"/>
          <w:highlight w:val="none"/>
        </w:rPr>
        <w:t>，</w:t>
      </w:r>
      <w:r>
        <w:rPr>
          <w:rFonts w:hint="eastAsia" w:ascii="宋体" w:hAnsi="宋体" w:cs="宋体"/>
          <w:kern w:val="0"/>
          <w:sz w:val="32"/>
          <w:szCs w:val="32"/>
          <w:highlight w:val="none"/>
        </w:rPr>
        <w:t>为委托人的建设项目提供全过程工程技术咨询服务工作。</w:t>
      </w:r>
    </w:p>
    <w:p>
      <w:pPr>
        <w:spacing w:line="360" w:lineRule="auto"/>
        <w:ind w:firstLine="640" w:firstLineChars="200"/>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2、</w:t>
      </w:r>
      <w:r>
        <w:rPr>
          <w:rFonts w:hint="eastAsia" w:cs="宋体" w:asciiTheme="minorEastAsia" w:hAnsiTheme="minorEastAsia" w:eastAsiaTheme="minorEastAsia"/>
          <w:bCs/>
          <w:color w:val="auto"/>
          <w:sz w:val="32"/>
          <w:szCs w:val="32"/>
          <w:highlight w:val="none"/>
        </w:rPr>
        <w:t>选派专业技术人员参与</w:t>
      </w:r>
      <w:r>
        <w:rPr>
          <w:rFonts w:hint="eastAsia" w:asciiTheme="minorEastAsia" w:hAnsiTheme="minorEastAsia" w:eastAsiaTheme="minorEastAsia"/>
          <w:color w:val="auto"/>
          <w:sz w:val="32"/>
          <w:szCs w:val="32"/>
          <w:highlight w:val="none"/>
        </w:rPr>
        <w:t>项目</w:t>
      </w:r>
      <w:r>
        <w:rPr>
          <w:rFonts w:hint="eastAsia" w:cs="宋体" w:asciiTheme="minorEastAsia" w:hAnsiTheme="minorEastAsia" w:eastAsiaTheme="minorEastAsia"/>
          <w:color w:val="auto"/>
          <w:sz w:val="32"/>
          <w:szCs w:val="32"/>
          <w:highlight w:val="none"/>
        </w:rPr>
        <w:t>施工全过程质量安全监管工作。</w:t>
      </w:r>
    </w:p>
    <w:p>
      <w:pPr>
        <w:spacing w:line="360" w:lineRule="auto"/>
        <w:ind w:firstLine="640" w:firstLineChars="200"/>
        <w:rPr>
          <w:rFonts w:hint="eastAsia" w:asciiTheme="minorEastAsia" w:hAnsiTheme="minorEastAsia" w:eastAsiaTheme="minorEastAsia"/>
          <w:color w:val="auto"/>
          <w:sz w:val="32"/>
          <w:szCs w:val="32"/>
          <w:highlight w:val="none"/>
        </w:rPr>
      </w:pPr>
      <w:r>
        <w:rPr>
          <w:rFonts w:hint="eastAsia" w:cs="宋体" w:asciiTheme="minorEastAsia" w:hAnsiTheme="minorEastAsia" w:eastAsiaTheme="minorEastAsia"/>
          <w:color w:val="auto"/>
          <w:sz w:val="32"/>
          <w:szCs w:val="32"/>
          <w:highlight w:val="none"/>
        </w:rPr>
        <w:t>3、参与</w:t>
      </w:r>
      <w:r>
        <w:rPr>
          <w:rFonts w:hint="eastAsia" w:asciiTheme="minorEastAsia" w:hAnsiTheme="minorEastAsia" w:eastAsiaTheme="minorEastAsia"/>
          <w:color w:val="auto"/>
          <w:sz w:val="32"/>
          <w:szCs w:val="32"/>
          <w:highlight w:val="none"/>
        </w:rPr>
        <w:t>本辖区</w:t>
      </w:r>
      <w:r>
        <w:rPr>
          <w:rFonts w:hint="eastAsia" w:cs="宋体" w:asciiTheme="minorEastAsia" w:hAnsiTheme="minorEastAsia" w:eastAsiaTheme="minorEastAsia"/>
          <w:color w:val="auto"/>
          <w:sz w:val="32"/>
          <w:szCs w:val="32"/>
          <w:highlight w:val="none"/>
        </w:rPr>
        <w:t>内</w:t>
      </w:r>
      <w:r>
        <w:rPr>
          <w:rFonts w:hint="eastAsia" w:asciiTheme="minorEastAsia" w:hAnsiTheme="minorEastAsia" w:eastAsiaTheme="minorEastAsia"/>
          <w:color w:val="auto"/>
          <w:sz w:val="32"/>
          <w:szCs w:val="32"/>
          <w:highlight w:val="none"/>
        </w:rPr>
        <w:t>1万㎡以下（含）房屋建筑及区发改立项的投资额度3</w:t>
      </w:r>
      <w:r>
        <w:rPr>
          <w:rFonts w:asciiTheme="minorEastAsia" w:hAnsiTheme="minorEastAsia" w:eastAsiaTheme="minorEastAsia"/>
          <w:color w:val="auto"/>
          <w:sz w:val="32"/>
          <w:szCs w:val="32"/>
          <w:highlight w:val="none"/>
        </w:rPr>
        <w:t>000</w:t>
      </w:r>
      <w:r>
        <w:rPr>
          <w:rFonts w:hint="eastAsia" w:asciiTheme="minorEastAsia" w:hAnsiTheme="minorEastAsia" w:eastAsiaTheme="minorEastAsia"/>
          <w:color w:val="auto"/>
          <w:sz w:val="32"/>
          <w:szCs w:val="32"/>
          <w:highlight w:val="none"/>
        </w:rPr>
        <w:t>万元以下（含）的市政基础设施工程</w:t>
      </w:r>
      <w:r>
        <w:rPr>
          <w:rFonts w:hint="eastAsia" w:cs="宋体" w:asciiTheme="minorEastAsia" w:hAnsiTheme="minorEastAsia" w:eastAsiaTheme="minorEastAsia"/>
          <w:color w:val="auto"/>
          <w:sz w:val="32"/>
          <w:szCs w:val="32"/>
          <w:highlight w:val="none"/>
        </w:rPr>
        <w:t>的</w:t>
      </w:r>
      <w:r>
        <w:rPr>
          <w:rFonts w:hint="eastAsia" w:asciiTheme="minorEastAsia" w:hAnsiTheme="minorEastAsia" w:eastAsiaTheme="minorEastAsia"/>
          <w:color w:val="auto"/>
          <w:sz w:val="32"/>
          <w:szCs w:val="32"/>
          <w:highlight w:val="none"/>
        </w:rPr>
        <w:t>竣工验</w:t>
      </w:r>
      <w:r>
        <w:rPr>
          <w:rFonts w:hint="eastAsia" w:asciiTheme="minorEastAsia" w:hAnsiTheme="minorEastAsia" w:eastAsiaTheme="minorEastAsia"/>
          <w:color w:val="auto"/>
          <w:sz w:val="32"/>
          <w:szCs w:val="32"/>
          <w:highlight w:val="none"/>
          <w:lang w:val="en-US" w:eastAsia="zh-CN"/>
        </w:rPr>
        <w:t>收备案</w:t>
      </w:r>
      <w:r>
        <w:rPr>
          <w:rFonts w:hint="eastAsia" w:cs="宋体" w:asciiTheme="minorEastAsia" w:hAnsiTheme="minorEastAsia" w:eastAsiaTheme="minorEastAsia"/>
          <w:color w:val="auto"/>
          <w:sz w:val="32"/>
          <w:szCs w:val="32"/>
          <w:highlight w:val="none"/>
        </w:rPr>
        <w:t>工作，</w:t>
      </w:r>
      <w:r>
        <w:rPr>
          <w:rFonts w:hint="eastAsia" w:asciiTheme="minorEastAsia" w:hAnsiTheme="minorEastAsia" w:eastAsiaTheme="minorEastAsia"/>
          <w:color w:val="auto"/>
          <w:sz w:val="32"/>
          <w:szCs w:val="32"/>
          <w:highlight w:val="none"/>
        </w:rPr>
        <w:t>主要为竣工验收提供技术审查意见等。</w:t>
      </w:r>
    </w:p>
    <w:p>
      <w:pPr>
        <w:spacing w:line="360" w:lineRule="auto"/>
        <w:ind w:firstLine="640" w:firstLineChars="200"/>
        <w:rPr>
          <w:rFonts w:asciiTheme="minorEastAsia" w:hAnsiTheme="minorEastAsia" w:eastAsiaTheme="minorEastAsia"/>
          <w:color w:val="auto"/>
          <w:sz w:val="32"/>
          <w:szCs w:val="32"/>
          <w:highlight w:val="none"/>
        </w:rPr>
      </w:pPr>
      <w:r>
        <w:rPr>
          <w:rFonts w:hint="eastAsia" w:cs="宋体" w:asciiTheme="minorEastAsia" w:hAnsiTheme="minorEastAsia" w:eastAsiaTheme="minorEastAsia"/>
          <w:color w:val="auto"/>
          <w:sz w:val="32"/>
          <w:szCs w:val="32"/>
          <w:highlight w:val="none"/>
        </w:rPr>
        <w:t>4、</w:t>
      </w:r>
      <w:bookmarkStart w:id="5" w:name="_Toc524707401"/>
      <w:r>
        <w:rPr>
          <w:rFonts w:hint="eastAsia" w:asciiTheme="minorEastAsia" w:hAnsiTheme="minorEastAsia" w:eastAsiaTheme="minorEastAsia"/>
          <w:color w:val="auto"/>
          <w:sz w:val="32"/>
          <w:szCs w:val="32"/>
          <w:highlight w:val="none"/>
        </w:rPr>
        <w:t>在工程造价管理方面，工程造价计价依照《建设工程工程量清单计价规范》（GB50500-2013）国家标准进行工程量计算和计价，计价办法依据海南省建设工程计价办法、定额及海南省、三亚市等相关文件。造价管理咨询贯穿于项目建设的全过程：包括建设项目的立项决策阶段、设计阶段、招标阶段、施工阶段、竣工阶段、进度款拨付等所需全部建设费用的确定、控制、监管和管理，实现整个建设项目工程造价有效控制与调整，缩小投资偏差，控制投资风险，协作建设单位进行建设投资和合理筹措与投入，确保工程造价的目标控制。</w:t>
      </w:r>
      <w:bookmarkEnd w:id="5"/>
      <w:bookmarkStart w:id="6" w:name="_Toc34774163"/>
      <w:bookmarkStart w:id="7" w:name="_Toc61542537"/>
      <w:bookmarkStart w:id="8" w:name="_Toc524707402"/>
    </w:p>
    <w:p>
      <w:pPr>
        <w:spacing w:line="360" w:lineRule="auto"/>
        <w:ind w:firstLine="643" w:firstLineChars="200"/>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五、工程技术咨询服务费</w:t>
      </w:r>
      <w:bookmarkEnd w:id="6"/>
      <w:bookmarkEnd w:id="7"/>
      <w:bookmarkEnd w:id="8"/>
      <w:bookmarkStart w:id="9" w:name="_Toc524707406"/>
      <w:r>
        <w:rPr>
          <w:rFonts w:hint="eastAsia" w:asciiTheme="minorEastAsia" w:hAnsiTheme="minorEastAsia" w:eastAsiaTheme="minorEastAsia"/>
          <w:b/>
          <w:color w:val="auto"/>
          <w:sz w:val="32"/>
          <w:szCs w:val="32"/>
          <w:highlight w:val="none"/>
        </w:rPr>
        <w:t>的取费依据标准</w:t>
      </w:r>
    </w:p>
    <w:p>
      <w:pPr>
        <w:spacing w:line="360" w:lineRule="auto"/>
        <w:ind w:firstLine="640" w:firstLineChars="200"/>
        <w:rPr>
          <w:rFonts w:asciiTheme="minorEastAsia" w:hAnsiTheme="minorEastAsia" w:eastAsiaTheme="minorEastAsia"/>
          <w:b/>
          <w:color w:val="auto"/>
          <w:sz w:val="32"/>
          <w:szCs w:val="32"/>
          <w:highlight w:val="none"/>
        </w:rPr>
      </w:pPr>
      <w:r>
        <w:rPr>
          <w:rFonts w:hint="eastAsia" w:asciiTheme="minorEastAsia" w:hAnsiTheme="minorEastAsia" w:eastAsiaTheme="minorEastAsia"/>
          <w:color w:val="auto"/>
          <w:sz w:val="32"/>
          <w:szCs w:val="32"/>
          <w:highlight w:val="none"/>
        </w:rPr>
        <w:t>1、《转发国家计委关于印发建设项目前期工作咨询收费暂行规定的通知》（琼价营字〔1999〕344 号）；</w:t>
      </w:r>
    </w:p>
    <w:p>
      <w:pPr>
        <w:spacing w:line="360" w:lineRule="auto"/>
        <w:ind w:firstLine="640" w:firstLineChars="200"/>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2、《关于</w:t>
      </w:r>
      <w:r>
        <w:rPr>
          <w:rFonts w:hint="eastAsia" w:asciiTheme="minorEastAsia" w:hAnsiTheme="minorEastAsia" w:eastAsiaTheme="minorEastAsia"/>
          <w:color w:val="auto"/>
          <w:sz w:val="32"/>
          <w:szCs w:val="32"/>
          <w:highlight w:val="none"/>
          <w:lang w:val="en-US" w:eastAsia="zh-CN"/>
        </w:rPr>
        <w:t>海南省建设</w:t>
      </w:r>
      <w:r>
        <w:rPr>
          <w:rFonts w:hint="eastAsia" w:asciiTheme="minorEastAsia" w:hAnsiTheme="minorEastAsia" w:eastAsiaTheme="minorEastAsia"/>
          <w:color w:val="auto"/>
          <w:sz w:val="32"/>
          <w:szCs w:val="32"/>
          <w:highlight w:val="none"/>
        </w:rPr>
        <w:t>工程造价咨询服务收费</w:t>
      </w:r>
      <w:r>
        <w:rPr>
          <w:rFonts w:hint="eastAsia" w:asciiTheme="minorEastAsia" w:hAnsiTheme="minorEastAsia" w:eastAsiaTheme="minorEastAsia"/>
          <w:color w:val="auto"/>
          <w:sz w:val="32"/>
          <w:szCs w:val="32"/>
          <w:highlight w:val="none"/>
          <w:lang w:val="en-US" w:eastAsia="zh-CN"/>
        </w:rPr>
        <w:t>参考价格的通知</w:t>
      </w:r>
      <w:r>
        <w:rPr>
          <w:rFonts w:hint="eastAsia" w:asciiTheme="minorEastAsia" w:hAnsiTheme="minorEastAsia" w:eastAsiaTheme="minorEastAsia"/>
          <w:color w:val="auto"/>
          <w:sz w:val="32"/>
          <w:szCs w:val="32"/>
          <w:highlight w:val="none"/>
        </w:rPr>
        <w:t>》（琼价协〔20</w:t>
      </w:r>
      <w:r>
        <w:rPr>
          <w:rFonts w:hint="eastAsia" w:asciiTheme="minorEastAsia" w:hAnsiTheme="minorEastAsia" w:eastAsiaTheme="minorEastAsia"/>
          <w:color w:val="auto"/>
          <w:sz w:val="32"/>
          <w:szCs w:val="32"/>
          <w:highlight w:val="none"/>
          <w:lang w:val="en-US" w:eastAsia="zh-CN"/>
        </w:rPr>
        <w:t>20</w:t>
      </w:r>
      <w:r>
        <w:rPr>
          <w:rFonts w:hint="eastAsia" w:asciiTheme="minorEastAsia" w:hAnsiTheme="minorEastAsia" w:eastAsiaTheme="minorEastAsia"/>
          <w:color w:val="auto"/>
          <w:sz w:val="32"/>
          <w:szCs w:val="32"/>
          <w:highlight w:val="none"/>
        </w:rPr>
        <w:t>〕0</w:t>
      </w:r>
      <w:r>
        <w:rPr>
          <w:rFonts w:hint="eastAsia" w:asciiTheme="minorEastAsia" w:hAnsiTheme="minorEastAsia" w:eastAsiaTheme="minorEastAsia"/>
          <w:color w:val="auto"/>
          <w:sz w:val="32"/>
          <w:szCs w:val="32"/>
          <w:highlight w:val="none"/>
          <w:lang w:val="en-US" w:eastAsia="zh-CN"/>
        </w:rPr>
        <w:t>1</w:t>
      </w:r>
      <w:r>
        <w:rPr>
          <w:rFonts w:hint="eastAsia" w:asciiTheme="minorEastAsia" w:hAnsiTheme="minorEastAsia" w:eastAsiaTheme="minorEastAsia"/>
          <w:color w:val="auto"/>
          <w:sz w:val="32"/>
          <w:szCs w:val="32"/>
          <w:highlight w:val="none"/>
        </w:rPr>
        <w:t xml:space="preserve"> 号）。</w:t>
      </w:r>
      <w:bookmarkStart w:id="10" w:name="_Toc61542538"/>
      <w:bookmarkStart w:id="11" w:name="_Toc34774166"/>
    </w:p>
    <w:p>
      <w:pPr>
        <w:spacing w:line="360" w:lineRule="auto"/>
        <w:ind w:firstLine="643" w:firstLineChars="200"/>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六、有关支撑文件</w:t>
      </w:r>
      <w:bookmarkEnd w:id="9"/>
      <w:bookmarkEnd w:id="10"/>
      <w:bookmarkEnd w:id="11"/>
    </w:p>
    <w:p>
      <w:pPr>
        <w:spacing w:line="360" w:lineRule="auto"/>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1、《国家发展改革委住房城乡建设部关于推进全过程工程咨询服务发展的指导意见》发改投资规〔2019〕515号；</w:t>
      </w:r>
    </w:p>
    <w:p>
      <w:pPr>
        <w:spacing w:line="360" w:lineRule="auto"/>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2、《三亚市住房和城乡建设局关于下放行政审批项目权限的通知》（三住建〔2019〕</w:t>
      </w:r>
      <w:r>
        <w:rPr>
          <w:rFonts w:asciiTheme="minorEastAsia" w:hAnsiTheme="minorEastAsia" w:eastAsiaTheme="minorEastAsia"/>
          <w:color w:val="auto"/>
          <w:sz w:val="32"/>
          <w:szCs w:val="32"/>
        </w:rPr>
        <w:t>1670</w:t>
      </w:r>
      <w:r>
        <w:rPr>
          <w:rFonts w:hint="eastAsia" w:asciiTheme="minorEastAsia" w:hAnsiTheme="minorEastAsia" w:eastAsiaTheme="minorEastAsia"/>
          <w:color w:val="auto"/>
          <w:sz w:val="32"/>
          <w:szCs w:val="32"/>
        </w:rPr>
        <w:t>号）</w:t>
      </w:r>
    </w:p>
    <w:p>
      <w:pPr>
        <w:spacing w:line="360" w:lineRule="auto"/>
        <w:rPr>
          <w:rFonts w:asciiTheme="minorEastAsia" w:hAnsiTheme="minorEastAsia" w:eastAsiaTheme="minorEastAsia"/>
          <w:color w:val="auto"/>
          <w:sz w:val="32"/>
          <w:szCs w:val="32"/>
        </w:rPr>
      </w:pPr>
    </w:p>
    <w:p>
      <w:pPr>
        <w:pStyle w:val="2"/>
        <w:spacing w:before="0" w:after="0" w:line="360" w:lineRule="auto"/>
        <w:rPr>
          <w:rFonts w:asciiTheme="minorEastAsia" w:hAnsiTheme="minorEastAsia" w:eastAsiaTheme="minorEastAsia"/>
          <w:color w:val="auto"/>
        </w:rPr>
      </w:pPr>
    </w:p>
    <w:p>
      <w:pPr>
        <w:spacing w:line="360" w:lineRule="auto"/>
        <w:rPr>
          <w:rFonts w:asciiTheme="minorEastAsia" w:hAnsiTheme="minorEastAsia" w:eastAsiaTheme="minorEastAsia"/>
          <w:color w:val="auto"/>
          <w:sz w:val="32"/>
          <w:szCs w:val="32"/>
        </w:rPr>
      </w:pPr>
    </w:p>
    <w:sectPr>
      <w:footerReference r:id="rId3" w:type="default"/>
      <w:pgSz w:w="11906" w:h="16838"/>
      <w:pgMar w:top="1440" w:right="1905"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2392581"/>
      <w:docPartObj>
        <w:docPartGallery w:val="autotext"/>
      </w:docPartObj>
    </w:sdtPr>
    <w:sdtContent>
      <w:sdt>
        <w:sdtPr>
          <w:id w:val="171357217"/>
          <w:docPartObj>
            <w:docPartGallery w:val="autotext"/>
          </w:docPartObj>
        </w:sdtPr>
        <w:sdtContent>
          <w:p>
            <w:pPr>
              <w:pStyle w:val="8"/>
              <w:jc w:val="center"/>
            </w:pPr>
            <w:r>
              <w:rPr>
                <w:b/>
                <w:sz w:val="24"/>
                <w:szCs w:val="24"/>
              </w:rPr>
              <w:t xml:space="preserve">第 </w:t>
            </w:r>
            <w:r>
              <w:rPr>
                <w:b/>
                <w:sz w:val="24"/>
                <w:szCs w:val="24"/>
              </w:rPr>
              <w:fldChar w:fldCharType="begin"/>
            </w:r>
            <w:r>
              <w:rPr>
                <w:b/>
                <w:sz w:val="24"/>
                <w:szCs w:val="24"/>
              </w:rPr>
              <w:instrText xml:space="preserve">PAGE</w:instrText>
            </w:r>
            <w:r>
              <w:rPr>
                <w:b/>
                <w:sz w:val="24"/>
                <w:szCs w:val="24"/>
              </w:rPr>
              <w:fldChar w:fldCharType="separate"/>
            </w:r>
            <w:r>
              <w:rPr>
                <w:b/>
                <w:sz w:val="24"/>
                <w:szCs w:val="24"/>
              </w:rPr>
              <w:t>5</w:t>
            </w:r>
            <w:r>
              <w:rPr>
                <w:b/>
                <w:sz w:val="24"/>
                <w:szCs w:val="24"/>
              </w:rPr>
              <w:fldChar w:fldCharType="end"/>
            </w:r>
            <w:r>
              <w:rPr>
                <w:b/>
                <w:sz w:val="24"/>
                <w:szCs w:val="24"/>
              </w:rPr>
              <w:t>页</w:t>
            </w:r>
            <w:r>
              <w:rPr>
                <w:rFonts w:hint="eastAsia"/>
                <w:b/>
                <w:sz w:val="24"/>
                <w:szCs w:val="24"/>
              </w:rPr>
              <w:t>,</w:t>
            </w:r>
            <w:r>
              <w:rPr>
                <w:b/>
                <w:sz w:val="24"/>
                <w:szCs w:val="24"/>
              </w:rPr>
              <w:t xml:space="preserve">共 </w:t>
            </w:r>
            <w:r>
              <w:rPr>
                <w:b/>
                <w:sz w:val="24"/>
                <w:szCs w:val="24"/>
              </w:rPr>
              <w:fldChar w:fldCharType="begin"/>
            </w:r>
            <w:r>
              <w:rPr>
                <w:b/>
                <w:sz w:val="24"/>
                <w:szCs w:val="24"/>
              </w:rPr>
              <w:instrText xml:space="preserve">NUMPAGES</w:instrText>
            </w:r>
            <w:r>
              <w:rPr>
                <w:b/>
                <w:sz w:val="24"/>
                <w:szCs w:val="24"/>
              </w:rPr>
              <w:fldChar w:fldCharType="separate"/>
            </w:r>
            <w:r>
              <w:rPr>
                <w:b/>
                <w:sz w:val="24"/>
                <w:szCs w:val="24"/>
              </w:rPr>
              <w:t>5</w:t>
            </w:r>
            <w:r>
              <w:rPr>
                <w:b/>
                <w:sz w:val="24"/>
                <w:szCs w:val="24"/>
              </w:rPr>
              <w:fldChar w:fldCharType="end"/>
            </w:r>
            <w:r>
              <w:rPr>
                <w:b/>
                <w:sz w:val="24"/>
                <w:szCs w:val="24"/>
              </w:rPr>
              <w:t>页</w:t>
            </w:r>
          </w:p>
        </w:sdtContent>
      </w:sdt>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45D"/>
    <w:rsid w:val="00033D6D"/>
    <w:rsid w:val="0005678C"/>
    <w:rsid w:val="00066D33"/>
    <w:rsid w:val="00090F6B"/>
    <w:rsid w:val="0009275F"/>
    <w:rsid w:val="000B4C32"/>
    <w:rsid w:val="000C3741"/>
    <w:rsid w:val="000E0964"/>
    <w:rsid w:val="000F08C4"/>
    <w:rsid w:val="00115DA7"/>
    <w:rsid w:val="00163C9A"/>
    <w:rsid w:val="00182F43"/>
    <w:rsid w:val="00190BB1"/>
    <w:rsid w:val="001F2BB1"/>
    <w:rsid w:val="00216D9A"/>
    <w:rsid w:val="00232FB8"/>
    <w:rsid w:val="00272C48"/>
    <w:rsid w:val="002A113C"/>
    <w:rsid w:val="002D111F"/>
    <w:rsid w:val="002E29BA"/>
    <w:rsid w:val="0030020F"/>
    <w:rsid w:val="00313844"/>
    <w:rsid w:val="003139FC"/>
    <w:rsid w:val="00333841"/>
    <w:rsid w:val="003421C8"/>
    <w:rsid w:val="003A66D5"/>
    <w:rsid w:val="003B66F2"/>
    <w:rsid w:val="003D077C"/>
    <w:rsid w:val="003D4530"/>
    <w:rsid w:val="003D5CFD"/>
    <w:rsid w:val="003E1A9D"/>
    <w:rsid w:val="00454E77"/>
    <w:rsid w:val="00466E47"/>
    <w:rsid w:val="004A5FF7"/>
    <w:rsid w:val="004B1925"/>
    <w:rsid w:val="004E0CAC"/>
    <w:rsid w:val="004E53A4"/>
    <w:rsid w:val="005239F1"/>
    <w:rsid w:val="00574454"/>
    <w:rsid w:val="0057712A"/>
    <w:rsid w:val="00581D0D"/>
    <w:rsid w:val="005959B6"/>
    <w:rsid w:val="005A3DB7"/>
    <w:rsid w:val="005B6963"/>
    <w:rsid w:val="005E6FD5"/>
    <w:rsid w:val="005F4DC7"/>
    <w:rsid w:val="00605522"/>
    <w:rsid w:val="006075D1"/>
    <w:rsid w:val="00640988"/>
    <w:rsid w:val="00653652"/>
    <w:rsid w:val="00676954"/>
    <w:rsid w:val="006B1B2D"/>
    <w:rsid w:val="006D3350"/>
    <w:rsid w:val="006D3DEF"/>
    <w:rsid w:val="006D446C"/>
    <w:rsid w:val="00710E11"/>
    <w:rsid w:val="00736E4D"/>
    <w:rsid w:val="00755FB7"/>
    <w:rsid w:val="00773C13"/>
    <w:rsid w:val="00792C4F"/>
    <w:rsid w:val="007D37CE"/>
    <w:rsid w:val="007E45D9"/>
    <w:rsid w:val="007F589F"/>
    <w:rsid w:val="008072CA"/>
    <w:rsid w:val="008471D7"/>
    <w:rsid w:val="00865356"/>
    <w:rsid w:val="0086720A"/>
    <w:rsid w:val="00867CF7"/>
    <w:rsid w:val="008857E5"/>
    <w:rsid w:val="008D600D"/>
    <w:rsid w:val="008F2B5E"/>
    <w:rsid w:val="0091771C"/>
    <w:rsid w:val="00960FA6"/>
    <w:rsid w:val="0096745D"/>
    <w:rsid w:val="00973C78"/>
    <w:rsid w:val="00986F76"/>
    <w:rsid w:val="009C656D"/>
    <w:rsid w:val="009D1B48"/>
    <w:rsid w:val="009F6C20"/>
    <w:rsid w:val="00A2608D"/>
    <w:rsid w:val="00A330AB"/>
    <w:rsid w:val="00A5075B"/>
    <w:rsid w:val="00A542FD"/>
    <w:rsid w:val="00A61814"/>
    <w:rsid w:val="00A76801"/>
    <w:rsid w:val="00AC6AB0"/>
    <w:rsid w:val="00AD2F79"/>
    <w:rsid w:val="00AF5FF0"/>
    <w:rsid w:val="00B476E6"/>
    <w:rsid w:val="00B61F8F"/>
    <w:rsid w:val="00B70A77"/>
    <w:rsid w:val="00B80CA7"/>
    <w:rsid w:val="00BB6251"/>
    <w:rsid w:val="00BD29FA"/>
    <w:rsid w:val="00BE257F"/>
    <w:rsid w:val="00C27C5A"/>
    <w:rsid w:val="00C35A01"/>
    <w:rsid w:val="00C46F60"/>
    <w:rsid w:val="00CA3B38"/>
    <w:rsid w:val="00CA4EBA"/>
    <w:rsid w:val="00CB4141"/>
    <w:rsid w:val="00CD61AF"/>
    <w:rsid w:val="00CF0AA2"/>
    <w:rsid w:val="00CF569F"/>
    <w:rsid w:val="00D36AFD"/>
    <w:rsid w:val="00D56813"/>
    <w:rsid w:val="00DB0991"/>
    <w:rsid w:val="00DF69CC"/>
    <w:rsid w:val="00E04775"/>
    <w:rsid w:val="00E46456"/>
    <w:rsid w:val="00E55DAC"/>
    <w:rsid w:val="00E63A56"/>
    <w:rsid w:val="00E67CE1"/>
    <w:rsid w:val="00EA3EFF"/>
    <w:rsid w:val="00EB700B"/>
    <w:rsid w:val="00F1137C"/>
    <w:rsid w:val="00F22880"/>
    <w:rsid w:val="00F616E8"/>
    <w:rsid w:val="00F8101D"/>
    <w:rsid w:val="00FF35ED"/>
    <w:rsid w:val="057B6E97"/>
    <w:rsid w:val="083F024B"/>
    <w:rsid w:val="0889730C"/>
    <w:rsid w:val="0B022EB3"/>
    <w:rsid w:val="0C1C08E3"/>
    <w:rsid w:val="0E1179E1"/>
    <w:rsid w:val="11E61D3D"/>
    <w:rsid w:val="1D2359B7"/>
    <w:rsid w:val="25150DC7"/>
    <w:rsid w:val="284000E2"/>
    <w:rsid w:val="285F3899"/>
    <w:rsid w:val="37B665ED"/>
    <w:rsid w:val="396A637F"/>
    <w:rsid w:val="3A863713"/>
    <w:rsid w:val="40185F22"/>
    <w:rsid w:val="42E01BC4"/>
    <w:rsid w:val="470412A9"/>
    <w:rsid w:val="4B9730B7"/>
    <w:rsid w:val="4C4D2120"/>
    <w:rsid w:val="4DD1463C"/>
    <w:rsid w:val="50452015"/>
    <w:rsid w:val="547B20ED"/>
    <w:rsid w:val="554076F9"/>
    <w:rsid w:val="56D11CAC"/>
    <w:rsid w:val="56E75B21"/>
    <w:rsid w:val="5B4A0B36"/>
    <w:rsid w:val="610615A3"/>
    <w:rsid w:val="61C2589B"/>
    <w:rsid w:val="6708361A"/>
    <w:rsid w:val="677A051C"/>
    <w:rsid w:val="690818F1"/>
    <w:rsid w:val="69A074A1"/>
    <w:rsid w:val="6DB04051"/>
    <w:rsid w:val="721677D1"/>
    <w:rsid w:val="738152E3"/>
    <w:rsid w:val="77F92D4B"/>
    <w:rsid w:val="791943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2"/>
    <w:basedOn w:val="1"/>
    <w:next w:val="1"/>
    <w:qFormat/>
    <w:uiPriority w:val="0"/>
    <w:pPr>
      <w:keepNext/>
      <w:keepLines/>
      <w:spacing w:before="260" w:after="260" w:line="415" w:lineRule="auto"/>
      <w:outlineLvl w:val="1"/>
    </w:pPr>
    <w:rPr>
      <w:rFonts w:ascii="Cambria" w:hAnsi="Cambria"/>
      <w:b/>
      <w:bCs/>
      <w:sz w:val="32"/>
      <w:szCs w:val="32"/>
    </w:rPr>
  </w:style>
  <w:style w:type="paragraph" w:styleId="4">
    <w:name w:val="heading 3"/>
    <w:basedOn w:val="1"/>
    <w:next w:val="1"/>
    <w:link w:val="28"/>
    <w:unhideWhenUsed/>
    <w:qFormat/>
    <w:uiPriority w:val="0"/>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4"/>
    <w:qFormat/>
    <w:uiPriority w:val="0"/>
    <w:pPr>
      <w:jc w:val="left"/>
    </w:pPr>
  </w:style>
  <w:style w:type="paragraph" w:styleId="6">
    <w:name w:val="toc 3"/>
    <w:basedOn w:val="1"/>
    <w:next w:val="1"/>
    <w:unhideWhenUsed/>
    <w:qFormat/>
    <w:uiPriority w:val="39"/>
    <w:pPr>
      <w:widowControl/>
      <w:spacing w:after="100" w:line="259" w:lineRule="auto"/>
      <w:ind w:left="440"/>
      <w:jc w:val="left"/>
    </w:pPr>
    <w:rPr>
      <w:kern w:val="0"/>
      <w:sz w:val="22"/>
      <w:szCs w:val="22"/>
    </w:rPr>
  </w:style>
  <w:style w:type="paragraph" w:styleId="7">
    <w:name w:val="Balloon Text"/>
    <w:basedOn w:val="1"/>
    <w:link w:val="26"/>
    <w:qFormat/>
    <w:uiPriority w:val="0"/>
    <w:rPr>
      <w:sz w:val="18"/>
      <w:szCs w:val="18"/>
    </w:rPr>
  </w:style>
  <w:style w:type="paragraph" w:styleId="8">
    <w:name w:val="footer"/>
    <w:basedOn w:val="1"/>
    <w:link w:val="27"/>
    <w:qFormat/>
    <w:uiPriority w:val="99"/>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39"/>
    <w:pPr>
      <w:widowControl/>
      <w:spacing w:after="100" w:line="259" w:lineRule="auto"/>
      <w:jc w:val="left"/>
    </w:pPr>
    <w:rPr>
      <w:rFonts w:ascii="等线" w:hAnsi="等线" w:eastAsia="等线"/>
      <w:kern w:val="0"/>
      <w:sz w:val="22"/>
      <w:szCs w:val="22"/>
    </w:rPr>
  </w:style>
  <w:style w:type="paragraph" w:styleId="11">
    <w:name w:val="toc 2"/>
    <w:basedOn w:val="1"/>
    <w:next w:val="1"/>
    <w:qFormat/>
    <w:uiPriority w:val="39"/>
    <w:pPr>
      <w:widowControl/>
      <w:spacing w:after="100" w:line="259" w:lineRule="auto"/>
      <w:ind w:left="220"/>
      <w:jc w:val="left"/>
    </w:pPr>
    <w:rPr>
      <w:rFonts w:ascii="等线" w:hAnsi="等线" w:eastAsia="等线"/>
      <w:kern w:val="0"/>
      <w:sz w:val="22"/>
      <w:szCs w:val="22"/>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3">
    <w:name w:val="Title"/>
    <w:basedOn w:val="1"/>
    <w:next w:val="1"/>
    <w:qFormat/>
    <w:uiPriority w:val="0"/>
    <w:pPr>
      <w:spacing w:before="240" w:after="60"/>
      <w:jc w:val="center"/>
      <w:outlineLvl w:val="0"/>
    </w:pPr>
    <w:rPr>
      <w:rFonts w:ascii="Cambria" w:hAnsi="Cambria"/>
      <w:b/>
      <w:bCs/>
      <w:sz w:val="32"/>
      <w:szCs w:val="32"/>
    </w:rPr>
  </w:style>
  <w:style w:type="paragraph" w:styleId="14">
    <w:name w:val="annotation subject"/>
    <w:basedOn w:val="5"/>
    <w:next w:val="5"/>
    <w:link w:val="25"/>
    <w:qFormat/>
    <w:uiPriority w:val="0"/>
    <w:rPr>
      <w:b/>
      <w:bCs/>
    </w:rPr>
  </w:style>
  <w:style w:type="character" w:styleId="17">
    <w:name w:val="Strong"/>
    <w:qFormat/>
    <w:uiPriority w:val="0"/>
    <w:rPr>
      <w:b/>
      <w:bCs/>
    </w:rPr>
  </w:style>
  <w:style w:type="character" w:styleId="18">
    <w:name w:val="Hyperlink"/>
    <w:qFormat/>
    <w:uiPriority w:val="99"/>
    <w:rPr>
      <w:color w:val="0000FF"/>
      <w:u w:val="single"/>
    </w:rPr>
  </w:style>
  <w:style w:type="character" w:styleId="19">
    <w:name w:val="annotation reference"/>
    <w:basedOn w:val="16"/>
    <w:qFormat/>
    <w:uiPriority w:val="0"/>
    <w:rPr>
      <w:sz w:val="21"/>
      <w:szCs w:val="21"/>
    </w:rPr>
  </w:style>
  <w:style w:type="paragraph" w:customStyle="1" w:styleId="20">
    <w:name w:val="vsbcontent_end"/>
    <w:basedOn w:val="1"/>
    <w:qFormat/>
    <w:uiPriority w:val="0"/>
    <w:pPr>
      <w:widowControl/>
      <w:jc w:val="left"/>
    </w:pPr>
    <w:rPr>
      <w:rFonts w:ascii="宋体" w:hAnsi="宋体" w:cs="宋体"/>
      <w:kern w:val="0"/>
      <w:sz w:val="24"/>
      <w:szCs w:val="24"/>
    </w:rPr>
  </w:style>
  <w:style w:type="paragraph" w:customStyle="1" w:styleId="21">
    <w:name w:val="列出段落1"/>
    <w:basedOn w:val="1"/>
    <w:qFormat/>
    <w:uiPriority w:val="99"/>
    <w:pPr>
      <w:ind w:firstLine="420" w:firstLineChars="200"/>
    </w:pPr>
  </w:style>
  <w:style w:type="paragraph" w:customStyle="1" w:styleId="22">
    <w:name w:val="TOC 标题1"/>
    <w:basedOn w:val="3"/>
    <w:next w:val="1"/>
    <w:unhideWhenUsed/>
    <w:qFormat/>
    <w:uiPriority w:val="39"/>
    <w:pPr>
      <w:widowControl/>
      <w:spacing w:before="240" w:after="0" w:line="259" w:lineRule="auto"/>
      <w:jc w:val="left"/>
      <w:outlineLvl w:val="9"/>
    </w:pPr>
    <w:rPr>
      <w:rFonts w:ascii="Cambria" w:hAnsi="Cambria"/>
      <w:b w:val="0"/>
      <w:bCs w:val="0"/>
      <w:color w:val="365F90"/>
      <w:kern w:val="0"/>
      <w:sz w:val="32"/>
      <w:szCs w:val="32"/>
    </w:rPr>
  </w:style>
  <w:style w:type="paragraph" w:customStyle="1" w:styleId="23">
    <w:name w:val="TOC 标题2"/>
    <w:basedOn w:val="3"/>
    <w:next w:val="1"/>
    <w:unhideWhenUsed/>
    <w:qFormat/>
    <w:uiPriority w:val="39"/>
    <w:pPr>
      <w:widowControl/>
      <w:spacing w:before="240" w:after="0" w:line="259" w:lineRule="auto"/>
      <w:jc w:val="left"/>
      <w:outlineLvl w:val="9"/>
    </w:pPr>
    <w:rPr>
      <w:rFonts w:ascii="Cambria" w:hAnsi="Cambria"/>
      <w:b w:val="0"/>
      <w:bCs w:val="0"/>
      <w:color w:val="365F90"/>
      <w:kern w:val="0"/>
      <w:sz w:val="32"/>
      <w:szCs w:val="32"/>
    </w:rPr>
  </w:style>
  <w:style w:type="character" w:customStyle="1" w:styleId="24">
    <w:name w:val="批注文字 Char"/>
    <w:basedOn w:val="16"/>
    <w:link w:val="5"/>
    <w:qFormat/>
    <w:uiPriority w:val="0"/>
    <w:rPr>
      <w:kern w:val="2"/>
      <w:sz w:val="21"/>
    </w:rPr>
  </w:style>
  <w:style w:type="character" w:customStyle="1" w:styleId="25">
    <w:name w:val="批注主题 Char"/>
    <w:basedOn w:val="24"/>
    <w:link w:val="14"/>
    <w:qFormat/>
    <w:uiPriority w:val="0"/>
    <w:rPr>
      <w:b/>
      <w:bCs/>
      <w:kern w:val="2"/>
      <w:sz w:val="21"/>
    </w:rPr>
  </w:style>
  <w:style w:type="character" w:customStyle="1" w:styleId="26">
    <w:name w:val="批注框文本 Char"/>
    <w:basedOn w:val="16"/>
    <w:link w:val="7"/>
    <w:qFormat/>
    <w:uiPriority w:val="0"/>
    <w:rPr>
      <w:kern w:val="2"/>
      <w:sz w:val="18"/>
      <w:szCs w:val="18"/>
    </w:rPr>
  </w:style>
  <w:style w:type="character" w:customStyle="1" w:styleId="27">
    <w:name w:val="页脚 Char"/>
    <w:basedOn w:val="16"/>
    <w:link w:val="8"/>
    <w:qFormat/>
    <w:uiPriority w:val="99"/>
    <w:rPr>
      <w:kern w:val="2"/>
      <w:sz w:val="18"/>
      <w:szCs w:val="18"/>
    </w:rPr>
  </w:style>
  <w:style w:type="character" w:customStyle="1" w:styleId="28">
    <w:name w:val="标题 3 Char"/>
    <w:basedOn w:val="16"/>
    <w:link w:val="4"/>
    <w:qFormat/>
    <w:uiPriority w:val="0"/>
    <w:rPr>
      <w:b/>
      <w:bCs/>
      <w:kern w:val="2"/>
      <w:sz w:val="32"/>
      <w:szCs w:val="32"/>
    </w:rPr>
  </w:style>
  <w:style w:type="character" w:customStyle="1" w:styleId="29">
    <w:name w:val="font41"/>
    <w:basedOn w:val="16"/>
    <w:qFormat/>
    <w:uiPriority w:val="0"/>
    <w:rPr>
      <w:rFonts w:hint="eastAsia" w:ascii="宋体" w:hAnsi="宋体" w:eastAsia="宋体" w:cs="宋体"/>
      <w:color w:val="000000"/>
      <w:sz w:val="24"/>
      <w:szCs w:val="24"/>
      <w:u w:val="none"/>
    </w:rPr>
  </w:style>
  <w:style w:type="paragraph" w:styleId="30">
    <w:name w:val="List Paragraph"/>
    <w:basedOn w:val="1"/>
    <w:qFormat/>
    <w:uiPriority w:val="34"/>
    <w:pPr>
      <w:autoSpaceDE w:val="0"/>
      <w:autoSpaceDN w:val="0"/>
      <w:spacing w:before="160"/>
      <w:ind w:left="524" w:firstLine="480"/>
      <w:jc w:val="left"/>
    </w:pPr>
    <w:rPr>
      <w:rFonts w:ascii="宋体" w:hAnsi="宋体" w:cs="宋体"/>
      <w:kern w:val="0"/>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A60CFA-284B-4E32-B9C9-EB8D5EB8653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303</Words>
  <Characters>1733</Characters>
  <Lines>14</Lines>
  <Paragraphs>4</Paragraphs>
  <TotalTime>4</TotalTime>
  <ScaleCrop>false</ScaleCrop>
  <LinksUpToDate>false</LinksUpToDate>
  <CharactersWithSpaces>2032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2021-03-20T08:45:00Z</dcterms:created>
  <dc:creator>雪婷</dc:creator>
  <cp:lastModifiedBy>大宇</cp:lastModifiedBy>
  <cp:lastPrinted>2020-08-24T01:30:00Z</cp:lastPrinted>
  <dcterms:modified xsi:type="dcterms:W3CDTF">2021-08-31T13:33:44Z</dcterms:modified>
  <dc:title>工程技术咨询服务方案</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AE179128E5994B25BEB53FF8242C8807</vt:lpwstr>
  </property>
</Properties>
</file>