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p>
    <w:p>
      <w:pPr>
        <w:keepNext w:val="0"/>
        <w:keepLines w:val="0"/>
        <w:pageBreakBefore w:val="0"/>
        <w:widowControl/>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z w:val="52"/>
          <w:szCs w:val="52"/>
        </w:rPr>
      </w:pPr>
      <w:r>
        <w:rPr>
          <w:rFonts w:hint="eastAsia" w:ascii="仿宋" w:hAnsi="仿宋" w:eastAsia="仿宋" w:cs="仿宋"/>
          <w:b/>
          <w:color w:val="auto"/>
          <w:sz w:val="52"/>
          <w:szCs w:val="52"/>
        </w:rPr>
        <w:drawing>
          <wp:anchor distT="0" distB="0" distL="114300" distR="114300" simplePos="0" relativeHeight="251659264" behindDoc="1" locked="0" layoutInCell="1" allowOverlap="1">
            <wp:simplePos x="0" y="0"/>
            <wp:positionH relativeFrom="page">
              <wp:posOffset>1080135</wp:posOffset>
            </wp:positionH>
            <wp:positionV relativeFrom="page">
              <wp:posOffset>914400</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9"/>
                    <a:stretch>
                      <a:fillRect/>
                    </a:stretch>
                  </pic:blipFill>
                  <pic:spPr>
                    <a:xfrm>
                      <a:off x="0" y="0"/>
                      <a:ext cx="5659755" cy="1152525"/>
                    </a:xfrm>
                    <a:prstGeom prst="rect">
                      <a:avLst/>
                    </a:prstGeom>
                    <a:noFill/>
                    <a:ln>
                      <a:noFill/>
                    </a:ln>
                  </pic:spPr>
                </pic:pic>
              </a:graphicData>
            </a:graphic>
          </wp:anchor>
        </w:drawing>
      </w:r>
    </w:p>
    <w:p>
      <w:pPr>
        <w:jc w:val="cente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招标文件</w:t>
      </w: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b/>
          <w:color w:val="auto"/>
          <w:sz w:val="36"/>
          <w:szCs w:val="36"/>
          <w:u w:val="single"/>
        </w:rPr>
      </w:pPr>
    </w:p>
    <w:p>
      <w:pPr>
        <w:rPr>
          <w:rFonts w:hint="eastAsia" w:ascii="仿宋" w:hAnsi="仿宋" w:eastAsia="仿宋" w:cs="仿宋"/>
          <w:color w:val="auto"/>
        </w:rPr>
      </w:pPr>
    </w:p>
    <w:p>
      <w:pPr>
        <w:rPr>
          <w:rFonts w:hint="eastAsia" w:ascii="仿宋" w:hAnsi="仿宋" w:eastAsia="仿宋" w:cs="仿宋"/>
          <w:b/>
          <w:color w:val="auto"/>
          <w:sz w:val="36"/>
          <w:szCs w:val="36"/>
          <w:u w:val="single"/>
        </w:rPr>
      </w:pPr>
    </w:p>
    <w:p>
      <w:pPr>
        <w:spacing w:line="360" w:lineRule="auto"/>
        <w:ind w:left="420" w:leftChars="20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采 购 人：</w:t>
      </w:r>
      <w:r>
        <w:rPr>
          <w:rFonts w:hint="eastAsia" w:ascii="仿宋" w:hAnsi="仿宋" w:eastAsia="仿宋" w:cs="仿宋"/>
          <w:b/>
          <w:color w:val="auto"/>
          <w:sz w:val="36"/>
          <w:szCs w:val="36"/>
          <w:lang w:eastAsia="zh-CN"/>
        </w:rPr>
        <w:t xml:space="preserve">海南省现代农业检验检测预警防控中心 </w:t>
      </w:r>
    </w:p>
    <w:p>
      <w:pPr>
        <w:spacing w:line="360" w:lineRule="auto"/>
        <w:ind w:left="2884" w:leftChars="513" w:hanging="1807" w:hangingChars="500"/>
        <w:rPr>
          <w:rFonts w:hint="eastAsia" w:ascii="仿宋" w:hAnsi="仿宋" w:eastAsia="仿宋" w:cs="仿宋"/>
          <w:b/>
          <w:color w:val="auto"/>
          <w:sz w:val="36"/>
          <w:szCs w:val="36"/>
        </w:rPr>
      </w:pPr>
      <w:r>
        <w:rPr>
          <w:rFonts w:hint="eastAsia" w:ascii="仿宋" w:hAnsi="仿宋" w:eastAsia="仿宋" w:cs="仿宋"/>
          <w:b/>
          <w:color w:val="auto"/>
          <w:sz w:val="36"/>
          <w:szCs w:val="36"/>
        </w:rPr>
        <w:t>项目名称：</w:t>
      </w:r>
      <w:r>
        <w:rPr>
          <w:rFonts w:hint="eastAsia" w:ascii="仿宋" w:hAnsi="仿宋" w:eastAsia="仿宋" w:cs="仿宋"/>
          <w:b/>
          <w:color w:val="auto"/>
          <w:sz w:val="36"/>
          <w:szCs w:val="36"/>
          <w:lang w:eastAsia="zh-CN"/>
        </w:rPr>
        <w:t>海南省农业农村厅2021年度信息系统运维项目</w:t>
      </w:r>
    </w:p>
    <w:p>
      <w:pPr>
        <w:spacing w:line="360" w:lineRule="auto"/>
        <w:ind w:left="420" w:leftChars="200" w:firstLine="722"/>
        <w:rPr>
          <w:rFonts w:hint="eastAsia" w:ascii="仿宋" w:hAnsi="仿宋" w:eastAsia="仿宋" w:cs="仿宋"/>
          <w:b/>
          <w:color w:val="auto"/>
          <w:sz w:val="36"/>
          <w:szCs w:val="36"/>
          <w:lang w:eastAsia="zh-CN"/>
        </w:rPr>
      </w:pPr>
      <w:r>
        <w:rPr>
          <w:rFonts w:hint="eastAsia" w:ascii="仿宋" w:hAnsi="仿宋" w:eastAsia="仿宋" w:cs="仿宋"/>
          <w:b/>
          <w:color w:val="auto"/>
          <w:sz w:val="36"/>
          <w:szCs w:val="36"/>
        </w:rPr>
        <w:t>招标编号：</w:t>
      </w:r>
      <w:r>
        <w:rPr>
          <w:rFonts w:hint="eastAsia" w:ascii="仿宋" w:hAnsi="仿宋" w:eastAsia="仿宋" w:cs="仿宋"/>
          <w:b/>
          <w:color w:val="auto"/>
          <w:sz w:val="36"/>
          <w:szCs w:val="36"/>
          <w:lang w:eastAsia="zh-CN"/>
        </w:rPr>
        <w:t>HNZH-2021-241</w:t>
      </w:r>
    </w:p>
    <w:p>
      <w:pPr>
        <w:spacing w:line="360" w:lineRule="auto"/>
        <w:ind w:left="420" w:leftChars="200"/>
        <w:rPr>
          <w:rFonts w:hint="eastAsia" w:ascii="仿宋" w:hAnsi="仿宋" w:eastAsia="仿宋" w:cs="仿宋"/>
          <w:b/>
          <w:color w:val="auto"/>
          <w:sz w:val="36"/>
          <w:szCs w:val="36"/>
          <w:lang w:eastAsia="zh-CN"/>
        </w:rPr>
      </w:pPr>
      <w:r>
        <w:rPr>
          <w:rFonts w:hint="eastAsia" w:ascii="仿宋" w:hAnsi="仿宋" w:eastAsia="仿宋" w:cs="仿宋"/>
          <w:b/>
          <w:color w:val="auto"/>
          <w:sz w:val="36"/>
          <w:szCs w:val="36"/>
        </w:rPr>
        <w:t xml:space="preserve">    代理机构：</w:t>
      </w:r>
      <w:r>
        <w:rPr>
          <w:rFonts w:hint="eastAsia" w:ascii="仿宋" w:hAnsi="仿宋" w:eastAsia="仿宋" w:cs="仿宋"/>
          <w:b/>
          <w:color w:val="auto"/>
          <w:sz w:val="36"/>
          <w:szCs w:val="36"/>
          <w:lang w:eastAsia="zh-CN"/>
        </w:rPr>
        <w:t>海南政辉招投标代理有限公司</w:t>
      </w:r>
    </w:p>
    <w:p>
      <w:pPr>
        <w:spacing w:beforeLines="50" w:line="480" w:lineRule="auto"/>
        <w:jc w:val="center"/>
        <w:rPr>
          <w:rFonts w:hint="eastAsia" w:ascii="仿宋" w:hAnsi="仿宋" w:eastAsia="仿宋" w:cs="仿宋"/>
          <w:b/>
          <w:color w:val="auto"/>
          <w:sz w:val="32"/>
          <w:szCs w:val="32"/>
        </w:rPr>
      </w:pPr>
    </w:p>
    <w:p>
      <w:pPr>
        <w:spacing w:beforeLines="50" w:line="48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09</w:t>
      </w:r>
      <w:r>
        <w:rPr>
          <w:rFonts w:hint="eastAsia" w:ascii="仿宋" w:hAnsi="仿宋" w:eastAsia="仿宋" w:cs="仿宋"/>
          <w:b/>
          <w:color w:val="auto"/>
          <w:sz w:val="32"/>
          <w:szCs w:val="32"/>
        </w:rPr>
        <w:t>月</w:t>
      </w:r>
    </w:p>
    <w:p>
      <w:pPr>
        <w:spacing w:beforeLines="50" w:line="48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海南政辉招投标代理有限公司</w:t>
      </w:r>
      <w:r>
        <w:rPr>
          <w:rFonts w:hint="eastAsia" w:ascii="仿宋" w:hAnsi="仿宋" w:eastAsia="仿宋" w:cs="仿宋"/>
          <w:b/>
          <w:color w:val="auto"/>
          <w:sz w:val="32"/>
          <w:szCs w:val="32"/>
        </w:rPr>
        <w:t>编制</w:t>
      </w:r>
    </w:p>
    <w:p>
      <w:pPr>
        <w:spacing w:afterLines="100" w:line="480" w:lineRule="exact"/>
        <w:jc w:val="center"/>
        <w:rPr>
          <w:rFonts w:hint="eastAsia" w:ascii="仿宋" w:hAnsi="仿宋" w:eastAsia="仿宋" w:cs="仿宋"/>
          <w:b/>
          <w:color w:val="auto"/>
          <w:sz w:val="44"/>
          <w:szCs w:val="44"/>
        </w:rPr>
      </w:pPr>
      <w:bookmarkStart w:id="0" w:name="_Toc264213459"/>
      <w:bookmarkEnd w:id="0"/>
      <w:bookmarkStart w:id="1" w:name="_Toc264213352"/>
      <w:bookmarkEnd w:id="1"/>
    </w:p>
    <w:p>
      <w:pPr>
        <w:bidi w:val="0"/>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目录</w:t>
      </w:r>
    </w:p>
    <w:p>
      <w:pPr>
        <w:rPr>
          <w:rFonts w:hint="eastAsia" w:ascii="仿宋" w:hAnsi="仿宋" w:eastAsia="仿宋" w:cs="仿宋"/>
          <w:color w:val="auto"/>
        </w:rPr>
      </w:pPr>
    </w:p>
    <w:p>
      <w:pPr>
        <w:pStyle w:val="28"/>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 w:val="0"/>
          <w:bCs w:val="0"/>
          <w:caps w:val="0"/>
          <w:color w:val="auto"/>
          <w:sz w:val="24"/>
          <w:szCs w:val="24"/>
        </w:rPr>
        <w:fldChar w:fldCharType="begin"/>
      </w:r>
      <w:r>
        <w:rPr>
          <w:rFonts w:hint="eastAsia" w:ascii="仿宋" w:hAnsi="仿宋" w:eastAsia="仿宋" w:cs="仿宋"/>
          <w:b w:val="0"/>
          <w:bCs w:val="0"/>
          <w:caps w:val="0"/>
          <w:color w:val="auto"/>
          <w:sz w:val="24"/>
          <w:szCs w:val="24"/>
        </w:rPr>
        <w:instrText xml:space="preserve"> TOC \o "1-4" \h \z \u </w:instrText>
      </w:r>
      <w:r>
        <w:rPr>
          <w:rFonts w:hint="eastAsia" w:ascii="仿宋" w:hAnsi="仿宋" w:eastAsia="仿宋" w:cs="仿宋"/>
          <w:b w:val="0"/>
          <w:bCs w:val="0"/>
          <w:caps w:val="0"/>
          <w:color w:val="auto"/>
          <w:sz w:val="24"/>
          <w:szCs w:val="24"/>
        </w:rPr>
        <w:fldChar w:fldCharType="separate"/>
      </w:r>
      <w:r>
        <w:rPr>
          <w:rFonts w:hint="eastAsia" w:ascii="仿宋" w:hAnsi="仿宋" w:eastAsia="仿宋" w:cs="仿宋"/>
          <w:bCs w:val="0"/>
          <w:caps w:val="0"/>
          <w:color w:val="auto"/>
          <w:sz w:val="24"/>
          <w:szCs w:val="24"/>
        </w:rPr>
        <w:fldChar w:fldCharType="begin"/>
      </w:r>
      <w:r>
        <w:rPr>
          <w:rFonts w:hint="eastAsia" w:ascii="仿宋" w:hAnsi="仿宋" w:eastAsia="仿宋" w:cs="仿宋"/>
          <w:bCs w:val="0"/>
          <w:caps w:val="0"/>
          <w:color w:val="auto"/>
          <w:sz w:val="24"/>
          <w:szCs w:val="24"/>
        </w:rPr>
        <w:instrText xml:space="preserve"> HYPERLINK \l _Toc13878 </w:instrText>
      </w:r>
      <w:r>
        <w:rPr>
          <w:rFonts w:hint="eastAsia" w:ascii="仿宋" w:hAnsi="仿宋" w:eastAsia="仿宋" w:cs="仿宋"/>
          <w:bCs w:val="0"/>
          <w:caps w:val="0"/>
          <w:color w:val="auto"/>
          <w:sz w:val="24"/>
          <w:szCs w:val="24"/>
        </w:rPr>
        <w:fldChar w:fldCharType="separate"/>
      </w:r>
      <w:r>
        <w:rPr>
          <w:rFonts w:hint="eastAsia" w:ascii="仿宋" w:hAnsi="仿宋" w:eastAsia="仿宋" w:cs="仿宋"/>
          <w:color w:val="auto"/>
          <w:sz w:val="24"/>
          <w:szCs w:val="24"/>
        </w:rPr>
        <w:t>第一章  投标邀请函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_Toc13878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r>
        <w:rPr>
          <w:rFonts w:hint="eastAsia" w:ascii="仿宋" w:hAnsi="仿宋" w:eastAsia="仿宋" w:cs="仿宋"/>
          <w:bCs w:val="0"/>
          <w:caps w:val="0"/>
          <w:color w:val="auto"/>
          <w:sz w:val="24"/>
          <w:szCs w:val="24"/>
        </w:rPr>
        <w:fldChar w:fldCharType="end"/>
      </w:r>
    </w:p>
    <w:p>
      <w:pPr>
        <w:pStyle w:val="28"/>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_Toc20442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第二章  投标人须知</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_Toc20442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28"/>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_Toc27043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第三章  用户需求书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_Toc27043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16</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28"/>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_Toc3032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第四章 合同主要条款</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_Toc3032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28"/>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_Toc11129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第五章 投标文件内容和格式</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_Toc11129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_Toc31498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_Toc31498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_Toc32105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、开标一览表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_Toc32105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_Toc28100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3、分项报价明细表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_Toc28100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_Toc5692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4、技术及资质要求响应表</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0</w:t>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_Toc20581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5、法定代表人证明书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_Toc20581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_Toc26280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6、授权委托书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_Toc26280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_Toc30555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7、参加政府采购活动前三年内，在经营活动中没有重大违法记录的声明函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_Toc30555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_Toc9667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8、具备《中华人民共和国政府采购法》第二十二条规定条件的承诺书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_Toc9667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_Toc10292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9、不存在与参加本项目采购活动的其他供应商单位负责人为同一人或者存在直接控股、管理关系的承诺函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5</w:t>
      </w:r>
    </w:p>
    <w:p>
      <w:pPr>
        <w:pStyle w:val="33"/>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_Toc10835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10、中小企业声明函</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6</w:t>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_Toc12366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11、监狱企业证明文件</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_Toc12366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37</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bCs/>
          <w:caps/>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_Toc16196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12、残疾人福利性单位声明函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_Toc16196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38</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default" w:eastAsia="仿宋"/>
          <w:color w:val="auto"/>
          <w:lang w:val="en-US" w:eastAsia="zh-CN"/>
        </w:rPr>
      </w:pPr>
      <w:r>
        <w:rPr>
          <w:rFonts w:hint="eastAsia" w:ascii="仿宋" w:hAnsi="仿宋" w:eastAsia="仿宋" w:cs="仿宋"/>
          <w:bCs/>
          <w:caps/>
          <w:color w:val="auto"/>
          <w:sz w:val="24"/>
          <w:szCs w:val="24"/>
          <w:lang w:val="en-US" w:eastAsia="zh-CN"/>
        </w:rPr>
        <w:t>13、投标人认为需要的其它材料</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39</w:t>
      </w:r>
    </w:p>
    <w:p>
      <w:pPr>
        <w:pStyle w:val="28"/>
        <w:tabs>
          <w:tab w:val="right" w:leader="dot" w:pos="904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_Toc7648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第六章  评审办法和程序</w:t>
      </w:r>
      <w:r>
        <w:rPr>
          <w:rFonts w:hint="eastAsia" w:ascii="仿宋" w:hAnsi="仿宋" w:eastAsia="仿宋" w:cs="仿宋"/>
          <w:color w:val="auto"/>
          <w:sz w:val="24"/>
          <w:szCs w:val="24"/>
        </w:rPr>
        <w:tab/>
      </w:r>
      <w:r>
        <w:rPr>
          <w:rFonts w:hint="eastAsia" w:ascii="仿宋" w:hAnsi="仿宋" w:eastAsia="仿宋" w:cs="仿宋"/>
          <w:color w:val="auto"/>
          <w:sz w:val="24"/>
          <w:szCs w:val="24"/>
          <w:lang w:val="en-US" w:eastAsia="zh-CN"/>
        </w:rPr>
        <w:t>4</w:t>
      </w:r>
      <w:r>
        <w:rPr>
          <w:rFonts w:hint="eastAsia" w:ascii="仿宋" w:hAnsi="仿宋" w:eastAsia="仿宋" w:cs="仿宋"/>
          <w:bCs/>
          <w:caps/>
          <w:color w:val="auto"/>
          <w:sz w:val="24"/>
          <w:szCs w:val="24"/>
        </w:rPr>
        <w:fldChar w:fldCharType="end"/>
      </w:r>
      <w:r>
        <w:rPr>
          <w:rFonts w:hint="eastAsia" w:ascii="仿宋" w:hAnsi="仿宋" w:eastAsia="仿宋" w:cs="仿宋"/>
          <w:bCs/>
          <w:caps/>
          <w:color w:val="auto"/>
          <w:sz w:val="24"/>
          <w:szCs w:val="24"/>
          <w:lang w:val="en-US" w:eastAsia="zh-CN"/>
        </w:rPr>
        <w:t>0</w:t>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_Toc21760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资格审查表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_Toc21760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_Toc5747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符合性</w:t>
      </w:r>
      <w:r>
        <w:rPr>
          <w:rFonts w:hint="eastAsia" w:ascii="仿宋" w:hAnsi="仿宋" w:eastAsia="仿宋" w:cs="仿宋"/>
          <w:color w:val="auto"/>
          <w:sz w:val="24"/>
          <w:szCs w:val="24"/>
        </w:rPr>
        <w:t>审查表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_Toc5747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pStyle w:val="33"/>
        <w:tabs>
          <w:tab w:val="right" w:leader="dot" w:pos="9040"/>
        </w:tabs>
        <w:spacing w:line="360" w:lineRule="auto"/>
        <w:rPr>
          <w:rFonts w:hint="eastAsia" w:ascii="仿宋" w:hAnsi="仿宋" w:eastAsia="仿宋" w:cs="仿宋"/>
          <w:color w:val="auto"/>
          <w:sz w:val="24"/>
          <w:szCs w:val="24"/>
        </w:rPr>
      </w:pPr>
      <w:r>
        <w:rPr>
          <w:rFonts w:hint="eastAsia" w:ascii="仿宋" w:hAnsi="仿宋" w:eastAsia="仿宋" w:cs="仿宋"/>
          <w:bCs/>
          <w:caps/>
          <w:color w:val="auto"/>
          <w:sz w:val="24"/>
          <w:szCs w:val="24"/>
        </w:rPr>
        <w:fldChar w:fldCharType="begin"/>
      </w:r>
      <w:r>
        <w:rPr>
          <w:rFonts w:hint="eastAsia" w:ascii="仿宋" w:hAnsi="仿宋" w:eastAsia="仿宋" w:cs="仿宋"/>
          <w:bCs/>
          <w:caps/>
          <w:color w:val="auto"/>
          <w:sz w:val="24"/>
          <w:szCs w:val="24"/>
        </w:rPr>
        <w:instrText xml:space="preserve"> HYPERLINK \l _Toc16017 </w:instrText>
      </w:r>
      <w:r>
        <w:rPr>
          <w:rFonts w:hint="eastAsia" w:ascii="仿宋" w:hAnsi="仿宋" w:eastAsia="仿宋" w:cs="仿宋"/>
          <w:bCs/>
          <w:caps/>
          <w:color w:val="auto"/>
          <w:sz w:val="24"/>
          <w:szCs w:val="24"/>
        </w:rPr>
        <w:fldChar w:fldCharType="separate"/>
      </w:r>
      <w:r>
        <w:rPr>
          <w:rFonts w:hint="eastAsia" w:ascii="仿宋" w:hAnsi="仿宋" w:eastAsia="仿宋" w:cs="仿宋"/>
          <w:color w:val="auto"/>
          <w:sz w:val="24"/>
          <w:szCs w:val="24"/>
          <w:lang w:val="en-US" w:eastAsia="zh-CN"/>
        </w:rPr>
        <w:t>3、技术、商务评分表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_Toc16017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fldChar w:fldCharType="end"/>
      </w:r>
      <w:r>
        <w:rPr>
          <w:rFonts w:hint="eastAsia" w:ascii="仿宋" w:hAnsi="仿宋" w:eastAsia="仿宋" w:cs="仿宋"/>
          <w:bCs/>
          <w:caps/>
          <w:color w:val="auto"/>
          <w:sz w:val="24"/>
          <w:szCs w:val="24"/>
        </w:rPr>
        <w:fldChar w:fldCharType="end"/>
      </w:r>
    </w:p>
    <w:p>
      <w:pPr>
        <w:spacing w:line="360" w:lineRule="auto"/>
        <w:outlineLvl w:val="0"/>
        <w:rPr>
          <w:rFonts w:hint="eastAsia" w:ascii="仿宋" w:hAnsi="仿宋" w:eastAsia="仿宋" w:cs="仿宋"/>
          <w:bCs/>
          <w:caps/>
          <w:color w:val="auto"/>
          <w:sz w:val="24"/>
          <w:szCs w:val="24"/>
        </w:rPr>
        <w:sectPr>
          <w:footerReference r:id="rId4" w:type="first"/>
          <w:headerReference r:id="rId3" w:type="default"/>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start="0"/>
          <w:cols w:space="720" w:num="1"/>
          <w:titlePg/>
          <w:docGrid w:linePitch="312" w:charSpace="0"/>
        </w:sectPr>
      </w:pPr>
      <w:r>
        <w:rPr>
          <w:rFonts w:hint="eastAsia" w:ascii="仿宋" w:hAnsi="仿宋" w:eastAsia="仿宋" w:cs="仿宋"/>
          <w:bCs/>
          <w:caps/>
          <w:color w:val="auto"/>
          <w:sz w:val="24"/>
          <w:szCs w:val="24"/>
        </w:rPr>
        <w:fldChar w:fldCharType="end"/>
      </w:r>
      <w:bookmarkStart w:id="2" w:name="_Toc264182533"/>
      <w:bookmarkStart w:id="3" w:name="_Toc248048373"/>
      <w:bookmarkStart w:id="4" w:name="_Toc264213353"/>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sz w:val="44"/>
          <w:szCs w:val="44"/>
        </w:rPr>
      </w:pPr>
      <w:bookmarkStart w:id="5" w:name="_Toc13878"/>
      <w:r>
        <w:rPr>
          <w:rFonts w:hint="eastAsia" w:ascii="仿宋" w:hAnsi="仿宋" w:eastAsia="仿宋" w:cs="仿宋"/>
          <w:b/>
          <w:color w:val="auto"/>
          <w:sz w:val="44"/>
          <w:szCs w:val="44"/>
        </w:rPr>
        <w:t>第一章  投标邀请函</w:t>
      </w:r>
      <w:bookmarkEnd w:id="2"/>
      <w:bookmarkEnd w:id="3"/>
      <w:bookmarkEnd w:id="4"/>
      <w:bookmarkEnd w:id="5"/>
    </w:p>
    <w:p>
      <w:pPr>
        <w:rPr>
          <w:rFonts w:hint="eastAsia" w:ascii="仿宋" w:hAnsi="仿宋" w:eastAsia="仿宋" w:cs="仿宋"/>
          <w:color w:val="auto"/>
          <w:sz w:val="24"/>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tabs>
                <w:tab w:val="left" w:pos="2265"/>
              </w:tabs>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szCs w:val="24"/>
                <w:u w:val="single"/>
                <w:lang w:eastAsia="zh-CN"/>
              </w:rPr>
              <w:t>海南省农业农村厅2021年度信息系统运维项目</w:t>
            </w:r>
            <w:r>
              <w:rPr>
                <w:rFonts w:hint="eastAsia" w:ascii="仿宋" w:hAnsi="仿宋" w:eastAsia="仿宋" w:cs="仿宋"/>
                <w:color w:val="auto"/>
                <w:sz w:val="24"/>
                <w:lang w:val="en-US" w:eastAsia="zh-CN"/>
              </w:rPr>
              <w:t>招标</w:t>
            </w:r>
            <w:r>
              <w:rPr>
                <w:rFonts w:hint="eastAsia" w:ascii="仿宋" w:hAnsi="仿宋" w:eastAsia="仿宋" w:cs="仿宋"/>
                <w:color w:val="auto"/>
                <w:sz w:val="24"/>
                <w:szCs w:val="24"/>
              </w:rPr>
              <w:t>项目的潜在供应商应在</w:t>
            </w:r>
            <w:r>
              <w:rPr>
                <w:rFonts w:hint="eastAsia" w:ascii="仿宋" w:hAnsi="仿宋" w:eastAsia="仿宋" w:cs="仿宋"/>
                <w:b/>
                <w:bCs/>
                <w:color w:val="auto"/>
                <w:sz w:val="24"/>
                <w:szCs w:val="24"/>
                <w:u w:val="single"/>
              </w:rPr>
              <w:t>海口市美兰区五指山路16-3号康业花园西湖苑G栋2A</w:t>
            </w:r>
            <w:r>
              <w:rPr>
                <w:rFonts w:hint="eastAsia" w:ascii="仿宋" w:hAnsi="仿宋" w:eastAsia="仿宋" w:cs="仿宋"/>
                <w:color w:val="auto"/>
                <w:sz w:val="24"/>
                <w:szCs w:val="24"/>
              </w:rPr>
              <w:t>获取</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文件,并于</w:t>
            </w:r>
            <w:r>
              <w:rPr>
                <w:rFonts w:hint="eastAsia" w:ascii="仿宋" w:hAnsi="仿宋" w:eastAsia="仿宋" w:cs="仿宋"/>
                <w:b/>
                <w:bCs/>
                <w:color w:val="auto"/>
                <w:sz w:val="24"/>
                <w:szCs w:val="24"/>
                <w:u w:val="single"/>
                <w:lang w:val="en-US" w:eastAsia="zh-CN"/>
              </w:rPr>
              <w:t xml:space="preserve"> 2021年  10 月 18 日  08  点  30 分</w:t>
            </w:r>
            <w:r>
              <w:rPr>
                <w:rFonts w:hint="eastAsia" w:ascii="仿宋" w:hAnsi="仿宋" w:eastAsia="仿宋" w:cs="仿宋"/>
                <w:color w:val="auto"/>
                <w:sz w:val="24"/>
                <w:szCs w:val="24"/>
              </w:rPr>
              <w:t>（北京时间）前递交</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w:t>
            </w:r>
          </w:p>
        </w:tc>
      </w:tr>
    </w:tbl>
    <w:p>
      <w:pPr>
        <w:pStyle w:val="17"/>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一、</w:t>
      </w:r>
      <w:r>
        <w:rPr>
          <w:rFonts w:hint="eastAsia" w:ascii="仿宋" w:hAnsi="仿宋" w:eastAsia="仿宋" w:cs="仿宋"/>
          <w:b/>
          <w:color w:val="auto"/>
          <w:sz w:val="28"/>
          <w:szCs w:val="28"/>
          <w:lang w:val="en-US" w:eastAsia="zh-CN"/>
        </w:rPr>
        <w:t>项目基本情况</w:t>
      </w:r>
    </w:p>
    <w:p>
      <w:pPr>
        <w:pStyle w:val="27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：HNZH-2021-241</w:t>
      </w:r>
    </w:p>
    <w:p>
      <w:pPr>
        <w:snapToGrid w:val="0"/>
        <w:spacing w:line="360" w:lineRule="auto"/>
        <w:ind w:right="-115" w:rightChars="-55"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项目名称：</w:t>
      </w:r>
      <w:r>
        <w:rPr>
          <w:rFonts w:hint="eastAsia" w:ascii="仿宋" w:hAnsi="仿宋" w:eastAsia="仿宋" w:cs="仿宋"/>
          <w:color w:val="auto"/>
          <w:sz w:val="24"/>
          <w:lang w:val="en-US" w:eastAsia="zh-CN"/>
        </w:rPr>
        <w:t>海南省农业农村厅2021年度信息系统运维项目</w:t>
      </w:r>
    </w:p>
    <w:p>
      <w:pPr>
        <w:snapToGrid w:val="0"/>
        <w:spacing w:line="360" w:lineRule="auto"/>
        <w:ind w:right="-115" w:rightChars="-55"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采购方式：公开招标</w:t>
      </w:r>
    </w:p>
    <w:p>
      <w:pPr>
        <w:pStyle w:val="276"/>
        <w:spacing w:after="0"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rPr>
        <w:t>预算金额：</w:t>
      </w:r>
      <w:r>
        <w:rPr>
          <w:rFonts w:hint="eastAsia" w:ascii="仿宋" w:hAnsi="仿宋" w:eastAsia="仿宋" w:cs="仿宋"/>
          <w:color w:val="auto"/>
          <w:kern w:val="28"/>
          <w:sz w:val="24"/>
          <w:lang w:eastAsia="zh-CN"/>
        </w:rPr>
        <w:t>2160100.00元</w:t>
      </w:r>
      <w:r>
        <w:rPr>
          <w:rFonts w:hint="eastAsia" w:ascii="仿宋" w:hAnsi="仿宋" w:eastAsia="仿宋" w:cs="仿宋"/>
          <w:color w:val="auto"/>
          <w:sz w:val="24"/>
          <w:lang w:val="en-US" w:eastAsia="zh-CN"/>
        </w:rPr>
        <w:t>，</w:t>
      </w:r>
      <w:r>
        <w:rPr>
          <w:rFonts w:hint="eastAsia" w:ascii="仿宋" w:hAnsi="仿宋" w:eastAsia="仿宋" w:cs="仿宋"/>
          <w:color w:val="auto"/>
          <w:kern w:val="28"/>
          <w:sz w:val="24"/>
          <w:szCs w:val="22"/>
          <w:lang w:eastAsia="zh-CN"/>
        </w:rPr>
        <w:t>报价不能超过预算金额，超过预算报价为无效</w:t>
      </w:r>
    </w:p>
    <w:p>
      <w:pPr>
        <w:pStyle w:val="27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最高限价：2160100.00元</w:t>
      </w:r>
    </w:p>
    <w:p>
      <w:pPr>
        <w:pStyle w:val="27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采</w:t>
      </w:r>
      <w:r>
        <w:rPr>
          <w:rFonts w:hint="eastAsia" w:ascii="仿宋" w:hAnsi="仿宋" w:eastAsia="仿宋" w:cs="仿宋"/>
          <w:color w:val="auto"/>
          <w:sz w:val="24"/>
        </w:rPr>
        <w:t>购需求：</w:t>
      </w:r>
      <w:r>
        <w:rPr>
          <w:rFonts w:hint="eastAsia" w:ascii="仿宋" w:hAnsi="仿宋" w:eastAsia="仿宋" w:cs="仿宋"/>
          <w:color w:val="auto"/>
          <w:sz w:val="24"/>
          <w:lang w:val="en-US" w:eastAsia="zh-CN"/>
        </w:rPr>
        <w:t>详见第三章“用户需求书”</w:t>
      </w:r>
    </w:p>
    <w:p>
      <w:pPr>
        <w:spacing w:line="360" w:lineRule="auto"/>
        <w:ind w:left="479" w:leftChars="228" w:firstLine="0" w:firstLineChars="0"/>
        <w:rPr>
          <w:rFonts w:hint="eastAsia" w:ascii="仿宋" w:hAnsi="仿宋" w:eastAsia="仿宋" w:cs="仿宋"/>
          <w:color w:val="auto"/>
          <w:sz w:val="24"/>
          <w:shd w:val="clear" w:color="auto" w:fill="000000"/>
        </w:rPr>
      </w:pPr>
      <w:r>
        <w:rPr>
          <w:rFonts w:hint="eastAsia" w:ascii="仿宋" w:hAnsi="仿宋" w:eastAsia="仿宋" w:cs="仿宋"/>
          <w:color w:val="auto"/>
          <w:sz w:val="24"/>
        </w:rPr>
        <w:t>合同履</w:t>
      </w:r>
      <w:r>
        <w:rPr>
          <w:rFonts w:hint="eastAsia" w:ascii="仿宋" w:hAnsi="仿宋" w:eastAsia="仿宋" w:cs="仿宋"/>
          <w:color w:val="auto"/>
          <w:sz w:val="24"/>
          <w:szCs w:val="22"/>
        </w:rPr>
        <w:t>行期限</w:t>
      </w:r>
      <w:r>
        <w:rPr>
          <w:rFonts w:hint="eastAsia" w:ascii="仿宋" w:hAnsi="仿宋" w:eastAsia="仿宋" w:cs="仿宋"/>
          <w:color w:val="auto"/>
          <w:sz w:val="24"/>
          <w:szCs w:val="22"/>
          <w:lang w:eastAsia="zh-CN"/>
        </w:rPr>
        <w:t>（服务期限）</w:t>
      </w:r>
      <w:r>
        <w:rPr>
          <w:rFonts w:hint="eastAsia" w:ascii="仿宋" w:hAnsi="仿宋" w:eastAsia="仿宋" w:cs="仿宋"/>
          <w:color w:val="auto"/>
          <w:sz w:val="24"/>
          <w:szCs w:val="22"/>
        </w:rPr>
        <w:t>：</w:t>
      </w:r>
      <w:r>
        <w:rPr>
          <w:rFonts w:hint="eastAsia" w:ascii="仿宋" w:hAnsi="仿宋" w:eastAsia="仿宋" w:cs="仿宋"/>
          <w:color w:val="auto"/>
          <w:sz w:val="24"/>
          <w:szCs w:val="22"/>
          <w:lang w:val="en-US" w:eastAsia="zh-CN"/>
        </w:rPr>
        <w:t xml:space="preserve">1年 </w:t>
      </w:r>
    </w:p>
    <w:p>
      <w:pPr>
        <w:pStyle w:val="276"/>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本项目（是/否）接受联合体</w:t>
      </w:r>
      <w:r>
        <w:rPr>
          <w:rFonts w:hint="eastAsia" w:ascii="仿宋" w:hAnsi="仿宋" w:eastAsia="仿宋" w:cs="仿宋"/>
          <w:color w:val="auto"/>
          <w:sz w:val="24"/>
          <w:lang w:eastAsia="zh-CN"/>
        </w:rPr>
        <w:t>：</w:t>
      </w:r>
      <w:r>
        <w:rPr>
          <w:rFonts w:hint="eastAsia" w:ascii="仿宋" w:hAnsi="仿宋" w:eastAsia="仿宋" w:cs="仿宋"/>
          <w:color w:val="auto"/>
          <w:sz w:val="24"/>
        </w:rPr>
        <w:t>否</w:t>
      </w:r>
    </w:p>
    <w:p>
      <w:pPr>
        <w:pStyle w:val="276"/>
        <w:tabs>
          <w:tab w:val="left" w:pos="998"/>
        </w:tabs>
        <w:spacing w:after="0" w:line="360" w:lineRule="auto"/>
        <w:ind w:firstLine="0"/>
        <w:jc w:val="left"/>
        <w:rPr>
          <w:rFonts w:hint="eastAsia" w:ascii="仿宋" w:hAnsi="仿宋" w:eastAsia="仿宋" w:cs="仿宋"/>
          <w:b/>
          <w:bCs/>
          <w:color w:val="auto"/>
          <w:sz w:val="28"/>
          <w:szCs w:val="28"/>
        </w:rPr>
      </w:pPr>
      <w:bookmarkStart w:id="6" w:name="bookmark47"/>
      <w:r>
        <w:rPr>
          <w:rFonts w:hint="eastAsia" w:ascii="仿宋" w:hAnsi="仿宋" w:eastAsia="仿宋" w:cs="仿宋"/>
          <w:b/>
          <w:bCs/>
          <w:color w:val="auto"/>
          <w:sz w:val="28"/>
          <w:szCs w:val="28"/>
        </w:rPr>
        <w:t>二</w:t>
      </w:r>
      <w:bookmarkEnd w:id="6"/>
      <w:r>
        <w:rPr>
          <w:rFonts w:hint="eastAsia" w:ascii="仿宋" w:hAnsi="仿宋" w:eastAsia="仿宋" w:cs="仿宋"/>
          <w:b/>
          <w:bCs/>
          <w:color w:val="auto"/>
          <w:sz w:val="28"/>
          <w:szCs w:val="28"/>
        </w:rPr>
        <w:t>、申请人的资格要求：</w:t>
      </w:r>
    </w:p>
    <w:p>
      <w:pPr>
        <w:pStyle w:val="276"/>
        <w:tabs>
          <w:tab w:val="left" w:pos="1317"/>
        </w:tabs>
        <w:spacing w:after="0" w:line="360" w:lineRule="auto"/>
        <w:ind w:firstLine="480" w:firstLineChars="200"/>
        <w:jc w:val="left"/>
        <w:rPr>
          <w:rFonts w:hint="eastAsia" w:ascii="仿宋" w:hAnsi="仿宋" w:eastAsia="仿宋" w:cs="仿宋"/>
          <w:color w:val="auto"/>
          <w:sz w:val="24"/>
        </w:rPr>
      </w:pPr>
      <w:bookmarkStart w:id="7" w:name="bookmark48"/>
      <w:bookmarkEnd w:id="7"/>
      <w:r>
        <w:rPr>
          <w:rFonts w:hint="eastAsia" w:ascii="仿宋" w:hAnsi="仿宋" w:eastAsia="仿宋" w:cs="仿宋"/>
          <w:color w:val="auto"/>
          <w:sz w:val="24"/>
          <w:lang w:val="en-US" w:eastAsia="zh-CN"/>
        </w:rPr>
        <w:t>1.</w:t>
      </w:r>
      <w:r>
        <w:rPr>
          <w:rFonts w:hint="eastAsia" w:ascii="仿宋" w:hAnsi="仿宋" w:eastAsia="仿宋" w:cs="仿宋"/>
          <w:color w:val="auto"/>
          <w:sz w:val="24"/>
        </w:rPr>
        <w:t>满足《中华人民共和国政府采购法》第二十二条规定；</w:t>
      </w:r>
    </w:p>
    <w:p>
      <w:pPr>
        <w:pStyle w:val="276"/>
        <w:spacing w:after="0" w:line="360" w:lineRule="auto"/>
        <w:ind w:firstLine="480" w:firstLineChars="200"/>
        <w:rPr>
          <w:rFonts w:hint="eastAsia" w:ascii="仿宋" w:hAnsi="仿宋" w:eastAsia="仿宋" w:cs="仿宋"/>
          <w:color w:val="auto"/>
          <w:sz w:val="24"/>
          <w:lang w:val="en-US" w:eastAsia="zh-CN"/>
        </w:rPr>
      </w:pPr>
      <w:bookmarkStart w:id="8" w:name="bookmark49"/>
      <w:bookmarkEnd w:id="8"/>
      <w:r>
        <w:rPr>
          <w:rFonts w:hint="eastAsia" w:ascii="仿宋" w:hAnsi="仿宋" w:eastAsia="仿宋" w:cs="仿宋"/>
          <w:color w:val="auto"/>
          <w:sz w:val="24"/>
          <w:lang w:val="en-US" w:eastAsia="zh-CN"/>
        </w:rPr>
        <w:t>2.</w:t>
      </w:r>
      <w:r>
        <w:rPr>
          <w:rFonts w:hint="eastAsia" w:ascii="仿宋" w:hAnsi="仿宋" w:eastAsia="仿宋" w:cs="仿宋"/>
          <w:color w:val="auto"/>
          <w:sz w:val="24"/>
        </w:rPr>
        <w:t>落实政府</w:t>
      </w:r>
      <w:r>
        <w:rPr>
          <w:rFonts w:hint="eastAsia" w:ascii="仿宋" w:hAnsi="仿宋" w:eastAsia="仿宋" w:cs="仿宋"/>
          <w:color w:val="auto"/>
          <w:sz w:val="24"/>
          <w:lang w:eastAsia="zh-CN"/>
        </w:rPr>
        <w:t>采</w:t>
      </w:r>
      <w:r>
        <w:rPr>
          <w:rFonts w:hint="eastAsia" w:ascii="仿宋" w:hAnsi="仿宋" w:eastAsia="仿宋" w:cs="仿宋"/>
          <w:color w:val="auto"/>
          <w:sz w:val="24"/>
        </w:rPr>
        <w:t>购政策需满足的</w:t>
      </w:r>
      <w:r>
        <w:rPr>
          <w:rFonts w:hint="eastAsia" w:ascii="仿宋" w:hAnsi="仿宋" w:eastAsia="仿宋" w:cs="仿宋"/>
          <w:color w:val="auto"/>
          <w:sz w:val="24"/>
          <w:lang w:val="en-US" w:eastAsia="zh-CN"/>
        </w:rPr>
        <w:t>资</w:t>
      </w:r>
      <w:r>
        <w:rPr>
          <w:rFonts w:hint="eastAsia" w:ascii="仿宋" w:hAnsi="仿宋" w:eastAsia="仿宋" w:cs="仿宋"/>
          <w:color w:val="auto"/>
          <w:sz w:val="24"/>
        </w:rPr>
        <w:t>格要求：</w:t>
      </w:r>
      <w:r>
        <w:rPr>
          <w:rFonts w:hint="eastAsia" w:ascii="仿宋" w:hAnsi="仿宋" w:eastAsia="仿宋" w:cs="仿宋"/>
          <w:color w:val="auto"/>
          <w:sz w:val="24"/>
          <w:u w:val="single"/>
          <w:lang w:val="en-US" w:eastAsia="zh-CN"/>
        </w:rPr>
        <w:t>无</w:t>
      </w:r>
    </w:p>
    <w:p>
      <w:pPr>
        <w:pStyle w:val="276"/>
        <w:spacing w:after="0" w:line="360" w:lineRule="auto"/>
        <w:ind w:firstLine="480" w:firstLineChars="200"/>
        <w:jc w:val="left"/>
        <w:rPr>
          <w:rFonts w:hint="eastAsia" w:ascii="仿宋" w:hAnsi="仿宋" w:eastAsia="仿宋" w:cs="仿宋"/>
          <w:color w:val="auto"/>
          <w:sz w:val="24"/>
        </w:rPr>
      </w:pPr>
      <w:bookmarkStart w:id="9" w:name="bookmark50"/>
      <w:bookmarkEnd w:id="9"/>
      <w:r>
        <w:rPr>
          <w:rFonts w:hint="eastAsia" w:ascii="仿宋" w:hAnsi="仿宋" w:eastAsia="仿宋" w:cs="仿宋"/>
          <w:color w:val="auto"/>
          <w:sz w:val="24"/>
          <w:lang w:val="en-US" w:eastAsia="zh-CN"/>
        </w:rPr>
        <w:t>3.</w:t>
      </w:r>
      <w:r>
        <w:rPr>
          <w:rFonts w:hint="eastAsia" w:ascii="仿宋" w:hAnsi="仿宋" w:eastAsia="仿宋" w:cs="仿宋"/>
          <w:color w:val="auto"/>
          <w:sz w:val="24"/>
        </w:rPr>
        <w:t>本项目的特定资格要求：</w:t>
      </w:r>
    </w:p>
    <w:p>
      <w:pPr>
        <w:pStyle w:val="276"/>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u w:val="single"/>
          <w:lang w:val="en-US" w:eastAsia="zh-CN"/>
        </w:rPr>
        <w:t>3.1在中华人民共和国注册，具有独立承担民事责任能力（需提供营业执照、税务登记证、组织机构代码证复印件，或者三证合一复印件）；</w:t>
      </w:r>
    </w:p>
    <w:p>
      <w:pPr>
        <w:pStyle w:val="276"/>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u w:val="single"/>
          <w:lang w:val="en-US" w:eastAsia="zh-CN"/>
        </w:rPr>
        <w:t>3.2具有良好的商业信誉和健全的财务会计制度（需提供2020年度经审计财务报告或2021年连续3个月或1个季度企业财务报表复印件并加盖单位公章）；</w:t>
      </w:r>
    </w:p>
    <w:p>
      <w:pPr>
        <w:pStyle w:val="276"/>
        <w:spacing w:after="0" w:line="360" w:lineRule="auto"/>
        <w:ind w:left="479" w:leftChars="228" w:firstLine="0" w:firstLineChars="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u w:val="single"/>
          <w:lang w:val="en-US" w:eastAsia="zh-CN"/>
        </w:rPr>
        <w:t>3.3具有依法缴纳税收的良好记录（</w:t>
      </w:r>
      <w:r>
        <w:rPr>
          <w:rFonts w:hint="eastAsia" w:ascii="仿宋" w:hAnsi="仿宋" w:eastAsia="仿宋" w:cs="仿宋"/>
          <w:color w:val="auto"/>
          <w:spacing w:val="0"/>
          <w:w w:val="100"/>
          <w:position w:val="0"/>
          <w:sz w:val="24"/>
          <w:szCs w:val="24"/>
          <w:u w:val="single"/>
          <w:lang w:val="en-US" w:eastAsia="zh-CN"/>
        </w:rPr>
        <w:t>需提供2021年连续3个月的纳税证明复印件</w:t>
      </w:r>
      <w:r>
        <w:rPr>
          <w:rFonts w:hint="eastAsia" w:ascii="仿宋" w:hAnsi="仿宋" w:eastAsia="仿宋" w:cs="仿宋"/>
          <w:color w:val="auto"/>
          <w:sz w:val="24"/>
          <w:u w:val="single"/>
          <w:lang w:val="en-US" w:eastAsia="zh-CN"/>
        </w:rPr>
        <w:t>）；3.4具有依法缴纳社会保障资金的良好记录（需提供2021</w:t>
      </w:r>
      <w:r>
        <w:rPr>
          <w:rFonts w:hint="eastAsia" w:ascii="仿宋" w:hAnsi="仿宋" w:eastAsia="仿宋" w:cs="仿宋"/>
          <w:color w:val="auto"/>
          <w:spacing w:val="0"/>
          <w:w w:val="100"/>
          <w:position w:val="0"/>
          <w:sz w:val="24"/>
          <w:szCs w:val="24"/>
          <w:u w:val="single"/>
          <w:lang w:val="en-US" w:eastAsia="zh-CN"/>
        </w:rPr>
        <w:t>年连续3个月</w:t>
      </w:r>
      <w:r>
        <w:rPr>
          <w:rFonts w:hint="eastAsia" w:ascii="仿宋" w:hAnsi="仿宋" w:eastAsia="仿宋" w:cs="仿宋"/>
          <w:color w:val="auto"/>
          <w:sz w:val="24"/>
          <w:u w:val="single"/>
          <w:lang w:val="en-US" w:eastAsia="zh-CN"/>
        </w:rPr>
        <w:t>的社保缴费记录复印件）；</w:t>
      </w:r>
    </w:p>
    <w:p>
      <w:pPr>
        <w:pStyle w:val="276"/>
        <w:spacing w:after="0" w:line="360" w:lineRule="auto"/>
        <w:ind w:left="479" w:leftChars="228" w:firstLine="0" w:firstLineChars="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u w:val="single"/>
          <w:lang w:val="en-US" w:eastAsia="zh-CN"/>
        </w:rPr>
        <w:t>3.5参加政府采购活动前三年内，在经营活动中没有重大违法记录（提供声明函）；</w:t>
      </w:r>
      <w:r>
        <w:rPr>
          <w:rFonts w:hint="default" w:ascii="仿宋" w:hAnsi="仿宋" w:eastAsia="仿宋" w:cs="仿宋"/>
          <w:color w:val="auto"/>
          <w:spacing w:val="0"/>
          <w:w w:val="100"/>
          <w:position w:val="0"/>
          <w:sz w:val="24"/>
          <w:szCs w:val="24"/>
          <w:u w:val="single"/>
          <w:lang w:eastAsia="zh-CN"/>
        </w:rPr>
        <w:t>3.</w:t>
      </w:r>
      <w:r>
        <w:rPr>
          <w:rFonts w:hint="eastAsia" w:ascii="仿宋" w:hAnsi="仿宋" w:eastAsia="仿宋" w:cs="仿宋"/>
          <w:color w:val="auto"/>
          <w:spacing w:val="0"/>
          <w:w w:val="100"/>
          <w:position w:val="0"/>
          <w:sz w:val="24"/>
          <w:szCs w:val="24"/>
          <w:u w:val="single"/>
          <w:lang w:val="en-US" w:eastAsia="zh-CN"/>
        </w:rPr>
        <w:t>6具备《中华人民共和国政府采购法》第二十二条规定的条件（提供承诺书）；</w:t>
      </w:r>
      <w:r>
        <w:rPr>
          <w:rFonts w:hint="eastAsia" w:ascii="仿宋" w:hAnsi="仿宋" w:eastAsia="仿宋" w:cs="仿宋"/>
          <w:color w:val="auto"/>
          <w:sz w:val="24"/>
          <w:u w:val="single"/>
          <w:lang w:val="en-US" w:eastAsia="zh-CN"/>
        </w:rPr>
        <w:t>3.7购买本项目招标文件并缴纳投标保证金；</w:t>
      </w:r>
    </w:p>
    <w:p>
      <w:pPr>
        <w:pStyle w:val="276"/>
        <w:spacing w:after="0" w:line="360" w:lineRule="auto"/>
        <w:ind w:left="479" w:leftChars="228" w:firstLine="0" w:firstLineChars="0"/>
        <w:jc w:val="left"/>
        <w:rPr>
          <w:rFonts w:hint="eastAsia" w:ascii="仿宋" w:hAnsi="仿宋" w:eastAsia="仿宋" w:cs="仿宋"/>
          <w:color w:val="auto"/>
          <w:sz w:val="24"/>
          <w:lang w:eastAsia="zh-CN"/>
        </w:rPr>
      </w:pPr>
      <w:r>
        <w:rPr>
          <w:rFonts w:hint="eastAsia" w:ascii="仿宋" w:hAnsi="仿宋" w:eastAsia="仿宋" w:cs="仿宋"/>
          <w:color w:val="auto"/>
          <w:sz w:val="24"/>
          <w:u w:val="single"/>
          <w:lang w:val="en-US" w:eastAsia="zh-CN"/>
        </w:rPr>
        <w:t>3.8本项目不接受联合体投标</w:t>
      </w:r>
      <w:r>
        <w:rPr>
          <w:rFonts w:hint="eastAsia" w:ascii="仿宋" w:hAnsi="仿宋" w:eastAsia="仿宋" w:cs="仿宋"/>
          <w:color w:val="auto"/>
          <w:sz w:val="24"/>
          <w:u w:val="single"/>
          <w:lang w:eastAsia="zh-CN"/>
        </w:rPr>
        <w:t>。</w:t>
      </w:r>
    </w:p>
    <w:p>
      <w:pPr>
        <w:pStyle w:val="276"/>
        <w:tabs>
          <w:tab w:val="left" w:pos="1018"/>
        </w:tabs>
        <w:spacing w:after="0" w:line="360" w:lineRule="auto"/>
        <w:ind w:firstLine="0"/>
        <w:jc w:val="left"/>
        <w:rPr>
          <w:rFonts w:hint="eastAsia" w:ascii="仿宋" w:hAnsi="仿宋" w:eastAsia="仿宋" w:cs="仿宋"/>
          <w:b/>
          <w:bCs/>
          <w:color w:val="auto"/>
          <w:sz w:val="28"/>
          <w:szCs w:val="28"/>
        </w:rPr>
      </w:pPr>
      <w:bookmarkStart w:id="10" w:name="bookmark51"/>
      <w:r>
        <w:rPr>
          <w:rFonts w:hint="eastAsia" w:ascii="仿宋" w:hAnsi="仿宋" w:eastAsia="仿宋" w:cs="仿宋"/>
          <w:b/>
          <w:bCs/>
          <w:color w:val="auto"/>
          <w:sz w:val="28"/>
          <w:szCs w:val="28"/>
        </w:rPr>
        <w:t>三</w:t>
      </w:r>
      <w:bookmarkEnd w:id="10"/>
      <w:r>
        <w:rPr>
          <w:rFonts w:hint="eastAsia" w:ascii="仿宋" w:hAnsi="仿宋" w:eastAsia="仿宋" w:cs="仿宋"/>
          <w:b/>
          <w:bCs/>
          <w:color w:val="auto"/>
          <w:sz w:val="28"/>
          <w:szCs w:val="28"/>
        </w:rPr>
        <w:t>、获取采购文件</w:t>
      </w:r>
    </w:p>
    <w:p>
      <w:pPr>
        <w:pStyle w:val="276"/>
        <w:tabs>
          <w:tab w:val="left" w:pos="1018"/>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 xml:space="preserve"> 09 </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 xml:space="preserve">  26  </w:t>
      </w:r>
      <w:r>
        <w:rPr>
          <w:rFonts w:hint="eastAsia" w:ascii="仿宋" w:hAnsi="仿宋" w:eastAsia="仿宋" w:cs="仿宋"/>
          <w:color w:val="auto"/>
          <w:sz w:val="24"/>
          <w:u w:val="single"/>
        </w:rPr>
        <w:t>日</w:t>
      </w:r>
      <w:r>
        <w:rPr>
          <w:rFonts w:hint="eastAsia" w:ascii="仿宋" w:hAnsi="仿宋" w:eastAsia="仿宋" w:cs="仿宋"/>
          <w:color w:val="auto"/>
          <w:sz w:val="24"/>
        </w:rPr>
        <w:t>至</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 xml:space="preserve"> 09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 xml:space="preserve"> 30 </w:t>
      </w:r>
      <w:r>
        <w:rPr>
          <w:rFonts w:hint="eastAsia" w:ascii="仿宋" w:hAnsi="仿宋" w:eastAsia="仿宋" w:cs="仿宋"/>
          <w:color w:val="auto"/>
          <w:sz w:val="24"/>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 xml:space="preserve"> 08：30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lang w:val="en-US" w:eastAsia="zh-CN"/>
        </w:rPr>
        <w:t>，</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14：30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17：30 </w:t>
      </w:r>
      <w:r>
        <w:rPr>
          <w:rFonts w:hint="eastAsia" w:ascii="仿宋" w:hAnsi="仿宋" w:eastAsia="仿宋" w:cs="仿宋"/>
          <w:color w:val="auto"/>
          <w:sz w:val="24"/>
        </w:rPr>
        <w:t>（北京时间，法定节假日除外）</w:t>
      </w:r>
    </w:p>
    <w:p>
      <w:pPr>
        <w:pStyle w:val="27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27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方式：</w:t>
      </w:r>
      <w:r>
        <w:rPr>
          <w:rFonts w:hint="eastAsia" w:ascii="仿宋" w:hAnsi="仿宋" w:eastAsia="仿宋" w:cs="仿宋"/>
          <w:color w:val="auto"/>
          <w:sz w:val="24"/>
          <w:lang w:val="en-US" w:eastAsia="zh-CN"/>
        </w:rPr>
        <w:t>现场购买，</w:t>
      </w:r>
      <w:r>
        <w:rPr>
          <w:rFonts w:hint="eastAsia" w:ascii="仿宋" w:hAnsi="仿宋" w:eastAsia="仿宋" w:cs="仿宋"/>
          <w:color w:val="auto"/>
          <w:sz w:val="24"/>
        </w:rPr>
        <w:t>购买</w:t>
      </w:r>
      <w:r>
        <w:rPr>
          <w:rFonts w:hint="eastAsia" w:ascii="仿宋" w:hAnsi="仿宋" w:eastAsia="仿宋" w:cs="仿宋"/>
          <w:color w:val="auto"/>
          <w:sz w:val="24"/>
          <w:lang w:val="en-US" w:eastAsia="zh-CN"/>
        </w:rPr>
        <w:t>公开招标文件</w:t>
      </w:r>
      <w:r>
        <w:rPr>
          <w:rFonts w:hint="eastAsia" w:ascii="仿宋" w:hAnsi="仿宋" w:eastAsia="仿宋" w:cs="仿宋"/>
          <w:color w:val="auto"/>
          <w:sz w:val="24"/>
        </w:rPr>
        <w:t>时必须</w:t>
      </w:r>
      <w:r>
        <w:rPr>
          <w:rFonts w:hint="eastAsia" w:ascii="仿宋" w:hAnsi="仿宋" w:eastAsia="仿宋" w:cs="仿宋"/>
          <w:color w:val="auto"/>
          <w:sz w:val="24"/>
          <w:lang w:val="en-US" w:eastAsia="zh-CN"/>
        </w:rPr>
        <w:t>提交以下材料：</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公司营业执照副本复印件</w:t>
      </w:r>
      <w:r>
        <w:rPr>
          <w:rFonts w:hint="eastAsia" w:ascii="仿宋" w:hAnsi="仿宋" w:eastAsia="仿宋" w:cs="仿宋"/>
          <w:color w:val="auto"/>
          <w:sz w:val="24"/>
          <w:szCs w:val="24"/>
          <w:lang w:val="en-US" w:eastAsia="zh-CN"/>
        </w:rPr>
        <w:t>加盖公章</w:t>
      </w:r>
      <w:r>
        <w:rPr>
          <w:rFonts w:hint="eastAsia" w:ascii="仿宋" w:hAnsi="仿宋" w:eastAsia="仿宋" w:cs="仿宋"/>
          <w:color w:val="auto"/>
          <w:sz w:val="24"/>
          <w:szCs w:val="24"/>
          <w:lang w:eastAsia="zh-CN"/>
        </w:rPr>
        <w:t>；</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w:t>
      </w:r>
      <w:r>
        <w:rPr>
          <w:rFonts w:hint="eastAsia" w:ascii="仿宋" w:hAnsi="仿宋" w:eastAsia="仿宋" w:cs="仿宋"/>
          <w:color w:val="auto"/>
          <w:sz w:val="24"/>
          <w:szCs w:val="24"/>
        </w:rPr>
        <w:t>有法</w:t>
      </w:r>
      <w:r>
        <w:rPr>
          <w:rFonts w:hint="eastAsia" w:ascii="仿宋" w:hAnsi="仿宋" w:eastAsia="仿宋" w:cs="仿宋"/>
          <w:color w:val="auto"/>
          <w:sz w:val="24"/>
          <w:szCs w:val="24"/>
          <w:lang w:val="en-US" w:eastAsia="zh-Hans"/>
        </w:rPr>
        <w:t>定代表</w:t>
      </w:r>
      <w:r>
        <w:rPr>
          <w:rFonts w:hint="eastAsia" w:ascii="仿宋" w:hAnsi="仿宋" w:eastAsia="仿宋" w:cs="仿宋"/>
          <w:color w:val="auto"/>
          <w:sz w:val="24"/>
          <w:szCs w:val="24"/>
        </w:rPr>
        <w:t>人</w:t>
      </w:r>
      <w:r>
        <w:rPr>
          <w:rFonts w:hint="eastAsia" w:ascii="仿宋" w:hAnsi="仿宋" w:eastAsia="仿宋" w:cs="仿宋"/>
          <w:color w:val="auto"/>
          <w:sz w:val="24"/>
          <w:szCs w:val="24"/>
          <w:lang w:val="en-US" w:eastAsia="zh-CN"/>
        </w:rPr>
        <w:t>签名的</w:t>
      </w:r>
      <w:r>
        <w:rPr>
          <w:rFonts w:hint="eastAsia" w:ascii="仿宋" w:hAnsi="仿宋" w:eastAsia="仿宋" w:cs="仿宋"/>
          <w:color w:val="auto"/>
          <w:sz w:val="24"/>
          <w:szCs w:val="24"/>
        </w:rPr>
        <w:t>介绍信或委托函</w:t>
      </w:r>
      <w:r>
        <w:rPr>
          <w:rFonts w:hint="eastAsia" w:ascii="仿宋" w:hAnsi="仿宋" w:eastAsia="仿宋" w:cs="仿宋"/>
          <w:color w:val="auto"/>
          <w:sz w:val="24"/>
          <w:szCs w:val="24"/>
          <w:lang w:val="en-US" w:eastAsia="zh-CN"/>
        </w:rPr>
        <w:t>加盖公章；</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法</w:t>
      </w:r>
      <w:r>
        <w:rPr>
          <w:rFonts w:hint="eastAsia" w:ascii="仿宋" w:hAnsi="仿宋" w:eastAsia="仿宋" w:cs="仿宋"/>
          <w:color w:val="auto"/>
          <w:sz w:val="24"/>
          <w:szCs w:val="24"/>
          <w:lang w:val="en-US" w:eastAsia="zh-Hans"/>
        </w:rPr>
        <w:t>定代表人</w:t>
      </w:r>
      <w:r>
        <w:rPr>
          <w:rFonts w:hint="eastAsia" w:ascii="仿宋" w:hAnsi="仿宋" w:eastAsia="仿宋" w:cs="仿宋"/>
          <w:color w:val="auto"/>
          <w:sz w:val="24"/>
          <w:szCs w:val="24"/>
        </w:rPr>
        <w:t>身份证复印件</w:t>
      </w:r>
      <w:r>
        <w:rPr>
          <w:rFonts w:hint="eastAsia" w:ascii="仿宋" w:hAnsi="仿宋" w:eastAsia="仿宋" w:cs="仿宋"/>
          <w:color w:val="auto"/>
          <w:sz w:val="24"/>
          <w:szCs w:val="24"/>
          <w:lang w:val="en-US" w:eastAsia="zh-CN"/>
        </w:rPr>
        <w:t>加盖公章；</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授权</w:t>
      </w:r>
      <w:r>
        <w:rPr>
          <w:rFonts w:hint="eastAsia" w:ascii="仿宋" w:hAnsi="仿宋" w:eastAsia="仿宋" w:cs="仿宋"/>
          <w:color w:val="auto"/>
          <w:sz w:val="24"/>
          <w:szCs w:val="24"/>
          <w:lang w:val="en-US" w:eastAsia="zh-CN"/>
        </w:rPr>
        <w:t>代表</w:t>
      </w:r>
      <w:r>
        <w:rPr>
          <w:rFonts w:hint="eastAsia" w:ascii="仿宋" w:hAnsi="仿宋" w:eastAsia="仿宋" w:cs="仿宋"/>
          <w:color w:val="auto"/>
          <w:sz w:val="24"/>
          <w:szCs w:val="24"/>
        </w:rPr>
        <w:t>身份证复印件加盖公章</w:t>
      </w:r>
      <w:r>
        <w:rPr>
          <w:rFonts w:hint="eastAsia" w:ascii="仿宋" w:hAnsi="仿宋" w:eastAsia="仿宋" w:cs="仿宋"/>
          <w:color w:val="auto"/>
          <w:sz w:val="24"/>
          <w:szCs w:val="24"/>
          <w:lang w:eastAsia="zh-CN"/>
        </w:rPr>
        <w:t>；</w:t>
      </w:r>
    </w:p>
    <w:p>
      <w:pPr>
        <w:pStyle w:val="276"/>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300.00元（售后不退）</w:t>
      </w:r>
    </w:p>
    <w:p>
      <w:pPr>
        <w:pStyle w:val="276"/>
        <w:tabs>
          <w:tab w:val="left" w:pos="1018"/>
        </w:tabs>
        <w:spacing w:after="0" w:line="360" w:lineRule="auto"/>
        <w:ind w:firstLine="0"/>
        <w:jc w:val="left"/>
        <w:rPr>
          <w:rFonts w:hint="eastAsia" w:ascii="仿宋" w:hAnsi="仿宋" w:eastAsia="仿宋" w:cs="仿宋"/>
          <w:b/>
          <w:bCs/>
          <w:color w:val="auto"/>
          <w:sz w:val="28"/>
          <w:szCs w:val="28"/>
        </w:rPr>
      </w:pPr>
      <w:bookmarkStart w:id="11" w:name="bookmark52"/>
      <w:r>
        <w:rPr>
          <w:rFonts w:hint="eastAsia" w:ascii="仿宋" w:hAnsi="仿宋" w:eastAsia="仿宋" w:cs="仿宋"/>
          <w:b/>
          <w:bCs/>
          <w:color w:val="auto"/>
          <w:sz w:val="28"/>
          <w:szCs w:val="28"/>
        </w:rPr>
        <w:t>四</w:t>
      </w:r>
      <w:bookmarkEnd w:id="11"/>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投标</w:t>
      </w:r>
      <w:r>
        <w:rPr>
          <w:rFonts w:hint="eastAsia" w:ascii="仿宋" w:hAnsi="仿宋" w:eastAsia="仿宋" w:cs="仿宋"/>
          <w:b/>
          <w:bCs/>
          <w:color w:val="auto"/>
          <w:sz w:val="28"/>
          <w:szCs w:val="28"/>
        </w:rPr>
        <w:t>文件提交</w:t>
      </w:r>
    </w:p>
    <w:p>
      <w:pPr>
        <w:pStyle w:val="276"/>
        <w:spacing w:after="0"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 xml:space="preserve">  10 </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 xml:space="preserve"> 18 日08</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27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bookmarkStart w:id="12" w:name="bookmark53"/>
      <w:r>
        <w:rPr>
          <w:rFonts w:hint="eastAsia" w:ascii="仿宋" w:hAnsi="仿宋" w:eastAsia="仿宋" w:cs="仿宋"/>
          <w:color w:val="auto"/>
          <w:sz w:val="24"/>
        </w:rPr>
        <w:t>海口市美兰区五指山路16-3号康业花园西湖苑G栋2A。</w:t>
      </w:r>
    </w:p>
    <w:p>
      <w:pPr>
        <w:pStyle w:val="276"/>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五</w:t>
      </w:r>
      <w:bookmarkEnd w:id="12"/>
      <w:r>
        <w:rPr>
          <w:rFonts w:hint="eastAsia" w:ascii="仿宋" w:hAnsi="仿宋" w:eastAsia="仿宋" w:cs="仿宋"/>
          <w:b/>
          <w:bCs/>
          <w:color w:val="auto"/>
          <w:sz w:val="28"/>
          <w:szCs w:val="28"/>
        </w:rPr>
        <w:t>、开启</w:t>
      </w:r>
    </w:p>
    <w:p>
      <w:pPr>
        <w:pStyle w:val="276"/>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 xml:space="preserve"> 10 </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 xml:space="preserve"> 18 日08</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27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276"/>
        <w:tabs>
          <w:tab w:val="left" w:pos="1006"/>
        </w:tabs>
        <w:spacing w:after="0" w:line="360" w:lineRule="auto"/>
        <w:ind w:firstLine="0"/>
        <w:rPr>
          <w:rFonts w:hint="eastAsia" w:ascii="仿宋" w:hAnsi="仿宋" w:eastAsia="仿宋" w:cs="仿宋"/>
          <w:b/>
          <w:bCs/>
          <w:color w:val="auto"/>
          <w:sz w:val="28"/>
          <w:szCs w:val="28"/>
        </w:rPr>
      </w:pPr>
      <w:bookmarkStart w:id="13" w:name="bookmark54"/>
      <w:r>
        <w:rPr>
          <w:rFonts w:hint="eastAsia" w:ascii="仿宋" w:hAnsi="仿宋" w:eastAsia="仿宋" w:cs="仿宋"/>
          <w:b/>
          <w:bCs/>
          <w:color w:val="auto"/>
          <w:sz w:val="28"/>
          <w:szCs w:val="28"/>
        </w:rPr>
        <w:t>六</w:t>
      </w:r>
      <w:bookmarkEnd w:id="13"/>
      <w:r>
        <w:rPr>
          <w:rFonts w:hint="eastAsia" w:ascii="仿宋" w:hAnsi="仿宋" w:eastAsia="仿宋" w:cs="仿宋"/>
          <w:b/>
          <w:bCs/>
          <w:color w:val="auto"/>
          <w:sz w:val="28"/>
          <w:szCs w:val="28"/>
        </w:rPr>
        <w:t>、公告期限</w:t>
      </w:r>
    </w:p>
    <w:p>
      <w:pPr>
        <w:pStyle w:val="276"/>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5</w:t>
      </w:r>
      <w:r>
        <w:rPr>
          <w:rFonts w:hint="eastAsia" w:ascii="仿宋" w:hAnsi="仿宋" w:eastAsia="仿宋" w:cs="仿宋"/>
          <w:color w:val="auto"/>
          <w:sz w:val="24"/>
        </w:rPr>
        <w:t>个工作日。</w:t>
      </w:r>
    </w:p>
    <w:p>
      <w:pPr>
        <w:pStyle w:val="276"/>
        <w:tabs>
          <w:tab w:val="left" w:pos="1006"/>
        </w:tabs>
        <w:spacing w:after="0" w:line="360" w:lineRule="auto"/>
        <w:ind w:firstLine="0"/>
        <w:jc w:val="left"/>
        <w:rPr>
          <w:rFonts w:hint="eastAsia" w:ascii="仿宋" w:hAnsi="仿宋" w:eastAsia="仿宋" w:cs="仿宋"/>
          <w:b/>
          <w:bCs/>
          <w:color w:val="auto"/>
          <w:sz w:val="28"/>
          <w:szCs w:val="28"/>
        </w:rPr>
      </w:pPr>
      <w:bookmarkStart w:id="14" w:name="bookmark55"/>
      <w:r>
        <w:rPr>
          <w:rFonts w:hint="eastAsia" w:ascii="仿宋" w:hAnsi="仿宋" w:eastAsia="仿宋" w:cs="仿宋"/>
          <w:b/>
          <w:bCs/>
          <w:color w:val="auto"/>
          <w:sz w:val="28"/>
          <w:szCs w:val="28"/>
        </w:rPr>
        <w:t>七</w:t>
      </w:r>
      <w:bookmarkEnd w:id="14"/>
      <w:r>
        <w:rPr>
          <w:rFonts w:hint="eastAsia" w:ascii="仿宋" w:hAnsi="仿宋" w:eastAsia="仿宋" w:cs="仿宋"/>
          <w:b/>
          <w:bCs/>
          <w:color w:val="auto"/>
          <w:sz w:val="28"/>
          <w:szCs w:val="28"/>
        </w:rPr>
        <w:t>、其他补充事宜</w:t>
      </w:r>
    </w:p>
    <w:p>
      <w:pPr>
        <w:tabs>
          <w:tab w:val="left" w:pos="4680"/>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投标</w:t>
      </w:r>
      <w:r>
        <w:rPr>
          <w:rFonts w:hint="eastAsia" w:ascii="仿宋" w:hAnsi="仿宋" w:eastAsia="仿宋" w:cs="仿宋"/>
          <w:color w:val="auto"/>
          <w:sz w:val="24"/>
          <w:lang w:eastAsia="zh-CN"/>
        </w:rPr>
        <w:t>保证金：¥</w:t>
      </w:r>
      <w:r>
        <w:rPr>
          <w:rFonts w:hint="eastAsia" w:ascii="仿宋" w:hAnsi="仿宋" w:eastAsia="仿宋" w:cs="仿宋"/>
          <w:color w:val="auto"/>
          <w:sz w:val="24"/>
          <w:lang w:val="en-US" w:eastAsia="zh-CN"/>
        </w:rPr>
        <w:t>21601.00</w:t>
      </w:r>
      <w:r>
        <w:rPr>
          <w:rFonts w:hint="eastAsia" w:ascii="仿宋" w:hAnsi="仿宋" w:eastAsia="仿宋" w:cs="仿宋"/>
          <w:color w:val="auto"/>
          <w:sz w:val="24"/>
          <w:lang w:eastAsia="zh-CN"/>
        </w:rPr>
        <w:t>元</w:t>
      </w:r>
      <w:r>
        <w:rPr>
          <w:rFonts w:hint="eastAsia" w:ascii="仿宋" w:hAnsi="仿宋" w:eastAsia="仿宋" w:cs="仿宋"/>
          <w:color w:val="auto"/>
          <w:sz w:val="24"/>
        </w:rPr>
        <w:t>，</w:t>
      </w:r>
      <w:r>
        <w:rPr>
          <w:rFonts w:hint="eastAsia" w:ascii="仿宋" w:hAnsi="仿宋" w:eastAsia="仿宋" w:cs="仿宋"/>
          <w:color w:val="auto"/>
          <w:sz w:val="24"/>
          <w:lang w:val="en-US" w:eastAsia="zh-CN"/>
        </w:rPr>
        <w:t>投标</w:t>
      </w:r>
      <w:r>
        <w:rPr>
          <w:rFonts w:hint="eastAsia" w:ascii="仿宋" w:hAnsi="仿宋" w:eastAsia="仿宋" w:cs="仿宋"/>
          <w:color w:val="auto"/>
          <w:sz w:val="24"/>
        </w:rPr>
        <w:t>保证金应在</w:t>
      </w:r>
      <w:r>
        <w:rPr>
          <w:rFonts w:hint="eastAsia" w:ascii="仿宋" w:hAnsi="仿宋" w:eastAsia="仿宋" w:cs="仿宋"/>
          <w:color w:val="auto"/>
          <w:sz w:val="24"/>
          <w:lang w:val="en-US" w:eastAsia="zh-CN"/>
        </w:rPr>
        <w:t>投标</w:t>
      </w:r>
      <w:r>
        <w:rPr>
          <w:rFonts w:hint="eastAsia" w:ascii="仿宋" w:hAnsi="仿宋" w:eastAsia="仿宋" w:cs="仿宋"/>
          <w:color w:val="auto"/>
          <w:sz w:val="24"/>
        </w:rPr>
        <w:t>文件提交截止时间前转入采购代理机构以下账户并注明汇款单位、项目编号或项目名称（如有分包，则同时注明包号），或可选择以支票、汇票、本票或者金融机构、担保机构出具的保函等非现金形式提交。</w:t>
      </w:r>
    </w:p>
    <w:p>
      <w:pPr>
        <w:pStyle w:val="27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户  名：海南政辉招投标代理有限公司</w:t>
      </w:r>
    </w:p>
    <w:p>
      <w:pPr>
        <w:pStyle w:val="27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开户行：中国工商银行股份有限公司海口新华支行</w:t>
      </w:r>
    </w:p>
    <w:p>
      <w:pPr>
        <w:pStyle w:val="276"/>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账  户：2201023809200980178</w:t>
      </w:r>
    </w:p>
    <w:p>
      <w:pPr>
        <w:tabs>
          <w:tab w:val="left" w:pos="4680"/>
        </w:tabs>
        <w:snapToGrid w:val="0"/>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2、公告发布媒介：</w:t>
      </w:r>
      <w:r>
        <w:rPr>
          <w:rFonts w:hint="eastAsia" w:ascii="仿宋" w:hAnsi="仿宋" w:eastAsia="仿宋" w:cs="仿宋"/>
          <w:color w:val="auto"/>
          <w:sz w:val="24"/>
          <w:szCs w:val="22"/>
          <w:lang w:eastAsia="zh-CN"/>
        </w:rPr>
        <w:t>全国公共资源交易平台（海南省）、海南省政府采购网、海南农业信息网</w:t>
      </w:r>
    </w:p>
    <w:p>
      <w:pPr>
        <w:pStyle w:val="276"/>
        <w:tabs>
          <w:tab w:val="left" w:pos="1006"/>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八、凡对本次</w:t>
      </w:r>
      <w:r>
        <w:rPr>
          <w:rFonts w:hint="eastAsia" w:ascii="仿宋" w:hAnsi="仿宋" w:eastAsia="仿宋" w:cs="仿宋"/>
          <w:b/>
          <w:bCs/>
          <w:color w:val="auto"/>
          <w:sz w:val="28"/>
          <w:szCs w:val="28"/>
          <w:lang w:eastAsia="zh-CN"/>
        </w:rPr>
        <w:t>采</w:t>
      </w:r>
      <w:r>
        <w:rPr>
          <w:rFonts w:hint="eastAsia" w:ascii="仿宋" w:hAnsi="仿宋" w:eastAsia="仿宋" w:cs="仿宋"/>
          <w:b/>
          <w:bCs/>
          <w:color w:val="auto"/>
          <w:sz w:val="28"/>
          <w:szCs w:val="28"/>
        </w:rPr>
        <w:t>购提出询问，请按以下方式联系</w:t>
      </w:r>
    </w:p>
    <w:p>
      <w:pPr>
        <w:pStyle w:val="276"/>
        <w:tabs>
          <w:tab w:val="left" w:pos="1551"/>
        </w:tabs>
        <w:spacing w:after="0" w:line="360" w:lineRule="auto"/>
        <w:ind w:firstLine="480" w:firstLineChars="200"/>
        <w:jc w:val="left"/>
        <w:rPr>
          <w:rFonts w:hint="eastAsia" w:ascii="仿宋" w:hAnsi="仿宋" w:eastAsia="仿宋" w:cs="仿宋"/>
          <w:color w:val="auto"/>
          <w:sz w:val="24"/>
        </w:rPr>
      </w:pPr>
      <w:bookmarkStart w:id="15" w:name="bookmark57"/>
      <w:bookmarkEnd w:id="15"/>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采</w:t>
      </w:r>
      <w:r>
        <w:rPr>
          <w:rFonts w:hint="eastAsia" w:ascii="仿宋" w:hAnsi="仿宋" w:eastAsia="仿宋" w:cs="仿宋"/>
          <w:color w:val="auto"/>
          <w:sz w:val="24"/>
        </w:rPr>
        <w:t>购人信息</w:t>
      </w:r>
    </w:p>
    <w:p>
      <w:pPr>
        <w:pStyle w:val="276"/>
        <w:tabs>
          <w:tab w:val="left" w:pos="5664"/>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eastAsia="zh-CN"/>
        </w:rPr>
        <w:t xml:space="preserve">海南省现代农业检验检测预警防控中心 </w:t>
      </w:r>
    </w:p>
    <w:p>
      <w:pPr>
        <w:pStyle w:val="276"/>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 xml:space="preserve">  海口市兴丹路16号        </w:t>
      </w:r>
    </w:p>
    <w:p>
      <w:pPr>
        <w:pStyle w:val="276"/>
        <w:tabs>
          <w:tab w:val="left" w:pos="5678"/>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 </w:t>
      </w:r>
      <w:r>
        <w:rPr>
          <w:rFonts w:hint="eastAsia" w:ascii="仿宋" w:hAnsi="仿宋" w:eastAsia="仿宋" w:cs="仿宋"/>
          <w:i w:val="0"/>
          <w:iCs w:val="0"/>
          <w:color w:val="auto"/>
          <w:spacing w:val="0"/>
          <w:w w:val="100"/>
          <w:position w:val="0"/>
          <w:sz w:val="24"/>
          <w:szCs w:val="24"/>
          <w:u w:val="single"/>
          <w:lang w:val="en-US" w:eastAsia="zh-CN"/>
        </w:rPr>
        <w:t xml:space="preserve">0898-65801080 </w:t>
      </w:r>
      <w:r>
        <w:rPr>
          <w:rFonts w:hint="eastAsia" w:ascii="仿宋" w:hAnsi="仿宋" w:eastAsia="仿宋" w:cs="仿宋"/>
          <w:color w:val="auto"/>
          <w:sz w:val="24"/>
          <w:u w:val="single"/>
          <w:lang w:val="en-US" w:eastAsia="zh-CN"/>
        </w:rPr>
        <w:t xml:space="preserve">          </w:t>
      </w:r>
    </w:p>
    <w:p>
      <w:pPr>
        <w:pStyle w:val="276"/>
        <w:tabs>
          <w:tab w:val="left" w:pos="5678"/>
        </w:tabs>
        <w:spacing w:after="0" w:line="360" w:lineRule="auto"/>
        <w:ind w:firstLine="480" w:firstLineChars="200"/>
        <w:jc w:val="left"/>
        <w:rPr>
          <w:rFonts w:hint="eastAsia" w:ascii="仿宋" w:hAnsi="仿宋" w:eastAsia="仿宋" w:cs="仿宋"/>
          <w:color w:val="auto"/>
          <w:sz w:val="24"/>
          <w:lang w:val="en-US"/>
        </w:rPr>
      </w:pPr>
      <w:r>
        <w:rPr>
          <w:rFonts w:hint="eastAsia" w:ascii="仿宋" w:hAnsi="仿宋" w:eastAsia="仿宋" w:cs="仿宋"/>
          <w:color w:val="auto"/>
          <w:sz w:val="24"/>
        </w:rPr>
        <w:t>联系方式：</w:t>
      </w:r>
      <w:r>
        <w:rPr>
          <w:rFonts w:hint="eastAsia" w:ascii="仿宋" w:hAnsi="仿宋" w:eastAsia="仿宋" w:cs="仿宋"/>
          <w:color w:val="auto"/>
          <w:sz w:val="24"/>
          <w:u w:val="single"/>
          <w:lang w:eastAsia="zh-CN"/>
        </w:rPr>
        <w:t>伍女士</w:t>
      </w:r>
      <w:r>
        <w:rPr>
          <w:rFonts w:hint="eastAsia" w:ascii="仿宋" w:hAnsi="仿宋" w:eastAsia="仿宋" w:cs="仿宋"/>
          <w:color w:val="auto"/>
          <w:sz w:val="24"/>
          <w:u w:val="single"/>
          <w:lang w:val="en-US" w:eastAsia="zh-CN"/>
        </w:rPr>
        <w:t xml:space="preserve">  </w:t>
      </w:r>
    </w:p>
    <w:p>
      <w:pPr>
        <w:pStyle w:val="276"/>
        <w:tabs>
          <w:tab w:val="left" w:pos="1573"/>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采</w:t>
      </w:r>
      <w:r>
        <w:rPr>
          <w:rFonts w:hint="eastAsia" w:ascii="仿宋" w:hAnsi="仿宋" w:eastAsia="仿宋" w:cs="仿宋"/>
          <w:color w:val="auto"/>
          <w:sz w:val="24"/>
        </w:rPr>
        <w:t>购代理机构信息</w:t>
      </w:r>
    </w:p>
    <w:p>
      <w:pPr>
        <w:pStyle w:val="276"/>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w:t>
      </w:r>
      <w:r>
        <w:rPr>
          <w:rFonts w:hint="eastAsia" w:ascii="仿宋" w:hAnsi="仿宋" w:eastAsia="仿宋" w:cs="仿宋"/>
          <w:color w:val="auto"/>
          <w:sz w:val="24"/>
        </w:rPr>
        <w:t xml:space="preserve"> 称：</w:t>
      </w:r>
      <w:r>
        <w:rPr>
          <w:rFonts w:hint="eastAsia" w:ascii="仿宋" w:hAnsi="仿宋" w:eastAsia="仿宋" w:cs="仿宋"/>
          <w:color w:val="auto"/>
          <w:sz w:val="24"/>
          <w:u w:val="single"/>
          <w:lang w:val="en-US" w:eastAsia="zh-CN"/>
        </w:rPr>
        <w:t>海南政辉招投标代理有限公司</w:t>
      </w:r>
    </w:p>
    <w:p>
      <w:pPr>
        <w:pStyle w:val="276"/>
        <w:tabs>
          <w:tab w:val="left" w:pos="567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海口市美兰区五指山路16-3号康业花园西湖苑G栋2A</w:t>
      </w:r>
    </w:p>
    <w:p>
      <w:pPr>
        <w:pStyle w:val="276"/>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u w:val="none"/>
          <w:lang w:val="en-US" w:eastAsia="zh-CN"/>
        </w:rPr>
        <w:t>邮 箱：</w:t>
      </w:r>
      <w:r>
        <w:rPr>
          <w:rFonts w:hint="eastAsia" w:ascii="仿宋" w:hAnsi="仿宋" w:eastAsia="仿宋" w:cs="仿宋"/>
          <w:color w:val="auto"/>
          <w:sz w:val="24"/>
          <w:szCs w:val="24"/>
          <w:u w:val="single"/>
          <w:lang w:val="en-US" w:eastAsia="zh-CN"/>
        </w:rPr>
        <w:fldChar w:fldCharType="begin"/>
      </w:r>
      <w:r>
        <w:rPr>
          <w:rFonts w:hint="eastAsia" w:ascii="仿宋" w:hAnsi="仿宋" w:eastAsia="仿宋" w:cs="仿宋"/>
          <w:color w:val="auto"/>
          <w:sz w:val="24"/>
          <w:szCs w:val="24"/>
          <w:u w:val="single"/>
          <w:lang w:val="en-US" w:eastAsia="zh-CN"/>
        </w:rPr>
        <w:instrText xml:space="preserve"> HYPERLINK "mailto:hnzhztb@163.com" </w:instrText>
      </w:r>
      <w:r>
        <w:rPr>
          <w:rFonts w:hint="eastAsia" w:ascii="仿宋" w:hAnsi="仿宋" w:eastAsia="仿宋" w:cs="仿宋"/>
          <w:color w:val="auto"/>
          <w:sz w:val="24"/>
          <w:szCs w:val="24"/>
          <w:u w:val="single"/>
          <w:lang w:val="en-US" w:eastAsia="zh-CN"/>
        </w:rPr>
        <w:fldChar w:fldCharType="separate"/>
      </w:r>
      <w:r>
        <w:rPr>
          <w:rFonts w:hint="eastAsia" w:ascii="仿宋" w:hAnsi="仿宋" w:eastAsia="仿宋" w:cs="仿宋"/>
          <w:color w:val="auto"/>
          <w:sz w:val="24"/>
          <w:szCs w:val="24"/>
          <w:u w:val="single"/>
          <w:lang w:val="en-US" w:eastAsia="zh-CN"/>
        </w:rPr>
        <w:t>hnzhztb@163.com</w:t>
      </w:r>
      <w:r>
        <w:rPr>
          <w:rFonts w:hint="eastAsia" w:ascii="仿宋" w:hAnsi="仿宋" w:eastAsia="仿宋" w:cs="仿宋"/>
          <w:color w:val="auto"/>
          <w:sz w:val="24"/>
          <w:szCs w:val="24"/>
          <w:u w:val="single"/>
          <w:lang w:val="en-US" w:eastAsia="zh-CN"/>
        </w:rPr>
        <w:fldChar w:fldCharType="end"/>
      </w:r>
    </w:p>
    <w:p>
      <w:pPr>
        <w:pStyle w:val="276"/>
        <w:tabs>
          <w:tab w:val="left" w:pos="5686"/>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rPr>
        <w:t>0898-66557609</w:t>
      </w:r>
    </w:p>
    <w:p>
      <w:pPr>
        <w:pStyle w:val="276"/>
        <w:tabs>
          <w:tab w:val="left" w:pos="1573"/>
        </w:tabs>
        <w:spacing w:after="0" w:line="360" w:lineRule="auto"/>
        <w:ind w:firstLine="480" w:firstLineChars="200"/>
        <w:jc w:val="left"/>
        <w:rPr>
          <w:rFonts w:hint="eastAsia" w:ascii="仿宋" w:hAnsi="仿宋" w:eastAsia="仿宋" w:cs="仿宋"/>
          <w:color w:val="auto"/>
          <w:sz w:val="24"/>
        </w:rPr>
      </w:pPr>
      <w:bookmarkStart w:id="16" w:name="bookmark59"/>
      <w:bookmarkEnd w:id="16"/>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276"/>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张工</w:t>
      </w:r>
    </w:p>
    <w:p>
      <w:pPr>
        <w:snapToGrid w:val="0"/>
        <w:spacing w:after="100" w:afterAutospacing="1" w:line="360" w:lineRule="auto"/>
        <w:ind w:firstLine="480" w:firstLineChars="200"/>
        <w:rPr>
          <w:rFonts w:hint="eastAsia" w:ascii="仿宋" w:hAnsi="仿宋" w:eastAsia="仿宋" w:cs="仿宋"/>
          <w:b/>
          <w:color w:val="auto"/>
          <w:sz w:val="44"/>
          <w:szCs w:val="44"/>
          <w:lang w:val="en-US" w:eastAsia="zh-CN"/>
        </w:rPr>
      </w:pPr>
      <w:r>
        <w:rPr>
          <w:rFonts w:hint="eastAsia" w:ascii="仿宋" w:hAnsi="仿宋" w:eastAsia="仿宋" w:cs="仿宋"/>
          <w:color w:val="auto"/>
          <w:sz w:val="24"/>
        </w:rPr>
        <w:t>电话：</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0898-66557609</w:t>
      </w:r>
      <w:r>
        <w:rPr>
          <w:rFonts w:hint="eastAsia" w:ascii="仿宋" w:hAnsi="仿宋" w:eastAsia="仿宋" w:cs="仿宋"/>
          <w:color w:val="auto"/>
          <w:sz w:val="24"/>
          <w:u w:val="single"/>
          <w:lang w:val="en-US" w:eastAsia="zh-CN"/>
        </w:rPr>
        <w:t xml:space="preserve">      </w:t>
      </w:r>
    </w:p>
    <w:p>
      <w:pPr>
        <w:pStyle w:val="276"/>
        <w:numPr>
          <w:ilvl w:val="0"/>
          <w:numId w:val="0"/>
        </w:numPr>
        <w:tabs>
          <w:tab w:val="left" w:pos="1006"/>
        </w:tabs>
        <w:wordWrap w:val="0"/>
        <w:spacing w:after="0" w:line="360" w:lineRule="auto"/>
        <w:jc w:val="left"/>
        <w:rPr>
          <w:rFonts w:hint="eastAsia" w:ascii="仿宋" w:hAnsi="仿宋" w:eastAsia="仿宋" w:cs="仿宋"/>
          <w:color w:val="auto"/>
          <w:sz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Cs/>
          <w:color w:val="auto"/>
          <w:sz w:val="24"/>
        </w:rPr>
        <w:br w:type="page"/>
      </w:r>
      <w:bookmarkStart w:id="17" w:name="_Toc264213354"/>
      <w:bookmarkStart w:id="18" w:name="_Toc20442"/>
      <w:r>
        <w:rPr>
          <w:rFonts w:hint="eastAsia" w:ascii="仿宋" w:hAnsi="仿宋" w:eastAsia="仿宋" w:cs="仿宋"/>
          <w:b/>
          <w:color w:val="auto"/>
          <w:sz w:val="44"/>
          <w:szCs w:val="44"/>
        </w:rPr>
        <w:t>第二章  投标人须知</w:t>
      </w:r>
      <w:bookmarkEnd w:id="17"/>
      <w:bookmarkEnd w:id="18"/>
    </w:p>
    <w:p>
      <w:pPr>
        <w:bidi w:val="0"/>
        <w:jc w:val="center"/>
        <w:rPr>
          <w:rFonts w:hint="eastAsia" w:ascii="仿宋" w:hAnsi="仿宋" w:eastAsia="仿宋" w:cs="仿宋"/>
          <w:b/>
          <w:bCs/>
          <w:color w:val="auto"/>
          <w:sz w:val="32"/>
          <w:szCs w:val="32"/>
          <w:lang w:val="en-US" w:eastAsia="zh-CN"/>
        </w:rPr>
      </w:pPr>
      <w:bookmarkStart w:id="19" w:name="_Toc5183"/>
      <w:bookmarkStart w:id="20" w:name="_Toc222711785"/>
      <w:bookmarkStart w:id="21" w:name="_Toc264213355"/>
      <w:bookmarkStart w:id="22" w:name="_Toc264182541"/>
    </w:p>
    <w:p>
      <w:pPr>
        <w:bidi w:val="0"/>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前 附 表</w:t>
      </w:r>
      <w:bookmarkEnd w:id="19"/>
      <w:bookmarkEnd w:id="20"/>
    </w:p>
    <w:p>
      <w:pPr>
        <w:rPr>
          <w:rFonts w:hint="eastAsia" w:ascii="仿宋" w:hAnsi="仿宋" w:eastAsia="仿宋" w:cs="仿宋"/>
          <w:color w:val="auto"/>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80"/>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项目</w:t>
            </w:r>
          </w:p>
        </w:tc>
        <w:tc>
          <w:tcPr>
            <w:tcW w:w="6197"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项目名称及招标</w:t>
            </w:r>
          </w:p>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编号</w:t>
            </w:r>
          </w:p>
        </w:tc>
        <w:tc>
          <w:tcPr>
            <w:tcW w:w="6197" w:type="dxa"/>
            <w:vAlign w:val="center"/>
          </w:tcPr>
          <w:p>
            <w:pPr>
              <w:rPr>
                <w:rFonts w:hint="eastAsia" w:ascii="仿宋" w:hAnsi="仿宋" w:eastAsia="仿宋" w:cs="仿宋"/>
                <w:color w:val="auto"/>
                <w:sz w:val="24"/>
                <w:szCs w:val="24"/>
                <w:shd w:val="clear" w:color="auto" w:fill="FFFFFF"/>
                <w:lang w:eastAsia="zh-CN"/>
              </w:rPr>
            </w:pPr>
            <w:r>
              <w:rPr>
                <w:rFonts w:hint="eastAsia" w:ascii="仿宋" w:hAnsi="仿宋" w:eastAsia="仿宋" w:cs="仿宋"/>
                <w:color w:val="auto"/>
                <w:sz w:val="24"/>
                <w:szCs w:val="24"/>
                <w:shd w:val="clear" w:color="auto" w:fill="FFFFFF"/>
                <w:lang w:eastAsia="zh-CN"/>
              </w:rPr>
              <w:t>海南省农业农村厅2021年度信息系统运维项目</w:t>
            </w:r>
          </w:p>
          <w:p>
            <w:pP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HNZH-2021-241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2</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采购人</w:t>
            </w:r>
          </w:p>
        </w:tc>
        <w:tc>
          <w:tcPr>
            <w:tcW w:w="6197" w:type="dxa"/>
            <w:vAlign w:val="center"/>
          </w:tcPr>
          <w:p>
            <w:pPr>
              <w:pStyle w:val="276"/>
              <w:tabs>
                <w:tab w:val="left" w:pos="5664"/>
              </w:tabs>
              <w:spacing w:after="0" w:line="360" w:lineRule="auto"/>
              <w:ind w:left="0" w:leftChars="0" w:firstLine="0" w:firstLineChars="0"/>
              <w:jc w:val="left"/>
              <w:rPr>
                <w:rFonts w:hint="eastAsia" w:ascii="仿宋" w:hAnsi="仿宋" w:eastAsia="仿宋" w:cs="仿宋"/>
                <w:color w:val="auto"/>
                <w:sz w:val="24"/>
                <w:lang w:val="en-US"/>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eastAsia="zh-CN"/>
              </w:rPr>
              <w:t xml:space="preserve">海南省现代农业检验检测预警防控中心 </w:t>
            </w:r>
          </w:p>
          <w:p>
            <w:pPr>
              <w:pStyle w:val="276"/>
              <w:tabs>
                <w:tab w:val="left" w:pos="5671"/>
              </w:tabs>
              <w:spacing w:after="0" w:line="360" w:lineRule="auto"/>
              <w:ind w:left="0" w:leftChars="0" w:firstLine="0" w:firstLineChars="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 xml:space="preserve">  海口市兴丹路16号        </w:t>
            </w:r>
          </w:p>
          <w:p>
            <w:pPr>
              <w:pStyle w:val="276"/>
              <w:tabs>
                <w:tab w:val="left" w:pos="5678"/>
              </w:tabs>
              <w:spacing w:after="0" w:line="360" w:lineRule="auto"/>
              <w:ind w:left="0" w:leftChars="0" w:firstLine="0" w:firstLineChars="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 </w:t>
            </w:r>
            <w:r>
              <w:rPr>
                <w:rFonts w:hint="eastAsia" w:ascii="仿宋" w:hAnsi="仿宋" w:eastAsia="仿宋" w:cs="仿宋"/>
                <w:i w:val="0"/>
                <w:iCs w:val="0"/>
                <w:color w:val="auto"/>
                <w:spacing w:val="0"/>
                <w:w w:val="100"/>
                <w:position w:val="0"/>
                <w:sz w:val="24"/>
                <w:szCs w:val="24"/>
                <w:u w:val="single"/>
                <w:lang w:val="en-US" w:eastAsia="zh-CN"/>
              </w:rPr>
              <w:t xml:space="preserve">0898-65801080 </w:t>
            </w:r>
            <w:r>
              <w:rPr>
                <w:rFonts w:hint="eastAsia" w:ascii="仿宋" w:hAnsi="仿宋" w:eastAsia="仿宋" w:cs="仿宋"/>
                <w:color w:val="auto"/>
                <w:sz w:val="24"/>
                <w:u w:val="single"/>
                <w:lang w:val="en-US" w:eastAsia="zh-CN"/>
              </w:rPr>
              <w:t xml:space="preserve">          </w:t>
            </w:r>
          </w:p>
          <w:p>
            <w:pPr>
              <w:pStyle w:val="276"/>
              <w:tabs>
                <w:tab w:val="left" w:pos="5678"/>
              </w:tabs>
              <w:spacing w:after="0" w:line="360" w:lineRule="auto"/>
              <w:ind w:left="0" w:leftChars="0" w:firstLine="0" w:firstLineChars="0"/>
              <w:jc w:val="left"/>
              <w:rPr>
                <w:rFonts w:hint="eastAsia" w:ascii="仿宋" w:hAnsi="仿宋" w:eastAsia="仿宋" w:cs="仿宋"/>
                <w:bCs/>
                <w:color w:val="auto"/>
                <w:sz w:val="24"/>
                <w:szCs w:val="24"/>
                <w:lang w:eastAsia="zh-CN"/>
              </w:rPr>
            </w:pPr>
            <w:r>
              <w:rPr>
                <w:rFonts w:hint="eastAsia" w:ascii="仿宋" w:hAnsi="仿宋" w:eastAsia="仿宋" w:cs="仿宋"/>
                <w:color w:val="auto"/>
                <w:sz w:val="24"/>
              </w:rPr>
              <w:t>联系方式：</w:t>
            </w:r>
            <w:r>
              <w:rPr>
                <w:rFonts w:hint="eastAsia" w:ascii="仿宋" w:hAnsi="仿宋" w:eastAsia="仿宋" w:cs="仿宋"/>
                <w:color w:val="auto"/>
                <w:sz w:val="24"/>
                <w:u w:val="single"/>
                <w:lang w:eastAsia="zh-CN"/>
              </w:rPr>
              <w:t>伍女士</w:t>
            </w:r>
            <w:r>
              <w:rPr>
                <w:rFonts w:hint="eastAsia" w:ascii="仿宋" w:hAnsi="仿宋" w:eastAsia="仿宋" w:cs="仿宋"/>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3</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招标方式</w:t>
            </w:r>
          </w:p>
        </w:tc>
        <w:tc>
          <w:tcPr>
            <w:tcW w:w="6197"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4</w:t>
            </w:r>
          </w:p>
        </w:tc>
        <w:tc>
          <w:tcPr>
            <w:tcW w:w="2180" w:type="dxa"/>
            <w:vAlign w:val="center"/>
          </w:tcPr>
          <w:p>
            <w:pPr>
              <w:spacing w:line="360" w:lineRule="exact"/>
              <w:jc w:val="center"/>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采购预算</w:t>
            </w:r>
          </w:p>
        </w:tc>
        <w:tc>
          <w:tcPr>
            <w:tcW w:w="6197"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人民币</w:t>
            </w:r>
            <w:r>
              <w:rPr>
                <w:rFonts w:hint="eastAsia" w:ascii="仿宋" w:hAnsi="仿宋" w:eastAsia="仿宋" w:cs="仿宋"/>
                <w:color w:val="auto"/>
                <w:sz w:val="24"/>
                <w:szCs w:val="24"/>
                <w:shd w:val="clear" w:color="auto" w:fill="FFFFFF"/>
                <w:lang w:val="en-US" w:eastAsia="zh-CN"/>
              </w:rPr>
              <w:t>2160100.00元</w:t>
            </w:r>
            <w:r>
              <w:rPr>
                <w:rFonts w:hint="eastAsia" w:ascii="仿宋" w:hAnsi="仿宋" w:eastAsia="仿宋" w:cs="仿宋"/>
                <w:color w:val="auto"/>
                <w:sz w:val="24"/>
                <w:szCs w:val="24"/>
                <w:shd w:val="clear" w:color="auto" w:fill="FFFFFF"/>
              </w:rPr>
              <w:t>。超过采购预算金额的投标文件按无效投标处理。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5</w:t>
            </w:r>
          </w:p>
        </w:tc>
        <w:tc>
          <w:tcPr>
            <w:tcW w:w="2180" w:type="dxa"/>
            <w:vAlign w:val="center"/>
          </w:tcPr>
          <w:p>
            <w:pPr>
              <w:spacing w:line="360" w:lineRule="exact"/>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u w:val="none"/>
                <w:vertAlign w:val="baseline"/>
                <w:lang w:val="en-US" w:eastAsia="zh-CN"/>
              </w:rPr>
              <w:t>合同履行期限（</w:t>
            </w:r>
            <w:r>
              <w:rPr>
                <w:rFonts w:hint="eastAsia" w:ascii="仿宋" w:hAnsi="仿宋" w:eastAsia="仿宋" w:cs="仿宋"/>
                <w:color w:val="auto"/>
              </w:rPr>
              <w:t>服务期限</w:t>
            </w:r>
            <w:r>
              <w:rPr>
                <w:rFonts w:hint="eastAsia" w:ascii="仿宋" w:hAnsi="仿宋" w:eastAsia="仿宋" w:cs="仿宋"/>
                <w:color w:val="auto"/>
                <w:sz w:val="24"/>
                <w:szCs w:val="24"/>
                <w:u w:val="none"/>
                <w:vertAlign w:val="baseline"/>
                <w:lang w:val="en-US" w:eastAsia="zh-CN"/>
              </w:rPr>
              <w:t>）</w:t>
            </w:r>
          </w:p>
        </w:tc>
        <w:tc>
          <w:tcPr>
            <w:tcW w:w="6197" w:type="dxa"/>
            <w:vAlign w:val="center"/>
          </w:tcPr>
          <w:p>
            <w:pPr>
              <w:rPr>
                <w:rFonts w:hint="eastAsia" w:ascii="仿宋" w:hAnsi="仿宋" w:eastAsia="仿宋" w:cs="仿宋"/>
                <w:color w:val="auto"/>
                <w:sz w:val="24"/>
                <w:szCs w:val="24"/>
                <w:shd w:val="clear" w:color="auto" w:fill="FFFFFF"/>
                <w:lang w:eastAsia="zh-CN"/>
              </w:rPr>
            </w:pP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color w:val="auto"/>
                <w:sz w:val="24"/>
                <w:szCs w:val="22"/>
                <w:lang w:val="en-US" w:eastAsia="zh-CN"/>
              </w:rPr>
              <w:t xml:space="preserve"> 1年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6</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评标办法</w:t>
            </w:r>
          </w:p>
        </w:tc>
        <w:tc>
          <w:tcPr>
            <w:tcW w:w="6197" w:type="dxa"/>
            <w:vAlign w:val="center"/>
          </w:tcPr>
          <w:p>
            <w:pPr>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7</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投标文件有效期</w:t>
            </w:r>
          </w:p>
        </w:tc>
        <w:tc>
          <w:tcPr>
            <w:tcW w:w="6197" w:type="dxa"/>
            <w:vAlign w:val="center"/>
          </w:tcPr>
          <w:p>
            <w:pPr>
              <w:pStyle w:val="38"/>
              <w:snapToGrid w:val="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自投标文件递交截止之日起</w:t>
            </w:r>
            <w:r>
              <w:rPr>
                <w:rFonts w:hint="eastAsia" w:ascii="仿宋" w:hAnsi="仿宋" w:eastAsia="仿宋" w:cs="仿宋"/>
                <w:bCs/>
                <w:color w:val="auto"/>
                <w:sz w:val="24"/>
                <w:szCs w:val="24"/>
                <w:u w:val="single"/>
              </w:rPr>
              <w:t xml:space="preserve"> 60 </w:t>
            </w:r>
            <w:r>
              <w:rPr>
                <w:rFonts w:hint="eastAsia" w:ascii="仿宋" w:hAnsi="仿宋" w:eastAsia="仿宋" w:cs="仿宋"/>
                <w:bCs/>
                <w:color w:val="auto"/>
                <w:sz w:val="24"/>
                <w:szCs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8</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投标保证金</w:t>
            </w:r>
          </w:p>
        </w:tc>
        <w:tc>
          <w:tcPr>
            <w:tcW w:w="6197" w:type="dxa"/>
            <w:vAlign w:val="center"/>
          </w:tcPr>
          <w:p>
            <w:pPr>
              <w:pStyle w:val="38"/>
              <w:snapToGrid w:val="0"/>
              <w:spacing w:before="0" w:beforeAutospacing="0" w:after="0" w:afterAutospacing="0" w:line="360" w:lineRule="exac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投标</w:t>
            </w:r>
            <w:r>
              <w:rPr>
                <w:rFonts w:hint="eastAsia" w:ascii="仿宋" w:hAnsi="仿宋" w:eastAsia="仿宋" w:cs="仿宋"/>
                <w:bCs/>
                <w:color w:val="auto"/>
                <w:sz w:val="24"/>
                <w:szCs w:val="24"/>
                <w:lang w:eastAsia="zh-CN"/>
              </w:rPr>
              <w:t>保证金：¥</w:t>
            </w:r>
            <w:r>
              <w:rPr>
                <w:rFonts w:hint="eastAsia" w:ascii="仿宋" w:hAnsi="仿宋" w:eastAsia="仿宋" w:cs="仿宋"/>
                <w:bCs/>
                <w:color w:val="auto"/>
                <w:sz w:val="24"/>
                <w:szCs w:val="24"/>
                <w:lang w:val="en-US" w:eastAsia="zh-CN"/>
              </w:rPr>
              <w:t>21601.00</w:t>
            </w:r>
            <w:r>
              <w:rPr>
                <w:rFonts w:hint="eastAsia" w:ascii="仿宋" w:hAnsi="仿宋" w:eastAsia="仿宋" w:cs="仿宋"/>
                <w:bCs/>
                <w:color w:val="auto"/>
                <w:sz w:val="24"/>
                <w:szCs w:val="24"/>
                <w:lang w:eastAsia="zh-CN"/>
              </w:rPr>
              <w:t>元，</w:t>
            </w:r>
            <w:r>
              <w:rPr>
                <w:rFonts w:hint="eastAsia" w:ascii="仿宋" w:hAnsi="仿宋" w:eastAsia="仿宋" w:cs="仿宋"/>
                <w:bCs/>
                <w:color w:val="auto"/>
                <w:sz w:val="24"/>
                <w:szCs w:val="24"/>
                <w:lang w:val="en-US" w:eastAsia="zh-CN"/>
              </w:rPr>
              <w:t>投标</w:t>
            </w:r>
            <w:r>
              <w:rPr>
                <w:rFonts w:hint="eastAsia" w:ascii="仿宋" w:hAnsi="仿宋" w:eastAsia="仿宋" w:cs="仿宋"/>
                <w:bCs/>
                <w:color w:val="auto"/>
                <w:sz w:val="24"/>
                <w:szCs w:val="24"/>
                <w:lang w:eastAsia="zh-CN"/>
              </w:rPr>
              <w:t>保证金应在</w:t>
            </w:r>
            <w:r>
              <w:rPr>
                <w:rFonts w:hint="eastAsia" w:ascii="仿宋" w:hAnsi="仿宋" w:eastAsia="仿宋" w:cs="仿宋"/>
                <w:bCs/>
                <w:color w:val="auto"/>
                <w:sz w:val="24"/>
                <w:szCs w:val="24"/>
                <w:lang w:val="en-US" w:eastAsia="zh-CN"/>
              </w:rPr>
              <w:t>投标</w:t>
            </w:r>
            <w:r>
              <w:rPr>
                <w:rFonts w:hint="eastAsia" w:ascii="仿宋" w:hAnsi="仿宋" w:eastAsia="仿宋" w:cs="仿宋"/>
                <w:bCs/>
                <w:color w:val="auto"/>
                <w:sz w:val="24"/>
                <w:szCs w:val="24"/>
                <w:lang w:eastAsia="zh-CN"/>
              </w:rPr>
              <w:t>文件提交截止时间前转入采购代理机构以下账户并注明汇款单位、项目编号或项目名称（如有分包，则同时注明包号），或可选择以支票、汇票、本票或者金融机构、担保机构出具的保函等非现金形式提交。</w:t>
            </w:r>
          </w:p>
          <w:p>
            <w:pPr>
              <w:pStyle w:val="38"/>
              <w:snapToGrid w:val="0"/>
              <w:spacing w:before="0" w:beforeAutospacing="0" w:after="0" w:afterAutospacing="0" w:line="360" w:lineRule="exact"/>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户  名：海南政辉招投标代理有限公司</w:t>
            </w:r>
          </w:p>
          <w:p>
            <w:pPr>
              <w:pStyle w:val="38"/>
              <w:snapToGrid w:val="0"/>
              <w:spacing w:before="0" w:beforeAutospacing="0" w:after="0" w:afterAutospacing="0" w:line="360" w:lineRule="exact"/>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开户行：中国工商银行股份有限公司海口新华支行</w:t>
            </w:r>
          </w:p>
          <w:p>
            <w:pPr>
              <w:pStyle w:val="38"/>
              <w:snapToGrid w:val="0"/>
              <w:spacing w:before="0" w:beforeAutospacing="0" w:after="0" w:afterAutospacing="0" w:line="360" w:lineRule="exact"/>
              <w:rPr>
                <w:rFonts w:hint="eastAsia" w:ascii="仿宋" w:hAnsi="仿宋" w:eastAsia="仿宋" w:cs="仿宋"/>
                <w:color w:val="auto"/>
                <w:sz w:val="24"/>
                <w:szCs w:val="24"/>
              </w:rPr>
            </w:pPr>
            <w:r>
              <w:rPr>
                <w:rFonts w:hint="eastAsia" w:ascii="仿宋" w:hAnsi="仿宋" w:eastAsia="仿宋" w:cs="仿宋"/>
                <w:b/>
                <w:bCs w:val="0"/>
                <w:color w:val="auto"/>
                <w:sz w:val="24"/>
                <w:szCs w:val="24"/>
                <w:lang w:val="en-US" w:eastAsia="zh-CN"/>
              </w:rPr>
              <w:t>账  户：2201023809200980178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9</w:t>
            </w:r>
          </w:p>
        </w:tc>
        <w:tc>
          <w:tcPr>
            <w:tcW w:w="2180" w:type="dxa"/>
            <w:vAlign w:val="center"/>
          </w:tcPr>
          <w:p>
            <w:pPr>
              <w:snapToGrid w:val="0"/>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投标文件的递交</w:t>
            </w:r>
          </w:p>
        </w:tc>
        <w:tc>
          <w:tcPr>
            <w:tcW w:w="6197" w:type="dxa"/>
            <w:vAlign w:val="center"/>
          </w:tcPr>
          <w:p>
            <w:pPr>
              <w:pStyle w:val="38"/>
              <w:snapToGrid w:val="0"/>
              <w:spacing w:before="0" w:beforeAutospacing="0" w:after="0" w:afterAutospacing="0" w:line="360" w:lineRule="exact"/>
              <w:rPr>
                <w:rFonts w:hint="eastAsia" w:ascii="仿宋" w:hAnsi="仿宋" w:eastAsia="仿宋" w:cs="仿宋"/>
                <w:bCs/>
                <w:color w:val="auto"/>
                <w:sz w:val="24"/>
                <w:szCs w:val="24"/>
              </w:rPr>
            </w:pPr>
            <w:r>
              <w:rPr>
                <w:rStyle w:val="74"/>
                <w:rFonts w:hint="eastAsia" w:ascii="仿宋" w:hAnsi="仿宋" w:eastAsia="仿宋" w:cs="仿宋"/>
                <w:color w:val="auto"/>
                <w:sz w:val="24"/>
                <w:szCs w:val="24"/>
              </w:rPr>
              <w:t>投标人务必在投标截止</w:t>
            </w:r>
            <w:r>
              <w:rPr>
                <w:rStyle w:val="74"/>
                <w:rFonts w:hint="eastAsia" w:ascii="仿宋" w:hAnsi="仿宋" w:eastAsia="仿宋" w:cs="仿宋"/>
                <w:color w:val="auto"/>
                <w:sz w:val="24"/>
                <w:szCs w:val="24"/>
                <w:lang w:val="en-US" w:eastAsia="zh-CN"/>
              </w:rPr>
              <w:t>时间</w:t>
            </w:r>
            <w:r>
              <w:rPr>
                <w:rStyle w:val="74"/>
                <w:rFonts w:hint="eastAsia" w:ascii="仿宋" w:hAnsi="仿宋" w:eastAsia="仿宋" w:cs="仿宋"/>
                <w:color w:val="auto"/>
                <w:sz w:val="24"/>
                <w:szCs w:val="24"/>
              </w:rPr>
              <w:t>前将</w:t>
            </w:r>
            <w:r>
              <w:rPr>
                <w:rStyle w:val="74"/>
                <w:rFonts w:hint="eastAsia" w:ascii="仿宋" w:hAnsi="仿宋" w:eastAsia="仿宋" w:cs="仿宋"/>
                <w:color w:val="auto"/>
                <w:sz w:val="24"/>
                <w:szCs w:val="24"/>
                <w:lang w:val="en-US" w:eastAsia="zh-CN"/>
              </w:rPr>
              <w:t>纸质版</w:t>
            </w:r>
            <w:r>
              <w:rPr>
                <w:rStyle w:val="74"/>
                <w:rFonts w:hint="eastAsia" w:ascii="仿宋" w:hAnsi="仿宋" w:eastAsia="仿宋" w:cs="仿宋"/>
                <w:color w:val="auto"/>
                <w:sz w:val="24"/>
                <w:szCs w:val="24"/>
              </w:rPr>
              <w:t>投标文件提交到开标地点，同时</w:t>
            </w:r>
            <w:r>
              <w:rPr>
                <w:rFonts w:hint="eastAsia" w:ascii="仿宋" w:hAnsi="仿宋" w:eastAsia="仿宋" w:cs="仿宋"/>
                <w:bCs/>
                <w:color w:val="auto"/>
                <w:sz w:val="24"/>
                <w:szCs w:val="24"/>
                <w:lang w:eastAsia="zh-CN"/>
              </w:rPr>
              <w:t>提供电子版一份（U盘或光盘，</w:t>
            </w:r>
            <w:r>
              <w:rPr>
                <w:rFonts w:hint="eastAsia" w:ascii="仿宋" w:hAnsi="仿宋" w:eastAsia="仿宋" w:cs="仿宋"/>
                <w:bCs/>
                <w:color w:val="auto"/>
                <w:sz w:val="24"/>
                <w:szCs w:val="24"/>
                <w:lang w:val="en-US" w:eastAsia="zh-CN"/>
              </w:rPr>
              <w:t>须为签署盖章后的PDF格式</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10</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纸质投标文件份数</w:t>
            </w:r>
          </w:p>
        </w:tc>
        <w:tc>
          <w:tcPr>
            <w:tcW w:w="6197" w:type="dxa"/>
            <w:vAlign w:val="center"/>
          </w:tcPr>
          <w:p>
            <w:pPr>
              <w:pStyle w:val="38"/>
              <w:snapToGrid w:val="0"/>
              <w:spacing w:before="0" w:beforeAutospacing="0" w:after="0" w:afterAutospacing="0"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投标文件一式</w:t>
            </w:r>
            <w:r>
              <w:rPr>
                <w:rFonts w:hint="eastAsia" w:ascii="仿宋" w:hAnsi="仿宋" w:eastAsia="仿宋" w:cs="仿宋"/>
                <w:b/>
                <w:bCs w:val="0"/>
                <w:color w:val="auto"/>
                <w:sz w:val="24"/>
                <w:szCs w:val="24"/>
                <w:u w:val="single"/>
              </w:rPr>
              <w:t>伍</w:t>
            </w:r>
            <w:r>
              <w:rPr>
                <w:rFonts w:hint="eastAsia" w:ascii="仿宋" w:hAnsi="仿宋" w:eastAsia="仿宋" w:cs="仿宋"/>
                <w:bCs/>
                <w:color w:val="auto"/>
                <w:sz w:val="24"/>
                <w:szCs w:val="24"/>
              </w:rPr>
              <w:t>份，胶装。其中正本</w:t>
            </w:r>
            <w:r>
              <w:rPr>
                <w:rFonts w:hint="eastAsia" w:ascii="仿宋" w:hAnsi="仿宋" w:eastAsia="仿宋" w:cs="仿宋"/>
                <w:b/>
                <w:bCs w:val="0"/>
                <w:color w:val="auto"/>
                <w:sz w:val="24"/>
                <w:szCs w:val="24"/>
                <w:u w:val="single"/>
              </w:rPr>
              <w:t>壹</w:t>
            </w:r>
            <w:r>
              <w:rPr>
                <w:rFonts w:hint="eastAsia" w:ascii="仿宋" w:hAnsi="仿宋" w:eastAsia="仿宋" w:cs="仿宋"/>
                <w:bCs/>
                <w:color w:val="auto"/>
                <w:sz w:val="24"/>
                <w:szCs w:val="24"/>
              </w:rPr>
              <w:t>份，副本</w:t>
            </w:r>
            <w:r>
              <w:rPr>
                <w:rFonts w:hint="eastAsia" w:ascii="仿宋" w:hAnsi="仿宋" w:eastAsia="仿宋" w:cs="仿宋"/>
                <w:b/>
                <w:bCs w:val="0"/>
                <w:color w:val="auto"/>
                <w:sz w:val="24"/>
                <w:szCs w:val="24"/>
                <w:u w:val="single"/>
              </w:rPr>
              <w:t>肆</w:t>
            </w:r>
            <w:r>
              <w:rPr>
                <w:rFonts w:hint="eastAsia" w:ascii="仿宋" w:hAnsi="仿宋" w:eastAsia="仿宋" w:cs="仿宋"/>
                <w:bCs/>
                <w:color w:val="auto"/>
                <w:sz w:val="24"/>
                <w:szCs w:val="24"/>
              </w:rPr>
              <w:t>份</w:t>
            </w:r>
            <w:r>
              <w:rPr>
                <w:rFonts w:hint="eastAsia" w:ascii="仿宋" w:hAnsi="仿宋" w:eastAsia="仿宋" w:cs="仿宋"/>
                <w:bCs/>
                <w:color w:val="auto"/>
                <w:sz w:val="24"/>
                <w:szCs w:val="24"/>
                <w:lang w:eastAsia="zh-CN"/>
              </w:rPr>
              <w:t>，另提供电子版一份（U盘或光盘，</w:t>
            </w:r>
            <w:r>
              <w:rPr>
                <w:rFonts w:hint="eastAsia" w:ascii="仿宋" w:hAnsi="仿宋" w:eastAsia="仿宋" w:cs="仿宋"/>
                <w:bCs/>
                <w:color w:val="auto"/>
                <w:sz w:val="24"/>
                <w:szCs w:val="24"/>
                <w:lang w:val="en-US" w:eastAsia="zh-CN"/>
              </w:rPr>
              <w:t>须为签署盖章后的PDF格式</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。投标人投多包时要针对每个包单独做投标文件，独立密封；未独立针对每个包单独做投标文件和未按要求密封按无效投标处理</w:t>
            </w:r>
            <w:r>
              <w:rPr>
                <w:rFonts w:hint="eastAsia" w:ascii="仿宋" w:hAnsi="仿宋" w:eastAsia="仿宋" w:cs="仿宋"/>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1</w:t>
            </w:r>
          </w:p>
        </w:tc>
        <w:tc>
          <w:tcPr>
            <w:tcW w:w="2180" w:type="dxa"/>
            <w:vAlign w:val="center"/>
          </w:tcPr>
          <w:p>
            <w:pPr>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投标文件递交截止时间</w:t>
            </w:r>
          </w:p>
        </w:tc>
        <w:tc>
          <w:tcPr>
            <w:tcW w:w="6197" w:type="dxa"/>
            <w:vAlign w:val="center"/>
          </w:tcPr>
          <w:p>
            <w:pPr>
              <w:pStyle w:val="38"/>
              <w:snapToGrid w:val="0"/>
              <w:spacing w:before="0" w:beforeAutospacing="0" w:after="0" w:afterAutospacing="0" w:line="360" w:lineRule="exact"/>
              <w:rPr>
                <w:rFonts w:hint="eastAsia" w:ascii="仿宋" w:hAnsi="仿宋" w:eastAsia="仿宋" w:cs="仿宋"/>
                <w:bCs/>
                <w:color w:val="auto"/>
                <w:sz w:val="24"/>
                <w:szCs w:val="24"/>
              </w:rPr>
            </w:pPr>
            <w:r>
              <w:rPr>
                <w:rFonts w:hint="eastAsia" w:ascii="仿宋" w:hAnsi="仿宋" w:eastAsia="仿宋" w:cs="仿宋"/>
                <w:color w:val="auto"/>
                <w:sz w:val="24"/>
                <w:szCs w:val="24"/>
                <w:shd w:val="clear" w:color="auto" w:fill="FFFFFF"/>
                <w:lang w:eastAsia="zh-CN"/>
              </w:rPr>
              <w:t>2021</w:t>
            </w:r>
            <w:r>
              <w:rPr>
                <w:rFonts w:hint="eastAsia" w:ascii="仿宋" w:hAnsi="仿宋" w:eastAsia="仿宋" w:cs="仿宋"/>
                <w:color w:val="auto"/>
                <w:sz w:val="24"/>
                <w:szCs w:val="24"/>
                <w:shd w:val="clear" w:color="auto" w:fill="FFFFFF"/>
              </w:rPr>
              <w:t>年</w:t>
            </w:r>
            <w:r>
              <w:rPr>
                <w:rFonts w:hint="eastAsia" w:ascii="仿宋" w:hAnsi="仿宋" w:eastAsia="仿宋" w:cs="仿宋"/>
                <w:color w:val="auto"/>
                <w:sz w:val="24"/>
                <w:szCs w:val="24"/>
                <w:shd w:val="clear" w:color="auto" w:fill="FFFFFF"/>
                <w:lang w:val="en-US" w:eastAsia="zh-CN"/>
              </w:rPr>
              <w:t xml:space="preserve"> 10 </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 xml:space="preserve">18 </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08</w:t>
            </w:r>
            <w:r>
              <w:rPr>
                <w:rFonts w:hint="eastAsia" w:ascii="仿宋" w:hAnsi="仿宋" w:eastAsia="仿宋" w:cs="仿宋"/>
                <w:color w:val="auto"/>
                <w:sz w:val="24"/>
                <w:szCs w:val="24"/>
                <w:shd w:val="clear" w:color="auto" w:fill="FFFFFF"/>
              </w:rPr>
              <w:t>:</w:t>
            </w:r>
            <w:r>
              <w:rPr>
                <w:rFonts w:hint="eastAsia" w:ascii="仿宋" w:hAnsi="仿宋" w:eastAsia="仿宋" w:cs="仿宋"/>
                <w:color w:val="auto"/>
                <w:sz w:val="24"/>
                <w:szCs w:val="24"/>
                <w:shd w:val="clear" w:color="auto" w:fill="FFFFFF"/>
                <w:lang w:val="en-US" w:eastAsia="zh-CN"/>
              </w:rPr>
              <w:t>3</w:t>
            </w:r>
            <w:r>
              <w:rPr>
                <w:rFonts w:hint="eastAsia" w:ascii="仿宋" w:hAnsi="仿宋" w:eastAsia="仿宋" w:cs="仿宋"/>
                <w:color w:val="auto"/>
                <w:sz w:val="24"/>
                <w:szCs w:val="24"/>
                <w:shd w:val="clear" w:color="auto" w:fill="FFFFFF"/>
              </w:rPr>
              <w:t>0</w:t>
            </w:r>
            <w:r>
              <w:rPr>
                <w:rFonts w:hint="eastAsia" w:ascii="仿宋" w:hAnsi="仿宋" w:eastAsia="仿宋" w:cs="仿宋"/>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58" w:type="dxa"/>
            <w:vAlign w:val="center"/>
          </w:tcPr>
          <w:p>
            <w:pPr>
              <w:spacing w:line="360" w:lineRule="exact"/>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2</w:t>
            </w:r>
          </w:p>
        </w:tc>
        <w:tc>
          <w:tcPr>
            <w:tcW w:w="2180" w:type="dxa"/>
            <w:vAlign w:val="center"/>
          </w:tcPr>
          <w:p>
            <w:pPr>
              <w:snapToGrid w:val="0"/>
              <w:spacing w:line="360" w:lineRule="exact"/>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开标时间及地点</w:t>
            </w:r>
          </w:p>
        </w:tc>
        <w:tc>
          <w:tcPr>
            <w:tcW w:w="6197"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lang w:eastAsia="zh-CN"/>
              </w:rPr>
              <w:t>2021</w:t>
            </w:r>
            <w:r>
              <w:rPr>
                <w:rFonts w:hint="eastAsia" w:ascii="仿宋" w:hAnsi="仿宋" w:eastAsia="仿宋" w:cs="仿宋"/>
                <w:color w:val="auto"/>
                <w:sz w:val="24"/>
                <w:szCs w:val="24"/>
                <w:shd w:val="clear" w:color="auto" w:fill="FFFFFF"/>
              </w:rPr>
              <w:t>年</w:t>
            </w:r>
            <w:r>
              <w:rPr>
                <w:rFonts w:hint="eastAsia" w:ascii="仿宋" w:hAnsi="仿宋" w:eastAsia="仿宋" w:cs="仿宋"/>
                <w:color w:val="auto"/>
                <w:sz w:val="24"/>
                <w:szCs w:val="24"/>
                <w:shd w:val="clear" w:color="auto" w:fill="FFFFFF"/>
                <w:lang w:val="en-US" w:eastAsia="zh-CN"/>
              </w:rPr>
              <w:t xml:space="preserve"> 10 </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 xml:space="preserve">18 </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08</w:t>
            </w:r>
            <w:r>
              <w:rPr>
                <w:rFonts w:hint="eastAsia" w:ascii="仿宋" w:hAnsi="仿宋" w:eastAsia="仿宋" w:cs="仿宋"/>
                <w:color w:val="auto"/>
                <w:sz w:val="24"/>
                <w:szCs w:val="24"/>
                <w:shd w:val="clear" w:color="auto" w:fill="FFFFFF"/>
              </w:rPr>
              <w:t>:</w:t>
            </w:r>
            <w:r>
              <w:rPr>
                <w:rFonts w:hint="eastAsia" w:ascii="仿宋" w:hAnsi="仿宋" w:eastAsia="仿宋" w:cs="仿宋"/>
                <w:color w:val="auto"/>
                <w:sz w:val="24"/>
                <w:szCs w:val="24"/>
                <w:shd w:val="clear" w:color="auto" w:fill="FFFFFF"/>
                <w:lang w:val="en-US" w:eastAsia="zh-CN"/>
              </w:rPr>
              <w:t>3</w:t>
            </w:r>
            <w:r>
              <w:rPr>
                <w:rFonts w:hint="eastAsia" w:ascii="仿宋" w:hAnsi="仿宋" w:eastAsia="仿宋" w:cs="仿宋"/>
                <w:color w:val="auto"/>
                <w:sz w:val="24"/>
                <w:szCs w:val="24"/>
                <w:shd w:val="clear" w:color="auto" w:fill="FFFFFF"/>
              </w:rPr>
              <w:t>0</w:t>
            </w:r>
            <w:r>
              <w:rPr>
                <w:rFonts w:hint="eastAsia" w:ascii="仿宋" w:hAnsi="仿宋" w:eastAsia="仿宋" w:cs="仿宋"/>
                <w:color w:val="auto"/>
                <w:sz w:val="24"/>
                <w:szCs w:val="24"/>
              </w:rPr>
              <w:t>（北京时间）</w:t>
            </w:r>
          </w:p>
          <w:p>
            <w:pPr>
              <w:spacing w:line="360" w:lineRule="exact"/>
              <w:rPr>
                <w:rFonts w:hint="eastAsia" w:ascii="仿宋" w:hAnsi="仿宋" w:eastAsia="仿宋" w:cs="仿宋"/>
                <w:bCs/>
                <w:color w:val="auto"/>
                <w:sz w:val="24"/>
                <w:szCs w:val="24"/>
              </w:rPr>
            </w:pPr>
            <w:r>
              <w:rPr>
                <w:rFonts w:hint="eastAsia" w:ascii="仿宋" w:hAnsi="仿宋" w:eastAsia="仿宋" w:cs="仿宋"/>
                <w:color w:val="auto"/>
                <w:sz w:val="24"/>
                <w:szCs w:val="24"/>
                <w:shd w:val="clear" w:color="auto" w:fill="FFFFFF"/>
              </w:rPr>
              <w:t>海口市美兰区五指山路16-3号康业花园西湖苑G栋2A</w:t>
            </w:r>
            <w:r>
              <w:rPr>
                <w:rFonts w:hint="eastAsia" w:ascii="仿宋" w:hAnsi="仿宋" w:eastAsia="仿宋" w:cs="仿宋"/>
                <w:bCs/>
                <w:color w:val="auto"/>
                <w:sz w:val="24"/>
                <w:szCs w:val="24"/>
              </w:rPr>
              <w:t>。</w:t>
            </w:r>
          </w:p>
        </w:tc>
      </w:tr>
    </w:tbl>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一、总则</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 名词解释</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1.1采购人：</w:t>
      </w:r>
      <w:r>
        <w:rPr>
          <w:rFonts w:hint="eastAsia" w:ascii="仿宋" w:hAnsi="仿宋" w:eastAsia="仿宋" w:cs="仿宋"/>
          <w:color w:val="auto"/>
          <w:sz w:val="24"/>
          <w:szCs w:val="24"/>
          <w:lang w:eastAsia="zh-CN"/>
        </w:rPr>
        <w:t xml:space="preserve">海南省现代农业检验检测预警防控中心 </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海南政辉招投标代理有限公司</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1.3投标人：系指符合本项目采购要求相应资质、向招标方提交投标文件的货物制造厂商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代理商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投标单位</w:t>
      </w:r>
      <w:r>
        <w:rPr>
          <w:rFonts w:hint="eastAsia" w:ascii="仿宋" w:hAnsi="仿宋" w:eastAsia="仿宋" w:cs="仿宋"/>
          <w:color w:val="auto"/>
          <w:sz w:val="24"/>
          <w:szCs w:val="24"/>
        </w:rPr>
        <w:t>。在投标阶段称为供应商，在签订和履行合同阶段称为中标方、供货方或卖方。</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2．适用范围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本招标文件仅适用于招标人组织的本次投标活动。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3．合格的投标人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3.1 凡有能力按照本招标文件规定的要求交付货物和服务的投标单位均为合格的投标人。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补充说明：根据《政府采购法实施条例》及有关释义，银行、保险、石油石化、电力、电信运营商等有行业特殊情况的，其分支机构可参与投标，即其分支机构可视为“具有独立承担民事责任能力的法人”。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3.3 </w:t>
      </w:r>
      <w:r>
        <w:rPr>
          <w:rFonts w:hint="eastAsia" w:ascii="仿宋" w:hAnsi="仿宋" w:eastAsia="仿宋" w:cs="仿宋"/>
          <w:color w:val="auto"/>
          <w:sz w:val="24"/>
          <w:szCs w:val="24"/>
          <w:lang w:val="en-US" w:eastAsia="zh-CN"/>
        </w:rPr>
        <w:t>除</w:t>
      </w: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HYPERLINK "https://baike.sogou.com/lemma/ShowInnerLink.htm?lemmaId=7589043&amp;ss_c=ssc.citiao.link" \t "https://baike.sogou.com/_blank" </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lang w:val="en-US" w:eastAsia="zh-CN"/>
        </w:rPr>
        <w:t>单一来源采购</w: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lang w:val="en-US" w:eastAsia="zh-CN"/>
        </w:rPr>
        <w:t>项目外，为采购项目提供整体设计、规范编制或者项目管理、监理、检测等服务的供应商，不得再参加该采购项目的其他采购活动</w:t>
      </w:r>
      <w:r>
        <w:rPr>
          <w:rFonts w:hint="eastAsia" w:ascii="仿宋" w:hAnsi="仿宋" w:eastAsia="仿宋" w:cs="仿宋"/>
          <w:color w:val="auto"/>
          <w:sz w:val="24"/>
          <w:szCs w:val="24"/>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 单位负责人为同一人或者存在直接控股、管理关系的不同</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，不得参加同一合同项下的政府采购活动。除单一来源采购项目外，为项目提供整体设计、规范编制或者项目管理，监理、检测等服务的</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，不得再参加该采购项目的其他采购活动。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3.5 投标人在本项目招标公告前三年内被列入失信被执行人、重大税收违法案件当事人名单、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3.6 </w:t>
      </w:r>
      <w:r>
        <w:rPr>
          <w:rFonts w:hint="eastAsia" w:ascii="仿宋" w:hAnsi="仿宋" w:eastAsia="仿宋" w:cs="仿宋"/>
          <w:color w:val="auto"/>
          <w:sz w:val="24"/>
          <w:szCs w:val="24"/>
        </w:rPr>
        <w:t>两个以上的自然人、法人或者其他组织组成一个联合体，以一个</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的身份共同参加政府采购活动的，联合体任意成员存在不良信用记录的，视同联合体存在不良信用记录。</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  本章3.5款的信用记录以中国执行信息公开</w:t>
      </w:r>
      <w:r>
        <w:rPr>
          <w:rFonts w:hint="eastAsia" w:ascii="仿宋" w:hAnsi="仿宋" w:eastAsia="仿宋" w:cs="仿宋"/>
          <w:color w:val="auto"/>
          <w:sz w:val="24"/>
          <w:szCs w:val="24"/>
          <w:lang w:val="en-US" w:eastAsia="zh-Hans"/>
        </w:rPr>
        <w:t>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rPr>
        <w:t>信用中国（www.creditchina.gov.cn）、中国政府采购网（www.ccgp.gov.cn）上公布的信用记录为准。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4.联合体投标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4.2 本项目是否接受联合体投标：</w:t>
      </w:r>
      <w:r>
        <w:rPr>
          <w:rFonts w:hint="eastAsia" w:ascii="仿宋" w:hAnsi="仿宋" w:eastAsia="仿宋" w:cs="仿宋"/>
          <w:color w:val="auto"/>
          <w:sz w:val="24"/>
          <w:szCs w:val="24"/>
          <w:lang w:val="en-US" w:eastAsia="zh-CN"/>
        </w:rPr>
        <w:t>以招标文件第一章投标邀请函中申请人的资格要求规定为准。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．投标费用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无论招标投标过程中的做法和结果如何，投标人均自行承担所有与参加投标有关的全部费用。</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．招标文件的约束力</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本招标文件由</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负责解释。</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b/>
          <w:color w:val="auto"/>
          <w:sz w:val="24"/>
          <w:szCs w:val="24"/>
        </w:rPr>
        <w:t>二、招标文件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．招标文件的组成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.l 招标文件由六部分组成，包括：</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第一章 投标邀请函</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第二章 投标人须知</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第三章 用户需求书</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章 合同主要条款</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章 投标文件内容和格式</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第六章 </w:t>
      </w:r>
      <w:r>
        <w:rPr>
          <w:rFonts w:hint="eastAsia" w:ascii="仿宋" w:hAnsi="仿宋" w:eastAsia="仿宋" w:cs="仿宋"/>
          <w:color w:val="auto"/>
          <w:sz w:val="24"/>
          <w:szCs w:val="24"/>
          <w:lang w:val="en-US" w:eastAsia="zh-CN"/>
        </w:rPr>
        <w:t>评审办法和程序</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请仔细检查招标文件是否齐全，如有缺漏，请立即与招标人联系解决。</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．招标文件的澄清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投标人在收到招标文件后，若有疑问需要澄清，应于投标截止时间15天前以书面形式（包括书面文字、传真等）向</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提出，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将以书面形式进行答复，同时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有权将答复内容分发给所有购买了此招标文件的投标人。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．招标文件的修改或补充</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.l 在投标截止时间前15天，</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可以书面通知的方式修改/补充招标文件。修改/补充通知作为招标文件的组成部分，对投标人起同等约束作用。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 当招标文件与修改/补充公告的内容相互矛盾时，以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最后发出的修改/补充公告为准。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.3 投标人收到修改/补充公告后，应在1个工作日内以书面形式回复</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，逾期不回者，被视为已收到修改/补充公告。</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.4 为使投标人有足够的时间按招标文件的修改/补充要求修正投标文件，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有权决定推迟投标截止日期和开标时间，并将此变更书面通知所有购买了此招标文件的投标人。</w:t>
      </w:r>
    </w:p>
    <w:p>
      <w:pPr>
        <w:snapToGrid w:val="0"/>
        <w:spacing w:line="52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三、投标文件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．投标文件的组成</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.1 投标文件应按“投标文件内容和格式”要求编制。</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.2 若投标人未按招标文件的要求提供资料，或未对招标文件做出实质性响应，将可能导致投标文件被视为无效。</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.1报价均须以人民币为计算单位。</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.3投标人应按开标一览表的要求报价，不能提供有选择的报价。</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.4中标候选人的报价如超过采购预算</w:t>
      </w:r>
      <w:r>
        <w:rPr>
          <w:rFonts w:hint="eastAsia" w:ascii="仿宋" w:hAnsi="仿宋" w:eastAsia="仿宋" w:cs="仿宋"/>
          <w:color w:val="auto"/>
          <w:sz w:val="24"/>
          <w:szCs w:val="24"/>
          <w:lang w:val="en-US" w:eastAsia="zh-CN"/>
        </w:rPr>
        <w:t>且</w:t>
      </w:r>
      <w:r>
        <w:rPr>
          <w:rFonts w:hint="eastAsia" w:ascii="仿宋" w:hAnsi="仿宋" w:eastAsia="仿宋" w:cs="仿宋"/>
          <w:color w:val="auto"/>
          <w:sz w:val="24"/>
          <w:szCs w:val="24"/>
        </w:rPr>
        <w:t>采购人不能支付的，采购人有权拒绝而递选下一个顺位的候选人。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．投标保证金</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.1投标保证金是参加本项目投标的必要条件，</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保证金应在</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文件提交截止时间前转入采购代理机构以下账户并注明汇款单位、项目编号或项目名称（如有分包，则同时注明包号），或可选择以支票、汇票、本票或者金融机构、担保机构出具的保函等非现金形式提交</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ind w:firstLine="1566" w:firstLineChars="65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户  名：</w:t>
      </w:r>
      <w:r>
        <w:rPr>
          <w:rFonts w:hint="eastAsia" w:ascii="仿宋" w:hAnsi="仿宋" w:eastAsia="仿宋" w:cs="仿宋"/>
          <w:b/>
          <w:bCs/>
          <w:color w:val="auto"/>
          <w:sz w:val="24"/>
          <w:szCs w:val="24"/>
          <w:lang w:eastAsia="zh-CN"/>
        </w:rPr>
        <w:t>海南政辉招投标代理有限公司</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开户行：中国工商银行股份有限公司海口新华支行</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账  户：2201023809200980178</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12.2 </w:t>
      </w:r>
      <w:r>
        <w:rPr>
          <w:rFonts w:hint="eastAsia" w:ascii="仿宋" w:hAnsi="仿宋" w:eastAsia="仿宋" w:cs="仿宋"/>
          <w:color w:val="auto"/>
          <w:sz w:val="24"/>
          <w:szCs w:val="24"/>
        </w:rPr>
        <w:t>投标文件</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须附有缴纳</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保证金的相关证明单据(银行回执单</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支票、汇票、本票或者金融机构、担保机构出具的保函)</w:t>
      </w:r>
      <w:r>
        <w:rPr>
          <w:rFonts w:hint="eastAsia" w:ascii="仿宋" w:hAnsi="仿宋" w:eastAsia="仿宋" w:cs="仿宋"/>
          <w:color w:val="auto"/>
          <w:sz w:val="24"/>
          <w:szCs w:val="24"/>
          <w:lang w:eastAsia="zh-CN"/>
        </w:rPr>
        <w:t>。</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12.2.1 </w:t>
      </w:r>
      <w:r>
        <w:rPr>
          <w:rFonts w:hint="eastAsia" w:ascii="仿宋" w:hAnsi="仿宋" w:eastAsia="仿宋" w:cs="仿宋"/>
          <w:color w:val="auto"/>
          <w:sz w:val="24"/>
          <w:szCs w:val="24"/>
          <w:lang w:eastAsia="zh-CN"/>
        </w:rPr>
        <w:t>为避免资金在途不能及时到账造成投标无效，建议投标人提前在投标截止时间一个工作日前办理保证金支付手续。</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12.2.2 选择</w:t>
      </w:r>
      <w:r>
        <w:rPr>
          <w:rFonts w:hint="eastAsia" w:ascii="仿宋" w:hAnsi="仿宋" w:eastAsia="仿宋" w:cs="仿宋"/>
          <w:color w:val="auto"/>
          <w:sz w:val="24"/>
          <w:szCs w:val="24"/>
        </w:rPr>
        <w:t>支票、汇票、本票或者金融机构、担保机构出具的保函</w:t>
      </w:r>
      <w:r>
        <w:rPr>
          <w:rFonts w:hint="eastAsia" w:ascii="仿宋" w:hAnsi="仿宋" w:eastAsia="仿宋" w:cs="仿宋"/>
          <w:color w:val="auto"/>
          <w:sz w:val="24"/>
          <w:szCs w:val="24"/>
          <w:lang w:val="en-US" w:eastAsia="zh-CN"/>
        </w:rPr>
        <w:t>等形式提交保证金的投标人，</w:t>
      </w:r>
      <w:r>
        <w:rPr>
          <w:rFonts w:hint="eastAsia" w:ascii="仿宋" w:hAnsi="仿宋" w:eastAsia="仿宋" w:cs="仿宋"/>
          <w:b/>
          <w:bCs/>
          <w:color w:val="auto"/>
          <w:sz w:val="24"/>
          <w:szCs w:val="24"/>
          <w:lang w:eastAsia="zh-CN"/>
        </w:rPr>
        <w:t>建议投标人提前在投标截止时间一个工作日前</w:t>
      </w:r>
      <w:r>
        <w:rPr>
          <w:rFonts w:hint="eastAsia" w:ascii="仿宋" w:hAnsi="仿宋" w:eastAsia="仿宋" w:cs="仿宋"/>
          <w:b/>
          <w:bCs/>
          <w:color w:val="auto"/>
          <w:sz w:val="24"/>
          <w:szCs w:val="24"/>
          <w:lang w:val="en-US" w:eastAsia="zh-CN"/>
        </w:rPr>
        <w:t>电话告知代理机构。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若投标人不按规定提交投标保证金，其投标文件将被拒绝接受。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.3 投标保证金的退还</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.3.l 中标人的投标保证金在其与采购人签订了采购合同后五个工作日内无息退还。</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.3.2 落标的投标人的投标保证金将在发出中标通知书五个工作日内无息退还。 </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.4 发生下列情况之一，投标保证金将不予退还：</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（1）投标人在投标有效期内撤回其投标文件的；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（2）投标人不按本章规定签订合同；</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（3）投标人提供虚假材料谋取中标、成交的；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（4）与采购人、其它投标人或者</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恶意串通的；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（5）向采购人、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、评标委员会成员行贿或者提供其他不正当利益的；</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．投标有效期</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 投标有效期为从开标截止之日起计算的60天，有效期短于此规定的投标文件将被视为无效。</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 在特殊情况下，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．投标文件的数量、签署及形式</w:t>
      </w:r>
    </w:p>
    <w:p>
      <w:pPr>
        <w:snapToGrid w:val="0"/>
        <w:spacing w:line="520" w:lineRule="exact"/>
        <w:ind w:firstLine="480" w:firstLineChars="200"/>
        <w:rPr>
          <w:rFonts w:hint="eastAsia" w:ascii="仿宋" w:hAnsi="仿宋" w:eastAsia="仿宋" w:cs="仿宋"/>
          <w:b/>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.1 投标文件一式</w:t>
      </w:r>
      <w:r>
        <w:rPr>
          <w:rFonts w:hint="eastAsia" w:ascii="仿宋" w:hAnsi="仿宋" w:eastAsia="仿宋" w:cs="仿宋"/>
          <w:b/>
          <w:color w:val="auto"/>
          <w:sz w:val="24"/>
          <w:szCs w:val="24"/>
        </w:rPr>
        <w:t>伍份，胶装。其中正本壹份，副本肆份</w:t>
      </w:r>
      <w:r>
        <w:rPr>
          <w:rFonts w:hint="eastAsia" w:ascii="仿宋" w:hAnsi="仿宋" w:eastAsia="仿宋" w:cs="仿宋"/>
          <w:b/>
          <w:color w:val="auto"/>
          <w:sz w:val="24"/>
          <w:szCs w:val="24"/>
          <w:lang w:eastAsia="zh-CN"/>
        </w:rPr>
        <w:t>，另提供电子版一份（U盘或光盘，</w:t>
      </w:r>
      <w:r>
        <w:rPr>
          <w:rFonts w:hint="eastAsia" w:ascii="仿宋" w:hAnsi="仿宋" w:eastAsia="仿宋" w:cs="仿宋"/>
          <w:b/>
          <w:color w:val="auto"/>
          <w:sz w:val="24"/>
          <w:szCs w:val="24"/>
          <w:lang w:val="en-US" w:eastAsia="zh-CN"/>
        </w:rPr>
        <w:t>须为签署盖章后的PDF格式</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。投标人投多包时要针对每个包单独做投标文件，独立密封；未独立针对每个包单独做投标文件和未按要求密封按无效投标处理</w:t>
      </w:r>
      <w:r>
        <w:rPr>
          <w:rFonts w:hint="eastAsia" w:ascii="仿宋" w:hAnsi="仿宋" w:eastAsia="仿宋" w:cs="仿宋"/>
          <w:b/>
          <w:color w:val="auto"/>
          <w:sz w:val="24"/>
          <w:szCs w:val="24"/>
          <w:lang w:eastAsia="zh-CN"/>
        </w:rPr>
        <w:t>。</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.2 投标文件须按投标文件的要求执行，每份投标文件均须在封面上清楚标明“正本”或“副本”字样，“正本”和“副本”具有同等的法律效力；“正本”和“副本”之间如有差异，以正本为准。</w:t>
      </w:r>
    </w:p>
    <w:p>
      <w:pPr>
        <w:snapToGrid w:val="0"/>
        <w:spacing w:line="520" w:lineRule="exact"/>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.3 投标文件正本中，文字材料需打印或用不褪色墨水书写。</w:t>
      </w:r>
      <w:r>
        <w:rPr>
          <w:rFonts w:hint="eastAsia" w:ascii="仿宋" w:hAnsi="仿宋" w:eastAsia="仿宋" w:cs="仿宋"/>
          <w:b/>
          <w:bCs/>
          <w:color w:val="auto"/>
          <w:sz w:val="24"/>
          <w:szCs w:val="24"/>
        </w:rPr>
        <w:t>投标文件的正本须经法</w:t>
      </w:r>
      <w:r>
        <w:rPr>
          <w:rFonts w:hint="eastAsia" w:ascii="仿宋" w:hAnsi="仿宋" w:eastAsia="仿宋" w:cs="仿宋"/>
          <w:b/>
          <w:bCs/>
          <w:color w:val="auto"/>
          <w:sz w:val="24"/>
          <w:szCs w:val="24"/>
          <w:lang w:val="en-US" w:eastAsia="zh-Hans"/>
        </w:rPr>
        <w:t>定</w:t>
      </w:r>
      <w:r>
        <w:rPr>
          <w:rFonts w:hint="eastAsia" w:ascii="仿宋" w:hAnsi="仿宋" w:eastAsia="仿宋" w:cs="仿宋"/>
          <w:b/>
          <w:bCs/>
          <w:color w:val="auto"/>
          <w:sz w:val="24"/>
          <w:szCs w:val="24"/>
        </w:rPr>
        <w:t>代表</w:t>
      </w:r>
      <w:r>
        <w:rPr>
          <w:rFonts w:hint="eastAsia" w:ascii="仿宋" w:hAnsi="仿宋" w:eastAsia="仿宋" w:cs="仿宋"/>
          <w:b/>
          <w:bCs/>
          <w:color w:val="auto"/>
          <w:sz w:val="24"/>
          <w:szCs w:val="24"/>
          <w:lang w:val="en-US" w:eastAsia="zh-Hans"/>
        </w:rPr>
        <w:t>人</w:t>
      </w:r>
      <w:r>
        <w:rPr>
          <w:rFonts w:hint="eastAsia" w:ascii="仿宋" w:hAnsi="仿宋" w:eastAsia="仿宋" w:cs="仿宋"/>
          <w:b/>
          <w:bCs/>
          <w:color w:val="auto"/>
          <w:sz w:val="24"/>
          <w:szCs w:val="24"/>
        </w:rPr>
        <w:t>或授权代表签署和加盖投标人公章，并逐页加盖投标人公章。投标文件的</w:t>
      </w:r>
      <w:r>
        <w:rPr>
          <w:rFonts w:hint="eastAsia" w:ascii="仿宋" w:hAnsi="仿宋" w:eastAsia="仿宋" w:cs="仿宋"/>
          <w:b/>
          <w:bCs/>
          <w:color w:val="auto"/>
          <w:sz w:val="24"/>
          <w:szCs w:val="24"/>
          <w:lang w:val="en-US" w:eastAsia="zh-CN"/>
        </w:rPr>
        <w:t>副</w:t>
      </w:r>
      <w:r>
        <w:rPr>
          <w:rFonts w:hint="eastAsia" w:ascii="仿宋" w:hAnsi="仿宋" w:eastAsia="仿宋" w:cs="仿宋"/>
          <w:b/>
          <w:bCs/>
          <w:color w:val="auto"/>
          <w:sz w:val="24"/>
          <w:szCs w:val="24"/>
        </w:rPr>
        <w:t>本</w:t>
      </w:r>
      <w:r>
        <w:rPr>
          <w:rFonts w:hint="eastAsia" w:ascii="仿宋" w:hAnsi="仿宋" w:eastAsia="仿宋" w:cs="仿宋"/>
          <w:b/>
          <w:bCs/>
          <w:color w:val="auto"/>
          <w:sz w:val="24"/>
          <w:szCs w:val="24"/>
          <w:lang w:val="en-US" w:eastAsia="zh-CN"/>
        </w:rPr>
        <w:t>可以按正本要求签署盖章或正本签署盖章后的复印件封面</w:t>
      </w:r>
      <w:r>
        <w:rPr>
          <w:rFonts w:hint="eastAsia" w:ascii="仿宋" w:hAnsi="仿宋" w:eastAsia="仿宋" w:cs="仿宋"/>
          <w:b/>
          <w:bCs/>
          <w:color w:val="auto"/>
          <w:sz w:val="24"/>
          <w:szCs w:val="24"/>
        </w:rPr>
        <w:t>加盖投标人公章</w:t>
      </w:r>
      <w:r>
        <w:rPr>
          <w:rFonts w:hint="eastAsia" w:ascii="仿宋" w:hAnsi="仿宋" w:eastAsia="仿宋" w:cs="仿宋"/>
          <w:b/>
          <w:bCs/>
          <w:color w:val="auto"/>
          <w:sz w:val="24"/>
          <w:szCs w:val="24"/>
          <w:lang w:val="en-US" w:eastAsia="zh-CN"/>
        </w:rPr>
        <w:t xml:space="preserve">和骑缝章。 </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.4 投标文件不得涂改和增删，如要修改错漏处，修改处必须由法人代表或授权代表签名、或盖公章。</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四、投标文件的递交</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．投标文件的密封及标记</w:t>
      </w:r>
    </w:p>
    <w:p>
      <w:pPr>
        <w:snapToGrid w:val="0"/>
        <w:spacing w:line="52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纸质投标文件：</w:t>
      </w:r>
      <w:r>
        <w:rPr>
          <w:rFonts w:hint="eastAsia" w:ascii="仿宋" w:hAnsi="仿宋" w:eastAsia="仿宋" w:cs="仿宋"/>
          <w:b/>
          <w:color w:val="auto"/>
          <w:sz w:val="24"/>
          <w:szCs w:val="24"/>
        </w:rPr>
        <w:t>投标人投多包时要针对每个包单独做投标文件，独立密封。</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．l 投标人应将投标文件正本和所有副本分别密封在两个报价专用袋（箱）中（正本一包，副本一包），并在报价专用袋（箱）上标明“正本”、“副本”字样，封口处应加盖骑缝章。</w:t>
      </w:r>
      <w:r>
        <w:rPr>
          <w:rFonts w:hint="eastAsia" w:ascii="仿宋" w:hAnsi="仿宋" w:eastAsia="仿宋" w:cs="仿宋"/>
          <w:b/>
          <w:color w:val="auto"/>
          <w:sz w:val="24"/>
          <w:szCs w:val="24"/>
        </w:rPr>
        <w:t>投标文件电子U盘或光盘单独密封一包</w:t>
      </w:r>
      <w:r>
        <w:rPr>
          <w:rFonts w:hint="eastAsia" w:ascii="仿宋" w:hAnsi="仿宋" w:eastAsia="仿宋" w:cs="仿宋"/>
          <w:b/>
          <w:color w:val="auto"/>
          <w:sz w:val="24"/>
          <w:szCs w:val="24"/>
          <w:lang w:eastAsia="zh-CN"/>
        </w:rPr>
        <w:t>（内含</w:t>
      </w:r>
      <w:r>
        <w:rPr>
          <w:rFonts w:hint="eastAsia" w:ascii="仿宋" w:hAnsi="仿宋" w:eastAsia="仿宋" w:cs="仿宋"/>
          <w:b/>
          <w:color w:val="auto"/>
          <w:sz w:val="24"/>
          <w:szCs w:val="24"/>
          <w:lang w:val="en-US" w:eastAsia="zh-CN"/>
        </w:rPr>
        <w:t>签署盖章后的PDF格式</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w:t>
      </w:r>
      <w:r>
        <w:rPr>
          <w:rFonts w:hint="eastAsia" w:ascii="仿宋" w:hAnsi="仿宋" w:eastAsia="仿宋" w:cs="仿宋"/>
          <w:color w:val="auto"/>
          <w:sz w:val="24"/>
          <w:szCs w:val="24"/>
        </w:rPr>
        <w:t>封皮上均应写明：</w:t>
      </w:r>
    </w:p>
    <w:p>
      <w:pPr>
        <w:snapToGrid w:val="0"/>
        <w:spacing w:line="52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p>
    <w:p>
      <w:pPr>
        <w:snapToGrid w:val="0"/>
        <w:spacing w:line="52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项目名称：</w:t>
      </w:r>
      <w:r>
        <w:rPr>
          <w:rFonts w:hint="eastAsia" w:ascii="仿宋" w:hAnsi="仿宋" w:eastAsia="仿宋" w:cs="仿宋"/>
          <w:b/>
          <w:bCs/>
          <w:color w:val="auto"/>
          <w:sz w:val="24"/>
          <w:szCs w:val="24"/>
          <w:lang w:val="en-US" w:eastAsia="zh-CN"/>
        </w:rPr>
        <w:t xml:space="preserve"> </w:t>
      </w:r>
    </w:p>
    <w:p>
      <w:pPr>
        <w:snapToGrid w:val="0"/>
        <w:spacing w:line="520" w:lineRule="exact"/>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项目</w:t>
      </w:r>
      <w:r>
        <w:rPr>
          <w:rFonts w:hint="eastAsia" w:ascii="仿宋" w:hAnsi="仿宋" w:eastAsia="仿宋" w:cs="仿宋"/>
          <w:b/>
          <w:bCs/>
          <w:color w:val="auto"/>
          <w:sz w:val="24"/>
          <w:szCs w:val="24"/>
        </w:rPr>
        <w:t>编号：</w:t>
      </w:r>
      <w:r>
        <w:rPr>
          <w:rFonts w:hint="eastAsia" w:ascii="仿宋" w:hAnsi="仿宋" w:eastAsia="仿宋" w:cs="仿宋"/>
          <w:b/>
          <w:bCs/>
          <w:color w:val="auto"/>
          <w:sz w:val="24"/>
          <w:szCs w:val="24"/>
          <w:lang w:val="en-US" w:eastAsia="zh-CN"/>
        </w:rPr>
        <w:t xml:space="preserve"> </w:t>
      </w:r>
    </w:p>
    <w:p>
      <w:pPr>
        <w:snapToGrid w:val="0"/>
        <w:spacing w:line="52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包    号：</w:t>
      </w:r>
      <w:r>
        <w:rPr>
          <w:rFonts w:hint="eastAsia" w:ascii="仿宋" w:hAnsi="仿宋" w:eastAsia="仿宋" w:cs="仿宋"/>
          <w:b/>
          <w:bCs/>
          <w:color w:val="auto"/>
          <w:sz w:val="24"/>
          <w:szCs w:val="24"/>
          <w:u w:val="single"/>
        </w:rPr>
        <w:t xml:space="preserve">    </w:t>
      </w:r>
      <w:r>
        <w:rPr>
          <w:rFonts w:hint="eastAsia" w:ascii="仿宋" w:hAnsi="仿宋" w:eastAsia="仿宋" w:cs="仿宋"/>
          <w:b/>
          <w:bCs/>
          <w:color w:val="auto"/>
          <w:sz w:val="24"/>
          <w:szCs w:val="24"/>
        </w:rPr>
        <w:t>包（如有）</w:t>
      </w:r>
    </w:p>
    <w:p>
      <w:pPr>
        <w:snapToGrid w:val="0"/>
        <w:spacing w:line="52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注明：“请勿在开标时间之前启封”</w:t>
      </w:r>
    </w:p>
    <w:p>
      <w:pPr>
        <w:snapToGrid w:val="0"/>
        <w:spacing w:line="520" w:lineRule="exact"/>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投标单位名称、联系人姓名和电话</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 投标文件未按上述规定书写标记和密封者，</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不对投标文件被错放或先期启封负责。</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．投标截止时间</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.l 投标人须在投标截止时间前将投标文件送达</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规定的地点。</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.1 若</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推迟了投标截止时间，应以公告的形式通知所有投标人。在这种情况下，</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、采购人和投标人的权利和义务均应以新的截止时间为准。</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.2 在投标截止时间后递交的投标文件，</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.4在规定时间内提交投标文件的投标人不足3家，不得开标，本次招标失败。</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五、开标及评标</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．开标</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.l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按投标文件第一章规定的时间和地点进行开标，采购人代表、</w:t>
      </w:r>
      <w:r>
        <w:rPr>
          <w:rFonts w:hint="eastAsia" w:ascii="仿宋" w:hAnsi="仿宋" w:eastAsia="仿宋" w:cs="仿宋"/>
          <w:color w:val="auto"/>
          <w:sz w:val="24"/>
          <w:szCs w:val="24"/>
          <w:lang w:eastAsia="zh-CN"/>
        </w:rPr>
        <w:t>招标代理机构、投标人</w:t>
      </w:r>
      <w:r>
        <w:rPr>
          <w:rFonts w:hint="eastAsia" w:ascii="仿宋" w:hAnsi="仿宋" w:eastAsia="仿宋" w:cs="仿宋"/>
          <w:color w:val="auto"/>
          <w:sz w:val="24"/>
          <w:szCs w:val="24"/>
        </w:rPr>
        <w:t>有关工作人员参加。投标人应委派授权代表参加开标活动，参加开标的代表须持本人身份证件签名报到以证明其出席。投标人未派授权代表或不能证明其授权代表身份的，视同认可开标结果。</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.2政府采购主管部门、监督部门、国家公证机关公证员由其视情况决定是否派代表到现场进行监督。</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.3 开标时，投标人代表将查验投标文件密封情况，确认无误后拆封唱标，公布每份投标文件中“开标一览表”的内容，以及</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认为合适的其他内容，</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将作开标记录。</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.4 若投标文件未密封，</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将拒绝接受该投标人的投标文件。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．评标委员会</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评标委员会由技术、经济等方面的专家和</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代表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组成，其中技术、经济等方面的专家人数不得少于总数的2/3。该评标委员会独立工作，负责评审所有投标文件并确定中标侯选人。</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.评标</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 xml:space="preserve">.1 除采购人代表、评标现场组织人员外，采购人的其他工作人员以及与评标工作无关的人员不得进入评标现场。 </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.2见“第</w:t>
      </w: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章 评审方法和程序”。</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关于政策性加分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所投分包(如不分包则指本项目)的所有投标产品进入当期节能清单的，其评标价=投标报价*（1-2%）；投标人所投产品满足此规定的，必须提供声明函。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 所投分包(如不分包则指本项目)的所有投标产品进入当期环保清单的，其评标价=投标报价*（1-1%）；投标人所投产品满足此规定的，必须提供声明函。</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所投分包(如不分包则指本项目)的所有投标产品均为绿色产品的，均为</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绿色产品的，其评审价=报价*（1-4%）；超过一半产品为绿色产品的，其评审价=报价*（1-3%）；个别产品为绿色产品的，其评审价=报价*（1-2%）。</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所投产品满足此规定的，必须提供相关证明文件。</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纳入财政部公布的《政府采购自主创新产品目录》的货物和服务：</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.4.1采用最低评标价法评标的项目，对自主创新产品在评审时对其投标价格给予5％的价格扣除。</w:t>
      </w:r>
    </w:p>
    <w:p>
      <w:pPr>
        <w:snapToGrid w:val="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.4.2采用综合评分法评标的项目，对自主创新产品在价格评标项中，对自主创新产品给予价格评标总分值的5％的加分。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 投标人为小型和微型企业（含联合体）的情况：</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 中小企业的认定标准：</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（2）符合中小企业划分标准的个体工商户，在政府采购活动中视同中小企业。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5.3</w:t>
      </w:r>
      <w:r>
        <w:rPr>
          <w:rFonts w:hint="eastAsia" w:ascii="仿宋" w:hAnsi="仿宋" w:eastAsia="仿宋" w:cs="仿宋"/>
          <w:color w:val="auto"/>
          <w:sz w:val="24"/>
          <w:szCs w:val="24"/>
        </w:rPr>
        <w:t>监狱企业视同为小型、微型企业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必须提供相关证明文件。</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5.4</w:t>
      </w:r>
      <w:r>
        <w:rPr>
          <w:rFonts w:hint="eastAsia" w:ascii="仿宋" w:hAnsi="仿宋" w:eastAsia="仿宋" w:cs="仿宋"/>
          <w:color w:val="auto"/>
          <w:sz w:val="24"/>
          <w:szCs w:val="24"/>
        </w:rPr>
        <w:t>残疾人福利性单位视同为小型、微型企业，必须如实填写“残疾人福利性单位声明函”（内容、格式见财库〔2017〕141 号）。</w:t>
      </w:r>
    </w:p>
    <w:p>
      <w:pPr>
        <w:shd w:val="clear" w:color="auto" w:fill="auto"/>
        <w:snapToGrid w:val="0"/>
        <w:spacing w:line="360" w:lineRule="auto"/>
        <w:ind w:firstLine="465"/>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企业，同时所投产品为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企业生产的才能享受政策性优惠）</w:t>
      </w:r>
    </w:p>
    <w:p>
      <w:pPr>
        <w:spacing w:line="30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5.5</w:t>
      </w:r>
      <w:r>
        <w:rPr>
          <w:rFonts w:hint="eastAsia" w:ascii="仿宋" w:hAnsi="仿宋" w:eastAsia="仿宋" w:cs="仿宋"/>
          <w:color w:val="auto"/>
          <w:sz w:val="24"/>
          <w:szCs w:val="24"/>
        </w:rPr>
        <w:t xml:space="preserve"> 具体评审价说明：</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企业，货物和服务项目评审价=报价*（1-6%）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为联合体报价，对于联合</w:t>
      </w:r>
      <w:r>
        <w:rPr>
          <w:rFonts w:hint="eastAsia" w:ascii="仿宋" w:hAnsi="仿宋" w:eastAsia="仿宋" w:cs="仿宋"/>
          <w:color w:val="auto"/>
          <w:sz w:val="24"/>
          <w:szCs w:val="24"/>
          <w:lang w:val="en-US" w:eastAsia="zh-CN"/>
        </w:rPr>
        <w:t>协议</w:t>
      </w:r>
      <w:r>
        <w:rPr>
          <w:rFonts w:hint="eastAsia" w:ascii="仿宋" w:hAnsi="仿宋" w:eastAsia="仿宋" w:cs="仿宋"/>
          <w:color w:val="auto"/>
          <w:sz w:val="24"/>
          <w:szCs w:val="24"/>
        </w:rPr>
        <w:t>或者分包意向协议约定小微企业的合同份额占到合同总金额30%以上的，货物和服务项目评审价=报价*（1-2%）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仿宋" w:hAnsi="仿宋" w:eastAsia="仿宋" w:cs="仿宋"/>
          <w:b w:val="0"/>
          <w:bCs w:val="0"/>
          <w:i w:val="0"/>
          <w:iCs w:val="0"/>
          <w:color w:val="auto"/>
          <w:sz w:val="24"/>
          <w:szCs w:val="24"/>
          <w:lang w:eastAsia="zh-CN"/>
        </w:rPr>
      </w:pPr>
      <w:r>
        <w:rPr>
          <w:rFonts w:hint="eastAsia" w:ascii="仿宋" w:hAnsi="仿宋" w:eastAsia="仿宋" w:cs="仿宋"/>
          <w:b w:val="0"/>
          <w:bCs w:val="0"/>
          <w:i w:val="0"/>
          <w:iCs w:val="0"/>
          <w:color w:val="auto"/>
          <w:sz w:val="24"/>
          <w:szCs w:val="24"/>
          <w:lang w:eastAsia="zh-CN"/>
        </w:rPr>
        <w:t>（</w:t>
      </w:r>
      <w:r>
        <w:rPr>
          <w:rFonts w:hint="eastAsia" w:ascii="仿宋" w:hAnsi="仿宋" w:eastAsia="仿宋" w:cs="仿宋"/>
          <w:b w:val="0"/>
          <w:bCs w:val="0"/>
          <w:i w:val="0"/>
          <w:iCs w:val="0"/>
          <w:color w:val="auto"/>
          <w:sz w:val="24"/>
          <w:szCs w:val="24"/>
          <w:lang w:val="en-US" w:eastAsia="zh-CN"/>
        </w:rPr>
        <w:t>3</w:t>
      </w:r>
      <w:r>
        <w:rPr>
          <w:rFonts w:hint="eastAsia" w:ascii="仿宋" w:hAnsi="仿宋" w:eastAsia="仿宋" w:cs="仿宋"/>
          <w:b w:val="0"/>
          <w:bCs w:val="0"/>
          <w:i w:val="0"/>
          <w:i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中小企业</w:t>
      </w:r>
      <w:r>
        <w:rPr>
          <w:rFonts w:hint="eastAsia" w:ascii="仿宋" w:hAnsi="仿宋" w:eastAsia="仿宋" w:cs="仿宋"/>
          <w:color w:val="auto"/>
          <w:sz w:val="24"/>
          <w:szCs w:val="24"/>
        </w:rPr>
        <w:t>（含联合体）的，必须</w:t>
      </w:r>
      <w:bookmarkStart w:id="23" w:name="_Toc320093686"/>
      <w:r>
        <w:rPr>
          <w:rFonts w:hint="eastAsia" w:ascii="仿宋" w:hAnsi="仿宋" w:eastAsia="仿宋" w:cs="仿宋"/>
          <w:color w:val="auto"/>
          <w:sz w:val="24"/>
          <w:szCs w:val="24"/>
        </w:rPr>
        <w:t>如实填写“中小企业声明函”（内容、格式见财库〔</w:t>
      </w:r>
      <w:r>
        <w:rPr>
          <w:rFonts w:hint="eastAsia" w:ascii="仿宋" w:hAnsi="仿宋" w:eastAsia="仿宋" w:cs="仿宋"/>
          <w:color w:val="auto"/>
          <w:sz w:val="24"/>
          <w:szCs w:val="24"/>
          <w:lang w:eastAsia="zh-CN"/>
        </w:rPr>
        <w:t>2021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46</w:t>
      </w:r>
      <w:r>
        <w:rPr>
          <w:rFonts w:hint="eastAsia" w:ascii="仿宋" w:hAnsi="仿宋" w:eastAsia="仿宋" w:cs="仿宋"/>
          <w:color w:val="auto"/>
          <w:sz w:val="24"/>
          <w:szCs w:val="24"/>
        </w:rPr>
        <w:t>号）</w:t>
      </w:r>
      <w:bookmarkEnd w:id="23"/>
      <w:r>
        <w:rPr>
          <w:rFonts w:hint="eastAsia" w:ascii="仿宋" w:hAnsi="仿宋" w:eastAsia="仿宋" w:cs="仿宋"/>
          <w:color w:val="auto"/>
          <w:sz w:val="24"/>
          <w:szCs w:val="24"/>
        </w:rPr>
        <w:t>，否则无效。</w:t>
      </w:r>
      <w:r>
        <w:rPr>
          <w:rFonts w:hint="eastAsia" w:ascii="仿宋" w:hAnsi="仿宋" w:eastAsia="仿宋" w:cs="仿宋"/>
          <w:b/>
          <w:color w:val="auto"/>
          <w:sz w:val="24"/>
          <w:szCs w:val="24"/>
        </w:rPr>
        <w:t>如有虚假骗取政策性加分，将依法承担相应责任。</w:t>
      </w:r>
    </w:p>
    <w:p>
      <w:pPr>
        <w:snapToGrid w:val="0"/>
        <w:spacing w:line="52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六、授标及签约</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．定标原则</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如此类推。</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 xml:space="preserve">.2 </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将在指定的网站上公示投标结果。</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质疑处理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 投标人如认为采购文件、采购过程和中标结果使自己的权益收到损害的，应在知道或应知道其权益受到损害之日起7个工作日内以书面形式向</w:t>
      </w:r>
      <w:r>
        <w:rPr>
          <w:rFonts w:hint="eastAsia" w:ascii="仿宋" w:hAnsi="仿宋" w:eastAsia="仿宋" w:cs="仿宋"/>
          <w:color w:val="auto"/>
          <w:sz w:val="24"/>
          <w:szCs w:val="24"/>
          <w:lang w:eastAsia="zh-CN"/>
        </w:rPr>
        <w:t>招标代理机构或采购人</w:t>
      </w:r>
      <w:r>
        <w:rPr>
          <w:rFonts w:hint="eastAsia" w:ascii="仿宋" w:hAnsi="仿宋" w:eastAsia="仿宋" w:cs="仿宋"/>
          <w:color w:val="auto"/>
          <w:sz w:val="24"/>
          <w:szCs w:val="24"/>
        </w:rPr>
        <w:t>提出质疑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并附相关证明材料</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质疑函格式详见海南省财政厅质疑函范本，未按照质疑函范本书写或未附相关证明材料的质疑均不受理）</w:t>
      </w:r>
      <w:r>
        <w:rPr>
          <w:rFonts w:hint="eastAsia" w:ascii="仿宋" w:hAnsi="仿宋" w:eastAsia="仿宋" w:cs="仿宋"/>
          <w:color w:val="auto"/>
          <w:sz w:val="24"/>
          <w:szCs w:val="24"/>
        </w:rPr>
        <w:t>。匿名、非书面形式、7个工作日之外的质疑均不予受理。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22.3</w:t>
      </w:r>
      <w:r>
        <w:rPr>
          <w:rFonts w:hint="eastAsia" w:ascii="仿宋" w:hAnsi="仿宋" w:eastAsia="仿宋" w:cs="仿宋"/>
          <w:color w:val="auto"/>
          <w:sz w:val="24"/>
          <w:szCs w:val="24"/>
        </w:rPr>
        <w:t>质疑函接收信息</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联系部门：</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—项目部</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联系电话及联系人：</w:t>
      </w:r>
      <w:r>
        <w:rPr>
          <w:rFonts w:hint="eastAsia" w:ascii="仿宋" w:hAnsi="仿宋" w:eastAsia="仿宋" w:cs="仿宋"/>
          <w:color w:val="auto"/>
          <w:sz w:val="24"/>
          <w:szCs w:val="24"/>
          <w:lang w:val="en-US" w:eastAsia="zh-CN"/>
        </w:rPr>
        <w:t>张工 0898-66557609</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通讯地址：海口市五指山路康业花园西湖苑G栋2A</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有下列情形之一的，属于无效质疑，采购人或采购代理机构可不予受理：</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（1）未在有效期限内提出质疑的；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（2）质疑未以书面形式提出的；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（3）所提交材料未明示属于质疑材料的；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（4）质疑事项已经进入投诉或者诉讼程序的；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在质疑有效期内未就同一环节一次性提出质疑的；</w:t>
      </w:r>
    </w:p>
    <w:p>
      <w:pPr>
        <w:snapToGrid w:val="0"/>
        <w:spacing w:line="52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）其它不符合受理条件的情形。</w:t>
      </w:r>
    </w:p>
    <w:p>
      <w:pPr>
        <w:snapToGrid w:val="0"/>
        <w:spacing w:line="520" w:lineRule="exact"/>
        <w:ind w:firstLine="480"/>
        <w:rPr>
          <w:rFonts w:hint="eastAsia" w:ascii="仿宋" w:hAnsi="仿宋" w:eastAsia="仿宋" w:cs="仿宋"/>
          <w:bCs/>
          <w:color w:val="auto"/>
          <w:sz w:val="24"/>
          <w:szCs w:val="24"/>
        </w:rPr>
      </w:pPr>
      <w:r>
        <w:rPr>
          <w:rFonts w:hint="eastAsia" w:ascii="仿宋" w:hAnsi="仿宋" w:eastAsia="仿宋" w:cs="仿宋"/>
          <w:color w:val="auto"/>
          <w:sz w:val="24"/>
          <w:szCs w:val="24"/>
          <w:lang w:val="en-US" w:eastAsia="zh-CN"/>
        </w:rPr>
        <w:t>22.5</w:t>
      </w:r>
      <w:r>
        <w:rPr>
          <w:rFonts w:hint="eastAsia" w:ascii="仿宋" w:hAnsi="仿宋" w:eastAsia="仿宋" w:cs="仿宋"/>
          <w:color w:val="auto"/>
          <w:sz w:val="24"/>
          <w:szCs w:val="24"/>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（1）质疑函未使用财政部制定的政府采购供应商质疑函范本进行编写的；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（2）质疑函内容不全的。</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质疑函在质疑有效期内需要修改、补充的，以提交修改或补充的质疑函原件并发出质疑签收单之日作为质疑正式受理之日。</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．中标通知</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.l定标后,招标人应将定标结果通知所有的投标人。</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.2中标人收到中标通知后，应在规定时间内到招标人处领取中标通知书，并办理相关手续。</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.3 中标通知书将是合同的一个组成部分。</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．签订合同</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.l 中标人应按中标通知书规定的时间、地点与采购人签订中标合同,否则投标保证金将不予退还，给采购人和招标人造成损失的，投标人还应承担赔偿责任。</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.2 投标文件、中标人的投标文件及评标过程中有关澄清文件均应作为合同附件。</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．招标代理服务费</w:t>
      </w:r>
    </w:p>
    <w:p>
      <w:pPr>
        <w:snapToGrid w:val="0"/>
        <w:spacing w:line="520" w:lineRule="exact"/>
        <w:ind w:firstLine="542" w:firstLineChars="225"/>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根据项目</w:t>
      </w:r>
      <w:r>
        <w:rPr>
          <w:rFonts w:hint="eastAsia" w:ascii="仿宋" w:hAnsi="仿宋" w:eastAsia="仿宋" w:cs="仿宋"/>
          <w:b/>
          <w:bCs/>
          <w:color w:val="auto"/>
          <w:sz w:val="24"/>
          <w:szCs w:val="24"/>
          <w:lang w:eastAsia="zh-CN"/>
        </w:rPr>
        <w:t>委托代理协议的规定</w:t>
      </w:r>
      <w:r>
        <w:rPr>
          <w:rFonts w:hint="eastAsia" w:ascii="仿宋" w:hAnsi="仿宋" w:eastAsia="仿宋" w:cs="仿宋"/>
          <w:b/>
          <w:bCs/>
          <w:color w:val="auto"/>
          <w:sz w:val="24"/>
          <w:szCs w:val="24"/>
        </w:rPr>
        <w:t>向</w:t>
      </w:r>
      <w:r>
        <w:rPr>
          <w:rFonts w:hint="eastAsia" w:ascii="仿宋" w:hAnsi="仿宋" w:eastAsia="仿宋" w:cs="仿宋"/>
          <w:b/>
          <w:bCs/>
          <w:color w:val="auto"/>
          <w:sz w:val="24"/>
          <w:szCs w:val="24"/>
          <w:lang w:val="en-US" w:eastAsia="zh-CN"/>
        </w:rPr>
        <w:t>采购</w:t>
      </w:r>
      <w:r>
        <w:rPr>
          <w:rFonts w:hint="eastAsia" w:ascii="仿宋" w:hAnsi="仿宋" w:eastAsia="仿宋" w:cs="仿宋"/>
          <w:b/>
          <w:bCs/>
          <w:color w:val="auto"/>
          <w:sz w:val="24"/>
          <w:szCs w:val="24"/>
        </w:rPr>
        <w:t>人收取，由</w:t>
      </w:r>
      <w:r>
        <w:rPr>
          <w:rFonts w:hint="eastAsia" w:ascii="仿宋" w:hAnsi="仿宋" w:eastAsia="仿宋" w:cs="仿宋"/>
          <w:b/>
          <w:bCs/>
          <w:color w:val="auto"/>
          <w:sz w:val="24"/>
          <w:szCs w:val="24"/>
          <w:lang w:eastAsia="zh-CN"/>
        </w:rPr>
        <w:t>采购人</w:t>
      </w:r>
      <w:r>
        <w:rPr>
          <w:rFonts w:hint="eastAsia" w:ascii="仿宋" w:hAnsi="仿宋" w:eastAsia="仿宋" w:cs="仿宋"/>
          <w:b/>
          <w:bCs/>
          <w:color w:val="auto"/>
          <w:sz w:val="24"/>
          <w:szCs w:val="24"/>
        </w:rPr>
        <w:t>向</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b/>
          <w:bCs/>
          <w:color w:val="auto"/>
          <w:sz w:val="24"/>
          <w:szCs w:val="24"/>
        </w:rPr>
        <w:t>支付</w:t>
      </w:r>
      <w:r>
        <w:rPr>
          <w:rFonts w:hint="eastAsia" w:ascii="仿宋" w:hAnsi="仿宋" w:eastAsia="仿宋" w:cs="仿宋"/>
          <w:b/>
          <w:bCs/>
          <w:color w:val="auto"/>
          <w:sz w:val="24"/>
          <w:szCs w:val="24"/>
          <w:lang w:eastAsia="zh-CN"/>
        </w:rPr>
        <w:t>。</w:t>
      </w:r>
    </w:p>
    <w:p>
      <w:pPr>
        <w:snapToGrid w:val="0"/>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.其它</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本项目不召开答疑会。</w:t>
      </w:r>
    </w:p>
    <w:p>
      <w:pPr>
        <w:rPr>
          <w:rFonts w:hint="eastAsia" w:ascii="仿宋" w:hAnsi="仿宋" w:eastAsia="仿宋" w:cs="仿宋"/>
          <w:color w:val="auto"/>
          <w:sz w:val="24"/>
          <w:szCs w:val="24"/>
        </w:rPr>
      </w:pPr>
    </w:p>
    <w:p>
      <w:pPr>
        <w:snapToGrid w:val="0"/>
        <w:spacing w:line="520" w:lineRule="exact"/>
        <w:jc w:val="center"/>
        <w:outlineLvl w:val="0"/>
        <w:rPr>
          <w:rFonts w:hint="eastAsia" w:ascii="仿宋" w:hAnsi="仿宋" w:eastAsia="仿宋" w:cs="仿宋"/>
          <w:b/>
          <w:color w:val="auto"/>
          <w:sz w:val="24"/>
          <w:szCs w:val="24"/>
        </w:rPr>
        <w:sectPr>
          <w:footerReference r:id="rId6" w:type="first"/>
          <w:footerReference r:id="rId5" w:type="default"/>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24" w:name="_Toc27043"/>
      <w:r>
        <w:rPr>
          <w:rFonts w:hint="eastAsia" w:ascii="仿宋" w:hAnsi="仿宋" w:eastAsia="仿宋" w:cs="仿宋"/>
          <w:b/>
          <w:color w:val="auto"/>
          <w:sz w:val="44"/>
          <w:szCs w:val="44"/>
        </w:rPr>
        <w:t>第三章  用户需求书</w:t>
      </w:r>
      <w:bookmarkEnd w:id="21"/>
      <w:bookmarkEnd w:id="22"/>
      <w:bookmarkEnd w:id="24"/>
    </w:p>
    <w:p>
      <w:pPr>
        <w:spacing w:line="360" w:lineRule="auto"/>
        <w:rPr>
          <w:rFonts w:hint="eastAsia" w:ascii="仿宋" w:hAnsi="仿宋" w:eastAsia="仿宋" w:cs="仿宋"/>
          <w:b/>
          <w:bCs/>
          <w:color w:val="auto"/>
          <w:sz w:val="24"/>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一、项目名称</w:t>
      </w:r>
    </w:p>
    <w:p>
      <w:pPr>
        <w:spacing w:before="72" w:beforeLines="30" w:after="72" w:afterLines="30" w:line="360" w:lineRule="auto"/>
        <w:ind w:firstLine="240" w:firstLineChars="100"/>
        <w:rPr>
          <w:rFonts w:hint="eastAsia" w:ascii="仿宋" w:hAnsi="仿宋" w:eastAsia="仿宋" w:cs="仿宋"/>
          <w:color w:val="auto"/>
          <w:sz w:val="24"/>
          <w:szCs w:val="22"/>
          <w:lang w:val="en-US" w:eastAsia="zh-CN" w:bidi="ar-SA"/>
        </w:rPr>
      </w:pPr>
      <w:bookmarkStart w:id="25" w:name="_Toc491437779"/>
      <w:bookmarkStart w:id="26" w:name="_Toc458334276"/>
      <w:bookmarkStart w:id="27" w:name="_Toc460421727"/>
      <w:bookmarkStart w:id="28" w:name="_Toc458255327"/>
      <w:r>
        <w:rPr>
          <w:rFonts w:hint="eastAsia" w:ascii="仿宋" w:hAnsi="仿宋" w:eastAsia="仿宋" w:cs="仿宋"/>
          <w:color w:val="auto"/>
          <w:sz w:val="24"/>
          <w:szCs w:val="22"/>
          <w:lang w:val="en-US" w:eastAsia="zh-CN" w:bidi="ar-SA"/>
        </w:rPr>
        <w:t xml:space="preserve">1、项目名称：海南省农业农村厅2021年度信息系统运维项目 </w:t>
      </w:r>
    </w:p>
    <w:p>
      <w:pPr>
        <w:pStyle w:val="276"/>
        <w:spacing w:after="0" w:line="360" w:lineRule="auto"/>
        <w:ind w:firstLine="240" w:firstLineChars="100"/>
        <w:jc w:val="left"/>
        <w:rPr>
          <w:rFonts w:hint="eastAsia" w:ascii="仿宋" w:hAnsi="仿宋" w:eastAsia="仿宋" w:cs="仿宋"/>
          <w:color w:val="auto"/>
          <w:sz w:val="24"/>
          <w:szCs w:val="22"/>
          <w:lang w:val="en-US" w:eastAsia="zh-CN" w:bidi="ar-SA"/>
        </w:rPr>
      </w:pPr>
      <w:r>
        <w:rPr>
          <w:rFonts w:hint="eastAsia" w:ascii="仿宋" w:hAnsi="仿宋" w:eastAsia="仿宋" w:cs="仿宋"/>
          <w:color w:val="auto"/>
          <w:sz w:val="24"/>
          <w:szCs w:val="22"/>
          <w:lang w:val="en-US" w:eastAsia="zh-CN" w:bidi="ar-SA"/>
        </w:rPr>
        <w:t>2、预算金额： 2160100.00元，报价不能超过预算金额，超过预算报价为无效</w:t>
      </w:r>
      <w:bookmarkStart w:id="29" w:name="_Toc496550510"/>
      <w:bookmarkEnd w:id="29"/>
      <w:bookmarkStart w:id="30" w:name="_Toc488335963"/>
      <w:bookmarkEnd w:id="30"/>
      <w:bookmarkStart w:id="31" w:name="_Toc510132995"/>
      <w:bookmarkEnd w:id="31"/>
      <w:bookmarkStart w:id="32" w:name="_Toc510133032"/>
      <w:bookmarkEnd w:id="32"/>
      <w:bookmarkStart w:id="33" w:name="_Toc30965"/>
      <w:bookmarkEnd w:id="33"/>
      <w:bookmarkStart w:id="34" w:name="_Toc496550495"/>
      <w:bookmarkEnd w:id="34"/>
      <w:bookmarkStart w:id="35" w:name="_Toc448926140"/>
      <w:bookmarkEnd w:id="35"/>
      <w:bookmarkStart w:id="36" w:name="_Toc217446099"/>
    </w:p>
    <w:p>
      <w:pPr>
        <w:pStyle w:val="2"/>
        <w:tabs>
          <w:tab w:val="left" w:pos="709"/>
        </w:tabs>
        <w:rPr>
          <w:rFonts w:hint="eastAsia" w:ascii="仿宋" w:hAnsi="仿宋" w:eastAsia="仿宋" w:cs="仿宋"/>
          <w:color w:val="auto"/>
          <w:lang w:eastAsia="zh-CN"/>
        </w:rPr>
      </w:pPr>
      <w:r>
        <w:rPr>
          <w:rFonts w:hint="eastAsia" w:ascii="仿宋" w:hAnsi="仿宋" w:eastAsia="仿宋" w:cs="仿宋"/>
          <w:color w:val="auto"/>
          <w:lang w:eastAsia="zh-CN"/>
        </w:rPr>
        <w:t>二、项目内容</w:t>
      </w:r>
    </w:p>
    <w:p>
      <w:pPr>
        <w:pStyle w:val="2"/>
        <w:tabs>
          <w:tab w:val="left" w:pos="709"/>
        </w:tabs>
        <w:rPr>
          <w:rFonts w:hint="eastAsia" w:ascii="仿宋" w:hAnsi="仿宋" w:eastAsia="仿宋" w:cs="仿宋"/>
          <w:color w:val="auto"/>
        </w:rPr>
      </w:pPr>
      <w:r>
        <w:rPr>
          <w:rFonts w:hint="eastAsia" w:ascii="仿宋" w:hAnsi="仿宋" w:eastAsia="仿宋" w:cs="仿宋"/>
          <w:color w:val="auto"/>
          <w:lang w:eastAsia="zh-CN"/>
        </w:rPr>
        <w:t>（</w:t>
      </w:r>
      <w:r>
        <w:rPr>
          <w:rFonts w:hint="eastAsia" w:ascii="仿宋" w:hAnsi="仿宋" w:eastAsia="仿宋" w:cs="仿宋"/>
          <w:color w:val="auto"/>
        </w:rPr>
        <w:t>一</w:t>
      </w:r>
      <w:r>
        <w:rPr>
          <w:rFonts w:hint="eastAsia" w:ascii="仿宋" w:hAnsi="仿宋" w:eastAsia="仿宋" w:cs="仿宋"/>
          <w:color w:val="auto"/>
          <w:lang w:eastAsia="zh-CN"/>
        </w:rPr>
        <w:t>）</w:t>
      </w:r>
      <w:r>
        <w:rPr>
          <w:rFonts w:hint="eastAsia" w:ascii="仿宋" w:hAnsi="仿宋" w:eastAsia="仿宋" w:cs="仿宋"/>
          <w:color w:val="auto"/>
        </w:rPr>
        <w:t>运维内容</w:t>
      </w:r>
    </w:p>
    <w:p>
      <w:pPr>
        <w:pStyle w:val="283"/>
        <w:rPr>
          <w:rFonts w:hint="eastAsia" w:ascii="仿宋" w:hAnsi="仿宋" w:eastAsia="仿宋" w:cs="仿宋"/>
          <w:color w:val="auto"/>
        </w:rPr>
      </w:pPr>
      <w:r>
        <w:rPr>
          <w:rFonts w:hint="eastAsia" w:ascii="仿宋" w:hAnsi="仿宋" w:eastAsia="仿宋" w:cs="仿宋"/>
          <w:color w:val="auto"/>
        </w:rPr>
        <w:t>主要包括与信息系统相关的机房配套设备、主机设备、网络设备和存储设备以及数据库、应用软件的运行维护服务，保证现有的信息系统的正常运行，降低整体管理成本，提高信息系统的整体服务水平。同时根据日常维护的数据和记录，提供信息系统的整体优化建议，更好的为信息化发展提供有力的保障。运维内容包括机房运维、软硬件基础设施运维、应用系统运维、数据服务、其他运维服务、安全服务。</w:t>
      </w:r>
    </w:p>
    <w:p>
      <w:pPr>
        <w:pStyle w:val="4"/>
        <w:rPr>
          <w:rFonts w:hint="eastAsia" w:ascii="仿宋" w:hAnsi="仿宋" w:eastAsia="仿宋" w:cs="仿宋"/>
          <w:color w:val="auto"/>
        </w:rPr>
      </w:pPr>
      <w:r>
        <w:rPr>
          <w:rFonts w:hint="eastAsia" w:ascii="仿宋" w:hAnsi="仿宋" w:eastAsia="仿宋" w:cs="仿宋"/>
          <w:color w:val="auto"/>
        </w:rPr>
        <w:t>1、机房运维</w:t>
      </w:r>
    </w:p>
    <w:p>
      <w:pPr>
        <w:pStyle w:val="283"/>
        <w:rPr>
          <w:rFonts w:hint="eastAsia" w:ascii="仿宋" w:hAnsi="仿宋" w:eastAsia="仿宋" w:cs="仿宋"/>
          <w:color w:val="auto"/>
        </w:rPr>
      </w:pPr>
      <w:r>
        <w:rPr>
          <w:rFonts w:hint="eastAsia" w:ascii="仿宋" w:hAnsi="仿宋" w:eastAsia="仿宋" w:cs="仿宋"/>
          <w:color w:val="auto"/>
        </w:rPr>
        <w:t>根据系统的现状，所需的运维服务包括：技术人员值守（配置保证机房配套设备实时连通和可用，保障网络及安全设备的正常运转。并提供7×24小时的电话技术支持服务）、定期现场巡检、设备保修与现场备件安装、现场软件升级、现场故障处理、问题管理并记录、运行分析及建议。</w:t>
      </w:r>
    </w:p>
    <w:p>
      <w:pPr>
        <w:pStyle w:val="4"/>
        <w:tabs>
          <w:tab w:val="left" w:pos="709"/>
        </w:tabs>
        <w:rPr>
          <w:rFonts w:hint="eastAsia" w:ascii="仿宋" w:hAnsi="仿宋" w:eastAsia="仿宋" w:cs="仿宋"/>
          <w:color w:val="auto"/>
        </w:rPr>
      </w:pPr>
      <w:r>
        <w:rPr>
          <w:rFonts w:hint="eastAsia" w:ascii="仿宋" w:hAnsi="仿宋" w:eastAsia="仿宋" w:cs="仿宋"/>
          <w:color w:val="auto"/>
        </w:rPr>
        <w:t>2、软硬件设备运维</w:t>
      </w:r>
    </w:p>
    <w:p>
      <w:pPr>
        <w:pStyle w:val="283"/>
        <w:rPr>
          <w:rFonts w:hint="eastAsia" w:ascii="仿宋" w:hAnsi="仿宋" w:eastAsia="仿宋" w:cs="仿宋"/>
          <w:color w:val="auto"/>
        </w:rPr>
      </w:pPr>
      <w:r>
        <w:rPr>
          <w:rFonts w:hint="eastAsia" w:ascii="仿宋" w:hAnsi="仿宋" w:eastAsia="仿宋" w:cs="仿宋"/>
          <w:color w:val="auto"/>
        </w:rPr>
        <w:t>软硬件设备运维的范围包括网络与安全系统运维、服务器与存储系统运维、系统软件与其他工具软件运维、终端及其他系统运维</w:t>
      </w:r>
    </w:p>
    <w:p>
      <w:pPr>
        <w:pStyle w:val="5"/>
        <w:rPr>
          <w:rFonts w:hint="eastAsia" w:ascii="仿宋" w:hAnsi="仿宋" w:eastAsia="仿宋" w:cs="仿宋"/>
          <w:color w:val="auto"/>
          <w:szCs w:val="18"/>
        </w:rPr>
      </w:pPr>
      <w:r>
        <w:rPr>
          <w:rFonts w:hint="eastAsia" w:ascii="仿宋" w:hAnsi="仿宋" w:eastAsia="仿宋" w:cs="仿宋"/>
          <w:color w:val="auto"/>
          <w:szCs w:val="18"/>
        </w:rPr>
        <w:t>1）网络与安全系统运维</w:t>
      </w:r>
    </w:p>
    <w:p>
      <w:pPr>
        <w:pStyle w:val="283"/>
        <w:rPr>
          <w:rFonts w:hint="eastAsia" w:ascii="仿宋" w:hAnsi="仿宋" w:eastAsia="仿宋" w:cs="仿宋"/>
          <w:color w:val="auto"/>
        </w:rPr>
      </w:pPr>
      <w:r>
        <w:rPr>
          <w:rFonts w:hint="eastAsia" w:ascii="仿宋" w:hAnsi="仿宋" w:eastAsia="仿宋" w:cs="仿宋"/>
          <w:color w:val="auto"/>
        </w:rPr>
        <w:t>根据系统的现状，所需的网络与安全系统运维服务包括：定期现场巡检、设备保修与现场备件安装、现场软件升级、现场故障处理、问题管理并记录、运行分析及建议。</w:t>
      </w:r>
    </w:p>
    <w:p>
      <w:pPr>
        <w:pStyle w:val="283"/>
        <w:rPr>
          <w:rFonts w:hint="eastAsia" w:ascii="仿宋" w:hAnsi="仿宋" w:eastAsia="仿宋" w:cs="仿宋"/>
          <w:color w:val="auto"/>
        </w:rPr>
      </w:pPr>
      <w:r>
        <w:rPr>
          <w:rFonts w:hint="eastAsia" w:ascii="仿宋" w:hAnsi="仿宋" w:eastAsia="仿宋" w:cs="仿宋"/>
          <w:color w:val="auto"/>
        </w:rPr>
        <w:t>从网络的连通性、网络的性能、网络监控管理、网络安全保障等方面实现对网络与安全系统的运维管理，服务内容包括：</w:t>
      </w:r>
    </w:p>
    <w:p>
      <w:pPr>
        <w:pStyle w:val="283"/>
        <w:rPr>
          <w:rFonts w:hint="eastAsia" w:ascii="仿宋" w:hAnsi="仿宋" w:eastAsia="仿宋" w:cs="仿宋"/>
          <w:color w:val="auto"/>
        </w:rPr>
      </w:pPr>
      <w:r>
        <w:rPr>
          <w:rFonts w:hint="eastAsia" w:ascii="仿宋" w:hAnsi="仿宋" w:eastAsia="仿宋" w:cs="仿宋"/>
          <w:color w:val="auto"/>
        </w:rPr>
        <w:t>（1）技术人员值守</w:t>
      </w:r>
    </w:p>
    <w:p>
      <w:pPr>
        <w:pStyle w:val="283"/>
        <w:rPr>
          <w:rFonts w:hint="eastAsia" w:ascii="仿宋" w:hAnsi="仿宋" w:eastAsia="仿宋" w:cs="仿宋"/>
          <w:color w:val="auto"/>
        </w:rPr>
      </w:pPr>
      <w:r>
        <w:rPr>
          <w:rFonts w:hint="eastAsia" w:ascii="仿宋" w:hAnsi="仿宋" w:eastAsia="仿宋" w:cs="仿宋"/>
          <w:color w:val="auto"/>
        </w:rPr>
        <w:t>长期的技术人员值守，保证网络的实时连通和可用，保障网络及安全系统的正常运转。并提供7×24小时的电话技术支持服务。</w:t>
      </w:r>
    </w:p>
    <w:p>
      <w:pPr>
        <w:pStyle w:val="283"/>
        <w:rPr>
          <w:rFonts w:hint="eastAsia" w:ascii="仿宋" w:hAnsi="仿宋" w:eastAsia="仿宋" w:cs="仿宋"/>
          <w:color w:val="auto"/>
        </w:rPr>
      </w:pPr>
      <w:r>
        <w:rPr>
          <w:rFonts w:hint="eastAsia" w:ascii="仿宋" w:hAnsi="仿宋" w:eastAsia="仿宋" w:cs="仿宋"/>
          <w:color w:val="auto"/>
        </w:rPr>
        <w:t>（2）定期现场巡检</w:t>
      </w:r>
    </w:p>
    <w:p>
      <w:pPr>
        <w:pStyle w:val="283"/>
        <w:rPr>
          <w:rFonts w:hint="eastAsia" w:ascii="仿宋" w:hAnsi="仿宋" w:eastAsia="仿宋" w:cs="仿宋"/>
          <w:color w:val="auto"/>
        </w:rPr>
      </w:pPr>
      <w:r>
        <w:rPr>
          <w:rFonts w:hint="eastAsia" w:ascii="仿宋" w:hAnsi="仿宋" w:eastAsia="仿宋" w:cs="仿宋"/>
          <w:color w:val="auto"/>
        </w:rPr>
        <w:t>对设备及网络、安全进行全面检查，通过该工作获得设备运行的第一手资料，最大可能地发现存在的隐患，保障设备稳定运行。</w:t>
      </w:r>
    </w:p>
    <w:p>
      <w:pPr>
        <w:pStyle w:val="283"/>
        <w:rPr>
          <w:rFonts w:hint="eastAsia" w:ascii="仿宋" w:hAnsi="仿宋" w:eastAsia="仿宋" w:cs="仿宋"/>
          <w:color w:val="auto"/>
        </w:rPr>
      </w:pPr>
      <w:r>
        <w:rPr>
          <w:rFonts w:hint="eastAsia" w:ascii="仿宋" w:hAnsi="仿宋" w:eastAsia="仿宋" w:cs="仿宋"/>
          <w:color w:val="auto"/>
        </w:rPr>
        <w:t>（3）设备保修及现场备件安装</w:t>
      </w:r>
    </w:p>
    <w:p>
      <w:pPr>
        <w:pStyle w:val="283"/>
        <w:rPr>
          <w:rFonts w:hint="eastAsia" w:ascii="仿宋" w:hAnsi="仿宋" w:eastAsia="仿宋" w:cs="仿宋"/>
          <w:color w:val="auto"/>
        </w:rPr>
      </w:pPr>
      <w:r>
        <w:rPr>
          <w:rFonts w:hint="eastAsia" w:ascii="仿宋" w:hAnsi="仿宋" w:eastAsia="仿宋" w:cs="仿宋"/>
          <w:color w:val="auto"/>
        </w:rPr>
        <w:t>在故障情况下，负责对故障设备进行维修或原厂返修，对需要备件顶替的进行现场安装调试。</w:t>
      </w:r>
    </w:p>
    <w:p>
      <w:pPr>
        <w:pStyle w:val="283"/>
        <w:rPr>
          <w:rFonts w:hint="eastAsia" w:ascii="仿宋" w:hAnsi="仿宋" w:eastAsia="仿宋" w:cs="仿宋"/>
          <w:color w:val="auto"/>
        </w:rPr>
      </w:pPr>
      <w:r>
        <w:rPr>
          <w:rFonts w:hint="eastAsia" w:ascii="仿宋" w:hAnsi="仿宋" w:eastAsia="仿宋" w:cs="仿宋"/>
          <w:color w:val="auto"/>
        </w:rPr>
        <w:t>（4）现场软件升级</w:t>
      </w:r>
    </w:p>
    <w:p>
      <w:pPr>
        <w:pStyle w:val="283"/>
        <w:rPr>
          <w:rFonts w:hint="eastAsia" w:ascii="仿宋" w:hAnsi="仿宋" w:eastAsia="仿宋" w:cs="仿宋"/>
          <w:color w:val="auto"/>
        </w:rPr>
      </w:pPr>
      <w:r>
        <w:rPr>
          <w:rFonts w:hint="eastAsia" w:ascii="仿宋" w:hAnsi="仿宋" w:eastAsia="仿宋" w:cs="仿宋"/>
          <w:color w:val="auto"/>
        </w:rPr>
        <w:t>分析软件升级的必要性和风险，若有必要将进行软件升级。</w:t>
      </w:r>
    </w:p>
    <w:p>
      <w:pPr>
        <w:pStyle w:val="283"/>
        <w:rPr>
          <w:rFonts w:hint="eastAsia" w:ascii="仿宋" w:hAnsi="仿宋" w:eastAsia="仿宋" w:cs="仿宋"/>
          <w:color w:val="auto"/>
        </w:rPr>
      </w:pPr>
      <w:r>
        <w:rPr>
          <w:rFonts w:hint="eastAsia" w:ascii="仿宋" w:hAnsi="仿宋" w:eastAsia="仿宋" w:cs="仿宋"/>
          <w:color w:val="auto"/>
        </w:rPr>
        <w:t>（5）现场故障处理</w:t>
      </w:r>
    </w:p>
    <w:p>
      <w:pPr>
        <w:pStyle w:val="283"/>
        <w:rPr>
          <w:rFonts w:hint="eastAsia" w:ascii="仿宋" w:hAnsi="仿宋" w:eastAsia="仿宋" w:cs="仿宋"/>
          <w:color w:val="auto"/>
        </w:rPr>
      </w:pPr>
      <w:r>
        <w:rPr>
          <w:rFonts w:hint="eastAsia" w:ascii="仿宋" w:hAnsi="仿宋" w:eastAsia="仿宋" w:cs="仿宋"/>
          <w:color w:val="auto"/>
        </w:rPr>
        <w:t>按服务级别：7×24小时。</w:t>
      </w:r>
    </w:p>
    <w:p>
      <w:pPr>
        <w:pStyle w:val="283"/>
        <w:rPr>
          <w:rFonts w:hint="eastAsia" w:ascii="仿宋" w:hAnsi="仿宋" w:eastAsia="仿宋" w:cs="仿宋"/>
          <w:color w:val="auto"/>
        </w:rPr>
      </w:pPr>
      <w:r>
        <w:rPr>
          <w:rFonts w:hint="eastAsia" w:ascii="仿宋" w:hAnsi="仿宋" w:eastAsia="仿宋" w:cs="仿宋"/>
          <w:color w:val="auto"/>
        </w:rPr>
        <w:t>（6）问题管理并记录</w:t>
      </w:r>
    </w:p>
    <w:p>
      <w:pPr>
        <w:pStyle w:val="283"/>
        <w:rPr>
          <w:rFonts w:hint="eastAsia" w:ascii="仿宋" w:hAnsi="仿宋" w:eastAsia="仿宋" w:cs="仿宋"/>
          <w:color w:val="auto"/>
        </w:rPr>
      </w:pPr>
      <w:r>
        <w:rPr>
          <w:rFonts w:hint="eastAsia" w:ascii="仿宋" w:hAnsi="仿宋" w:eastAsia="仿宋" w:cs="仿宋"/>
          <w:color w:val="auto"/>
        </w:rPr>
        <w:t>对遇到的问题进行汇总和报告。</w:t>
      </w:r>
    </w:p>
    <w:p>
      <w:pPr>
        <w:pStyle w:val="283"/>
        <w:rPr>
          <w:rFonts w:hint="eastAsia" w:ascii="仿宋" w:hAnsi="仿宋" w:eastAsia="仿宋" w:cs="仿宋"/>
          <w:color w:val="auto"/>
        </w:rPr>
      </w:pPr>
      <w:r>
        <w:rPr>
          <w:rFonts w:hint="eastAsia" w:ascii="仿宋" w:hAnsi="仿宋" w:eastAsia="仿宋" w:cs="仿宋"/>
          <w:color w:val="auto"/>
        </w:rPr>
        <w:t>（7）运行分析及建议</w:t>
      </w:r>
    </w:p>
    <w:p>
      <w:pPr>
        <w:pStyle w:val="283"/>
        <w:rPr>
          <w:rFonts w:hint="eastAsia" w:ascii="仿宋" w:hAnsi="仿宋" w:eastAsia="仿宋" w:cs="仿宋"/>
          <w:color w:val="auto"/>
        </w:rPr>
      </w:pPr>
      <w:r>
        <w:rPr>
          <w:rFonts w:hint="eastAsia" w:ascii="仿宋" w:hAnsi="仿宋" w:eastAsia="仿宋" w:cs="仿宋"/>
          <w:color w:val="auto"/>
        </w:rPr>
        <w:t>通过对网络运行状况、安全问题进行周期性检查、分析，全面了解历史故障情况，并提出故障预防建议，最大程度减少网络及安全故障隐患，更高效的进行网络及安全设备管理。</w:t>
      </w:r>
    </w:p>
    <w:p>
      <w:pPr>
        <w:pStyle w:val="5"/>
        <w:rPr>
          <w:rFonts w:hint="eastAsia" w:ascii="仿宋" w:hAnsi="仿宋" w:eastAsia="仿宋" w:cs="仿宋"/>
          <w:color w:val="auto"/>
          <w:szCs w:val="18"/>
        </w:rPr>
      </w:pPr>
      <w:r>
        <w:rPr>
          <w:rFonts w:hint="eastAsia" w:ascii="仿宋" w:hAnsi="仿宋" w:eastAsia="仿宋" w:cs="仿宋"/>
          <w:color w:val="auto"/>
          <w:szCs w:val="18"/>
        </w:rPr>
        <w:t>2）服务器与存储系统运维</w:t>
      </w:r>
    </w:p>
    <w:p>
      <w:pPr>
        <w:pStyle w:val="283"/>
        <w:rPr>
          <w:rFonts w:hint="eastAsia" w:ascii="仿宋" w:hAnsi="仿宋" w:eastAsia="仿宋" w:cs="仿宋"/>
          <w:color w:val="auto"/>
        </w:rPr>
      </w:pPr>
      <w:r>
        <w:rPr>
          <w:rFonts w:hint="eastAsia" w:ascii="仿宋" w:hAnsi="仿宋" w:eastAsia="仿宋" w:cs="仿宋"/>
          <w:color w:val="auto"/>
        </w:rPr>
        <w:t>服务器与存储系统所需的运维服务包括：技术人员值守、定期现场巡检、设备保修与现场备件安装、补丁服务、升级服务、现场故障处理、问题管理并记录、系统优化等，服务内容包括：</w:t>
      </w:r>
    </w:p>
    <w:p>
      <w:pPr>
        <w:pStyle w:val="283"/>
        <w:rPr>
          <w:rFonts w:hint="eastAsia" w:ascii="仿宋" w:hAnsi="仿宋" w:eastAsia="仿宋" w:cs="仿宋"/>
          <w:color w:val="auto"/>
        </w:rPr>
      </w:pPr>
      <w:r>
        <w:rPr>
          <w:rFonts w:hint="eastAsia" w:ascii="仿宋" w:hAnsi="仿宋" w:eastAsia="仿宋" w:cs="仿宋"/>
          <w:color w:val="auto"/>
        </w:rPr>
        <w:t>（1）技术人员值守</w:t>
      </w:r>
    </w:p>
    <w:p>
      <w:pPr>
        <w:pStyle w:val="283"/>
        <w:rPr>
          <w:rFonts w:hint="eastAsia" w:ascii="仿宋" w:hAnsi="仿宋" w:eastAsia="仿宋" w:cs="仿宋"/>
          <w:color w:val="auto"/>
        </w:rPr>
      </w:pPr>
      <w:r>
        <w:rPr>
          <w:rFonts w:hint="eastAsia" w:ascii="仿宋" w:hAnsi="仿宋" w:eastAsia="仿宋" w:cs="仿宋"/>
          <w:color w:val="auto"/>
        </w:rPr>
        <w:t>长期的技术人员值守，保证主机、存储的连通和可用，提供7×24小时的电话技术支持服务。</w:t>
      </w:r>
    </w:p>
    <w:p>
      <w:pPr>
        <w:pStyle w:val="283"/>
        <w:rPr>
          <w:rFonts w:hint="eastAsia" w:ascii="仿宋" w:hAnsi="仿宋" w:eastAsia="仿宋" w:cs="仿宋"/>
          <w:color w:val="auto"/>
        </w:rPr>
      </w:pPr>
      <w:r>
        <w:rPr>
          <w:rFonts w:hint="eastAsia" w:ascii="仿宋" w:hAnsi="仿宋" w:eastAsia="仿宋" w:cs="仿宋"/>
          <w:color w:val="auto"/>
        </w:rPr>
        <w:t>（2）定期现场巡检</w:t>
      </w:r>
    </w:p>
    <w:p>
      <w:pPr>
        <w:pStyle w:val="283"/>
        <w:rPr>
          <w:rFonts w:hint="eastAsia" w:ascii="仿宋" w:hAnsi="仿宋" w:eastAsia="仿宋" w:cs="仿宋"/>
          <w:color w:val="auto"/>
        </w:rPr>
      </w:pPr>
      <w:r>
        <w:rPr>
          <w:rFonts w:hint="eastAsia" w:ascii="仿宋" w:hAnsi="仿宋" w:eastAsia="仿宋" w:cs="仿宋"/>
          <w:color w:val="auto"/>
        </w:rPr>
        <w:t>对主机、存储设备进行全面检查的服务项目，通过该工作获得设备运行的第一手资料，最大可能地发现存在的隐患，保障设备稳定运行。</w:t>
      </w:r>
    </w:p>
    <w:p>
      <w:pPr>
        <w:pStyle w:val="283"/>
        <w:rPr>
          <w:rFonts w:hint="eastAsia" w:ascii="仿宋" w:hAnsi="仿宋" w:eastAsia="仿宋" w:cs="仿宋"/>
          <w:color w:val="auto"/>
        </w:rPr>
      </w:pPr>
      <w:r>
        <w:rPr>
          <w:rFonts w:hint="eastAsia" w:ascii="仿宋" w:hAnsi="仿宋" w:eastAsia="仿宋" w:cs="仿宋"/>
          <w:color w:val="auto"/>
        </w:rPr>
        <w:t>（3）设备保修及现场备件安装</w:t>
      </w:r>
    </w:p>
    <w:p>
      <w:pPr>
        <w:pStyle w:val="283"/>
        <w:rPr>
          <w:rFonts w:hint="eastAsia" w:ascii="仿宋" w:hAnsi="仿宋" w:eastAsia="仿宋" w:cs="仿宋"/>
          <w:color w:val="auto"/>
        </w:rPr>
      </w:pPr>
      <w:r>
        <w:rPr>
          <w:rFonts w:hint="eastAsia" w:ascii="仿宋" w:hAnsi="仿宋" w:eastAsia="仿宋" w:cs="仿宋"/>
          <w:color w:val="auto"/>
        </w:rPr>
        <w:t>在故障情况下，负责对故障设备进行维修或原厂返修，对需要备件顶替的对备件进行现场安装调试。</w:t>
      </w:r>
    </w:p>
    <w:p>
      <w:pPr>
        <w:pStyle w:val="283"/>
        <w:rPr>
          <w:rFonts w:hint="eastAsia" w:ascii="仿宋" w:hAnsi="仿宋" w:eastAsia="仿宋" w:cs="仿宋"/>
          <w:color w:val="auto"/>
        </w:rPr>
      </w:pPr>
      <w:r>
        <w:rPr>
          <w:rFonts w:hint="eastAsia" w:ascii="仿宋" w:hAnsi="仿宋" w:eastAsia="仿宋" w:cs="仿宋"/>
          <w:color w:val="auto"/>
        </w:rPr>
        <w:t>（4）补丁服务</w:t>
      </w:r>
    </w:p>
    <w:p>
      <w:pPr>
        <w:pStyle w:val="283"/>
        <w:rPr>
          <w:rFonts w:hint="eastAsia" w:ascii="仿宋" w:hAnsi="仿宋" w:eastAsia="仿宋" w:cs="仿宋"/>
          <w:color w:val="auto"/>
        </w:rPr>
      </w:pPr>
      <w:r>
        <w:rPr>
          <w:rFonts w:hint="eastAsia" w:ascii="仿宋" w:hAnsi="仿宋" w:eastAsia="仿宋" w:cs="仿宋"/>
          <w:color w:val="auto"/>
        </w:rPr>
        <w:t>消除软件漏洞给系统带来的安全隐患，并对安装补丁所引起的系统连锁反应进行合理的平衡。</w:t>
      </w:r>
    </w:p>
    <w:p>
      <w:pPr>
        <w:pStyle w:val="283"/>
        <w:rPr>
          <w:rFonts w:hint="eastAsia" w:ascii="仿宋" w:hAnsi="仿宋" w:eastAsia="仿宋" w:cs="仿宋"/>
          <w:color w:val="auto"/>
        </w:rPr>
      </w:pPr>
      <w:r>
        <w:rPr>
          <w:rFonts w:hint="eastAsia" w:ascii="仿宋" w:hAnsi="仿宋" w:eastAsia="仿宋" w:cs="仿宋"/>
          <w:color w:val="auto"/>
        </w:rPr>
        <w:t>（5）升级服务</w:t>
      </w:r>
    </w:p>
    <w:p>
      <w:pPr>
        <w:pStyle w:val="283"/>
        <w:rPr>
          <w:rFonts w:hint="eastAsia" w:ascii="仿宋" w:hAnsi="仿宋" w:eastAsia="仿宋" w:cs="仿宋"/>
          <w:color w:val="auto"/>
        </w:rPr>
      </w:pPr>
      <w:r>
        <w:rPr>
          <w:rFonts w:hint="eastAsia" w:ascii="仿宋" w:hAnsi="仿宋" w:eastAsia="仿宋" w:cs="仿宋"/>
          <w:color w:val="auto"/>
        </w:rPr>
        <w:t>对系统进行软件或硬件的升级，以改进、完善现有系统或消除现有系统的漏洞。</w:t>
      </w:r>
    </w:p>
    <w:p>
      <w:pPr>
        <w:pStyle w:val="283"/>
        <w:rPr>
          <w:rFonts w:hint="eastAsia" w:ascii="仿宋" w:hAnsi="仿宋" w:eastAsia="仿宋" w:cs="仿宋"/>
          <w:color w:val="auto"/>
        </w:rPr>
      </w:pPr>
      <w:r>
        <w:rPr>
          <w:rFonts w:hint="eastAsia" w:ascii="仿宋" w:hAnsi="仿宋" w:eastAsia="仿宋" w:cs="仿宋"/>
          <w:color w:val="auto"/>
        </w:rPr>
        <w:t>（6）现场故障处理</w:t>
      </w:r>
    </w:p>
    <w:p>
      <w:pPr>
        <w:pStyle w:val="283"/>
        <w:rPr>
          <w:rFonts w:hint="eastAsia" w:ascii="仿宋" w:hAnsi="仿宋" w:eastAsia="仿宋" w:cs="仿宋"/>
          <w:color w:val="auto"/>
        </w:rPr>
      </w:pPr>
      <w:r>
        <w:rPr>
          <w:rFonts w:hint="eastAsia" w:ascii="仿宋" w:hAnsi="仿宋" w:eastAsia="仿宋" w:cs="仿宋"/>
          <w:color w:val="auto"/>
        </w:rPr>
        <w:t>按服务级别：7×24小时。</w:t>
      </w:r>
    </w:p>
    <w:p>
      <w:pPr>
        <w:pStyle w:val="283"/>
        <w:rPr>
          <w:rFonts w:hint="eastAsia" w:ascii="仿宋" w:hAnsi="仿宋" w:eastAsia="仿宋" w:cs="仿宋"/>
          <w:color w:val="auto"/>
        </w:rPr>
      </w:pPr>
      <w:r>
        <w:rPr>
          <w:rFonts w:hint="eastAsia" w:ascii="仿宋" w:hAnsi="仿宋" w:eastAsia="仿宋" w:cs="仿宋"/>
          <w:color w:val="auto"/>
        </w:rPr>
        <w:t>（7）问题管理并记录</w:t>
      </w:r>
    </w:p>
    <w:p>
      <w:pPr>
        <w:pStyle w:val="283"/>
        <w:rPr>
          <w:rFonts w:hint="eastAsia" w:ascii="仿宋" w:hAnsi="仿宋" w:eastAsia="仿宋" w:cs="仿宋"/>
          <w:color w:val="auto"/>
        </w:rPr>
      </w:pPr>
      <w:r>
        <w:rPr>
          <w:rFonts w:hint="eastAsia" w:ascii="仿宋" w:hAnsi="仿宋" w:eastAsia="仿宋" w:cs="仿宋"/>
          <w:color w:val="auto"/>
        </w:rPr>
        <w:t>对遇到的问题进行汇总和报告。</w:t>
      </w:r>
    </w:p>
    <w:p>
      <w:pPr>
        <w:pStyle w:val="283"/>
        <w:rPr>
          <w:rFonts w:hint="eastAsia" w:ascii="仿宋" w:hAnsi="仿宋" w:eastAsia="仿宋" w:cs="仿宋"/>
          <w:color w:val="auto"/>
        </w:rPr>
      </w:pPr>
      <w:r>
        <w:rPr>
          <w:rFonts w:hint="eastAsia" w:ascii="仿宋" w:hAnsi="仿宋" w:eastAsia="仿宋" w:cs="仿宋"/>
          <w:color w:val="auto"/>
        </w:rPr>
        <w:t>（8）系统优化</w:t>
      </w:r>
    </w:p>
    <w:p>
      <w:pPr>
        <w:pStyle w:val="283"/>
        <w:rPr>
          <w:rFonts w:hint="eastAsia" w:ascii="仿宋" w:hAnsi="仿宋" w:eastAsia="仿宋" w:cs="仿宋"/>
          <w:color w:val="auto"/>
        </w:rPr>
      </w:pPr>
      <w:r>
        <w:rPr>
          <w:rFonts w:hint="eastAsia" w:ascii="仿宋" w:hAnsi="仿宋" w:eastAsia="仿宋" w:cs="仿宋"/>
          <w:color w:val="auto"/>
        </w:rPr>
        <w:t>对用户系统的主机、存储设备、操作系统、提供优化服务。</w:t>
      </w:r>
    </w:p>
    <w:p>
      <w:pPr>
        <w:pStyle w:val="5"/>
        <w:rPr>
          <w:rFonts w:hint="eastAsia" w:ascii="仿宋" w:hAnsi="仿宋" w:eastAsia="仿宋" w:cs="仿宋"/>
          <w:color w:val="auto"/>
          <w:szCs w:val="18"/>
        </w:rPr>
      </w:pPr>
      <w:r>
        <w:rPr>
          <w:rFonts w:hint="eastAsia" w:ascii="仿宋" w:hAnsi="仿宋" w:eastAsia="仿宋" w:cs="仿宋"/>
          <w:color w:val="auto"/>
          <w:szCs w:val="18"/>
        </w:rPr>
        <w:t>3）系统软件与其他工具软件运维</w:t>
      </w:r>
    </w:p>
    <w:p>
      <w:pPr>
        <w:pStyle w:val="283"/>
        <w:rPr>
          <w:rFonts w:hint="eastAsia" w:ascii="仿宋" w:hAnsi="仿宋" w:eastAsia="仿宋" w:cs="仿宋"/>
          <w:color w:val="auto"/>
        </w:rPr>
      </w:pPr>
      <w:r>
        <w:rPr>
          <w:rFonts w:hint="eastAsia" w:ascii="仿宋" w:hAnsi="仿宋" w:eastAsia="仿宋" w:cs="仿宋"/>
          <w:color w:val="auto"/>
        </w:rPr>
        <w:t>基于现状和实际应用需要，开展日常运维服务，包括系统运行监控、数据处理、定期巡检、故障处理、数据备份协助、日常巡检等。</w:t>
      </w:r>
    </w:p>
    <w:p>
      <w:pPr>
        <w:pStyle w:val="5"/>
        <w:rPr>
          <w:rFonts w:hint="eastAsia" w:ascii="仿宋" w:hAnsi="仿宋" w:eastAsia="仿宋" w:cs="仿宋"/>
          <w:color w:val="auto"/>
          <w:szCs w:val="18"/>
        </w:rPr>
      </w:pPr>
      <w:r>
        <w:rPr>
          <w:rFonts w:hint="eastAsia" w:ascii="仿宋" w:hAnsi="仿宋" w:eastAsia="仿宋" w:cs="仿宋"/>
          <w:color w:val="auto"/>
          <w:szCs w:val="18"/>
        </w:rPr>
        <w:t>4）终端及其他系统运维</w:t>
      </w:r>
    </w:p>
    <w:p>
      <w:pPr>
        <w:pStyle w:val="283"/>
        <w:rPr>
          <w:rFonts w:hint="eastAsia" w:ascii="仿宋" w:hAnsi="仿宋" w:eastAsia="仿宋" w:cs="仿宋"/>
          <w:color w:val="auto"/>
        </w:rPr>
      </w:pPr>
      <w:r>
        <w:rPr>
          <w:rFonts w:hint="eastAsia" w:ascii="仿宋" w:hAnsi="仿宋" w:eastAsia="仿宋" w:cs="仿宋"/>
          <w:color w:val="auto"/>
        </w:rPr>
        <w:t>根据终端和其他相关系统的现状，所需的运维服务包括：设备保修与现场备件安装、现场故障处理、问题管理并记录、运行分析及建议。</w:t>
      </w:r>
    </w:p>
    <w:p>
      <w:pPr>
        <w:pStyle w:val="4"/>
        <w:rPr>
          <w:rFonts w:hint="eastAsia" w:ascii="仿宋" w:hAnsi="仿宋" w:eastAsia="仿宋" w:cs="仿宋"/>
          <w:color w:val="auto"/>
        </w:rPr>
      </w:pPr>
      <w:r>
        <w:rPr>
          <w:rFonts w:hint="eastAsia" w:ascii="仿宋" w:hAnsi="仿宋" w:eastAsia="仿宋" w:cs="仿宋"/>
          <w:color w:val="auto"/>
        </w:rPr>
        <w:t>3、应用系统运维</w:t>
      </w:r>
    </w:p>
    <w:p>
      <w:pPr>
        <w:pStyle w:val="283"/>
        <w:rPr>
          <w:rFonts w:hint="eastAsia" w:ascii="仿宋" w:hAnsi="仿宋" w:eastAsia="仿宋" w:cs="仿宋"/>
          <w:color w:val="auto"/>
        </w:rPr>
      </w:pPr>
      <w:r>
        <w:rPr>
          <w:rFonts w:hint="eastAsia" w:ascii="仿宋" w:hAnsi="仿宋" w:eastAsia="仿宋" w:cs="仿宋"/>
          <w:color w:val="auto"/>
        </w:rPr>
        <w:t>业务应用软件是整体系统运维的最高层面，也是最终用户使用的界面，上述硬件及系统软件的运行情况，都会在应用软件中得到体现。应用软件运维涉及的工作内容较多，除了正常的系统监测检查外，面向最终用户的使用培训及基于用户需求的应用调整也是必须要考虑的内容。应用系统运维所需服务包括：</w:t>
      </w:r>
    </w:p>
    <w:p>
      <w:pPr>
        <w:pStyle w:val="283"/>
        <w:rPr>
          <w:rFonts w:hint="eastAsia" w:ascii="仿宋" w:hAnsi="仿宋" w:eastAsia="仿宋" w:cs="仿宋"/>
          <w:color w:val="auto"/>
        </w:rPr>
      </w:pPr>
      <w:r>
        <w:rPr>
          <w:rFonts w:hint="eastAsia" w:ascii="仿宋" w:hAnsi="仿宋" w:eastAsia="仿宋" w:cs="仿宋"/>
          <w:color w:val="auto"/>
        </w:rPr>
        <w:t>运行监控、数据处理、巡检、故障处理、数据备份协助、日常技术支持、系统优化等内容。</w:t>
      </w:r>
    </w:p>
    <w:p>
      <w:pPr>
        <w:pStyle w:val="283"/>
        <w:rPr>
          <w:rFonts w:hint="eastAsia" w:ascii="仿宋" w:hAnsi="仿宋" w:eastAsia="仿宋" w:cs="仿宋"/>
          <w:color w:val="auto"/>
        </w:rPr>
      </w:pPr>
      <w:r>
        <w:rPr>
          <w:rFonts w:hint="eastAsia" w:ascii="仿宋" w:hAnsi="仿宋" w:eastAsia="仿宋" w:cs="仿宋"/>
          <w:color w:val="auto"/>
        </w:rPr>
        <w:t>本项目需要运维的应用系统统计如下：</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5194"/>
        <w:gridCol w:w="152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20"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2806"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系统名称</w:t>
            </w:r>
          </w:p>
        </w:tc>
        <w:tc>
          <w:tcPr>
            <w:tcW w:w="821"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建设时间</w:t>
            </w:r>
          </w:p>
        </w:tc>
        <w:tc>
          <w:tcPr>
            <w:tcW w:w="953"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维保到期时间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2806"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云计算平台系统和畜牧业统计监测与种畜禽场管理</w:t>
            </w:r>
          </w:p>
        </w:tc>
        <w:tc>
          <w:tcPr>
            <w:tcW w:w="821"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2014年</w:t>
            </w:r>
          </w:p>
        </w:tc>
        <w:tc>
          <w:tcPr>
            <w:tcW w:w="953" w:type="pct"/>
            <w:noWrap w:val="0"/>
            <w:vAlign w:val="center"/>
          </w:tcPr>
          <w:p>
            <w:pPr>
              <w:widowControl/>
              <w:spacing w:line="276" w:lineRule="auto"/>
              <w:jc w:val="center"/>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农机购置补贴辅助管理系统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2016年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海南省农机安全监理信息执法系统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2012年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海南省现代农业检验检测实验室信息综合管理平台</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2016年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海南省农业</w:t>
            </w:r>
            <w:r>
              <w:rPr>
                <w:rFonts w:hint="eastAsia" w:ascii="仿宋" w:hAnsi="仿宋" w:eastAsia="仿宋" w:cs="仿宋"/>
                <w:color w:val="auto"/>
                <w:kern w:val="0"/>
                <w:sz w:val="24"/>
                <w:szCs w:val="24"/>
                <w:lang w:val="en-US" w:eastAsia="zh-Hans"/>
              </w:rPr>
              <w:t>农村</w:t>
            </w:r>
            <w:r>
              <w:rPr>
                <w:rFonts w:hint="eastAsia" w:ascii="仿宋" w:hAnsi="仿宋" w:eastAsia="仿宋" w:cs="仿宋"/>
                <w:color w:val="auto"/>
                <w:kern w:val="0"/>
                <w:sz w:val="24"/>
                <w:szCs w:val="24"/>
              </w:rPr>
              <w:t>厅农口协同办公推广应用（OA）</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2016年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海南省农业农村厅开发OA办公E版签批系统 </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2017年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海南省农业农村厅官方网站</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2008年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海南农产品市场预警管理分析信息系统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2012年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海南省海洋与渔业统计系统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2007年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动物检疫合格证明电子出证系统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2018年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海南省农产品质量安全检测监管系统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2015年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水产品质量安全追溯系统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2017年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海南省级现代农业产业园申报及监测评价信息系统</w:t>
            </w:r>
          </w:p>
        </w:tc>
        <w:tc>
          <w:tcPr>
            <w:tcW w:w="821"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2017年</w:t>
            </w:r>
          </w:p>
        </w:tc>
        <w:tc>
          <w:tcPr>
            <w:tcW w:w="953" w:type="pct"/>
            <w:noWrap/>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海南省水产养殖管理信息系统</w:t>
            </w:r>
          </w:p>
        </w:tc>
        <w:tc>
          <w:tcPr>
            <w:tcW w:w="821"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2014年</w:t>
            </w:r>
          </w:p>
        </w:tc>
        <w:tc>
          <w:tcPr>
            <w:tcW w:w="953"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0" w:type="pct"/>
            <w:noWrap w:val="0"/>
            <w:vAlign w:val="center"/>
          </w:tcPr>
          <w:p>
            <w:pPr>
              <w:pStyle w:val="192"/>
              <w:widowControl/>
              <w:spacing w:line="276" w:lineRule="auto"/>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2806"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水产品质量安全检测中心办公系统</w:t>
            </w:r>
          </w:p>
        </w:tc>
        <w:tc>
          <w:tcPr>
            <w:tcW w:w="821"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2012年</w:t>
            </w:r>
          </w:p>
        </w:tc>
        <w:tc>
          <w:tcPr>
            <w:tcW w:w="953" w:type="pct"/>
            <w:noWrap w:val="0"/>
            <w:vAlign w:val="center"/>
          </w:tcPr>
          <w:p>
            <w:pPr>
              <w:widowControl/>
              <w:spacing w:line="276"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2020年</w:t>
            </w:r>
          </w:p>
        </w:tc>
      </w:tr>
    </w:tbl>
    <w:p>
      <w:pPr>
        <w:pStyle w:val="4"/>
        <w:rPr>
          <w:rFonts w:hint="eastAsia" w:ascii="仿宋" w:hAnsi="仿宋" w:eastAsia="仿宋" w:cs="仿宋"/>
          <w:color w:val="auto"/>
        </w:rPr>
      </w:pPr>
      <w:r>
        <w:rPr>
          <w:rFonts w:hint="eastAsia" w:ascii="仿宋" w:hAnsi="仿宋" w:eastAsia="仿宋" w:cs="仿宋"/>
          <w:color w:val="auto"/>
        </w:rPr>
        <w:t>4、数据服务</w:t>
      </w:r>
    </w:p>
    <w:p>
      <w:pPr>
        <w:pStyle w:val="283"/>
        <w:rPr>
          <w:rFonts w:hint="eastAsia" w:ascii="仿宋" w:hAnsi="仿宋" w:eastAsia="仿宋" w:cs="仿宋"/>
          <w:color w:val="auto"/>
        </w:rPr>
      </w:pPr>
      <w:r>
        <w:rPr>
          <w:rFonts w:hint="eastAsia" w:ascii="仿宋" w:hAnsi="仿宋" w:eastAsia="仿宋" w:cs="仿宋"/>
          <w:color w:val="auto"/>
        </w:rPr>
        <w:t>结合海南省农机安全监理信息执法系统、海南省农机购置补贴辅助管理系统存在问题及业务发展需要，进行系统优化与功能升级，提升原有系统效能。</w:t>
      </w:r>
    </w:p>
    <w:p>
      <w:pPr>
        <w:pStyle w:val="283"/>
        <w:rPr>
          <w:rFonts w:hint="eastAsia" w:ascii="仿宋" w:hAnsi="仿宋" w:eastAsia="仿宋" w:cs="仿宋"/>
          <w:color w:val="auto"/>
        </w:rPr>
      </w:pPr>
      <w:r>
        <w:rPr>
          <w:rFonts w:hint="eastAsia" w:ascii="仿宋" w:hAnsi="仿宋" w:eastAsia="仿宋" w:cs="仿宋"/>
          <w:color w:val="auto"/>
        </w:rPr>
        <w:t>1、海南省农机购置补贴辅助管理系统升级优化</w:t>
      </w:r>
    </w:p>
    <w:p>
      <w:pPr>
        <w:pStyle w:val="283"/>
        <w:rPr>
          <w:rFonts w:hint="eastAsia" w:ascii="仿宋" w:hAnsi="仿宋" w:eastAsia="仿宋" w:cs="仿宋"/>
          <w:color w:val="auto"/>
        </w:rPr>
      </w:pPr>
      <w:r>
        <w:rPr>
          <w:rFonts w:hint="eastAsia" w:ascii="仿宋" w:hAnsi="仿宋" w:eastAsia="仿宋" w:cs="仿宋"/>
          <w:color w:val="auto"/>
        </w:rPr>
        <w:t>海南省农机购置补贴辅助管理系统用于农机管理部门与农机生产企业，对于农机管理部门主要职能是按照补贴政策来实施与监管，利用目前快速发展的信息化手段为广大农户提供服务，让广大农户享受到国家这一利农、惠农、强农的补贴政策；对于农机生产企业而言，更方便快捷的将自己的好的产品销售出去。</w:t>
      </w:r>
    </w:p>
    <w:p>
      <w:pPr>
        <w:pStyle w:val="283"/>
        <w:rPr>
          <w:rFonts w:hint="eastAsia" w:ascii="仿宋" w:hAnsi="仿宋" w:eastAsia="仿宋" w:cs="仿宋"/>
          <w:color w:val="auto"/>
        </w:rPr>
      </w:pPr>
      <w:r>
        <w:rPr>
          <w:rFonts w:hint="eastAsia" w:ascii="仿宋" w:hAnsi="仿宋" w:eastAsia="仿宋" w:cs="仿宋"/>
          <w:color w:val="auto"/>
        </w:rPr>
        <w:t>本次运维项目需针对系统名称变更、申请录入、补贴情况公开、资金申请表等相关内容及功能模块进行升级优化，以便更好的为广大农户提供服务。</w:t>
      </w:r>
    </w:p>
    <w:p>
      <w:pPr>
        <w:pStyle w:val="283"/>
        <w:rPr>
          <w:rFonts w:hint="eastAsia" w:ascii="仿宋" w:hAnsi="仿宋" w:eastAsia="仿宋" w:cs="仿宋"/>
          <w:color w:val="auto"/>
        </w:rPr>
      </w:pPr>
      <w:r>
        <w:rPr>
          <w:rFonts w:hint="eastAsia" w:ascii="仿宋" w:hAnsi="仿宋" w:eastAsia="仿宋" w:cs="仿宋"/>
          <w:color w:val="auto"/>
        </w:rPr>
        <w:t>2、海南省农机安全监理信息执法系统功能优化</w:t>
      </w:r>
    </w:p>
    <w:p>
      <w:pPr>
        <w:pStyle w:val="283"/>
        <w:rPr>
          <w:rFonts w:hint="eastAsia" w:ascii="仿宋" w:hAnsi="仿宋" w:eastAsia="仿宋" w:cs="仿宋"/>
          <w:color w:val="auto"/>
        </w:rPr>
      </w:pPr>
      <w:r>
        <w:rPr>
          <w:rFonts w:hint="eastAsia" w:ascii="仿宋" w:hAnsi="仿宋" w:eastAsia="仿宋" w:cs="仿宋"/>
          <w:color w:val="auto"/>
        </w:rPr>
        <w:t>海南省农机安全监理信息执法系统与2012年建成，系统实现全省18个市县依托该系统对全省农业机械进行注册登记、核发牌证；农机/驾驶证换证、补证、转移、市县转入/转出，农机车年检等都能够通过该系统进行办理。2012年建成的农机安全监理信息执法系统所依据的是《拖拉机驾驶证申领和使用规定（农业部令42号）》、《联合收割机及驾驶人安全监理规定（农业部令72号）》的业务工作要求进行建设的，与新发布的农业部令2018年第2号文件内容针对的业务工作流程和要求都存在出入，现有系统无法遵循新发布的政策进行相关业务办理。需要进行对系统设置、农机登记业务、农机安全检验、统计报表等系统功能进行优化改造。</w:t>
      </w:r>
    </w:p>
    <w:p>
      <w:pPr>
        <w:pStyle w:val="4"/>
        <w:tabs>
          <w:tab w:val="left" w:pos="709"/>
        </w:tabs>
        <w:rPr>
          <w:rFonts w:hint="eastAsia" w:ascii="仿宋" w:hAnsi="仿宋" w:eastAsia="仿宋" w:cs="仿宋"/>
          <w:color w:val="auto"/>
        </w:rPr>
      </w:pPr>
      <w:r>
        <w:rPr>
          <w:rFonts w:hint="eastAsia" w:ascii="仿宋" w:hAnsi="仿宋" w:eastAsia="仿宋" w:cs="仿宋"/>
          <w:color w:val="auto"/>
        </w:rPr>
        <w:t>5、其他运维服务</w:t>
      </w:r>
    </w:p>
    <w:p>
      <w:pPr>
        <w:pStyle w:val="283"/>
        <w:rPr>
          <w:rFonts w:hint="eastAsia" w:ascii="仿宋" w:hAnsi="仿宋" w:eastAsia="仿宋" w:cs="仿宋"/>
          <w:color w:val="auto"/>
        </w:rPr>
      </w:pPr>
      <w:r>
        <w:rPr>
          <w:rFonts w:hint="eastAsia" w:ascii="仿宋" w:hAnsi="仿宋" w:eastAsia="仿宋" w:cs="仿宋"/>
          <w:color w:val="auto"/>
        </w:rPr>
        <w:t>1、人员派驻</w:t>
      </w:r>
    </w:p>
    <w:p>
      <w:pPr>
        <w:pStyle w:val="283"/>
        <w:rPr>
          <w:rFonts w:hint="eastAsia" w:ascii="仿宋" w:hAnsi="仿宋" w:eastAsia="仿宋" w:cs="仿宋"/>
          <w:color w:val="auto"/>
        </w:rPr>
      </w:pPr>
      <w:r>
        <w:rPr>
          <w:rFonts w:hint="eastAsia" w:ascii="仿宋" w:hAnsi="仿宋" w:eastAsia="仿宋" w:cs="仿宋"/>
          <w:color w:val="auto"/>
        </w:rPr>
        <w:t>现场派驻2人/年，技术人员值守、定期现场巡检、设备保修与现场备件安装、现场软件升级、现场故障处理、问题管理并记录、运行分析等驻场值守服务。</w:t>
      </w:r>
    </w:p>
    <w:p>
      <w:pPr>
        <w:pStyle w:val="283"/>
        <w:rPr>
          <w:rFonts w:hint="eastAsia" w:ascii="仿宋" w:hAnsi="仿宋" w:eastAsia="仿宋" w:cs="仿宋"/>
          <w:color w:val="auto"/>
        </w:rPr>
      </w:pPr>
      <w:r>
        <w:rPr>
          <w:rFonts w:hint="eastAsia" w:ascii="仿宋" w:hAnsi="仿宋" w:eastAsia="仿宋" w:cs="仿宋"/>
          <w:color w:val="auto"/>
        </w:rPr>
        <w:t>2、海南省农业农村厅网站年度运营维护（定制化服务类）</w:t>
      </w:r>
    </w:p>
    <w:p>
      <w:pPr>
        <w:pStyle w:val="283"/>
        <w:rPr>
          <w:rFonts w:hint="eastAsia" w:ascii="仿宋" w:hAnsi="仿宋" w:eastAsia="仿宋" w:cs="仿宋"/>
          <w:color w:val="auto"/>
        </w:rPr>
      </w:pPr>
      <w:r>
        <w:rPr>
          <w:rFonts w:hint="eastAsia" w:ascii="仿宋" w:hAnsi="仿宋" w:eastAsia="仿宋" w:cs="仿宋"/>
          <w:color w:val="auto"/>
        </w:rPr>
        <w:t>为省农业农村厅网站提供繁体版维护、综合管理服务、无障碍功能、域名SSL证书服务、图解政策服务。</w:t>
      </w:r>
    </w:p>
    <w:p>
      <w:pPr>
        <w:pStyle w:val="4"/>
        <w:tabs>
          <w:tab w:val="left" w:pos="709"/>
        </w:tabs>
        <w:rPr>
          <w:rFonts w:hint="eastAsia" w:ascii="仿宋" w:hAnsi="仿宋" w:eastAsia="仿宋" w:cs="仿宋"/>
          <w:color w:val="auto"/>
        </w:rPr>
      </w:pPr>
      <w:r>
        <w:rPr>
          <w:rFonts w:hint="eastAsia" w:ascii="仿宋" w:hAnsi="仿宋" w:eastAsia="仿宋" w:cs="仿宋"/>
          <w:color w:val="auto"/>
        </w:rPr>
        <w:t>6、安全服务</w:t>
      </w:r>
    </w:p>
    <w:p>
      <w:pPr>
        <w:pStyle w:val="283"/>
        <w:rPr>
          <w:rFonts w:hint="eastAsia" w:ascii="仿宋" w:hAnsi="仿宋" w:eastAsia="仿宋" w:cs="仿宋"/>
          <w:color w:val="auto"/>
        </w:rPr>
      </w:pPr>
      <w:r>
        <w:rPr>
          <w:rFonts w:hint="eastAsia" w:ascii="仿宋" w:hAnsi="仿宋" w:eastAsia="仿宋" w:cs="仿宋"/>
          <w:color w:val="auto"/>
        </w:rPr>
        <w:t>1、渗透测试服务</w:t>
      </w:r>
    </w:p>
    <w:p>
      <w:pPr>
        <w:pStyle w:val="283"/>
        <w:rPr>
          <w:rFonts w:hint="eastAsia" w:ascii="仿宋" w:hAnsi="仿宋" w:eastAsia="仿宋" w:cs="仿宋"/>
          <w:color w:val="auto"/>
        </w:rPr>
      </w:pPr>
      <w:r>
        <w:rPr>
          <w:rFonts w:hint="eastAsia" w:ascii="仿宋" w:hAnsi="仿宋" w:eastAsia="仿宋" w:cs="仿宋"/>
          <w:color w:val="auto"/>
        </w:rPr>
        <w:t>针对三级等保系统，采用人工黑盒的方式对用户的应用系统进行模拟攻击测试。主要测试方法包括：信息收集、端口扫描、远程溢出、口令猜测、本地溢出、客户端攻击、中间人攻击、web脚本渗透、B/S或C/S应用程序测试等。</w:t>
      </w:r>
    </w:p>
    <w:p>
      <w:pPr>
        <w:pStyle w:val="283"/>
        <w:rPr>
          <w:rFonts w:hint="eastAsia" w:ascii="仿宋" w:hAnsi="仿宋" w:eastAsia="仿宋" w:cs="仿宋"/>
          <w:color w:val="auto"/>
        </w:rPr>
      </w:pPr>
      <w:r>
        <w:rPr>
          <w:rFonts w:hint="eastAsia" w:ascii="仿宋" w:hAnsi="仿宋" w:eastAsia="仿宋" w:cs="仿宋"/>
          <w:color w:val="auto"/>
        </w:rPr>
        <w:t>服务包含一次安全整改指导以及一次复查测试。</w:t>
      </w:r>
    </w:p>
    <w:p>
      <w:pPr>
        <w:pStyle w:val="283"/>
        <w:rPr>
          <w:rFonts w:hint="eastAsia" w:ascii="仿宋" w:hAnsi="仿宋" w:eastAsia="仿宋" w:cs="仿宋"/>
          <w:color w:val="auto"/>
        </w:rPr>
      </w:pPr>
      <w:r>
        <w:rPr>
          <w:rFonts w:hint="eastAsia" w:ascii="仿宋" w:hAnsi="仿宋" w:eastAsia="仿宋" w:cs="仿宋"/>
          <w:color w:val="auto"/>
        </w:rPr>
        <w:t>渗透测试服务为4次/系统（1年）。</w:t>
      </w:r>
    </w:p>
    <w:p>
      <w:pPr>
        <w:pStyle w:val="283"/>
        <w:rPr>
          <w:rFonts w:hint="eastAsia" w:ascii="仿宋" w:hAnsi="仿宋" w:eastAsia="仿宋" w:cs="仿宋"/>
          <w:color w:val="auto"/>
        </w:rPr>
      </w:pPr>
      <w:r>
        <w:rPr>
          <w:rFonts w:hint="eastAsia" w:ascii="仿宋" w:hAnsi="仿宋" w:eastAsia="仿宋" w:cs="仿宋"/>
          <w:color w:val="auto"/>
        </w:rPr>
        <w:t>2、应急演练服务</w:t>
      </w:r>
    </w:p>
    <w:p>
      <w:pPr>
        <w:pStyle w:val="283"/>
        <w:rPr>
          <w:rFonts w:hint="eastAsia" w:ascii="仿宋" w:hAnsi="仿宋" w:eastAsia="仿宋" w:cs="仿宋"/>
          <w:color w:val="auto"/>
        </w:rPr>
      </w:pPr>
      <w:r>
        <w:rPr>
          <w:rFonts w:hint="eastAsia" w:ascii="仿宋" w:hAnsi="仿宋" w:eastAsia="仿宋" w:cs="仿宋"/>
          <w:color w:val="auto"/>
        </w:rPr>
        <w:t>参演人员利用应急处置涉及的设备和资源。依托事先搭建好的业务系统环境，针对事先设置的突发网络安全事件情景及其后续的发展情景，通过实际决策、行动和操作，完成真实应急响应的过程，从而检验和提高相关人员的临场组织指挥、队伍调动、应急处置技能和后勤保障等应急能力。</w:t>
      </w:r>
    </w:p>
    <w:p>
      <w:pPr>
        <w:pStyle w:val="283"/>
        <w:rPr>
          <w:rFonts w:hint="eastAsia" w:ascii="仿宋" w:hAnsi="仿宋" w:eastAsia="仿宋" w:cs="仿宋"/>
          <w:color w:val="auto"/>
        </w:rPr>
      </w:pPr>
      <w:r>
        <w:rPr>
          <w:rFonts w:hint="eastAsia" w:ascii="仿宋" w:hAnsi="仿宋" w:eastAsia="仿宋" w:cs="仿宋"/>
          <w:color w:val="auto"/>
        </w:rPr>
        <w:t>应急演练服务为1次/单位（1年）。</w:t>
      </w:r>
    </w:p>
    <w:p>
      <w:pPr>
        <w:pStyle w:val="283"/>
        <w:rPr>
          <w:rFonts w:hint="eastAsia" w:ascii="仿宋" w:hAnsi="仿宋" w:eastAsia="仿宋" w:cs="仿宋"/>
          <w:color w:val="auto"/>
        </w:rPr>
      </w:pPr>
      <w:r>
        <w:rPr>
          <w:rFonts w:hint="eastAsia" w:ascii="仿宋" w:hAnsi="仿宋" w:eastAsia="仿宋" w:cs="仿宋"/>
          <w:color w:val="auto"/>
        </w:rPr>
        <w:t>3、重保服务</w:t>
      </w:r>
    </w:p>
    <w:p>
      <w:pPr>
        <w:pStyle w:val="283"/>
        <w:rPr>
          <w:rFonts w:hint="eastAsia" w:ascii="仿宋" w:hAnsi="仿宋" w:eastAsia="仿宋" w:cs="仿宋"/>
          <w:color w:val="auto"/>
        </w:rPr>
      </w:pPr>
      <w:r>
        <w:rPr>
          <w:rFonts w:hint="eastAsia" w:ascii="仿宋" w:hAnsi="仿宋" w:eastAsia="仿宋" w:cs="仿宋"/>
          <w:color w:val="auto"/>
        </w:rPr>
        <w:t>在重大活动期间【博鳌会议、国庆、春节等节假日】执行对所有业务支持系统及门户网站的7*24小时安全监控，重点监控影响到系统稳定安全运行的重点安全事件的发生，包括安全攻击（重点包括DOS攻击、恶意木马、病毒攻击等）、关键敏感数据泄露等，并提供安全事故应急响应技术保障，在任一系统任一安全隐患发生时，及时启动响应的应急预案。</w:t>
      </w:r>
    </w:p>
    <w:p>
      <w:pPr>
        <w:pStyle w:val="283"/>
        <w:rPr>
          <w:rFonts w:hint="eastAsia" w:ascii="仿宋" w:hAnsi="仿宋" w:eastAsia="仿宋" w:cs="仿宋"/>
          <w:color w:val="auto"/>
        </w:rPr>
      </w:pPr>
      <w:r>
        <w:rPr>
          <w:rFonts w:hint="eastAsia" w:ascii="仿宋" w:hAnsi="仿宋" w:eastAsia="仿宋" w:cs="仿宋"/>
          <w:color w:val="auto"/>
        </w:rPr>
        <w:t>重保服务1次/单位（1年）。</w:t>
      </w:r>
    </w:p>
    <w:p>
      <w:pPr>
        <w:pStyle w:val="2"/>
        <w:tabs>
          <w:tab w:val="left" w:pos="709"/>
        </w:tabs>
        <w:rPr>
          <w:rFonts w:hint="eastAsia" w:ascii="仿宋" w:hAnsi="仿宋" w:eastAsia="仿宋" w:cs="仿宋"/>
          <w:color w:val="auto"/>
        </w:rPr>
      </w:pPr>
      <w:r>
        <w:rPr>
          <w:rFonts w:hint="eastAsia" w:ascii="仿宋" w:hAnsi="仿宋" w:eastAsia="仿宋" w:cs="仿宋"/>
          <w:color w:val="auto"/>
          <w:lang w:eastAsia="zh-CN"/>
        </w:rPr>
        <w:t>（二）</w:t>
      </w:r>
      <w:r>
        <w:rPr>
          <w:rFonts w:hint="eastAsia" w:ascii="仿宋" w:hAnsi="仿宋" w:eastAsia="仿宋" w:cs="仿宋"/>
          <w:color w:val="auto"/>
        </w:rPr>
        <w:t>运维清单</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3763"/>
        <w:gridCol w:w="188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10" w:type="pct"/>
            <w:shd w:val="clear" w:color="000000" w:fill="FFFFFF"/>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2033" w:type="pct"/>
            <w:shd w:val="clear" w:color="000000" w:fill="FFFFFF"/>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名称</w:t>
            </w:r>
          </w:p>
        </w:tc>
        <w:tc>
          <w:tcPr>
            <w:tcW w:w="1016" w:type="pct"/>
            <w:shd w:val="clear" w:color="000000" w:fill="FFFFFF"/>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数量</w:t>
            </w:r>
          </w:p>
        </w:tc>
        <w:tc>
          <w:tcPr>
            <w:tcW w:w="941" w:type="pct"/>
            <w:shd w:val="clear" w:color="000000" w:fill="FFFFFF"/>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机房运维</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软硬件基础设施运维</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应用系统运维</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数据服务</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其他运维服务</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0"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2033"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安全服务</w:t>
            </w:r>
          </w:p>
        </w:tc>
        <w:tc>
          <w:tcPr>
            <w:tcW w:w="1016"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41" w:type="pct"/>
            <w:shd w:val="clear" w:color="000000" w:fill="FFFFFF"/>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r>
    </w:tbl>
    <w:p>
      <w:pPr>
        <w:pStyle w:val="2"/>
        <w:tabs>
          <w:tab w:val="left" w:pos="709"/>
        </w:tabs>
        <w:rPr>
          <w:rFonts w:hint="eastAsia" w:ascii="仿宋" w:hAnsi="仿宋" w:eastAsia="仿宋" w:cs="仿宋"/>
          <w:color w:val="auto"/>
          <w:szCs w:val="22"/>
        </w:rPr>
      </w:pPr>
      <w:r>
        <w:rPr>
          <w:rFonts w:hint="eastAsia" w:ascii="仿宋" w:hAnsi="仿宋" w:eastAsia="仿宋" w:cs="仿宋"/>
          <w:color w:val="auto"/>
          <w:szCs w:val="22"/>
          <w:lang w:eastAsia="zh-CN"/>
        </w:rPr>
        <w:t>（</w:t>
      </w:r>
      <w:r>
        <w:rPr>
          <w:rFonts w:hint="eastAsia" w:ascii="仿宋" w:hAnsi="仿宋" w:eastAsia="仿宋" w:cs="仿宋"/>
          <w:color w:val="auto"/>
          <w:szCs w:val="22"/>
        </w:rPr>
        <w:t>三</w:t>
      </w:r>
      <w:r>
        <w:rPr>
          <w:rFonts w:hint="eastAsia" w:ascii="仿宋" w:hAnsi="仿宋" w:eastAsia="仿宋" w:cs="仿宋"/>
          <w:color w:val="auto"/>
          <w:szCs w:val="22"/>
          <w:lang w:eastAsia="zh-CN"/>
        </w:rPr>
        <w:t>）</w:t>
      </w:r>
      <w:r>
        <w:rPr>
          <w:rFonts w:hint="eastAsia" w:ascii="仿宋" w:hAnsi="仿宋" w:eastAsia="仿宋" w:cs="仿宋"/>
          <w:color w:val="auto"/>
          <w:szCs w:val="22"/>
        </w:rPr>
        <w:t>其他要求</w:t>
      </w:r>
    </w:p>
    <w:p>
      <w:pPr>
        <w:pStyle w:val="283"/>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sz w:val="24"/>
          <w:szCs w:val="24"/>
          <w:u w:val="none"/>
          <w:vertAlign w:val="baseline"/>
          <w:lang w:val="en-US" w:eastAsia="zh-CN"/>
        </w:rPr>
        <w:t>合同履行期限（</w:t>
      </w:r>
      <w:r>
        <w:rPr>
          <w:rFonts w:hint="eastAsia" w:ascii="仿宋" w:hAnsi="仿宋" w:eastAsia="仿宋" w:cs="仿宋"/>
          <w:color w:val="auto"/>
        </w:rPr>
        <w:t>服务期限</w:t>
      </w:r>
      <w:r>
        <w:rPr>
          <w:rFonts w:hint="eastAsia" w:ascii="仿宋" w:hAnsi="仿宋" w:eastAsia="仿宋" w:cs="仿宋"/>
          <w:color w:val="auto"/>
          <w:sz w:val="24"/>
          <w:szCs w:val="24"/>
          <w:u w:val="none"/>
          <w:vertAlign w:val="baseline"/>
          <w:lang w:val="en-US" w:eastAsia="zh-CN"/>
        </w:rPr>
        <w:t>）</w:t>
      </w:r>
      <w:r>
        <w:rPr>
          <w:rFonts w:hint="eastAsia" w:ascii="仿宋" w:hAnsi="仿宋" w:eastAsia="仿宋" w:cs="仿宋"/>
          <w:color w:val="auto"/>
        </w:rPr>
        <w:t>：1年。</w:t>
      </w:r>
    </w:p>
    <w:p>
      <w:pPr>
        <w:pStyle w:val="283"/>
        <w:rPr>
          <w:rFonts w:hint="eastAsia" w:ascii="仿宋" w:hAnsi="仿宋" w:eastAsia="仿宋" w:cs="仿宋"/>
          <w:color w:val="auto"/>
        </w:rPr>
      </w:pPr>
      <w:bookmarkStart w:id="37" w:name="_Toc529348675"/>
      <w:r>
        <w:rPr>
          <w:rFonts w:hint="eastAsia" w:ascii="仿宋" w:hAnsi="仿宋" w:eastAsia="仿宋" w:cs="仿宋"/>
          <w:color w:val="auto"/>
        </w:rPr>
        <w:t>2、服务地点：采购人指定地点。</w:t>
      </w:r>
    </w:p>
    <w:p>
      <w:pPr>
        <w:pStyle w:val="283"/>
        <w:rPr>
          <w:rFonts w:hint="eastAsia" w:ascii="仿宋" w:hAnsi="仿宋" w:eastAsia="仿宋" w:cs="仿宋"/>
          <w:color w:val="auto"/>
        </w:rPr>
      </w:pPr>
      <w:r>
        <w:rPr>
          <w:rFonts w:hint="eastAsia" w:ascii="仿宋" w:hAnsi="仿宋" w:eastAsia="仿宋" w:cs="仿宋"/>
          <w:color w:val="auto"/>
        </w:rPr>
        <w:t>3、付款</w:t>
      </w:r>
      <w:r>
        <w:rPr>
          <w:rFonts w:hint="eastAsia" w:ascii="仿宋" w:hAnsi="仿宋" w:eastAsia="仿宋" w:cs="仿宋"/>
          <w:color w:val="auto"/>
          <w:lang w:eastAsia="zh-CN"/>
        </w:rPr>
        <w:t>方式</w:t>
      </w:r>
      <w:r>
        <w:rPr>
          <w:rFonts w:hint="eastAsia" w:ascii="仿宋" w:hAnsi="仿宋" w:eastAsia="仿宋" w:cs="仿宋"/>
          <w:color w:val="auto"/>
        </w:rPr>
        <w:t>：采购双方签订合同时另行约定。</w:t>
      </w:r>
    </w:p>
    <w:p>
      <w:pPr>
        <w:pStyle w:val="283"/>
        <w:rPr>
          <w:rFonts w:hint="eastAsia" w:ascii="仿宋" w:hAnsi="仿宋" w:eastAsia="仿宋" w:cs="仿宋"/>
          <w:color w:val="auto"/>
        </w:rPr>
      </w:pPr>
      <w:r>
        <w:rPr>
          <w:rFonts w:hint="eastAsia" w:ascii="仿宋" w:hAnsi="仿宋" w:eastAsia="仿宋" w:cs="仿宋"/>
          <w:color w:val="auto"/>
        </w:rPr>
        <w:t>4、投标人必须对本项目内所有的内容进行投标，不允许只对其中部分内容进行投标，否则投标文件将被拒绝。</w:t>
      </w:r>
    </w:p>
    <w:p>
      <w:pPr>
        <w:pStyle w:val="283"/>
        <w:rPr>
          <w:rFonts w:hint="eastAsia" w:ascii="仿宋" w:hAnsi="仿宋" w:eastAsia="仿宋" w:cs="仿宋"/>
          <w:color w:val="auto"/>
        </w:rPr>
      </w:pPr>
      <w:r>
        <w:rPr>
          <w:rFonts w:hint="eastAsia" w:ascii="仿宋" w:hAnsi="仿宋" w:eastAsia="仿宋" w:cs="仿宋"/>
          <w:color w:val="auto"/>
        </w:rPr>
        <w:t>5、其他未尽事宜由供需双方在采购合同中详细约定。</w:t>
      </w:r>
    </w:p>
    <w:p>
      <w:pPr>
        <w:pStyle w:val="283"/>
        <w:rPr>
          <w:rFonts w:hint="eastAsia" w:ascii="仿宋" w:hAnsi="仿宋" w:eastAsia="仿宋" w:cs="仿宋"/>
          <w:color w:val="auto"/>
          <w:lang w:val="en-US" w:eastAsia="zh-CN"/>
        </w:rPr>
      </w:pPr>
      <w:r>
        <w:rPr>
          <w:rFonts w:hint="eastAsia" w:ascii="仿宋" w:hAnsi="仿宋" w:eastAsia="仿宋" w:cs="仿宋"/>
          <w:color w:val="auto"/>
          <w:lang w:val="en-US" w:eastAsia="zh-CN"/>
        </w:rPr>
        <w:t>6、</w:t>
      </w:r>
      <w:r>
        <w:rPr>
          <w:rFonts w:hint="eastAsia" w:ascii="仿宋" w:hAnsi="仿宋" w:eastAsia="仿宋" w:cs="仿宋"/>
          <w:color w:val="auto"/>
        </w:rPr>
        <w:t>所属行业：信息技术服务业</w:t>
      </w:r>
      <w:bookmarkEnd w:id="36"/>
      <w:bookmarkEnd w:id="37"/>
    </w:p>
    <w:p>
      <w:pPr>
        <w:spacing w:line="360" w:lineRule="auto"/>
        <w:ind w:firstLine="883" w:firstLineChars="200"/>
        <w:jc w:val="center"/>
        <w:outlineLvl w:val="0"/>
        <w:rPr>
          <w:rFonts w:hint="eastAsia" w:ascii="仿宋" w:hAnsi="仿宋" w:eastAsia="仿宋" w:cs="仿宋"/>
          <w:b/>
          <w:color w:val="auto"/>
          <w:sz w:val="44"/>
          <w:szCs w:val="44"/>
        </w:rPr>
      </w:pPr>
      <w:bookmarkStart w:id="38" w:name="_Toc529348691"/>
      <w:bookmarkEnd w:id="38"/>
    </w:p>
    <w:bookmarkEnd w:id="25"/>
    <w:bookmarkEnd w:id="26"/>
    <w:bookmarkEnd w:id="27"/>
    <w:bookmarkEnd w:id="28"/>
    <w:p>
      <w:pPr>
        <w:shd w:val="clear" w:color="auto" w:fill="FFFFFF"/>
        <w:snapToGrid w:val="0"/>
        <w:spacing w:line="360" w:lineRule="auto"/>
        <w:rPr>
          <w:rFonts w:hint="eastAsia" w:ascii="仿宋" w:hAnsi="仿宋" w:eastAsia="仿宋" w:cs="仿宋"/>
          <w:b/>
          <w:color w:val="auto"/>
          <w:sz w:val="28"/>
          <w:szCs w:val="28"/>
          <w:lang w:val="en-US" w:eastAsia="zh-CN"/>
        </w:rPr>
      </w:pPr>
    </w:p>
    <w:p>
      <w:pPr>
        <w:rPr>
          <w:rFonts w:hint="eastAsia" w:ascii="仿宋" w:hAnsi="仿宋" w:eastAsia="仿宋" w:cs="仿宋"/>
          <w:color w:val="auto"/>
          <w:lang w:eastAsia="zh-CN"/>
        </w:rPr>
      </w:pPr>
    </w:p>
    <w:p>
      <w:pPr>
        <w:spacing w:line="360" w:lineRule="auto"/>
        <w:rPr>
          <w:rFonts w:hint="eastAsia" w:ascii="仿宋" w:hAnsi="仿宋" w:eastAsia="仿宋" w:cs="仿宋"/>
          <w:b/>
          <w:color w:val="auto"/>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39" w:name="_Toc3032"/>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bookmarkEnd w:id="39"/>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p>
    <w:p>
      <w:pPr>
        <w:shd w:val="clear" w:color="auto" w:fill="auto"/>
        <w:snapToGrid w:val="0"/>
        <w:spacing w:line="360" w:lineRule="auto"/>
        <w:jc w:val="both"/>
        <w:rPr>
          <w:rFonts w:hint="eastAsia" w:ascii="仿宋" w:hAnsi="仿宋" w:eastAsia="仿宋" w:cs="仿宋"/>
          <w:b/>
          <w:color w:val="auto"/>
          <w:sz w:val="24"/>
        </w:rPr>
      </w:pPr>
      <w:bookmarkStart w:id="40" w:name="_Toc264213366"/>
    </w:p>
    <w:p>
      <w:pPr>
        <w:pStyle w:val="3"/>
        <w:shd w:val="clear" w:color="auto" w:fill="FFFFFF"/>
        <w:spacing w:before="120" w:after="120" w:line="360" w:lineRule="auto"/>
        <w:ind w:firstLine="1767" w:firstLineChars="400"/>
        <w:rPr>
          <w:rFonts w:hint="eastAsia" w:ascii="仿宋" w:hAnsi="仿宋" w:eastAsia="仿宋" w:cs="仿宋"/>
          <w:color w:val="auto"/>
          <w:sz w:val="24"/>
        </w:rPr>
      </w:pPr>
      <w:bookmarkStart w:id="41" w:name="_Toc18656"/>
      <w:bookmarkStart w:id="42" w:name="_Toc35630910"/>
      <w:bookmarkStart w:id="43" w:name="_Toc11129"/>
      <w:r>
        <w:rPr>
          <w:rFonts w:hint="eastAsia" w:ascii="仿宋" w:hAnsi="仿宋" w:eastAsia="仿宋" w:cs="仿宋"/>
          <w:color w:val="auto"/>
        </w:rPr>
        <w:t>第四章 合同条款</w:t>
      </w:r>
      <w:bookmarkEnd w:id="41"/>
      <w:bookmarkEnd w:id="42"/>
      <w:r>
        <w:rPr>
          <w:rFonts w:hint="eastAsia" w:ascii="仿宋" w:hAnsi="仿宋" w:eastAsia="仿宋" w:cs="仿宋"/>
          <w:color w:val="auto"/>
        </w:rPr>
        <w:t>（样本）</w:t>
      </w:r>
    </w:p>
    <w:p>
      <w:pPr>
        <w:snapToGrid w:val="0"/>
        <w:spacing w:before="19" w:line="360" w:lineRule="auto"/>
        <w:rPr>
          <w:rFonts w:hint="eastAsia" w:ascii="仿宋" w:hAnsi="仿宋" w:eastAsia="仿宋" w:cs="仿宋"/>
          <w:b/>
          <w:color w:val="auto"/>
          <w:sz w:val="24"/>
          <w:u w:val="single"/>
        </w:rPr>
      </w:pPr>
      <w:r>
        <w:rPr>
          <w:rFonts w:hint="eastAsia" w:ascii="仿宋" w:hAnsi="仿宋" w:eastAsia="仿宋" w:cs="仿宋"/>
          <w:color w:val="auto"/>
          <w:sz w:val="24"/>
        </w:rPr>
        <w:t>甲方:</w:t>
      </w:r>
      <w:r>
        <w:rPr>
          <w:rFonts w:hint="eastAsia" w:ascii="仿宋" w:hAnsi="仿宋" w:eastAsia="仿宋" w:cs="仿宋"/>
          <w:b/>
          <w:bCs/>
          <w:color w:val="auto"/>
          <w:sz w:val="24"/>
        </w:rPr>
        <w:t xml:space="preserve"> </w:t>
      </w:r>
      <w:r>
        <w:rPr>
          <w:rFonts w:hint="eastAsia" w:ascii="仿宋" w:hAnsi="仿宋" w:eastAsia="仿宋" w:cs="仿宋"/>
          <w:b/>
          <w:color w:val="auto"/>
          <w:sz w:val="24"/>
          <w:u w:val="single"/>
        </w:rPr>
        <w:t xml:space="preserve">                            </w:t>
      </w:r>
    </w:p>
    <w:p>
      <w:pPr>
        <w:snapToGrid w:val="0"/>
        <w:spacing w:before="19" w:line="360" w:lineRule="auto"/>
        <w:rPr>
          <w:rFonts w:hint="eastAsia" w:ascii="仿宋" w:hAnsi="仿宋" w:eastAsia="仿宋" w:cs="仿宋"/>
          <w:b/>
          <w:color w:val="auto"/>
          <w:sz w:val="24"/>
          <w:u w:val="single"/>
        </w:rPr>
      </w:pPr>
      <w:r>
        <w:rPr>
          <w:rFonts w:hint="eastAsia" w:ascii="仿宋" w:hAnsi="仿宋" w:eastAsia="仿宋" w:cs="仿宋"/>
          <w:color w:val="auto"/>
          <w:sz w:val="24"/>
        </w:rPr>
        <w:t>乙方:</w:t>
      </w:r>
      <w:r>
        <w:rPr>
          <w:rFonts w:hint="eastAsia" w:ascii="仿宋" w:hAnsi="仿宋" w:eastAsia="仿宋" w:cs="仿宋"/>
          <w:b/>
          <w:color w:val="auto"/>
          <w:sz w:val="24"/>
        </w:rPr>
        <w:t xml:space="preserve">  </w:t>
      </w:r>
      <w:r>
        <w:rPr>
          <w:rFonts w:hint="eastAsia" w:ascii="仿宋" w:hAnsi="仿宋" w:eastAsia="仿宋" w:cs="仿宋"/>
          <w:b/>
          <w:color w:val="auto"/>
          <w:sz w:val="24"/>
          <w:u w:val="single"/>
        </w:rPr>
        <w:t xml:space="preserve">                           </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甲乙双方根据    年    月    日</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海南省农业农村厅2021年度信息系统运维项目</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（项目编号:HNZH-2021-24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eastAsia="zh-CN"/>
        </w:rPr>
        <w:t>公开招标</w:t>
      </w:r>
      <w:r>
        <w:rPr>
          <w:rFonts w:hint="eastAsia" w:ascii="仿宋" w:hAnsi="仿宋" w:eastAsia="仿宋" w:cs="仿宋"/>
          <w:color w:val="auto"/>
          <w:sz w:val="28"/>
          <w:szCs w:val="28"/>
          <w:lang w:eastAsia="zh-CN"/>
        </w:rPr>
        <w:t>招标</w:t>
      </w:r>
      <w:r>
        <w:rPr>
          <w:rFonts w:hint="eastAsia" w:ascii="仿宋" w:hAnsi="仿宋" w:eastAsia="仿宋" w:cs="仿宋"/>
          <w:color w:val="auto"/>
          <w:sz w:val="28"/>
          <w:szCs w:val="28"/>
        </w:rPr>
        <w:t>结果及</w:t>
      </w:r>
      <w:r>
        <w:rPr>
          <w:rFonts w:hint="eastAsia" w:ascii="仿宋" w:hAnsi="仿宋" w:eastAsia="仿宋" w:cs="仿宋"/>
          <w:color w:val="auto"/>
          <w:sz w:val="28"/>
          <w:szCs w:val="28"/>
          <w:lang w:eastAsia="zh-CN"/>
        </w:rPr>
        <w:t>招标</w:t>
      </w:r>
      <w:r>
        <w:rPr>
          <w:rFonts w:hint="eastAsia" w:ascii="仿宋" w:hAnsi="仿宋" w:eastAsia="仿宋" w:cs="仿宋"/>
          <w:color w:val="auto"/>
          <w:sz w:val="28"/>
          <w:szCs w:val="28"/>
        </w:rPr>
        <w:t>文件的要求,经协商一致,同意以下专用条款作为本项目合同条款的补充。当合同条款与专用条款不一致时，以专用条款为准。</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一、服务内容</w:t>
      </w:r>
    </w:p>
    <w:p>
      <w:pPr>
        <w:pStyle w:val="283"/>
        <w:spacing w:line="360" w:lineRule="auto"/>
        <w:rPr>
          <w:rFonts w:hint="eastAsia" w:ascii="仿宋" w:hAnsi="仿宋" w:eastAsia="仿宋" w:cs="仿宋"/>
          <w:color w:val="auto"/>
        </w:rPr>
      </w:pPr>
      <w:r>
        <w:rPr>
          <w:rFonts w:hint="eastAsia" w:ascii="仿宋" w:hAnsi="仿宋" w:eastAsia="仿宋" w:cs="仿宋"/>
          <w:color w:val="auto"/>
        </w:rPr>
        <w:t>主要包括与信息系统相关的机房配套设备、主机设备、网络设备和存储设备以及数据库、应用软件的运行维护服务，保证现有的信息系统的正常运行，降低整体管理成本，提高信息系统的整体服务水平。同时根据日常维护的数据和记录，提供信息系统的整体优化建议，更好的为信息化发展提供有力的保障。运维内容包括机房运维、软硬件基础设施运维、应用系统运维、数据服务、其他运维服务、安全服务。</w:t>
      </w:r>
      <w:r>
        <w:rPr>
          <w:rFonts w:hint="eastAsia" w:ascii="仿宋" w:hAnsi="仿宋" w:eastAsia="仿宋" w:cs="仿宋"/>
          <w:color w:val="auto"/>
          <w:lang w:val="en-US" w:eastAsia="zh-Hans"/>
        </w:rPr>
        <w:t>服务内容包含第三章用户需求书中的所有内容。</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二、价格及支付条款</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1、本项目中标金额为人民币_______元（大写：_______元整）。</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2、支付方式：具体由甲乙双方协商签订。</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三、服务期限及地点</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1、服务期限：1年。</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2、服务地点：采购人指定地点。</w:t>
      </w:r>
    </w:p>
    <w:p>
      <w:pPr>
        <w:pStyle w:val="42"/>
        <w:snapToGrid w:val="0"/>
        <w:spacing w:before="19" w:line="360" w:lineRule="auto"/>
        <w:ind w:left="0" w:leftChars="0" w:firstLine="0" w:firstLineChars="0"/>
        <w:rPr>
          <w:rFonts w:hint="eastAsia" w:ascii="仿宋" w:hAnsi="仿宋" w:eastAsia="仿宋" w:cs="仿宋"/>
          <w:color w:val="auto"/>
        </w:rPr>
      </w:pPr>
      <w:r>
        <w:rPr>
          <w:rFonts w:hint="eastAsia" w:ascii="仿宋" w:hAnsi="仿宋" w:eastAsia="仿宋" w:cs="仿宋"/>
          <w:b/>
          <w:color w:val="auto"/>
          <w:sz w:val="24"/>
          <w:szCs w:val="22"/>
        </w:rPr>
        <w:t>四、违约责任</w:t>
      </w:r>
    </w:p>
    <w:p>
      <w:pPr>
        <w:pStyle w:val="42"/>
        <w:spacing w:line="360" w:lineRule="auto"/>
        <w:ind w:left="0" w:leftChars="0" w:firstLine="0" w:firstLineChars="0"/>
        <w:rPr>
          <w:rFonts w:hint="eastAsia" w:ascii="仿宋" w:hAnsi="仿宋" w:eastAsia="仿宋" w:cs="仿宋"/>
          <w:bCs/>
          <w:color w:val="auto"/>
          <w:sz w:val="24"/>
          <w:szCs w:val="22"/>
        </w:rPr>
      </w:pPr>
      <w:r>
        <w:rPr>
          <w:rFonts w:hint="eastAsia" w:ascii="仿宋" w:hAnsi="仿宋" w:eastAsia="仿宋" w:cs="仿宋"/>
          <w:bCs/>
          <w:color w:val="auto"/>
        </w:rPr>
        <w:t>1</w:t>
      </w:r>
      <w:r>
        <w:rPr>
          <w:rFonts w:hint="eastAsia" w:ascii="仿宋" w:hAnsi="仿宋" w:eastAsia="仿宋" w:cs="仿宋"/>
          <w:bCs/>
          <w:color w:val="auto"/>
          <w:sz w:val="24"/>
          <w:szCs w:val="22"/>
        </w:rPr>
        <w:t>、乙方应当按照合同约定的时间完成。每逾期一日，乙方应当按照合同总金额的百分之三承担违约责任；逾期超过10日的，甲方有权解除合同，且无需向乙方支付任何费用。</w:t>
      </w:r>
    </w:p>
    <w:p>
      <w:pPr>
        <w:pStyle w:val="42"/>
        <w:spacing w:line="360" w:lineRule="auto"/>
        <w:ind w:left="0" w:leftChars="0" w:firstLine="0" w:firstLineChars="0"/>
        <w:rPr>
          <w:rFonts w:hint="eastAsia" w:ascii="仿宋" w:hAnsi="仿宋" w:eastAsia="仿宋" w:cs="仿宋"/>
          <w:bCs/>
          <w:color w:val="auto"/>
          <w:sz w:val="24"/>
          <w:szCs w:val="22"/>
        </w:rPr>
      </w:pPr>
      <w:r>
        <w:rPr>
          <w:rFonts w:hint="eastAsia" w:ascii="仿宋" w:hAnsi="仿宋" w:eastAsia="仿宋" w:cs="仿宋"/>
          <w:bCs/>
          <w:color w:val="auto"/>
          <w:sz w:val="24"/>
          <w:szCs w:val="22"/>
        </w:rPr>
        <w:t>2、</w:t>
      </w:r>
      <w:r>
        <w:rPr>
          <w:rFonts w:hint="eastAsia" w:ascii="仿宋" w:hAnsi="仿宋" w:eastAsia="仿宋" w:cs="仿宋"/>
          <w:bCs/>
          <w:color w:val="auto"/>
          <w:sz w:val="24"/>
          <w:lang w:val="en-US" w:eastAsia="zh-Hans"/>
        </w:rPr>
        <w:t>乙方提供的服务不符合国家和我省相关标准，经甲方验收不合格的，乙方应当在甲方指定的期限内进行返工；乙方拒不返工或返工后仍验收不合格的，甲方有权解除合同，乙方应当向甲方退还费用，并承担由此给甲方造成的损失。</w:t>
      </w:r>
    </w:p>
    <w:p>
      <w:pPr>
        <w:pStyle w:val="42"/>
        <w:spacing w:line="360" w:lineRule="auto"/>
        <w:ind w:left="0" w:leftChars="0" w:firstLine="0" w:firstLineChars="0"/>
        <w:rPr>
          <w:rFonts w:hint="eastAsia" w:ascii="仿宋" w:hAnsi="仿宋" w:eastAsia="仿宋" w:cs="仿宋"/>
          <w:bCs/>
          <w:color w:val="auto"/>
          <w:sz w:val="24"/>
          <w:szCs w:val="22"/>
        </w:rPr>
      </w:pPr>
      <w:r>
        <w:rPr>
          <w:rFonts w:hint="default" w:ascii="仿宋" w:hAnsi="仿宋" w:eastAsia="仿宋" w:cs="仿宋"/>
          <w:bCs/>
          <w:color w:val="auto"/>
          <w:sz w:val="24"/>
          <w:szCs w:val="22"/>
        </w:rPr>
        <w:t>3</w:t>
      </w:r>
      <w:r>
        <w:rPr>
          <w:rFonts w:hint="eastAsia" w:ascii="仿宋" w:hAnsi="仿宋" w:eastAsia="仿宋" w:cs="仿宋"/>
          <w:bCs/>
          <w:color w:val="auto"/>
          <w:sz w:val="24"/>
          <w:szCs w:val="22"/>
          <w:lang w:eastAsia="zh-Hans"/>
        </w:rPr>
        <w:t>、</w:t>
      </w:r>
      <w:r>
        <w:rPr>
          <w:rFonts w:hint="eastAsia" w:ascii="仿宋" w:hAnsi="仿宋" w:eastAsia="仿宋" w:cs="仿宋"/>
          <w:bCs/>
          <w:color w:val="auto"/>
          <w:kern w:val="2"/>
          <w:sz w:val="24"/>
          <w:szCs w:val="22"/>
          <w:lang w:eastAsia="zh-Hans" w:bidi="ar-SA"/>
        </w:rPr>
        <w:t>乙方擅自将本</w:t>
      </w:r>
      <w:r>
        <w:rPr>
          <w:rFonts w:hint="eastAsia" w:ascii="仿宋" w:hAnsi="仿宋" w:eastAsia="仿宋" w:cs="仿宋"/>
          <w:bCs/>
          <w:color w:val="auto"/>
          <w:kern w:val="2"/>
          <w:sz w:val="24"/>
          <w:szCs w:val="22"/>
          <w:lang w:val="en-US" w:eastAsia="zh-Hans" w:bidi="ar-SA"/>
        </w:rPr>
        <w:t>协议</w:t>
      </w:r>
      <w:r>
        <w:rPr>
          <w:rFonts w:hint="eastAsia" w:ascii="仿宋" w:hAnsi="仿宋" w:eastAsia="仿宋" w:cs="仿宋"/>
          <w:bCs/>
          <w:color w:val="auto"/>
          <w:kern w:val="2"/>
          <w:sz w:val="24"/>
          <w:szCs w:val="22"/>
          <w:lang w:eastAsia="zh-Hans" w:bidi="ar-SA"/>
        </w:rPr>
        <w:t>项下义务转让、转包或分包给第三人履行的，甲方有权解除本合同并另行</w:t>
      </w:r>
      <w:r>
        <w:rPr>
          <w:rFonts w:hint="eastAsia" w:ascii="仿宋" w:hAnsi="仿宋" w:eastAsia="仿宋" w:cs="仿宋"/>
          <w:bCs/>
          <w:color w:val="auto"/>
          <w:kern w:val="2"/>
          <w:sz w:val="24"/>
          <w:szCs w:val="22"/>
          <w:lang w:val="en-US" w:eastAsia="zh-Hans" w:bidi="ar-SA"/>
        </w:rPr>
        <w:t>委托</w:t>
      </w:r>
      <w:r>
        <w:rPr>
          <w:rFonts w:hint="eastAsia" w:ascii="仿宋" w:hAnsi="仿宋" w:eastAsia="仿宋" w:cs="仿宋"/>
          <w:bCs/>
          <w:color w:val="auto"/>
          <w:kern w:val="2"/>
          <w:sz w:val="24"/>
          <w:szCs w:val="22"/>
          <w:lang w:eastAsia="zh-Hans" w:bidi="ar-SA"/>
        </w:rPr>
        <w:t>第三方完成后续工作，乙方应当向甲方退还其已收取的全部费用，并按照</w:t>
      </w:r>
      <w:r>
        <w:rPr>
          <w:rFonts w:hint="eastAsia" w:ascii="仿宋" w:hAnsi="仿宋" w:eastAsia="仿宋" w:cs="仿宋"/>
          <w:bCs/>
          <w:color w:val="auto"/>
          <w:kern w:val="2"/>
          <w:sz w:val="24"/>
          <w:szCs w:val="22"/>
          <w:lang w:val="en-US" w:eastAsia="zh-Hans" w:bidi="ar-SA"/>
        </w:rPr>
        <w:t>协议</w:t>
      </w:r>
      <w:r>
        <w:rPr>
          <w:rFonts w:hint="eastAsia" w:ascii="仿宋" w:hAnsi="仿宋" w:eastAsia="仿宋" w:cs="仿宋"/>
          <w:bCs/>
          <w:color w:val="auto"/>
          <w:kern w:val="2"/>
          <w:sz w:val="24"/>
          <w:szCs w:val="22"/>
          <w:lang w:eastAsia="zh-Hans" w:bidi="ar-SA"/>
        </w:rPr>
        <w:t>总金额的20%向甲方支付违约金。</w:t>
      </w:r>
    </w:p>
    <w:p>
      <w:pPr>
        <w:pStyle w:val="42"/>
        <w:spacing w:line="360" w:lineRule="auto"/>
        <w:ind w:left="0" w:leftChars="0" w:firstLine="0" w:firstLineChars="0"/>
        <w:rPr>
          <w:rFonts w:hint="eastAsia" w:ascii="仿宋" w:hAnsi="仿宋" w:eastAsia="仿宋" w:cs="仿宋"/>
          <w:bCs/>
          <w:color w:val="auto"/>
          <w:sz w:val="24"/>
          <w:szCs w:val="22"/>
        </w:rPr>
      </w:pPr>
      <w:r>
        <w:rPr>
          <w:rFonts w:hint="default" w:ascii="仿宋" w:hAnsi="仿宋" w:eastAsia="仿宋" w:cs="仿宋"/>
          <w:bCs/>
          <w:color w:val="auto"/>
          <w:sz w:val="24"/>
          <w:szCs w:val="22"/>
        </w:rPr>
        <w:t>4</w:t>
      </w:r>
      <w:r>
        <w:rPr>
          <w:rFonts w:hint="eastAsia" w:ascii="仿宋" w:hAnsi="仿宋" w:eastAsia="仿宋" w:cs="仿宋"/>
          <w:bCs/>
          <w:color w:val="auto"/>
          <w:sz w:val="24"/>
          <w:szCs w:val="22"/>
          <w:lang w:eastAsia="zh-Hans"/>
        </w:rPr>
        <w:t>、</w:t>
      </w:r>
      <w:r>
        <w:rPr>
          <w:rFonts w:hint="eastAsia" w:ascii="仿宋" w:hAnsi="仿宋" w:eastAsia="仿宋" w:cs="仿宋"/>
          <w:bCs/>
          <w:color w:val="auto"/>
          <w:sz w:val="24"/>
          <w:szCs w:val="22"/>
        </w:rPr>
        <w:t>乙方在合同期内或合同终止后，未征得甲方书面同意，不得向第三方泄露本项目及本合同业务有关的一切资料。否则</w:t>
      </w:r>
      <w:r>
        <w:rPr>
          <w:rFonts w:hint="eastAsia" w:ascii="仿宋" w:hAnsi="仿宋" w:eastAsia="仿宋" w:cs="仿宋"/>
          <w:bCs/>
          <w:color w:val="auto"/>
          <w:sz w:val="24"/>
          <w:szCs w:val="22"/>
          <w:lang w:eastAsia="zh-Hans"/>
        </w:rPr>
        <w:t>，</w:t>
      </w:r>
      <w:r>
        <w:rPr>
          <w:rFonts w:hint="eastAsia" w:ascii="仿宋" w:hAnsi="仿宋" w:eastAsia="仿宋" w:cs="仿宋"/>
          <w:bCs/>
          <w:color w:val="auto"/>
          <w:sz w:val="24"/>
          <w:lang w:eastAsia="zh-Hans"/>
        </w:rPr>
        <w:t>乙方</w:t>
      </w:r>
      <w:r>
        <w:rPr>
          <w:rFonts w:hint="eastAsia" w:ascii="仿宋" w:hAnsi="仿宋" w:eastAsia="仿宋" w:cs="仿宋"/>
          <w:bCs/>
          <w:color w:val="auto"/>
          <w:sz w:val="24"/>
          <w:lang w:val="en-US" w:eastAsia="zh-Hans"/>
        </w:rPr>
        <w:t>应当按照合同总金额的</w:t>
      </w:r>
      <w:r>
        <w:rPr>
          <w:rFonts w:hint="eastAsia" w:ascii="仿宋" w:hAnsi="仿宋" w:eastAsia="仿宋" w:cs="仿宋"/>
          <w:bCs/>
          <w:color w:val="auto"/>
          <w:sz w:val="24"/>
          <w:lang w:eastAsia="zh-Hans"/>
        </w:rPr>
        <w:t>20%</w:t>
      </w:r>
      <w:r>
        <w:rPr>
          <w:rFonts w:hint="eastAsia" w:ascii="仿宋" w:hAnsi="仿宋" w:eastAsia="仿宋" w:cs="仿宋"/>
          <w:bCs/>
          <w:color w:val="auto"/>
          <w:sz w:val="24"/>
          <w:lang w:val="en-US" w:eastAsia="zh-Hans"/>
        </w:rPr>
        <w:t>向甲方支付违约金，并</w:t>
      </w:r>
      <w:r>
        <w:rPr>
          <w:rFonts w:hint="eastAsia" w:ascii="仿宋" w:hAnsi="仿宋" w:eastAsia="仿宋" w:cs="仿宋"/>
          <w:bCs/>
          <w:color w:val="auto"/>
          <w:sz w:val="24"/>
          <w:lang w:eastAsia="zh-Hans"/>
        </w:rPr>
        <w:t>承担由此引起的损失。</w:t>
      </w:r>
      <w:r>
        <w:rPr>
          <w:rFonts w:hint="eastAsia" w:ascii="仿宋" w:hAnsi="仿宋" w:eastAsia="仿宋" w:cs="仿宋"/>
          <w:bCs/>
          <w:color w:val="auto"/>
          <w:sz w:val="24"/>
          <w:szCs w:val="22"/>
        </w:rPr>
        <w:t>若后果严重且触犯法律的，甲方依法追究其法律责任。</w:t>
      </w:r>
    </w:p>
    <w:p>
      <w:pPr>
        <w:snapToGrid w:val="0"/>
        <w:spacing w:before="19" w:line="360" w:lineRule="auto"/>
        <w:rPr>
          <w:rFonts w:hint="eastAsia" w:ascii="仿宋" w:hAnsi="仿宋" w:eastAsia="仿宋" w:cs="仿宋"/>
          <w:b/>
          <w:color w:val="auto"/>
          <w:sz w:val="24"/>
        </w:rPr>
      </w:pPr>
      <w:r>
        <w:rPr>
          <w:rFonts w:hint="eastAsia" w:ascii="仿宋" w:hAnsi="仿宋" w:eastAsia="仿宋" w:cs="仿宋"/>
          <w:b/>
          <w:color w:val="auto"/>
          <w:sz w:val="24"/>
        </w:rPr>
        <w:t>五、合同纠纷处理</w:t>
      </w:r>
    </w:p>
    <w:p>
      <w:pPr>
        <w:tabs>
          <w:tab w:val="left" w:pos="1980"/>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本合同执行过程中发生纠纷，</w:t>
      </w:r>
      <w:r>
        <w:rPr>
          <w:rFonts w:hint="eastAsia" w:ascii="仿宋" w:hAnsi="仿宋" w:eastAsia="仿宋" w:cs="仿宋"/>
          <w:color w:val="auto"/>
          <w:sz w:val="24"/>
          <w:lang w:val="en-US" w:eastAsia="zh-Hans"/>
        </w:rPr>
        <w:t>按</w:t>
      </w:r>
      <w:r>
        <w:rPr>
          <w:rFonts w:hint="eastAsia" w:ascii="仿宋" w:hAnsi="仿宋" w:eastAsia="仿宋" w:cs="仿宋"/>
          <w:color w:val="auto"/>
          <w:sz w:val="24"/>
        </w:rPr>
        <w:t>如下</w:t>
      </w:r>
      <w:r>
        <w:rPr>
          <w:rFonts w:hint="eastAsia" w:ascii="仿宋" w:hAnsi="仿宋" w:eastAsia="仿宋" w:cs="仿宋"/>
          <w:color w:val="auto"/>
          <w:sz w:val="24"/>
          <w:lang w:val="en-US" w:eastAsia="zh-Hans"/>
        </w:rPr>
        <w:t>第（</w:t>
      </w:r>
      <w:r>
        <w:rPr>
          <w:rFonts w:hint="default" w:ascii="仿宋" w:hAnsi="仿宋" w:eastAsia="仿宋" w:cs="仿宋"/>
          <w:color w:val="auto"/>
          <w:sz w:val="24"/>
          <w:lang w:eastAsia="zh-Hans"/>
        </w:rPr>
        <w:t>2</w:t>
      </w:r>
      <w:r>
        <w:rPr>
          <w:rFonts w:hint="eastAsia" w:ascii="仿宋" w:hAnsi="仿宋" w:eastAsia="仿宋" w:cs="仿宋"/>
          <w:color w:val="auto"/>
          <w:sz w:val="24"/>
          <w:lang w:val="en-US" w:eastAsia="zh-Hans"/>
        </w:rPr>
        <w:t>）种方式</w:t>
      </w:r>
      <w:r>
        <w:rPr>
          <w:rFonts w:hint="eastAsia" w:ascii="仿宋" w:hAnsi="仿宋" w:eastAsia="仿宋" w:cs="仿宋"/>
          <w:color w:val="auto"/>
          <w:sz w:val="24"/>
        </w:rPr>
        <w:t>处理：</w:t>
      </w:r>
    </w:p>
    <w:p>
      <w:pPr>
        <w:tabs>
          <w:tab w:val="left" w:pos="1980"/>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1、申请仲裁。仲裁机构为海南省仲裁委员会。</w:t>
      </w:r>
    </w:p>
    <w:p>
      <w:pPr>
        <w:tabs>
          <w:tab w:val="left" w:pos="1980"/>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2、提起诉讼。诉讼地点为采购人所在地。</w:t>
      </w:r>
    </w:p>
    <w:p>
      <w:pPr>
        <w:snapToGrid w:val="0"/>
        <w:spacing w:before="19" w:line="360" w:lineRule="auto"/>
        <w:rPr>
          <w:rFonts w:hint="eastAsia" w:ascii="仿宋" w:hAnsi="仿宋" w:eastAsia="仿宋" w:cs="仿宋"/>
          <w:b/>
          <w:color w:val="auto"/>
          <w:sz w:val="24"/>
        </w:rPr>
      </w:pPr>
      <w:r>
        <w:rPr>
          <w:rFonts w:hint="eastAsia" w:ascii="仿宋" w:hAnsi="仿宋" w:eastAsia="仿宋" w:cs="仿宋"/>
          <w:b/>
          <w:color w:val="auto"/>
          <w:sz w:val="24"/>
        </w:rPr>
        <w:t>六、合同生效</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本合同经甲乙双方各自指定的代表人签字和盖章</w:t>
      </w:r>
      <w:r>
        <w:rPr>
          <w:rFonts w:hint="eastAsia" w:ascii="仿宋" w:hAnsi="仿宋" w:eastAsia="仿宋" w:cs="仿宋"/>
          <w:color w:val="auto"/>
          <w:sz w:val="24"/>
          <w:lang w:val="zh-CN" w:eastAsia="zh-Hans"/>
        </w:rPr>
        <w:t>，</w:t>
      </w:r>
      <w:r>
        <w:rPr>
          <w:rFonts w:hint="eastAsia" w:ascii="仿宋" w:hAnsi="仿宋" w:eastAsia="仿宋" w:cs="仿宋"/>
          <w:color w:val="auto"/>
          <w:sz w:val="24"/>
          <w:lang w:val="zh-CN"/>
        </w:rPr>
        <w:t>以及招标人签字和盖章后生效。</w:t>
      </w:r>
    </w:p>
    <w:p>
      <w:pPr>
        <w:snapToGrid w:val="0"/>
        <w:spacing w:before="19" w:line="360" w:lineRule="auto"/>
        <w:rPr>
          <w:rFonts w:hint="eastAsia" w:ascii="仿宋" w:hAnsi="仿宋" w:eastAsia="仿宋" w:cs="仿宋"/>
          <w:b/>
          <w:color w:val="auto"/>
          <w:sz w:val="24"/>
        </w:rPr>
      </w:pPr>
      <w:r>
        <w:rPr>
          <w:rFonts w:hint="eastAsia" w:ascii="仿宋" w:hAnsi="仿宋" w:eastAsia="仿宋" w:cs="仿宋"/>
          <w:b/>
          <w:color w:val="auto"/>
          <w:sz w:val="24"/>
        </w:rPr>
        <w:t>七、合同鉴证</w:t>
      </w:r>
    </w:p>
    <w:p>
      <w:pPr>
        <w:snapToGrid w:val="0"/>
        <w:spacing w:before="19"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招标人应当在本合同上签章，以证明本合同条款与招标文件、投标文件的相关要求相符并且未对招标内容和技术参数进行实质性修改。</w:t>
      </w:r>
    </w:p>
    <w:p>
      <w:pPr>
        <w:snapToGrid w:val="0"/>
        <w:spacing w:before="19" w:line="360" w:lineRule="auto"/>
        <w:rPr>
          <w:rFonts w:hint="eastAsia" w:ascii="仿宋" w:hAnsi="仿宋" w:eastAsia="仿宋" w:cs="仿宋"/>
          <w:b/>
          <w:color w:val="auto"/>
          <w:sz w:val="24"/>
        </w:rPr>
      </w:pPr>
      <w:r>
        <w:rPr>
          <w:rFonts w:hint="eastAsia" w:ascii="仿宋" w:hAnsi="仿宋" w:eastAsia="仿宋" w:cs="仿宋"/>
          <w:b/>
          <w:color w:val="auto"/>
          <w:sz w:val="24"/>
        </w:rPr>
        <w:t>八、本合同的组成文件</w:t>
      </w:r>
    </w:p>
    <w:p>
      <w:pPr>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1、合同通用条款和专用条款；</w:t>
      </w:r>
    </w:p>
    <w:p>
      <w:pPr>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2、招标文件、乙方的投标文件和评标时的澄清函（如有）；</w:t>
      </w:r>
    </w:p>
    <w:p>
      <w:pPr>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3、中标通知书；</w:t>
      </w:r>
    </w:p>
    <w:p>
      <w:pPr>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4、甲乙双方商定的其他必要文件。</w:t>
      </w:r>
    </w:p>
    <w:p>
      <w:pPr>
        <w:snapToGrid w:val="0"/>
        <w:spacing w:before="19" w:line="360" w:lineRule="auto"/>
        <w:rPr>
          <w:rFonts w:hint="eastAsia" w:ascii="仿宋" w:hAnsi="仿宋" w:eastAsia="仿宋" w:cs="仿宋"/>
          <w:bCs/>
          <w:color w:val="auto"/>
          <w:sz w:val="24"/>
        </w:rPr>
      </w:pPr>
      <w:r>
        <w:rPr>
          <w:rFonts w:hint="eastAsia" w:ascii="仿宋" w:hAnsi="仿宋" w:eastAsia="仿宋" w:cs="仿宋"/>
          <w:bCs/>
          <w:color w:val="auto"/>
          <w:sz w:val="24"/>
        </w:rPr>
        <w:t>上述合同文件内容互为补充，如有不明确，由甲方负责解释。</w:t>
      </w:r>
    </w:p>
    <w:p>
      <w:pPr>
        <w:snapToGrid w:val="0"/>
        <w:spacing w:before="19" w:line="360" w:lineRule="auto"/>
        <w:rPr>
          <w:rFonts w:hint="eastAsia" w:ascii="仿宋" w:hAnsi="仿宋" w:eastAsia="仿宋" w:cs="仿宋"/>
          <w:b/>
          <w:color w:val="auto"/>
          <w:sz w:val="24"/>
        </w:rPr>
      </w:pPr>
      <w:r>
        <w:rPr>
          <w:rFonts w:hint="eastAsia" w:ascii="仿宋" w:hAnsi="仿宋" w:eastAsia="仿宋" w:cs="仿宋"/>
          <w:b/>
          <w:color w:val="auto"/>
          <w:sz w:val="24"/>
        </w:rPr>
        <w:t>九、合同备案</w:t>
      </w:r>
    </w:p>
    <w:p>
      <w:pPr>
        <w:snapToGrid w:val="0"/>
        <w:spacing w:before="19" w:line="360" w:lineRule="auto"/>
        <w:rPr>
          <w:rFonts w:hint="eastAsia" w:ascii="仿宋" w:hAnsi="仿宋" w:eastAsia="仿宋" w:cs="仿宋"/>
          <w:bCs/>
          <w:color w:val="auto"/>
          <w:sz w:val="24"/>
        </w:rPr>
      </w:pPr>
      <w:r>
        <w:rPr>
          <w:rFonts w:hint="eastAsia" w:ascii="仿宋" w:hAnsi="仿宋" w:eastAsia="仿宋" w:cs="仿宋"/>
          <w:bCs/>
          <w:color w:val="auto"/>
          <w:sz w:val="24"/>
        </w:rPr>
        <w:t>本合同一式伍份，中文书写。甲方执叁份，乙方、招标代理机构各执一份。</w:t>
      </w:r>
    </w:p>
    <w:p>
      <w:pPr>
        <w:pStyle w:val="6"/>
        <w:spacing w:line="360" w:lineRule="auto"/>
        <w:rPr>
          <w:rFonts w:hint="eastAsia" w:ascii="仿宋" w:hAnsi="仿宋" w:eastAsia="仿宋" w:cs="仿宋"/>
          <w:color w:val="auto"/>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rPr>
      </w:pPr>
      <w:r>
        <w:rPr>
          <w:rFonts w:hint="eastAsia" w:ascii="仿宋" w:hAnsi="仿宋" w:eastAsia="仿宋" w:cs="仿宋"/>
          <w:b/>
          <w:color w:val="auto"/>
          <w:sz w:val="24"/>
        </w:rPr>
        <w:t>甲方：</w:t>
      </w:r>
      <w:r>
        <w:rPr>
          <w:rFonts w:hint="eastAsia" w:ascii="仿宋" w:hAnsi="仿宋" w:eastAsia="仿宋" w:cs="仿宋"/>
          <w:b/>
          <w:color w:val="auto"/>
          <w:sz w:val="24"/>
          <w:u w:val="single"/>
        </w:rPr>
        <w:t xml:space="preserve">                   （盖章）</w:t>
      </w:r>
      <w:r>
        <w:rPr>
          <w:rFonts w:hint="eastAsia" w:ascii="仿宋" w:hAnsi="仿宋" w:eastAsia="仿宋" w:cs="仿宋"/>
          <w:b/>
          <w:color w:val="auto"/>
          <w:sz w:val="24"/>
        </w:rPr>
        <w:t xml:space="preserve">      乙方：</w:t>
      </w:r>
      <w:r>
        <w:rPr>
          <w:rFonts w:hint="eastAsia" w:ascii="仿宋" w:hAnsi="仿宋" w:eastAsia="仿宋" w:cs="仿宋"/>
          <w:b/>
          <w:color w:val="auto"/>
          <w:sz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u w:val="single"/>
        </w:rPr>
      </w:pP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地址：</w:t>
      </w:r>
      <w:r>
        <w:rPr>
          <w:rFonts w:hint="eastAsia" w:ascii="仿宋" w:hAnsi="仿宋" w:eastAsia="仿宋" w:cs="仿宋"/>
          <w:color w:val="auto"/>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u w:val="single"/>
        </w:rPr>
      </w:pPr>
      <w:r>
        <w:rPr>
          <w:rFonts w:hint="eastAsia" w:ascii="仿宋" w:hAnsi="仿宋" w:eastAsia="仿宋" w:cs="仿宋"/>
          <w:color w:val="auto"/>
          <w:sz w:val="24"/>
        </w:rPr>
        <w:t>法定（或授权）代表人：</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法定（或授权）代表人：</w:t>
      </w:r>
      <w:r>
        <w:rPr>
          <w:rFonts w:hint="eastAsia" w:ascii="仿宋" w:hAnsi="仿宋" w:eastAsia="仿宋" w:cs="仿宋"/>
          <w:color w:val="auto"/>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u w:val="single"/>
        </w:rPr>
      </w:pPr>
      <w:r>
        <w:rPr>
          <w:rFonts w:hint="eastAsia" w:ascii="仿宋" w:hAnsi="仿宋" w:eastAsia="仿宋" w:cs="仿宋"/>
          <w:color w:val="auto"/>
          <w:sz w:val="24"/>
        </w:rPr>
        <w:t>开户行：</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开户行：</w:t>
      </w:r>
      <w:r>
        <w:rPr>
          <w:rFonts w:hint="eastAsia" w:ascii="仿宋" w:hAnsi="仿宋" w:eastAsia="仿宋" w:cs="仿宋"/>
          <w:color w:val="auto"/>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户名：</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户名：</w:t>
      </w:r>
      <w:r>
        <w:rPr>
          <w:rFonts w:hint="eastAsia" w:ascii="仿宋" w:hAnsi="仿宋" w:eastAsia="仿宋" w:cs="仿宋"/>
          <w:color w:val="auto"/>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rPr>
        <w:t>帐号：</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帐号：</w:t>
      </w:r>
      <w:r>
        <w:rPr>
          <w:rFonts w:hint="eastAsia" w:ascii="仿宋" w:hAnsi="仿宋" w:eastAsia="仿宋" w:cs="仿宋"/>
          <w:color w:val="auto"/>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日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br w:type="page"/>
      </w: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第五章 </w:t>
      </w:r>
      <w:bookmarkEnd w:id="40"/>
      <w:r>
        <w:rPr>
          <w:rFonts w:hint="eastAsia" w:ascii="仿宋" w:hAnsi="仿宋" w:eastAsia="仿宋" w:cs="仿宋"/>
          <w:b/>
          <w:color w:val="auto"/>
          <w:sz w:val="44"/>
          <w:szCs w:val="44"/>
        </w:rPr>
        <w:t>投标文件内容和格式</w:t>
      </w:r>
      <w:bookmarkEnd w:id="43"/>
    </w:p>
    <w:p>
      <w:pPr>
        <w:rPr>
          <w:rFonts w:hint="eastAsia" w:ascii="仿宋" w:hAnsi="仿宋" w:eastAsia="仿宋" w:cs="仿宋"/>
          <w:color w:val="auto"/>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请供应商按照以下文件要求的格式、内容制作</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文件，并按以下顺序编制目录及页码，否则可能将影响对</w:t>
      </w:r>
      <w:r>
        <w:rPr>
          <w:rFonts w:hint="eastAsia" w:ascii="仿宋" w:hAnsi="仿宋" w:eastAsia="仿宋" w:cs="仿宋"/>
          <w:color w:val="auto"/>
          <w:sz w:val="24"/>
          <w:szCs w:val="24"/>
          <w:lang w:val="en-US" w:eastAsia="zh-CN"/>
        </w:rPr>
        <w:t>投标</w:t>
      </w:r>
      <w:r>
        <w:rPr>
          <w:rFonts w:hint="eastAsia" w:ascii="仿宋" w:hAnsi="仿宋" w:eastAsia="仿宋" w:cs="仿宋"/>
          <w:color w:val="auto"/>
          <w:sz w:val="24"/>
          <w:szCs w:val="24"/>
        </w:rPr>
        <w:t>文件的评价。</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函（表1）</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开标</w:t>
      </w:r>
      <w:r>
        <w:rPr>
          <w:rFonts w:hint="eastAsia" w:ascii="仿宋" w:hAnsi="仿宋" w:eastAsia="仿宋" w:cs="仿宋"/>
          <w:color w:val="auto"/>
          <w:sz w:val="24"/>
          <w:szCs w:val="24"/>
        </w:rPr>
        <w:t>一览表（表2）</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分项报价明细表</w:t>
      </w:r>
      <w:r>
        <w:rPr>
          <w:rFonts w:hint="eastAsia" w:ascii="仿宋" w:hAnsi="仿宋" w:eastAsia="仿宋" w:cs="仿宋"/>
          <w:color w:val="auto"/>
          <w:sz w:val="24"/>
          <w:szCs w:val="24"/>
        </w:rPr>
        <w:t>（表3）</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技术及资质要求响应表（表</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、营业执照副本、组织机构代码证、税务登记证和资格证书复印件（或者三证合一复印件）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法定代表人证明书</w:t>
      </w:r>
      <w:r>
        <w:rPr>
          <w:rFonts w:hint="eastAsia" w:ascii="仿宋" w:hAnsi="仿宋" w:eastAsia="仿宋" w:cs="仿宋"/>
          <w:color w:val="auto"/>
          <w:sz w:val="24"/>
          <w:szCs w:val="24"/>
        </w:rPr>
        <w:t>（表</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授权委托书（表</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b/>
          <w:color w:val="auto"/>
          <w:sz w:val="24"/>
          <w:szCs w:val="24"/>
          <w:lang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、企业纳税证明</w:t>
      </w:r>
      <w:r>
        <w:rPr>
          <w:rFonts w:hint="eastAsia" w:ascii="仿宋" w:hAnsi="仿宋" w:eastAsia="仿宋" w:cs="仿宋"/>
          <w:color w:val="auto"/>
          <w:sz w:val="24"/>
          <w:szCs w:val="24"/>
          <w:lang w:eastAsia="zh-CN"/>
        </w:rPr>
        <w:t>复印件</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、社会保障缴费记录复印件</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、保证金缴纳证明复印件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w:t>
      </w:r>
      <w:r>
        <w:rPr>
          <w:rFonts w:hint="eastAsia" w:ascii="仿宋" w:hAnsi="仿宋" w:eastAsia="仿宋" w:cs="仿宋"/>
          <w:color w:val="auto"/>
          <w:sz w:val="24"/>
          <w:szCs w:val="24"/>
        </w:rPr>
        <w:t>参加政府采购活动前三年内，在经营活动中没有重大违法记录的声明函（表</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13、具备《中华人民共和国政府采购法》第二十二条规定条件的承诺书（表8）</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不存在与参加本项目采购活动的其他供应商单位负责人为同一人或者存在直接控股、管理关系的承诺函（表9）</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中小企业声明函（表10，没有可不提供）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16、监狱企业证明文件（表11，没有可不提供）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17、残疾人福利性单位声明函（表12，没有可不提供）</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认为需要的其它材料</w:t>
      </w:r>
    </w:p>
    <w:p>
      <w:pPr>
        <w:spacing w:line="500" w:lineRule="exact"/>
        <w:ind w:firstLine="480" w:firstLineChars="200"/>
        <w:rPr>
          <w:rFonts w:hint="eastAsia" w:ascii="仿宋" w:hAnsi="仿宋" w:eastAsia="仿宋" w:cs="仿宋"/>
          <w:color w:val="auto"/>
          <w:sz w:val="24"/>
          <w:szCs w:val="24"/>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注：以上复印件均需要加盖公章或投标专用章</w:t>
      </w:r>
    </w:p>
    <w:p>
      <w:pPr>
        <w:pStyle w:val="6"/>
        <w:ind w:right="482"/>
        <w:jc w:val="center"/>
        <w:rPr>
          <w:rFonts w:hint="eastAsia" w:ascii="仿宋" w:hAnsi="仿宋" w:eastAsia="仿宋" w:cs="仿宋"/>
          <w:color w:val="auto"/>
          <w:sz w:val="24"/>
          <w:szCs w:val="24"/>
        </w:rPr>
        <w:sectPr>
          <w:footerReference r:id="rId7" w:type="default"/>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r>
        <w:rPr>
          <w:rFonts w:hint="eastAsia" w:ascii="仿宋" w:hAnsi="仿宋" w:eastAsia="仿宋" w:cs="仿宋"/>
          <w:color w:val="auto"/>
          <w:sz w:val="24"/>
          <w:szCs w:val="24"/>
        </w:rPr>
        <w:br w:type="page"/>
      </w:r>
      <w:bookmarkStart w:id="44" w:name="_Toc171325099"/>
      <w:bookmarkStart w:id="45" w:name="_Toc264213368"/>
      <w:bookmarkStart w:id="46" w:name="_Toc264213369"/>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表1</w:t>
      </w:r>
      <w:r>
        <w:rPr>
          <w:rFonts w:hint="eastAsia" w:ascii="仿宋" w:hAnsi="仿宋" w:eastAsia="仿宋" w:cs="仿宋"/>
          <w:b/>
          <w:bCs/>
          <w:color w:val="auto"/>
          <w:sz w:val="32"/>
          <w:szCs w:val="32"/>
          <w:lang w:val="en-US" w:eastAsia="zh-CN"/>
        </w:rPr>
        <w:t>:</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47" w:name="_Toc31498"/>
      <w:r>
        <w:rPr>
          <w:rFonts w:hint="eastAsia" w:ascii="仿宋" w:hAnsi="仿宋" w:eastAsia="仿宋" w:cs="仿宋"/>
          <w:color w:val="auto"/>
          <w:lang w:val="en-US" w:eastAsia="zh-CN"/>
        </w:rPr>
        <w:t>1</w:t>
      </w:r>
      <w:r>
        <w:rPr>
          <w:rFonts w:hint="eastAsia" w:ascii="仿宋" w:hAnsi="仿宋" w:eastAsia="仿宋" w:cs="仿宋"/>
          <w:color w:val="auto"/>
        </w:rPr>
        <w:t>、投标函</w:t>
      </w:r>
      <w:bookmarkEnd w:id="47"/>
    </w:p>
    <w:p>
      <w:pPr>
        <w:pStyle w:val="6"/>
        <w:rPr>
          <w:rFonts w:hint="eastAsia" w:ascii="仿宋" w:hAnsi="仿宋" w:eastAsia="仿宋" w:cs="仿宋"/>
          <w:color w:val="auto"/>
        </w:rPr>
      </w:pPr>
    </w:p>
    <w:p>
      <w:pPr>
        <w:snapToGrid w:val="0"/>
        <w:spacing w:before="19"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w:t>
      </w:r>
    </w:p>
    <w:p>
      <w:pPr>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根据贵司  </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u w:val="single"/>
          <w:lang w:eastAsia="zh-CN"/>
        </w:rPr>
        <w:t>项目</w:t>
      </w:r>
      <w:r>
        <w:rPr>
          <w:rFonts w:hint="eastAsia" w:ascii="仿宋" w:hAnsi="仿宋" w:eastAsia="仿宋" w:cs="仿宋"/>
          <w:color w:val="auto"/>
          <w:sz w:val="24"/>
          <w:szCs w:val="24"/>
          <w:u w:val="single"/>
        </w:rPr>
        <w:t>编号：       ）</w:t>
      </w:r>
      <w:r>
        <w:rPr>
          <w:rFonts w:hint="eastAsia" w:ascii="仿宋" w:hAnsi="仿宋" w:eastAsia="仿宋" w:cs="仿宋"/>
          <w:color w:val="auto"/>
          <w:sz w:val="24"/>
          <w:szCs w:val="24"/>
        </w:rPr>
        <w:t>的投标邀请函，正式授权下述签字人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（姓名和职务）代表投标人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（投标单位名称），提交投标书。</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根据此函，我们宣布同意如下：</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我方接受招标文件的所有的条款和规定。</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我方同意按照招标文件第二章“投标人须知”的规定，本投标文件的有效期为从投标截止日期起计算的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60</w:t>
      </w:r>
      <w:r>
        <w:rPr>
          <w:rFonts w:hint="eastAsia" w:ascii="仿宋" w:hAnsi="仿宋" w:eastAsia="仿宋" w:cs="仿宋"/>
          <w:color w:val="auto"/>
          <w:sz w:val="24"/>
          <w:szCs w:val="24"/>
          <w:u w:val="single"/>
        </w:rPr>
        <w:t>天</w:t>
      </w:r>
      <w:r>
        <w:rPr>
          <w:rFonts w:hint="eastAsia" w:ascii="仿宋" w:hAnsi="仿宋" w:eastAsia="仿宋" w:cs="仿宋"/>
          <w:color w:val="auto"/>
          <w:sz w:val="24"/>
          <w:szCs w:val="24"/>
        </w:rPr>
        <w:t>，在此期间，本投标文件将始终对我方具有约束力，并可随时被接受。</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如果我方中标，我方将支付本次招标的服务费。</w:t>
      </w:r>
    </w:p>
    <w:p>
      <w:pPr>
        <w:snapToGrid w:val="0"/>
        <w:spacing w:line="480" w:lineRule="exact"/>
        <w:ind w:firstLine="570"/>
        <w:rPr>
          <w:rFonts w:hint="eastAsia" w:ascii="仿宋" w:hAnsi="仿宋" w:eastAsia="仿宋" w:cs="仿宋"/>
          <w:color w:val="auto"/>
          <w:sz w:val="24"/>
          <w:szCs w:val="24"/>
        </w:rPr>
      </w:pPr>
    </w:p>
    <w:p>
      <w:pPr>
        <w:rPr>
          <w:rFonts w:hint="eastAsia" w:ascii="仿宋" w:hAnsi="仿宋" w:eastAsia="仿宋" w:cs="仿宋"/>
          <w:color w:val="auto"/>
        </w:rPr>
      </w:pPr>
    </w:p>
    <w:p>
      <w:pPr>
        <w:pStyle w:val="6"/>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b/>
          <w:color w:val="auto"/>
          <w:sz w:val="24"/>
          <w:szCs w:val="24"/>
        </w:rPr>
      </w:pPr>
    </w:p>
    <w:p>
      <w:pPr>
        <w:pStyle w:val="6"/>
        <w:ind w:right="482"/>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2:</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48" w:name="_Toc32105"/>
      <w:r>
        <w:rPr>
          <w:rFonts w:hint="eastAsia" w:ascii="仿宋" w:hAnsi="仿宋" w:eastAsia="仿宋" w:cs="仿宋"/>
          <w:color w:val="auto"/>
          <w:lang w:val="en-US" w:eastAsia="zh-CN"/>
        </w:rPr>
        <w:t>2</w:t>
      </w:r>
      <w:r>
        <w:rPr>
          <w:rFonts w:hint="eastAsia" w:ascii="仿宋" w:hAnsi="仿宋" w:eastAsia="仿宋" w:cs="仿宋"/>
          <w:color w:val="auto"/>
        </w:rPr>
        <w:t>、开标一览表</w:t>
      </w:r>
      <w:bookmarkEnd w:id="48"/>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海南省农业农村厅2021年度信息系统运维项目</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HNZH-2021-241</w:t>
      </w:r>
      <w:r>
        <w:rPr>
          <w:rFonts w:hint="eastAsia" w:ascii="仿宋" w:hAnsi="仿宋" w:eastAsia="仿宋" w:cs="仿宋"/>
          <w:color w:val="auto"/>
          <w:sz w:val="24"/>
          <w:szCs w:val="24"/>
        </w:rPr>
        <w:t xml:space="preserv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列名称</w:t>
            </w:r>
          </w:p>
        </w:tc>
        <w:tc>
          <w:tcPr>
            <w:tcW w:w="4558" w:type="dxa"/>
            <w:noWrap w:val="0"/>
            <w:vAlign w:val="top"/>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投标单位名称</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投标报价（小写）</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投标报价（大写）</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合同履行期限</w:t>
            </w:r>
          </w:p>
        </w:tc>
        <w:tc>
          <w:tcPr>
            <w:tcW w:w="4558" w:type="dxa"/>
            <w:noWrap w:val="0"/>
            <w:vAlign w:val="top"/>
          </w:tcPr>
          <w:p>
            <w:pPr>
              <w:keepNext w:val="0"/>
              <w:keepLines w:val="0"/>
              <w:widowControl/>
              <w:suppressLineNumbers w:val="0"/>
              <w:jc w:val="center"/>
              <w:rPr>
                <w:rFonts w:hint="eastAsia" w:ascii="仿宋" w:hAnsi="仿宋" w:eastAsia="仿宋" w:cs="仿宋"/>
                <w:b/>
                <w:bCs/>
                <w:color w:val="auto"/>
                <w:sz w:val="24"/>
                <w:szCs w:val="24"/>
                <w:u w:val="none"/>
                <w:vertAlign w:val="baseline"/>
                <w:lang w:val="en-US" w:eastAsia="zh-CN"/>
              </w:rPr>
            </w:pPr>
          </w:p>
        </w:tc>
      </w:tr>
    </w:tbl>
    <w:p>
      <w:pPr>
        <w:spacing w:line="360" w:lineRule="auto"/>
        <w:rPr>
          <w:rFonts w:hint="eastAsia" w:ascii="仿宋" w:hAnsi="仿宋" w:eastAsia="仿宋" w:cs="仿宋"/>
          <w:color w:val="auto"/>
          <w:sz w:val="24"/>
          <w:szCs w:val="24"/>
          <w:u w:val="none"/>
          <w:lang w:val="en-US" w:eastAsia="zh-CN"/>
        </w:rPr>
      </w:pPr>
    </w:p>
    <w:p>
      <w:pPr>
        <w:spacing w:line="360" w:lineRule="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交货地点：用户指定地点</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lang w:val="en-US" w:eastAsia="zh-CN"/>
        </w:rPr>
        <w:t>人名称</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u w:val="single"/>
          <w:lang w:val="en-US" w:eastAsia="zh-CN"/>
        </w:rPr>
        <w:t xml:space="preserve">                  （公章）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法定代表人（或授权代理人）：</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lang w:eastAsia="zh-CN"/>
        </w:rPr>
        <w:t xml:space="preserve">           </w:t>
      </w:r>
      <w:r>
        <w:rPr>
          <w:rFonts w:hint="eastAsia" w:ascii="仿宋" w:hAnsi="仿宋" w:eastAsia="仿宋" w:cs="仿宋"/>
          <w:b/>
          <w:bCs/>
          <w:color w:val="auto"/>
          <w:sz w:val="24"/>
          <w:szCs w:val="24"/>
          <w:u w:val="single"/>
          <w:lang w:val="en-US" w:eastAsia="zh-CN"/>
        </w:rPr>
        <w:t xml:space="preserve">   （签字或盖章）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日期：</w:t>
      </w:r>
      <w:r>
        <w:rPr>
          <w:rFonts w:hint="eastAsia" w:ascii="仿宋" w:hAnsi="仿宋" w:eastAsia="仿宋" w:cs="仿宋"/>
          <w:b/>
          <w:bCs/>
          <w:color w:val="auto"/>
          <w:sz w:val="24"/>
          <w:szCs w:val="24"/>
          <w:u w:val="single"/>
          <w:lang w:val="en-US" w:eastAsia="zh-CN"/>
        </w:rPr>
        <w:t xml:space="preserve">                    </w:t>
      </w:r>
    </w:p>
    <w:p>
      <w:pPr>
        <w:rPr>
          <w:rFonts w:hint="eastAsia" w:ascii="仿宋" w:hAnsi="仿宋" w:eastAsia="仿宋" w:cs="仿宋"/>
          <w:color w:val="auto"/>
          <w:sz w:val="24"/>
          <w:szCs w:val="24"/>
          <w:lang w:eastAsia="zh-CN"/>
        </w:rPr>
      </w:pPr>
    </w:p>
    <w:p>
      <w:pPr>
        <w:rPr>
          <w:rFonts w:hint="eastAsia" w:ascii="仿宋" w:hAnsi="仿宋" w:eastAsia="仿宋" w:cs="仿宋"/>
          <w:color w:val="auto"/>
          <w:sz w:val="24"/>
          <w:szCs w:val="24"/>
          <w:lang w:eastAsia="zh-CN"/>
        </w:rPr>
      </w:pPr>
    </w:p>
    <w:p>
      <w:pPr>
        <w:pStyle w:val="278"/>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注：</w:t>
      </w:r>
      <w:r>
        <w:rPr>
          <w:rFonts w:hint="eastAsia" w:ascii="仿宋" w:hAnsi="仿宋" w:eastAsia="仿宋" w:cs="仿宋"/>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278"/>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2.本项目投标总报价超过采购预算的将视为无效投标。</w:t>
      </w:r>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3:</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49" w:name="_Toc28100"/>
      <w:r>
        <w:rPr>
          <w:rFonts w:hint="eastAsia" w:ascii="仿宋" w:hAnsi="仿宋" w:eastAsia="仿宋" w:cs="仿宋"/>
          <w:color w:val="auto"/>
          <w:lang w:val="en-US" w:eastAsia="zh-CN"/>
        </w:rPr>
        <w:t>3、分项报价明细表</w:t>
      </w:r>
      <w:bookmarkEnd w:id="49"/>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海南省农业农村厅2021年度信息系统运维项目</w:t>
      </w:r>
      <w:r>
        <w:rPr>
          <w:rFonts w:hint="eastAsia" w:ascii="仿宋" w:hAnsi="仿宋" w:eastAsia="仿宋" w:cs="仿宋"/>
          <w:color w:val="auto"/>
          <w:sz w:val="24"/>
          <w:szCs w:val="24"/>
        </w:rPr>
        <w:t xml:space="preserve">      </w:t>
      </w: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 xml:space="preserve">HNZH-2021-241 </w:t>
      </w:r>
      <w:r>
        <w:rPr>
          <w:rFonts w:hint="eastAsia" w:ascii="仿宋" w:hAnsi="仿宋" w:eastAsia="仿宋" w:cs="仿宋"/>
          <w:color w:val="auto"/>
          <w:sz w:val="24"/>
          <w:szCs w:val="24"/>
        </w:rPr>
        <w:t xml:space="preserve">       </w:t>
      </w:r>
    </w:p>
    <w:tbl>
      <w:tblPr>
        <w:tblStyle w:val="43"/>
        <w:tblW w:w="9686"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项目内容</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品牌型号</w:t>
            </w:r>
            <w:r>
              <w:rPr>
                <w:rFonts w:hint="eastAsia" w:ascii="仿宋" w:hAnsi="仿宋" w:eastAsia="仿宋" w:cs="仿宋"/>
                <w:b/>
                <w:color w:val="auto"/>
                <w:sz w:val="24"/>
                <w:szCs w:val="24"/>
                <w:lang w:eastAsia="zh-CN"/>
              </w:rPr>
              <w:t>或参数内容要求</w:t>
            </w:r>
          </w:p>
        </w:tc>
        <w:tc>
          <w:tcPr>
            <w:tcW w:w="8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单价（元）</w:t>
            </w:r>
          </w:p>
        </w:tc>
        <w:tc>
          <w:tcPr>
            <w:tcW w:w="1612" w:type="dxa"/>
            <w:tcBorders>
              <w:top w:val="single" w:color="auto" w:sz="8" w:space="0"/>
              <w:left w:val="single" w:color="auto" w:sz="8" w:space="0"/>
              <w:bottom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2"/>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仿宋" w:hAnsi="仿宋" w:eastAsia="仿宋" w:cs="仿宋"/>
                <w:color w:val="auto"/>
                <w:sz w:val="24"/>
                <w:szCs w:val="24"/>
              </w:rPr>
            </w:pPr>
          </w:p>
        </w:tc>
        <w:tc>
          <w:tcPr>
            <w:tcW w:w="7268"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lang w:val="en-US" w:eastAsia="zh-CN"/>
              </w:rPr>
              <w:t>合计：</w:t>
            </w: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bl>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名称（盖章）：                          授权代表（签名或私章）：</w:t>
      </w:r>
    </w:p>
    <w:p>
      <w:pPr>
        <w:rPr>
          <w:rFonts w:hint="eastAsia" w:ascii="仿宋" w:hAnsi="仿宋" w:eastAsia="仿宋" w:cs="仿宋"/>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注: 1、</w:t>
      </w:r>
      <w:r>
        <w:rPr>
          <w:rFonts w:hint="eastAsia" w:ascii="仿宋" w:hAnsi="仿宋" w:eastAsia="仿宋" w:cs="仿宋"/>
          <w:b/>
          <w:color w:val="auto"/>
          <w:sz w:val="24"/>
          <w:szCs w:val="24"/>
          <w:lang w:val="en-US" w:eastAsia="zh-CN"/>
        </w:rPr>
        <w:t>投标人必须按“分项报价明细表”的格式详细报出投标总价的各个组成部分的报价，否则作无效投标处理。</w:t>
      </w:r>
    </w:p>
    <w:p>
      <w:pPr>
        <w:numPr>
          <w:ilvl w:val="0"/>
          <w:numId w:val="3"/>
        </w:numPr>
        <w:tabs>
          <w:tab w:val="left" w:pos="360"/>
        </w:tabs>
        <w:snapToGrid w:val="0"/>
        <w:spacing w:line="360" w:lineRule="auto"/>
        <w:ind w:left="-15" w:leftChars="-7" w:right="-119" w:firstLine="472" w:firstLineChars="196"/>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分项报价明细表</w:t>
      </w:r>
      <w:r>
        <w:rPr>
          <w:rFonts w:hint="eastAsia" w:ascii="仿宋" w:hAnsi="仿宋" w:eastAsia="仿宋" w:cs="仿宋"/>
          <w:b/>
          <w:color w:val="auto"/>
          <w:sz w:val="24"/>
          <w:szCs w:val="24"/>
        </w:rPr>
        <w:t>格式不得自行改动</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行数可以自行添加</w:t>
      </w:r>
      <w:r>
        <w:rPr>
          <w:rFonts w:hint="eastAsia" w:ascii="仿宋" w:hAnsi="仿宋" w:eastAsia="仿宋" w:cs="仿宋"/>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3、“分项报价明细表”各分项报价合计应当与“开标一览表”报价合计相等。</w:t>
      </w:r>
    </w:p>
    <w:p>
      <w:pPr>
        <w:pStyle w:val="6"/>
        <w:spacing w:line="440" w:lineRule="exact"/>
        <w:ind w:firstLine="0"/>
        <w:rPr>
          <w:rFonts w:hint="eastAsia" w:ascii="仿宋" w:hAnsi="仿宋" w:eastAsia="仿宋" w:cs="仿宋"/>
          <w:bCs/>
          <w:color w:val="auto"/>
          <w:sz w:val="24"/>
          <w:szCs w:val="24"/>
        </w:rPr>
      </w:pPr>
      <w:r>
        <w:rPr>
          <w:rFonts w:hint="eastAsia" w:ascii="仿宋" w:hAnsi="仿宋" w:eastAsia="仿宋" w:cs="仿宋"/>
          <w:bCs/>
          <w:color w:val="auto"/>
          <w:sz w:val="24"/>
          <w:szCs w:val="24"/>
        </w:rPr>
        <w:t>　　　　　　　　</w:t>
      </w:r>
      <w:bookmarkEnd w:id="44"/>
      <w:bookmarkEnd w:id="45"/>
      <w:bookmarkStart w:id="50" w:name="_Toc264213367"/>
    </w:p>
    <w:p>
      <w:pPr>
        <w:pStyle w:val="6"/>
        <w:spacing w:line="440" w:lineRule="exact"/>
        <w:ind w:firstLine="0"/>
        <w:rPr>
          <w:rFonts w:hint="eastAsia" w:ascii="仿宋" w:hAnsi="仿宋" w:eastAsia="仿宋" w:cs="仿宋"/>
          <w:bCs/>
          <w:color w:val="auto"/>
          <w:sz w:val="24"/>
          <w:szCs w:val="24"/>
        </w:rPr>
      </w:pPr>
    </w:p>
    <w:p>
      <w:pPr>
        <w:pStyle w:val="6"/>
        <w:spacing w:line="440" w:lineRule="exact"/>
        <w:ind w:firstLine="0"/>
        <w:rPr>
          <w:rFonts w:hint="eastAsia" w:ascii="仿宋" w:hAnsi="仿宋" w:eastAsia="仿宋" w:cs="仿宋"/>
          <w:bCs/>
          <w:color w:val="auto"/>
          <w:sz w:val="24"/>
          <w:szCs w:val="24"/>
        </w:rPr>
      </w:pPr>
    </w:p>
    <w:p>
      <w:pPr>
        <w:pStyle w:val="6"/>
        <w:spacing w:line="440" w:lineRule="exact"/>
        <w:ind w:firstLine="0"/>
        <w:jc w:val="center"/>
        <w:rPr>
          <w:rFonts w:hint="eastAsia" w:ascii="仿宋" w:hAnsi="仿宋" w:eastAsia="仿宋" w:cs="仿宋"/>
          <w:b/>
          <w:color w:val="auto"/>
          <w:sz w:val="24"/>
          <w:szCs w:val="24"/>
        </w:rPr>
      </w:pPr>
    </w:p>
    <w:p>
      <w:pPr>
        <w:pStyle w:val="6"/>
        <w:spacing w:line="440" w:lineRule="exact"/>
        <w:ind w:firstLine="0"/>
        <w:jc w:val="center"/>
        <w:rPr>
          <w:rFonts w:hint="eastAsia" w:ascii="仿宋" w:hAnsi="仿宋" w:eastAsia="仿宋" w:cs="仿宋"/>
          <w:b/>
          <w:color w:val="auto"/>
          <w:sz w:val="24"/>
          <w:szCs w:val="24"/>
        </w:rPr>
      </w:pPr>
    </w:p>
    <w:p>
      <w:pPr>
        <w:pStyle w:val="6"/>
        <w:spacing w:line="440" w:lineRule="exact"/>
        <w:ind w:firstLine="0"/>
        <w:jc w:val="center"/>
        <w:rPr>
          <w:rFonts w:hint="eastAsia" w:ascii="仿宋" w:hAnsi="仿宋" w:eastAsia="仿宋" w:cs="仿宋"/>
          <w:b/>
          <w:color w:val="auto"/>
          <w:sz w:val="24"/>
          <w:szCs w:val="24"/>
        </w:rPr>
      </w:pPr>
    </w:p>
    <w:p>
      <w:pPr>
        <w:pStyle w:val="6"/>
        <w:spacing w:line="440" w:lineRule="exact"/>
        <w:ind w:firstLine="0"/>
        <w:jc w:val="center"/>
        <w:rPr>
          <w:rFonts w:hint="eastAsia" w:ascii="仿宋" w:hAnsi="仿宋" w:eastAsia="仿宋" w:cs="仿宋"/>
          <w:b/>
          <w:color w:val="auto"/>
          <w:sz w:val="24"/>
          <w:szCs w:val="24"/>
        </w:rPr>
      </w:pPr>
    </w:p>
    <w:p>
      <w:pPr>
        <w:pStyle w:val="6"/>
        <w:spacing w:line="440" w:lineRule="exact"/>
        <w:ind w:firstLine="0"/>
        <w:jc w:val="center"/>
        <w:rPr>
          <w:rFonts w:hint="eastAsia" w:ascii="仿宋" w:hAnsi="仿宋" w:eastAsia="仿宋" w:cs="仿宋"/>
          <w:b/>
          <w:color w:val="auto"/>
          <w:sz w:val="24"/>
          <w:szCs w:val="24"/>
        </w:rPr>
      </w:pPr>
    </w:p>
    <w:p>
      <w:pPr>
        <w:pStyle w:val="6"/>
        <w:spacing w:line="440" w:lineRule="exact"/>
        <w:ind w:firstLine="0"/>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4:</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1" w:name="_Toc5692"/>
      <w:r>
        <w:rPr>
          <w:rFonts w:hint="eastAsia" w:ascii="仿宋" w:hAnsi="仿宋" w:eastAsia="仿宋" w:cs="仿宋"/>
          <w:color w:val="auto"/>
          <w:lang w:val="en-US" w:eastAsia="zh-CN"/>
        </w:rPr>
        <w:t>4、技术及资质要求响应表</w:t>
      </w:r>
      <w:bookmarkEnd w:id="51"/>
    </w:p>
    <w:p>
      <w:pPr>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b/>
          <w:color w:val="auto"/>
          <w:sz w:val="24"/>
          <w:szCs w:val="24"/>
          <w:u w:val="single"/>
        </w:rPr>
      </w:pPr>
      <w:r>
        <w:rPr>
          <w:rFonts w:hint="eastAsia" w:ascii="仿宋" w:hAnsi="仿宋" w:eastAsia="仿宋" w:cs="仿宋"/>
          <w:color w:val="auto"/>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仿宋" w:hAnsi="仿宋" w:eastAsia="仿宋" w:cs="仿宋"/>
          <w:b/>
          <w:color w:val="auto"/>
          <w:sz w:val="24"/>
          <w:szCs w:val="24"/>
          <w:u w:val="single"/>
        </w:rPr>
        <w:t>投标人必须根据所投产品的实际情况如实填写，招标方有权要求投标方在投标后进行产品测试，评委会如发现有虚假描述的，该投标文件作废标处理，并报政府采购主管部门严肃处理。</w:t>
      </w:r>
    </w:p>
    <w:tbl>
      <w:tblPr>
        <w:tblStyle w:val="4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招标文件技术参数/功</w:t>
            </w:r>
          </w:p>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能要求/服务内容</w:t>
            </w:r>
            <w:r>
              <w:rPr>
                <w:rFonts w:hint="eastAsia" w:ascii="仿宋" w:hAnsi="仿宋" w:eastAsia="仿宋" w:cs="仿宋"/>
                <w:b/>
                <w:bCs/>
                <w:color w:val="auto"/>
                <w:szCs w:val="21"/>
                <w:lang w:val="en-US" w:eastAsia="zh-CN"/>
              </w:rPr>
              <w:t>/</w:t>
            </w:r>
            <w:r>
              <w:rPr>
                <w:rFonts w:hint="eastAsia" w:ascii="仿宋" w:hAnsi="仿宋" w:eastAsia="仿宋" w:cs="仿宋"/>
                <w:b/>
                <w:bCs/>
                <w:color w:val="auto"/>
                <w:szCs w:val="21"/>
              </w:rPr>
              <w:t>资质要求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投标人技术参数/功</w:t>
            </w:r>
          </w:p>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能要求/服务内容</w:t>
            </w:r>
            <w:r>
              <w:rPr>
                <w:rFonts w:hint="eastAsia" w:ascii="仿宋" w:hAnsi="仿宋" w:eastAsia="仿宋" w:cs="仿宋"/>
                <w:b/>
                <w:bCs/>
                <w:color w:val="auto"/>
                <w:szCs w:val="21"/>
                <w:lang w:val="en-US" w:eastAsia="zh-CN"/>
              </w:rPr>
              <w:t>/</w:t>
            </w:r>
            <w:r>
              <w:rPr>
                <w:rFonts w:hint="eastAsia" w:ascii="仿宋" w:hAnsi="仿宋" w:eastAsia="仿宋" w:cs="仿宋"/>
                <w:b/>
                <w:bCs/>
                <w:color w:val="auto"/>
                <w:szCs w:val="21"/>
              </w:rPr>
              <w:t>资质要求</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Cs/>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w:t>
      </w:r>
      <w:r>
        <w:rPr>
          <w:rFonts w:hint="eastAsia" w:ascii="仿宋" w:hAnsi="仿宋" w:eastAsia="仿宋" w:cs="仿宋"/>
          <w:bCs/>
          <w:color w:val="auto"/>
          <w:sz w:val="24"/>
          <w:szCs w:val="24"/>
        </w:rPr>
        <w:t>称（盖章）：                          授权代表</w:t>
      </w:r>
      <w:r>
        <w:rPr>
          <w:rFonts w:hint="eastAsia" w:ascii="仿宋" w:hAnsi="仿宋" w:eastAsia="仿宋" w:cs="仿宋"/>
          <w:color w:val="auto"/>
          <w:sz w:val="24"/>
          <w:szCs w:val="24"/>
        </w:rPr>
        <w:t>（签</w:t>
      </w:r>
      <w:r>
        <w:rPr>
          <w:rFonts w:hint="eastAsia" w:ascii="仿宋" w:hAnsi="仿宋" w:eastAsia="仿宋" w:cs="仿宋"/>
          <w:color w:val="auto"/>
          <w:sz w:val="24"/>
          <w:szCs w:val="24"/>
          <w:lang w:val="en-US" w:eastAsia="zh-CN"/>
        </w:rPr>
        <w:t>名</w:t>
      </w:r>
      <w:r>
        <w:rPr>
          <w:rFonts w:hint="eastAsia" w:ascii="仿宋" w:hAnsi="仿宋" w:eastAsia="仿宋" w:cs="仿宋"/>
          <w:color w:val="auto"/>
          <w:sz w:val="24"/>
          <w:szCs w:val="24"/>
        </w:rPr>
        <w:t>或私章）</w:t>
      </w:r>
      <w:r>
        <w:rPr>
          <w:rFonts w:hint="eastAsia" w:ascii="仿宋" w:hAnsi="仿宋" w:eastAsia="仿宋" w:cs="仿宋"/>
          <w:bCs/>
          <w:color w:val="auto"/>
          <w:sz w:val="24"/>
          <w:szCs w:val="24"/>
        </w:rPr>
        <w:t>：</w:t>
      </w:r>
    </w:p>
    <w:p>
      <w:pPr>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
          <w:color w:val="auto"/>
          <w:sz w:val="24"/>
          <w:szCs w:val="24"/>
          <w:u w:val="single"/>
        </w:rPr>
        <w:t>此表后面按响应顺序附上第三章中要求的各产品资质文件、检测报告等复印件</w:t>
      </w:r>
      <w:r>
        <w:rPr>
          <w:rFonts w:hint="eastAsia" w:ascii="仿宋" w:hAnsi="仿宋" w:eastAsia="仿宋" w:cs="仿宋"/>
          <w:b/>
          <w:color w:val="auto"/>
          <w:sz w:val="24"/>
          <w:szCs w:val="24"/>
        </w:rPr>
        <w:t>（如有），否则视为不满足</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3、偏离情况说明分正偏离、完全响应、负偏离，分别表示优于要求、满足要求、不满足要求。</w:t>
      </w:r>
      <w:r>
        <w:rPr>
          <w:rFonts w:hint="eastAsia" w:ascii="仿宋" w:hAnsi="仿宋" w:eastAsia="仿宋" w:cs="仿宋"/>
          <w:b/>
          <w:bCs/>
          <w:color w:val="auto"/>
          <w:sz w:val="24"/>
          <w:szCs w:val="24"/>
          <w:u w:val="single"/>
        </w:rPr>
        <w:t>评委评审时不能只根据供应商填写的偏离情况说明来判断是否响应</w:t>
      </w:r>
      <w:r>
        <w:rPr>
          <w:rFonts w:hint="eastAsia" w:ascii="仿宋" w:hAnsi="仿宋" w:eastAsia="仿宋" w:cs="仿宋"/>
          <w:bCs/>
          <w:color w:val="auto"/>
          <w:sz w:val="24"/>
          <w:szCs w:val="24"/>
        </w:rPr>
        <w:t>，而应认真查阅“投标人技术参数/功能要求/服务内容</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rPr>
        <w:t>资质要求”内容以及相关的资料（如有）判断是否满足要求。</w:t>
      </w:r>
    </w:p>
    <w:p>
      <w:pPr>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4、</w:t>
      </w:r>
      <w:r>
        <w:rPr>
          <w:rFonts w:hint="eastAsia" w:ascii="仿宋" w:hAnsi="仿宋" w:eastAsia="仿宋" w:cs="仿宋"/>
          <w:b/>
          <w:color w:val="auto"/>
          <w:sz w:val="24"/>
          <w:szCs w:val="24"/>
        </w:rPr>
        <w:t>“页码索引”指“</w:t>
      </w:r>
      <w:r>
        <w:rPr>
          <w:rFonts w:hint="eastAsia" w:ascii="仿宋" w:hAnsi="仿宋" w:eastAsia="仿宋" w:cs="仿宋"/>
          <w:b/>
          <w:color w:val="auto"/>
          <w:sz w:val="24"/>
          <w:szCs w:val="24"/>
          <w:lang w:val="en-US" w:eastAsia="zh-CN"/>
        </w:rPr>
        <w:t>招标</w:t>
      </w:r>
      <w:r>
        <w:rPr>
          <w:rFonts w:hint="eastAsia" w:ascii="仿宋" w:hAnsi="仿宋" w:eastAsia="仿宋" w:cs="仿宋"/>
          <w:b/>
          <w:color w:val="auto"/>
          <w:sz w:val="24"/>
          <w:szCs w:val="24"/>
        </w:rPr>
        <w:t>文件技术参数、功能及资质响应”所对应的证明材料在供应商</w:t>
      </w:r>
      <w:r>
        <w:rPr>
          <w:rFonts w:hint="eastAsia" w:ascii="仿宋" w:hAnsi="仿宋" w:eastAsia="仿宋" w:cs="仿宋"/>
          <w:b/>
          <w:color w:val="auto"/>
          <w:sz w:val="24"/>
          <w:szCs w:val="24"/>
          <w:lang w:val="en-US" w:eastAsia="zh-CN"/>
        </w:rPr>
        <w:t>投标</w:t>
      </w:r>
      <w:r>
        <w:rPr>
          <w:rFonts w:hint="eastAsia" w:ascii="仿宋" w:hAnsi="仿宋" w:eastAsia="仿宋" w:cs="仿宋"/>
          <w:b/>
          <w:color w:val="auto"/>
          <w:sz w:val="24"/>
          <w:szCs w:val="24"/>
        </w:rPr>
        <w:t>文件中的页码。</w:t>
      </w:r>
    </w:p>
    <w:p>
      <w:pPr>
        <w:snapToGrid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End w:id="50"/>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5:</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2" w:name="_Toc20581"/>
      <w:r>
        <w:rPr>
          <w:rFonts w:hint="eastAsia" w:ascii="仿宋" w:hAnsi="仿宋" w:eastAsia="仿宋" w:cs="仿宋"/>
          <w:color w:val="auto"/>
          <w:lang w:val="en-US" w:eastAsia="zh-CN"/>
        </w:rPr>
        <w:t>5、法定代表人证明书</w:t>
      </w:r>
      <w:bookmarkEnd w:id="52"/>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none"/>
        </w:rPr>
        <w:t>签名</w:t>
      </w:r>
      <w:r>
        <w:rPr>
          <w:rFonts w:hint="eastAsia" w:ascii="仿宋" w:hAnsi="仿宋" w:eastAsia="仿宋" w:cs="仿宋"/>
          <w:color w:val="auto"/>
          <w:sz w:val="24"/>
          <w:szCs w:val="24"/>
          <w:u w:val="none"/>
          <w:lang w:eastAsia="zh-CN"/>
        </w:rPr>
        <w:t>或盖章</w:t>
      </w:r>
      <w:r>
        <w:rPr>
          <w:rFonts w:hint="eastAsia" w:ascii="仿宋" w:hAnsi="仿宋" w:eastAsia="仿宋" w:cs="仿宋"/>
          <w:color w:val="auto"/>
          <w:sz w:val="24"/>
          <w:szCs w:val="24"/>
        </w:rPr>
        <w:t>）</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160" w:firstLineChars="215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b/>
          <w:color w:val="auto"/>
          <w:sz w:val="24"/>
          <w:szCs w:val="24"/>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6:</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3" w:name="_Toc26280"/>
      <w:r>
        <w:rPr>
          <w:rFonts w:hint="eastAsia" w:ascii="仿宋" w:hAnsi="仿宋" w:eastAsia="仿宋" w:cs="仿宋"/>
          <w:color w:val="auto"/>
          <w:lang w:val="en-US" w:eastAsia="zh-CN"/>
        </w:rPr>
        <w:t>6、授权委托书</w:t>
      </w:r>
      <w:bookmarkEnd w:id="53"/>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本授权书声明：</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受托人：姓名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出生日期：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 份 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兹委托受托人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代表我方参加</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 xml:space="preserve">组织的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w:t>
      </w:r>
      <w:r>
        <w:rPr>
          <w:rFonts w:hint="eastAsia" w:ascii="仿宋" w:hAnsi="仿宋" w:eastAsia="仿宋" w:cs="仿宋"/>
          <w:color w:val="auto"/>
          <w:sz w:val="24"/>
          <w:szCs w:val="24"/>
          <w:lang w:eastAsia="zh-CN"/>
        </w:rPr>
        <w:t>项目</w:t>
      </w:r>
      <w:r>
        <w:rPr>
          <w:rFonts w:hint="eastAsia" w:ascii="仿宋" w:hAnsi="仿宋" w:eastAsia="仿宋" w:cs="仿宋"/>
          <w:color w:val="auto"/>
          <w:sz w:val="24"/>
          <w:szCs w:val="24"/>
        </w:rPr>
        <w:t>编号：     ）的政府采购活动，并授权其全权办理以下事宜：</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1、参加投标活动；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2、出席开标评标会议；</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3、签订与中标事宜有关的合同；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napToGri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附：受托人身份证复印件</w:t>
      </w:r>
    </w:p>
    <w:p>
      <w:pPr>
        <w:snapToGrid w:val="0"/>
        <w:spacing w:line="360" w:lineRule="auto"/>
        <w:ind w:firstLine="3840" w:firstLineChars="1600"/>
        <w:rPr>
          <w:rFonts w:hint="eastAsia" w:ascii="仿宋" w:hAnsi="仿宋" w:eastAsia="仿宋" w:cs="仿宋"/>
          <w:color w:val="auto"/>
          <w:sz w:val="24"/>
          <w:szCs w:val="24"/>
        </w:rPr>
      </w:pPr>
    </w:p>
    <w:p>
      <w:pPr>
        <w:pStyle w:val="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6"/>
        <w:rPr>
          <w:rFonts w:hint="eastAsia" w:ascii="仿宋" w:hAnsi="仿宋" w:eastAsia="仿宋" w:cs="仿宋"/>
          <w:color w:val="auto"/>
        </w:rPr>
      </w:pP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w:t>
      </w:r>
      <w:r>
        <w:rPr>
          <w:rFonts w:hint="eastAsia" w:ascii="仿宋" w:hAnsi="仿宋" w:eastAsia="仿宋" w:cs="仿宋"/>
          <w:color w:val="auto"/>
          <w:sz w:val="24"/>
          <w:szCs w:val="24"/>
          <w:u w:val="single"/>
          <w:lang w:eastAsia="zh-CN"/>
        </w:rPr>
        <w:t>或盖章</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          </w:t>
      </w:r>
    </w:p>
    <w:p>
      <w:pPr>
        <w:snapToGrid w:val="0"/>
        <w:spacing w:line="360" w:lineRule="auto"/>
        <w:ind w:firstLine="3840" w:firstLineChars="16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委托单位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（公章）          </w:t>
      </w:r>
    </w:p>
    <w:p>
      <w:pPr>
        <w:snapToGrid w:val="0"/>
        <w:spacing w:line="360" w:lineRule="auto"/>
        <w:ind w:firstLine="352" w:firstLineChars="147"/>
        <w:jc w:val="right"/>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7:</w:t>
      </w:r>
      <w:bookmarkEnd w:id="46"/>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4" w:name="_Toc30555"/>
      <w:bookmarkStart w:id="55" w:name="_Toc19635"/>
      <w:bookmarkStart w:id="56" w:name="_Toc13835"/>
      <w:bookmarkStart w:id="57" w:name="_Toc18619"/>
      <w:bookmarkStart w:id="58" w:name="_Toc264213370"/>
      <w:r>
        <w:rPr>
          <w:rFonts w:hint="eastAsia" w:ascii="仿宋" w:hAnsi="仿宋" w:eastAsia="仿宋" w:cs="仿宋"/>
          <w:color w:val="auto"/>
          <w:lang w:val="en-US" w:eastAsia="zh-CN"/>
        </w:rPr>
        <w:t>7、参加政府采购活动前三年内，在经营活动中没有重大违法记录的声明函</w:t>
      </w:r>
      <w:bookmarkEnd w:id="54"/>
    </w:p>
    <w:p>
      <w:pPr>
        <w:shd w:val="clear" w:color="auto" w:fill="FFFFFF"/>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eastAsia="zh-CN"/>
        </w:rPr>
        <w:t>海南省农业农村厅2021年度信息系统运维项目</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eastAsia="zh-CN"/>
        </w:rPr>
        <w:t xml:space="preserve">HNZH-2021-241 </w:t>
      </w:r>
      <w:r>
        <w:rPr>
          <w:rFonts w:hint="eastAsia" w:ascii="仿宋" w:hAnsi="仿宋" w:eastAsia="仿宋" w:cs="仿宋"/>
          <w:color w:val="auto"/>
          <w:sz w:val="24"/>
          <w:szCs w:val="24"/>
        </w:rPr>
        <w:t>）货物及服务的招标采购活动，我司声明如下：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1、参加政府采购活动前三年内，在经营活动中没有重大违法记录。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公告前三年内，我司在经营活动中没有被</w:t>
      </w:r>
      <w:r>
        <w:rPr>
          <w:rFonts w:hint="eastAsia" w:ascii="仿宋" w:hAnsi="仿宋" w:eastAsia="仿宋" w:cs="仿宋"/>
          <w:color w:val="auto"/>
          <w:sz w:val="24"/>
          <w:szCs w:val="24"/>
          <w:lang w:val="en-US" w:eastAsia="zh-CN"/>
        </w:rPr>
        <w:t>列入</w:t>
      </w:r>
      <w:r>
        <w:rPr>
          <w:rFonts w:hint="eastAsia" w:ascii="仿宋" w:hAnsi="仿宋" w:eastAsia="仿宋" w:cs="仿宋"/>
          <w:color w:val="auto"/>
          <w:sz w:val="24"/>
          <w:szCs w:val="24"/>
        </w:rPr>
        <w:t>中国执行信息公开网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lang w:val="en-US" w:eastAsia="zh-CN"/>
        </w:rPr>
        <w:t>的“失信被执行人”、信用中国(www.creditchina.gov.cn)的“重大税收违法案件当事人名单”、“政府采购严重违法失信名单”和中国政府采购网(www.ccgp.gov.cn)的“政府采购严重违法失信行为记录名单”等</w:t>
      </w:r>
      <w:r>
        <w:rPr>
          <w:rFonts w:hint="eastAsia" w:ascii="仿宋" w:hAnsi="仿宋" w:eastAsia="仿宋" w:cs="仿宋"/>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6"/>
        <w:ind w:right="482" w:firstLine="0"/>
        <w:jc w:val="center"/>
        <w:rPr>
          <w:rFonts w:hint="eastAsia" w:ascii="仿宋" w:hAnsi="仿宋" w:eastAsia="仿宋" w:cs="仿宋"/>
          <w:b/>
          <w:bCs/>
          <w:color w:val="auto"/>
          <w:sz w:val="24"/>
          <w:szCs w:val="24"/>
        </w:rPr>
      </w:pPr>
    </w:p>
    <w:p>
      <w:pPr>
        <w:pStyle w:val="6"/>
        <w:ind w:right="482" w:firstLine="0"/>
        <w:jc w:val="center"/>
        <w:rPr>
          <w:rFonts w:hint="eastAsia" w:ascii="仿宋" w:hAnsi="仿宋" w:eastAsia="仿宋" w:cs="仿宋"/>
          <w:b/>
          <w:bCs/>
          <w:color w:val="auto"/>
          <w:sz w:val="24"/>
          <w:szCs w:val="24"/>
        </w:rPr>
      </w:pPr>
    </w:p>
    <w:p>
      <w:pPr>
        <w:pStyle w:val="6"/>
        <w:ind w:right="482" w:firstLine="0"/>
        <w:jc w:val="center"/>
        <w:rPr>
          <w:rFonts w:hint="eastAsia" w:ascii="仿宋" w:hAnsi="仿宋" w:eastAsia="仿宋" w:cs="仿宋"/>
          <w:b/>
          <w:bCs/>
          <w:color w:val="auto"/>
          <w:sz w:val="24"/>
          <w:szCs w:val="24"/>
        </w:rPr>
      </w:pPr>
    </w:p>
    <w:p>
      <w:pPr>
        <w:pStyle w:val="6"/>
        <w:ind w:right="482" w:firstLine="0"/>
        <w:jc w:val="center"/>
        <w:rPr>
          <w:rFonts w:hint="eastAsia" w:ascii="仿宋" w:hAnsi="仿宋" w:eastAsia="仿宋" w:cs="仿宋"/>
          <w:b/>
          <w:bCs/>
          <w:color w:val="auto"/>
          <w:sz w:val="24"/>
          <w:szCs w:val="24"/>
        </w:rPr>
      </w:pPr>
    </w:p>
    <w:p>
      <w:pPr>
        <w:pStyle w:val="6"/>
        <w:ind w:right="482" w:firstLine="0"/>
        <w:jc w:val="center"/>
        <w:rPr>
          <w:rFonts w:hint="eastAsia" w:ascii="仿宋" w:hAnsi="仿宋" w:eastAsia="仿宋" w:cs="仿宋"/>
          <w:b/>
          <w:bCs/>
          <w:color w:val="auto"/>
          <w:sz w:val="24"/>
          <w:szCs w:val="24"/>
        </w:rPr>
      </w:pPr>
    </w:p>
    <w:p>
      <w:pPr>
        <w:pStyle w:val="6"/>
        <w:ind w:right="482" w:firstLine="0"/>
        <w:jc w:val="center"/>
        <w:rPr>
          <w:rFonts w:hint="eastAsia" w:ascii="仿宋" w:hAnsi="仿宋" w:eastAsia="仿宋" w:cs="仿宋"/>
          <w:b/>
          <w:bCs/>
          <w:color w:val="auto"/>
          <w:sz w:val="24"/>
          <w:szCs w:val="24"/>
        </w:rPr>
      </w:pP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8:</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59" w:name="_Toc9667"/>
      <w:r>
        <w:rPr>
          <w:rFonts w:hint="eastAsia" w:ascii="仿宋" w:hAnsi="仿宋" w:eastAsia="仿宋" w:cs="仿宋"/>
          <w:color w:val="auto"/>
          <w:lang w:val="en-US" w:eastAsia="zh-CN"/>
        </w:rPr>
        <w:t>8、具备《中华人民共和国政府采购法》第二十二条规定条件的承诺书</w:t>
      </w:r>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本公司作为参加本次</w:t>
      </w:r>
      <w:r>
        <w:rPr>
          <w:rFonts w:hint="eastAsia" w:ascii="仿宋" w:hAnsi="仿宋" w:eastAsia="仿宋" w:cs="仿宋"/>
          <w:color w:val="auto"/>
          <w:sz w:val="24"/>
          <w:szCs w:val="24"/>
          <w:u w:val="single"/>
          <w:lang w:eastAsia="zh-CN"/>
        </w:rPr>
        <w:t>海南省农业农村厅2021年度信息系统运维项目</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eastAsia="zh-CN"/>
        </w:rPr>
        <w:t xml:space="preserve">HNZH-2021-241 </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 xml:space="preserve">，现郑重承诺具备以下条件（《中华人民共和国政府采购法》第二十二条）：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具有独立承担民事责任的能力；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具有良好的商业信誉和健全的财务会计制度；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具有履行合同所必需的设备和专业技术能力；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具有依法缴纳税收和社会保障资金的良好记录；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参加本次政府采购活动前三年内，在经营活动中没有重大违法违规记录；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6"/>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p>
    <w:p>
      <w:pPr>
        <w:pStyle w:val="6"/>
        <w:rPr>
          <w:rFonts w:hint="eastAsia" w:ascii="仿宋" w:hAnsi="仿宋" w:eastAsia="仿宋" w:cs="仿宋"/>
          <w:color w:val="auto"/>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盖</w:t>
      </w:r>
      <w:r>
        <w:rPr>
          <w:rFonts w:hint="eastAsia" w:ascii="仿宋" w:hAnsi="仿宋" w:eastAsia="仿宋" w:cs="仿宋"/>
          <w:color w:val="auto"/>
          <w:sz w:val="24"/>
          <w:szCs w:val="24"/>
          <w:u w:val="single"/>
        </w:rPr>
        <w:t>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ind w:firstLine="482" w:firstLineChars="200"/>
        <w:jc w:val="center"/>
        <w:rPr>
          <w:rFonts w:hint="eastAsia" w:ascii="仿宋" w:hAnsi="仿宋" w:eastAsia="仿宋" w:cs="仿宋"/>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9:</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0" w:name="_Toc10292"/>
      <w:r>
        <w:rPr>
          <w:rFonts w:hint="eastAsia" w:ascii="仿宋" w:hAnsi="仿宋" w:eastAsia="仿宋" w:cs="仿宋"/>
          <w:color w:val="auto"/>
          <w:lang w:val="en-US" w:eastAsia="zh-CN"/>
        </w:rPr>
        <w:t>9、不存在与参加本项目采购活动的其他供应商单位负责人为同一人或者存在直接控股、管理关系的承诺函</w:t>
      </w:r>
      <w:bookmarkEnd w:id="60"/>
    </w:p>
    <w:p>
      <w:pPr>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eastAsia="zh-CN"/>
        </w:rPr>
        <w:t>海南省农业农村厅2021年度信息系统运维项目</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eastAsia="zh-CN"/>
        </w:rPr>
        <w:t xml:space="preserve">HNZH-2021-241 </w:t>
      </w:r>
      <w:r>
        <w:rPr>
          <w:rFonts w:hint="eastAsia" w:ascii="仿宋" w:hAnsi="仿宋" w:eastAsia="仿宋" w:cs="仿宋"/>
          <w:color w:val="auto"/>
          <w:sz w:val="24"/>
          <w:szCs w:val="24"/>
        </w:rPr>
        <w:t>）货物及服务的招标采购活动，我司</w:t>
      </w:r>
      <w:r>
        <w:rPr>
          <w:rFonts w:hint="eastAsia" w:ascii="仿宋" w:hAnsi="仿宋" w:eastAsia="仿宋" w:cs="仿宋"/>
          <w:color w:val="auto"/>
          <w:sz w:val="24"/>
          <w:szCs w:val="24"/>
          <w:lang w:val="en-US" w:eastAsia="zh-CN"/>
        </w:rPr>
        <w:t>郑重承诺</w:t>
      </w:r>
      <w:r>
        <w:rPr>
          <w:rFonts w:hint="eastAsia" w:ascii="仿宋" w:hAnsi="仿宋" w:eastAsia="仿宋" w:cs="仿宋"/>
          <w:color w:val="auto"/>
          <w:sz w:val="24"/>
          <w:szCs w:val="24"/>
        </w:rPr>
        <w:t>如下：</w:t>
      </w:r>
    </w:p>
    <w:p>
      <w:pPr>
        <w:spacing w:line="360" w:lineRule="auto"/>
        <w:ind w:firstLine="482" w:firstLineChars="20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6"/>
        <w:rPr>
          <w:rFonts w:hint="eastAsia" w:ascii="仿宋" w:hAnsi="仿宋" w:eastAsia="仿宋" w:cs="仿宋"/>
          <w:color w:val="auto"/>
        </w:rPr>
      </w:pPr>
    </w:p>
    <w:p>
      <w:pPr>
        <w:spacing w:line="440" w:lineRule="exact"/>
        <w:ind w:firstLine="480" w:firstLineChars="200"/>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10:</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10、中小企业声明函（工程、服务）</w:t>
      </w:r>
    </w:p>
    <w:p>
      <w:pPr>
        <w:spacing w:after="0" w:line="360" w:lineRule="auto"/>
        <w:ind w:right="2"/>
        <w:jc w:val="both"/>
        <w:rPr>
          <w:rFonts w:hint="eastAsia" w:ascii="仿宋" w:hAnsi="仿宋" w:eastAsia="仿宋" w:cs="仿宋"/>
          <w:b w:val="0"/>
          <w:bCs/>
          <w:color w:val="auto"/>
          <w:sz w:val="24"/>
          <w:szCs w:val="24"/>
        </w:rPr>
      </w:pP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本公司(联合体)郑重声明，根据《政府采购促进中小企业发展管理办法》(财库﹝</w:t>
      </w:r>
      <w:r>
        <w:rPr>
          <w:rFonts w:hint="eastAsia" w:ascii="仿宋" w:hAnsi="仿宋" w:eastAsia="仿宋" w:cs="仿宋"/>
          <w:b w:val="0"/>
          <w:bCs/>
          <w:color w:val="auto"/>
          <w:sz w:val="24"/>
          <w:szCs w:val="24"/>
          <w:lang w:eastAsia="zh-CN"/>
        </w:rPr>
        <w:t>2021</w:t>
      </w:r>
      <w:r>
        <w:rPr>
          <w:rFonts w:hint="eastAsia" w:ascii="仿宋" w:hAnsi="仿宋" w:eastAsia="仿宋" w:cs="仿宋"/>
          <w:b w:val="0"/>
          <w:bCs/>
          <w:color w:val="auto"/>
          <w:sz w:val="24"/>
          <w:szCs w:val="24"/>
        </w:rPr>
        <w:t>﹞46号)的规定，本公司(联合体)参加</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(单位名称</w:t>
      </w:r>
      <w:r>
        <w:rPr>
          <w:rFonts w:hint="eastAsia" w:ascii="仿宋" w:hAnsi="仿宋" w:eastAsia="仿宋" w:cs="仿宋"/>
          <w:b w:val="0"/>
          <w:bCs/>
          <w:color w:val="auto"/>
          <w:sz w:val="24"/>
          <w:szCs w:val="24"/>
        </w:rPr>
        <w:t>)的</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(项目名称)</w:t>
      </w:r>
      <w:r>
        <w:rPr>
          <w:rFonts w:hint="eastAsia" w:ascii="仿宋" w:hAnsi="仿宋" w:eastAsia="仿宋" w:cs="仿宋"/>
          <w:b w:val="0"/>
          <w:bCs/>
          <w:color w:val="auto"/>
          <w:sz w:val="24"/>
          <w:szCs w:val="24"/>
        </w:rPr>
        <w:t>采购活动，工程的施工单位全部为符合政策要求的中小企业(或者</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服务全部由符合政策要求的中小企业承接)。相关企业(含联合体中的中小企业、签订分包意向协议的中小企业)的具体情况如下</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万元¹，属于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u w:val="single"/>
          <w:lang w:eastAsia="zh-CN"/>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w:t>
      </w:r>
      <w:r>
        <w:rPr>
          <w:rFonts w:hint="eastAsia" w:ascii="仿宋" w:hAnsi="仿宋" w:eastAsia="仿宋" w:cs="仿宋"/>
          <w:b w:val="0"/>
          <w:bCs/>
          <w:color w:val="auto"/>
          <w:sz w:val="24"/>
          <w:szCs w:val="24"/>
        </w:rPr>
        <w:t>承建(承接)企业为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i w:val="0"/>
          <w:iCs w:val="0"/>
          <w:color w:val="auto"/>
          <w:sz w:val="24"/>
          <w:szCs w:val="24"/>
          <w:u w:val="none"/>
          <w:lang w:eastAsia="zh-CN"/>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企业名称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盖章</w:t>
      </w:r>
      <w:r>
        <w:rPr>
          <w:rFonts w:hint="eastAsia" w:ascii="仿宋" w:hAnsi="仿宋" w:eastAsia="仿宋" w:cs="仿宋"/>
          <w:b w:val="0"/>
          <w:bCs/>
          <w:color w:val="auto"/>
          <w:sz w:val="24"/>
          <w:szCs w:val="24"/>
          <w:lang w:eastAsia="zh-CN"/>
        </w:rPr>
        <w:t>）：</w:t>
      </w: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日期</w:t>
      </w:r>
      <w:r>
        <w:rPr>
          <w:rFonts w:hint="eastAsia" w:ascii="仿宋" w:hAnsi="仿宋" w:eastAsia="仿宋" w:cs="仿宋"/>
          <w:b w:val="0"/>
          <w:bCs/>
          <w:color w:val="auto"/>
          <w:sz w:val="24"/>
          <w:szCs w:val="24"/>
          <w:lang w:eastAsia="zh-CN"/>
        </w:rPr>
        <w:t>：</w:t>
      </w: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rPr>
      </w:pPr>
    </w:p>
    <w:p>
      <w:pPr>
        <w:bidi w:val="0"/>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rPr>
        <w:t>¹从业人员、营业收入、资产总额填报上一年度数据，无上一年度数据的新成立企业可不填报。</w:t>
      </w:r>
    </w:p>
    <w:p>
      <w:pPr>
        <w:spacing w:after="0" w:line="360" w:lineRule="auto"/>
        <w:ind w:right="2"/>
        <w:jc w:val="center"/>
        <w:rPr>
          <w:rFonts w:hint="eastAsia" w:ascii="仿宋" w:hAnsi="仿宋" w:eastAsia="仿宋" w:cs="仿宋"/>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11:</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1" w:name="_Toc12366"/>
      <w:r>
        <w:rPr>
          <w:rFonts w:hint="eastAsia" w:ascii="仿宋" w:hAnsi="仿宋" w:eastAsia="仿宋" w:cs="仿宋"/>
          <w:color w:val="auto"/>
          <w:lang w:val="en-US" w:eastAsia="zh-CN"/>
        </w:rPr>
        <w:t>11、监狱企业证明文件</w:t>
      </w:r>
      <w:bookmarkEnd w:id="61"/>
    </w:p>
    <w:p>
      <w:pPr>
        <w:spacing w:after="0" w:line="360" w:lineRule="auto"/>
        <w:ind w:left="420" w:firstLine="420"/>
        <w:rPr>
          <w:rFonts w:hint="eastAsia" w:ascii="仿宋" w:hAnsi="仿宋" w:eastAsia="仿宋" w:cs="仿宋"/>
          <w:color w:val="auto"/>
          <w:sz w:val="24"/>
          <w:szCs w:val="24"/>
        </w:rPr>
      </w:pPr>
    </w:p>
    <w:p>
      <w:pPr>
        <w:spacing w:after="0" w:line="360" w:lineRule="auto"/>
        <w:ind w:left="420" w:firstLine="420"/>
        <w:rPr>
          <w:rFonts w:hint="eastAsia" w:ascii="仿宋" w:hAnsi="仿宋" w:eastAsia="仿宋" w:cs="仿宋"/>
          <w:color w:val="auto"/>
          <w:sz w:val="24"/>
          <w:szCs w:val="24"/>
        </w:rPr>
      </w:pPr>
      <w:r>
        <w:rPr>
          <w:rFonts w:hint="eastAsia" w:ascii="仿宋" w:hAnsi="仿宋" w:eastAsia="仿宋" w:cs="仿宋"/>
          <w:color w:val="auto"/>
          <w:sz w:val="24"/>
          <w:szCs w:val="24"/>
        </w:rPr>
        <w:t>享受政策优惠的监狱企业须提供由省级以上监狱管理局、戒毒管理局（含新疆生产建设兵团）出具的属于监狱企业的证明文件。</w:t>
      </w:r>
    </w:p>
    <w:p>
      <w:pPr>
        <w:pStyle w:val="3"/>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12:</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62" w:name="_Toc16196"/>
      <w:r>
        <w:rPr>
          <w:rFonts w:hint="eastAsia" w:ascii="仿宋" w:hAnsi="仿宋" w:eastAsia="仿宋" w:cs="仿宋"/>
          <w:color w:val="auto"/>
          <w:lang w:val="en-US" w:eastAsia="zh-CN"/>
        </w:rPr>
        <w:t>12、残疾人福利性单位声明函</w:t>
      </w:r>
      <w:bookmarkEnd w:id="62"/>
    </w:p>
    <w:p>
      <w:pPr>
        <w:spacing w:line="588" w:lineRule="exact"/>
        <w:ind w:firstLine="504" w:firstLineChars="200"/>
        <w:rPr>
          <w:rFonts w:hint="eastAsia" w:ascii="仿宋" w:hAnsi="仿宋" w:eastAsia="仿宋" w:cs="仿宋"/>
          <w:color w:val="auto"/>
          <w:spacing w:val="6"/>
          <w:sz w:val="24"/>
          <w:szCs w:val="24"/>
        </w:rPr>
      </w:pP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bookmarkEnd w:id="55"/>
      <w:bookmarkEnd w:id="56"/>
      <w:bookmarkEnd w:id="57"/>
    </w:p>
    <w:p>
      <w:pPr>
        <w:pStyle w:val="3"/>
        <w:spacing w:after="240"/>
        <w:rPr>
          <w:rFonts w:hint="eastAsia" w:ascii="仿宋" w:hAnsi="仿宋" w:eastAsia="仿宋" w:cs="仿宋"/>
          <w:color w:val="auto"/>
          <w:kern w:val="2"/>
          <w:sz w:val="24"/>
          <w:szCs w:val="24"/>
          <w:lang w:val="en-US" w:eastAsia="zh-CN"/>
        </w:rPr>
      </w:pPr>
    </w:p>
    <w:p>
      <w:pPr>
        <w:rPr>
          <w:rFonts w:hint="eastAsia" w:ascii="仿宋" w:hAnsi="仿宋" w:eastAsia="仿宋" w:cs="仿宋"/>
          <w:color w:val="auto"/>
          <w:kern w:val="2"/>
          <w:sz w:val="24"/>
          <w:szCs w:val="24"/>
          <w:lang w:val="en-US" w:eastAsia="zh-CN"/>
        </w:rPr>
      </w:pPr>
    </w:p>
    <w:p>
      <w:pPr>
        <w:pStyle w:val="2"/>
        <w:rPr>
          <w:rFonts w:hint="eastAsia" w:ascii="仿宋" w:hAnsi="仿宋" w:eastAsia="仿宋" w:cs="仿宋"/>
          <w:color w:val="auto"/>
          <w:kern w:val="2"/>
          <w:sz w:val="24"/>
          <w:szCs w:val="24"/>
          <w:lang w:val="en-US" w:eastAsia="zh-CN"/>
        </w:rPr>
      </w:pPr>
    </w:p>
    <w:p>
      <w:pPr>
        <w:rPr>
          <w:rFonts w:hint="eastAsia" w:ascii="仿宋" w:hAnsi="仿宋" w:eastAsia="仿宋" w:cs="仿宋"/>
          <w:color w:val="auto"/>
          <w:kern w:val="2"/>
          <w:sz w:val="24"/>
          <w:szCs w:val="24"/>
          <w:lang w:val="en-US" w:eastAsia="zh-CN"/>
        </w:rPr>
      </w:pPr>
    </w:p>
    <w:p>
      <w:pPr>
        <w:pStyle w:val="2"/>
        <w:rPr>
          <w:rFonts w:hint="eastAsia" w:ascii="仿宋" w:hAnsi="仿宋" w:eastAsia="仿宋" w:cs="仿宋"/>
          <w:color w:val="auto"/>
          <w:kern w:val="2"/>
          <w:sz w:val="24"/>
          <w:szCs w:val="24"/>
          <w:lang w:val="en-US" w:eastAsia="zh-CN"/>
        </w:rPr>
      </w:pPr>
    </w:p>
    <w:p>
      <w:pPr>
        <w:rPr>
          <w:rFonts w:hint="eastAsia" w:ascii="仿宋" w:hAnsi="仿宋" w:eastAsia="仿宋" w:cs="仿宋"/>
          <w:color w:val="auto"/>
          <w:kern w:val="2"/>
          <w:sz w:val="24"/>
          <w:szCs w:val="24"/>
          <w:lang w:val="en-US" w:eastAsia="zh-CN"/>
        </w:rPr>
      </w:pPr>
    </w:p>
    <w:p>
      <w:pPr>
        <w:pStyle w:val="2"/>
        <w:rPr>
          <w:rFonts w:hint="eastAsia" w:ascii="仿宋" w:hAnsi="仿宋" w:eastAsia="仿宋" w:cs="仿宋"/>
          <w:color w:val="auto"/>
          <w:kern w:val="2"/>
          <w:sz w:val="24"/>
          <w:szCs w:val="24"/>
          <w:lang w:val="en-US" w:eastAsia="zh-CN"/>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仿宋" w:hAnsi="仿宋" w:eastAsia="仿宋" w:cs="仿宋"/>
          <w:b/>
          <w:bCs/>
          <w:color w:val="auto"/>
          <w:sz w:val="32"/>
          <w:szCs w:val="32"/>
          <w:lang w:val="en-US" w:eastAsia="zh-CN" w:bidi="ar-SA"/>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仿宋" w:hAnsi="仿宋" w:eastAsia="仿宋" w:cs="仿宋"/>
          <w:b/>
          <w:bCs/>
          <w:color w:val="auto"/>
          <w:sz w:val="32"/>
          <w:szCs w:val="32"/>
          <w:lang w:val="en-US" w:eastAsia="zh-CN" w:bidi="ar-SA"/>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hint="eastAsia" w:ascii="仿宋" w:hAnsi="仿宋" w:eastAsia="仿宋" w:cs="仿宋"/>
          <w:b/>
          <w:bCs/>
          <w:color w:val="auto"/>
          <w:sz w:val="32"/>
          <w:szCs w:val="32"/>
          <w:lang w:val="en-US" w:eastAsia="zh-CN" w:bidi="ar-SA"/>
        </w:rPr>
      </w:pPr>
      <w:r>
        <w:rPr>
          <w:rFonts w:hint="eastAsia" w:ascii="仿宋" w:hAnsi="仿宋" w:eastAsia="仿宋" w:cs="仿宋"/>
          <w:b/>
          <w:bCs/>
          <w:color w:val="auto"/>
          <w:sz w:val="32"/>
          <w:szCs w:val="32"/>
          <w:lang w:val="en-US" w:eastAsia="zh-CN" w:bidi="ar-SA"/>
        </w:rPr>
        <w:t>13、投标人认为需要的其它材料</w:t>
      </w:r>
    </w:p>
    <w:p>
      <w:pPr>
        <w:rPr>
          <w:rFonts w:hint="eastAsia"/>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63" w:name="_Toc7648"/>
      <w:r>
        <w:rPr>
          <w:rFonts w:hint="eastAsia" w:ascii="仿宋" w:hAnsi="仿宋" w:eastAsia="仿宋" w:cs="仿宋"/>
          <w:b/>
          <w:color w:val="auto"/>
          <w:sz w:val="44"/>
          <w:szCs w:val="44"/>
        </w:rPr>
        <w:t>第六章  评审办法和程序</w:t>
      </w:r>
      <w:bookmarkEnd w:id="63"/>
    </w:p>
    <w:p>
      <w:pPr>
        <w:snapToGrid w:val="0"/>
        <w:jc w:val="center"/>
        <w:rPr>
          <w:rFonts w:hint="eastAsia" w:ascii="仿宋" w:hAnsi="仿宋" w:eastAsia="仿宋" w:cs="仿宋"/>
          <w:b/>
          <w:color w:val="auto"/>
          <w:spacing w:val="10"/>
          <w:sz w:val="24"/>
          <w:szCs w:val="24"/>
        </w:rPr>
      </w:pP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一、总则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1、根据《中华人民共和国政府采购法》、《中华人民共和国政府采购法实施条例》、《政府采购货物和服务招标投标管理办法》等法律制度，结合采购项目特点制定本评标办法。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2、评标工作应遵循公平、公正、科学及择优的原则，并以相同的评标程序和标准对待所有的投标人。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3、评标委员会按照招标文件规定的评标方法和标准进行评标，并独立履行下列职责：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（1）熟悉和理解招标文件；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2</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审查、评价投标文件是否符合招标文件的商务、技术等实质性要求；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（3）根据需要要求采购人对招标文件作出解释；根据需要要求投标人对投标文件有关事项作出</w:t>
      </w:r>
      <w:r>
        <w:rPr>
          <w:rFonts w:hint="eastAsia" w:ascii="仿宋" w:hAnsi="仿宋" w:eastAsia="仿宋" w:cs="仿宋"/>
          <w:color w:val="auto"/>
          <w:kern w:val="0"/>
          <w:sz w:val="24"/>
          <w:szCs w:val="24"/>
          <w:shd w:val="clear" w:color="auto" w:fill="FFFFFF"/>
        </w:rPr>
        <w:t>澄清或者说明</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4</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对投标文件进行比较和评价；</w:t>
      </w:r>
      <w:r>
        <w:rPr>
          <w:rFonts w:hint="eastAsia" w:ascii="仿宋" w:hAnsi="仿宋" w:eastAsia="仿宋" w:cs="仿宋"/>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lang w:val="en-US" w:eastAsia="zh-CN"/>
        </w:rPr>
        <w:t>5</w:t>
      </w:r>
      <w:r>
        <w:rPr>
          <w:rFonts w:hint="eastAsia" w:ascii="仿宋" w:hAnsi="仿宋" w:eastAsia="仿宋" w:cs="仿宋"/>
          <w:color w:val="auto"/>
          <w:kern w:val="0"/>
          <w:sz w:val="24"/>
          <w:szCs w:val="24"/>
          <w:shd w:val="clear" w:color="auto" w:fill="FFFFFF"/>
          <w:lang w:eastAsia="zh-CN"/>
        </w:rPr>
        <w:t>）</w:t>
      </w:r>
      <w:r>
        <w:rPr>
          <w:rFonts w:hint="eastAsia" w:ascii="仿宋" w:hAnsi="仿宋" w:eastAsia="仿宋" w:cs="仿宋"/>
          <w:color w:val="auto"/>
          <w:kern w:val="0"/>
          <w:sz w:val="24"/>
          <w:szCs w:val="24"/>
          <w:shd w:val="clear" w:color="auto" w:fill="FFFFFF"/>
        </w:rPr>
        <w:t>确定中标候选人名单，以及根据采购人委托直接确定中标人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（6）起草评标报告并进行签署；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（7）向采购人、财政部门或者其他监督部门报告非法干预评标工作的行为；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（8）法律、法规和规章规定的其他职责。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二、评审办法和程序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sz w:val="24"/>
          <w:szCs w:val="24"/>
        </w:rPr>
        <w:t>评审办法和步骤</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评标办法采用综合评分法。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hint="eastAsia" w:ascii="仿宋" w:hAnsi="仿宋" w:eastAsia="仿宋" w:cs="仿宋"/>
          <w:b/>
          <w:color w:val="auto"/>
          <w:sz w:val="24"/>
          <w:szCs w:val="24"/>
        </w:rPr>
      </w:pPr>
      <w:bookmarkStart w:id="64" w:name="_Toc417386191"/>
      <w:bookmarkStart w:id="65" w:name="_Toc491437839"/>
      <w:bookmarkStart w:id="66" w:name="_Toc462068984"/>
      <w:r>
        <w:rPr>
          <w:rFonts w:hint="eastAsia" w:ascii="仿宋" w:hAnsi="仿宋" w:eastAsia="仿宋" w:cs="仿宋"/>
          <w:b/>
          <w:color w:val="auto"/>
          <w:sz w:val="24"/>
          <w:szCs w:val="24"/>
          <w:lang w:val="en-US" w:eastAsia="zh-CN"/>
        </w:rPr>
        <w:t>2、</w:t>
      </w:r>
      <w:r>
        <w:rPr>
          <w:rFonts w:hint="eastAsia" w:ascii="仿宋" w:hAnsi="仿宋" w:eastAsia="仿宋" w:cs="仿宋"/>
          <w:b/>
          <w:color w:val="auto"/>
          <w:sz w:val="24"/>
          <w:szCs w:val="24"/>
        </w:rPr>
        <w:t>资格</w:t>
      </w:r>
      <w:bookmarkEnd w:id="64"/>
      <w:bookmarkEnd w:id="65"/>
      <w:bookmarkEnd w:id="66"/>
      <w:r>
        <w:rPr>
          <w:rFonts w:hint="eastAsia" w:ascii="仿宋" w:hAnsi="仿宋" w:eastAsia="仿宋" w:cs="仿宋"/>
          <w:b/>
          <w:color w:val="auto"/>
          <w:sz w:val="24"/>
          <w:szCs w:val="24"/>
        </w:rPr>
        <w:t>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根据财政部第87号令第四十四条的规定，采购人、</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对投标人的资格进行审查。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招标代理机构</w:t>
      </w:r>
      <w:r>
        <w:rPr>
          <w:rFonts w:hint="eastAsia" w:ascii="仿宋" w:hAnsi="仿宋" w:eastAsia="仿宋" w:cs="仿宋"/>
          <w:color w:val="auto"/>
          <w:sz w:val="24"/>
          <w:szCs w:val="24"/>
        </w:rPr>
        <w:t>根据“资格审查表”（附表1）对投标人的资格性进行评审，只有对“资格评审表”（附表1）所列各项作出实质性响应的投标文件才能通过资格评审。有以下情况的将不能通过初步评审：</w:t>
      </w:r>
    </w:p>
    <w:p>
      <w:pPr>
        <w:numPr>
          <w:ilvl w:val="0"/>
          <w:numId w:val="5"/>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投标人未能满足投标人资格要求的；</w:t>
      </w:r>
    </w:p>
    <w:p>
      <w:pPr>
        <w:numPr>
          <w:ilvl w:val="0"/>
          <w:numId w:val="5"/>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投标人未按招标文件要求的金额提交投标保证金的；</w:t>
      </w:r>
    </w:p>
    <w:p>
      <w:pPr>
        <w:numPr>
          <w:ilvl w:val="0"/>
          <w:numId w:val="5"/>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投标有效期不足的；</w:t>
      </w:r>
    </w:p>
    <w:p>
      <w:pPr>
        <w:numPr>
          <w:ilvl w:val="0"/>
          <w:numId w:val="5"/>
        </w:numPr>
        <w:tabs>
          <w:tab w:val="left" w:pos="567"/>
          <w:tab w:val="clear" w:pos="2405"/>
        </w:tabs>
        <w:spacing w:line="360" w:lineRule="auto"/>
        <w:ind w:left="425" w:leftChars="158" w:hanging="93" w:hangingChars="39"/>
        <w:rPr>
          <w:rFonts w:hint="eastAsia" w:ascii="仿宋" w:hAnsi="仿宋" w:eastAsia="仿宋" w:cs="仿宋"/>
          <w:color w:val="auto"/>
          <w:sz w:val="24"/>
          <w:szCs w:val="24"/>
        </w:rPr>
      </w:pPr>
      <w:r>
        <w:rPr>
          <w:rFonts w:hint="eastAsia" w:ascii="仿宋" w:hAnsi="仿宋" w:eastAsia="仿宋" w:cs="仿宋"/>
          <w:color w:val="auto"/>
          <w:sz w:val="24"/>
          <w:szCs w:val="24"/>
        </w:rPr>
        <w:t>不符合招标文件规定的其它条件。</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通过资格审查的投标人不足三家，则本次招标失败。</w:t>
      </w:r>
    </w:p>
    <w:p>
      <w:pPr>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、符合性审查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判断投标文件的响应与否只根据投标文件本身，而不寻求外部证据。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评标委员会在符合性审查中，对算术错误的修正原则如下:</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开标一览表内容与投标文件中明细表内容不一致的，以开标一览表为准</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投标文件的大写金额和小写金额不一致的，以大写金额为准；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总价金额与按单价汇总金额不一致的，以单价金额计算结果为准；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单价金额小数点有明显错位的，以总价为准并修改单价。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若投标人不同意以上修正，投标文件将视为无效。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评标委员会认为投标人的报价明显低于其他通过符合性审查投标人的报价，有可能影响产品质量或者不能诚信履约的，将要求其在评标现场接到通知后</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分钟内提供书面说明，必要时提交相关证明材料。投标人不能证明其报价合理性的，评标委员会将其作为无效投标处理。</w:t>
      </w:r>
    </w:p>
    <w:p>
      <w:pPr>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通过符合性审查的投标人不足三家，则本次招标失败。</w:t>
      </w:r>
    </w:p>
    <w:p>
      <w:pPr>
        <w:spacing w:line="360" w:lineRule="auto"/>
        <w:rPr>
          <w:rFonts w:hint="eastAsia" w:ascii="仿宋" w:hAnsi="仿宋" w:eastAsia="仿宋" w:cs="仿宋"/>
          <w:b/>
          <w:color w:val="auto"/>
          <w:sz w:val="24"/>
          <w:szCs w:val="24"/>
        </w:rPr>
      </w:pPr>
      <w:bookmarkStart w:id="67" w:name="_Toc462068985"/>
      <w:bookmarkStart w:id="68" w:name="_Toc491437840"/>
      <w:bookmarkStart w:id="69" w:name="_Toc417386192"/>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rPr>
        <w:t>、详细评审</w:t>
      </w:r>
      <w:bookmarkEnd w:id="67"/>
      <w:bookmarkEnd w:id="68"/>
      <w:bookmarkEnd w:id="69"/>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评标委员会根据评审办法对通过初步评审的投标文件进行详细评审，并进行技术和商务的评审打分。</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技术、商务评分：</w:t>
      </w:r>
      <w:r>
        <w:rPr>
          <w:rFonts w:hint="eastAsia" w:ascii="仿宋" w:hAnsi="仿宋" w:eastAsia="仿宋" w:cs="仿宋"/>
          <w:color w:val="auto"/>
          <w:sz w:val="24"/>
          <w:szCs w:val="24"/>
          <w:lang w:val="en-US" w:eastAsia="zh-CN"/>
        </w:rPr>
        <w:t>按招标文件中规定的评标方法和标准，对未作无效投标处理的投标文件进行技术、服务、商务等方面评估，综合比较与评价，</w:t>
      </w:r>
      <w:r>
        <w:rPr>
          <w:rFonts w:hint="eastAsia" w:ascii="仿宋" w:hAnsi="仿宋" w:eastAsia="仿宋" w:cs="仿宋"/>
          <w:color w:val="auto"/>
          <w:sz w:val="24"/>
          <w:szCs w:val="24"/>
        </w:rPr>
        <w:t>具体评审的内容详见（附表</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价格分=(基准价／投标报价)×价格权值×100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如投标人满足第二章第</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条“关于政策性加分”规定的，应按该条规定对投标人的评标价进行调整。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技术、商务及价格权重分配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2986"/>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27" w:type="dxa"/>
            <w:noWrap w:val="0"/>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评估因素</w:t>
            </w:r>
          </w:p>
        </w:tc>
        <w:tc>
          <w:tcPr>
            <w:tcW w:w="2986" w:type="dxa"/>
            <w:noWrap w:val="0"/>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技术、商务</w:t>
            </w:r>
          </w:p>
        </w:tc>
        <w:tc>
          <w:tcPr>
            <w:tcW w:w="2986" w:type="dxa"/>
            <w:noWrap w:val="0"/>
            <w:vAlign w:val="center"/>
          </w:tcPr>
          <w:p>
            <w:pPr>
              <w:spacing w:line="360" w:lineRule="auto"/>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627"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权重</w:t>
            </w:r>
          </w:p>
        </w:tc>
        <w:tc>
          <w:tcPr>
            <w:tcW w:w="2986"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90</w:t>
            </w:r>
            <w:r>
              <w:rPr>
                <w:rFonts w:hint="eastAsia" w:ascii="仿宋" w:hAnsi="仿宋" w:eastAsia="仿宋" w:cs="仿宋"/>
                <w:color w:val="auto"/>
                <w:sz w:val="24"/>
                <w:szCs w:val="24"/>
              </w:rPr>
              <w:t>%</w:t>
            </w:r>
          </w:p>
        </w:tc>
        <w:tc>
          <w:tcPr>
            <w:tcW w:w="2986" w:type="dxa"/>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r>
    </w:tbl>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（6）复核：评分汇总结束后，评标委员会应当进行复核，特别要对拟推荐为中标候选人的、报价最低的、投标文件被认定为无效的进行重点复核。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（7）评标报告：评标委员会推荐中标候选人后，应当向采购人出具评标报告。评标报告应当包括下列内容：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1）招标公告刊登的媒体名称、开标日期和地点；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2）获取招标文件的投标人名单和评标委员会成员名单；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3）评标方法和标准；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4）开标记录和评标情况及说明，包括无效投标人名单及原因；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5）评标结果和中标候选人排序表；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6）评标委员会授标建议；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（9）定标程序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1)评标委员会将评标情况写出书面报告，推荐中标候选人。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2)采购代理机构在评标结束后2个工作日内将评标报告送采购人。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3)采购人在收到评标报告后5个工作日内，按照评标报告中推荐的中标候选人顺序确定中标人。</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4)根据采购人确定的中标人，采购代理机构在招标文件第一章公告发布媒介上发布中标公告，</w:t>
      </w:r>
      <w:r>
        <w:rPr>
          <w:rFonts w:hint="eastAsia" w:ascii="仿宋" w:hAnsi="仿宋" w:eastAsia="仿宋" w:cs="仿宋"/>
          <w:color w:val="auto"/>
          <w:kern w:val="0"/>
          <w:sz w:val="24"/>
          <w:szCs w:val="24"/>
          <w:shd w:val="clear" w:color="auto" w:fill="FFFFFF"/>
        </w:rPr>
        <w:t>在公告中标结果的同时，采购人或者采购代理机构应当向中标人发出中标通知书</w:t>
      </w:r>
      <w:r>
        <w:rPr>
          <w:rFonts w:hint="eastAsia" w:ascii="仿宋" w:hAnsi="仿宋" w:eastAsia="仿宋" w:cs="仿宋"/>
          <w:color w:val="auto"/>
          <w:kern w:val="0"/>
          <w:sz w:val="24"/>
          <w:szCs w:val="24"/>
          <w:shd w:val="clear" w:color="auto" w:fill="FFFFFF"/>
          <w:lang w:eastAsia="zh-CN"/>
        </w:rPr>
        <w:t>。</w:t>
      </w:r>
    </w:p>
    <w:p>
      <w:pPr>
        <w:spacing w:line="360" w:lineRule="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5、评审注意事项</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（1）投标人应当书面澄清、说明或者更正。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①按财政部规定应当在评标时不予承认的投标文件内容事项；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②投标文件中已经明确的内容事项；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rPr>
      </w:pPr>
      <w:r>
        <w:rPr>
          <w:rFonts w:hint="eastAsia" w:ascii="仿宋" w:hAnsi="仿宋" w:eastAsia="仿宋" w:cs="仿宋"/>
          <w:b/>
          <w:color w:val="auto"/>
          <w:kern w:val="0"/>
          <w:sz w:val="24"/>
          <w:szCs w:val="24"/>
          <w:lang w:val="en-US" w:eastAsia="zh-CN" w:bidi="ar"/>
        </w:rPr>
        <w:t xml:space="preserve">注：评标委员会当积极履行澄清、说明或者更正的职责，不得滥用权力。投标人的投标文件应当要求澄清、说明或者更正的，不得未经澄清、说明或者更正而直接作无效投标处理。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仿宋" w:hAnsi="仿宋" w:eastAsia="仿宋" w:cs="仿宋"/>
          <w:color w:val="auto"/>
        </w:rPr>
      </w:pPr>
      <w:r>
        <w:rPr>
          <w:rFonts w:hint="eastAsia" w:ascii="仿宋" w:hAnsi="仿宋" w:eastAsia="仿宋" w:cs="仿宋"/>
          <w:b w:val="0"/>
          <w:bCs w:val="0"/>
          <w:color w:val="auto"/>
          <w:lang w:eastAsia="zh-CN"/>
        </w:rPr>
        <w:t>（</w:t>
      </w:r>
      <w:r>
        <w:rPr>
          <w:rFonts w:hint="eastAsia" w:ascii="仿宋" w:hAnsi="仿宋" w:eastAsia="仿宋" w:cs="仿宋"/>
          <w:b w:val="0"/>
          <w:bCs w:val="0"/>
          <w:color w:val="auto"/>
          <w:lang w:val="en-US" w:eastAsia="zh-CN"/>
        </w:rPr>
        <w:t>2</w:t>
      </w:r>
      <w:r>
        <w:rPr>
          <w:rFonts w:hint="eastAsia" w:ascii="仿宋" w:hAnsi="仿宋" w:eastAsia="仿宋" w:cs="仿宋"/>
          <w:b w:val="0"/>
          <w:bCs w:val="0"/>
          <w:color w:val="auto"/>
          <w:lang w:eastAsia="zh-CN"/>
        </w:rPr>
        <w:t>）</w:t>
      </w:r>
      <w:r>
        <w:rPr>
          <w:rFonts w:hint="eastAsia" w:ascii="仿宋" w:hAnsi="仿宋" w:eastAsia="仿宋" w:cs="仿宋"/>
          <w:b w:val="0"/>
          <w:bCs w:val="0"/>
          <w:color w:val="auto"/>
          <w:kern w:val="0"/>
          <w:sz w:val="24"/>
          <w:szCs w:val="24"/>
          <w:lang w:val="en-US" w:eastAsia="zh-CN" w:bidi="ar"/>
        </w:rPr>
        <w:t>评标专家在政府采购活动中承担以下义务：</w:t>
      </w:r>
      <w:r>
        <w:rPr>
          <w:rFonts w:hint="eastAsia" w:ascii="仿宋" w:hAnsi="仿宋" w:eastAsia="仿宋" w:cs="仿宋"/>
          <w:b/>
          <w:color w:val="auto"/>
          <w:kern w:val="0"/>
          <w:sz w:val="24"/>
          <w:szCs w:val="24"/>
          <w:lang w:val="en-US" w:eastAsia="zh-CN" w:bidi="ar"/>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1）遵守评审工作纪律；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2）按照客观、公正、审慎的原则，根据招标文件规定的评审程序、评审方法和评审标准进行独立评审；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3）不得泄露评审文件、评审情况和在评审过程中获悉的商业秘密；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6）配合答复处理投标人的询问、质疑和投诉等事项；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7）法律、法规和规章规定的其他义务。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（3）评审专家与参加采购活动的供应商存在下列利害关系之一的,应当回避:</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1）参加采购活动前三年内,与供应商存在劳动关系,或者担任过供应商的董事、监事,或者是供应商的控股股东或实际控制人；</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2）与供应商的法定代表人或者负责人有夫妻、直系血亲、三代以内旁系血亲或者近姻亲关系；</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3）与供应商有其他可能影响政府采购活动公平、公正进行的关系。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（4）评审专家不得有下列行为：</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确定参与评标至评标结束前私自接触供应商；</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在评标过程中擅离职守，影响评标程序正常进行；</w:t>
      </w:r>
    </w:p>
    <w:p>
      <w:pPr>
        <w:spacing w:after="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记录、复制或者带走任何评标资料。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color w:val="auto"/>
        </w:rPr>
      </w:pPr>
      <w:r>
        <w:rPr>
          <w:rFonts w:hint="eastAsia" w:ascii="仿宋" w:hAnsi="仿宋" w:eastAsia="仿宋" w:cs="仿宋"/>
          <w:b w:val="0"/>
          <w:bCs/>
          <w:color w:val="auto"/>
          <w:kern w:val="0"/>
          <w:sz w:val="24"/>
          <w:szCs w:val="24"/>
          <w:lang w:val="en-US" w:eastAsia="zh-CN" w:bidi="ar"/>
        </w:rPr>
        <w:t xml:space="preserve">（4）评审专家在政府采购活动中应当遵守以下工作纪律：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1）遵行《政府采购法》第十二条和《政府采购法实施条例》第九条及财政部关于回避的规定。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3）评标过程中，不得与外界联系，因发生不可预见情况，确实需要与外界联系的，应当在采购单位监督人员监督之下办理。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5）在评标过程中和评标结束后，不得记录、复制或带走任何评标资料，除因规定的义务外，不得向外界透露评标内容。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6）服从招标代理机构工作人员的现场秩序管理。</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7）遵守有关廉洁自律规定，不得私下接触投标人，不得收受投标人及有关业务单位和个人的财物或好处，不得接受采购人的请托。</w:t>
      </w:r>
    </w:p>
    <w:p>
      <w:pP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pPr>
    </w:p>
    <w:p>
      <w:pPr>
        <w:shd w:val="clear" w:color="auto" w:fill="FFFFFF"/>
        <w:tabs>
          <w:tab w:val="left" w:pos="720"/>
        </w:tabs>
        <w:snapToGrid w:val="0"/>
        <w:spacing w:line="360" w:lineRule="auto"/>
        <w:ind w:firstLine="482" w:firstLineChars="200"/>
        <w:rPr>
          <w:rFonts w:hint="eastAsia" w:ascii="仿宋" w:hAnsi="仿宋" w:eastAsia="仿宋" w:cs="仿宋"/>
          <w:b/>
          <w:color w:val="auto"/>
          <w:sz w:val="24"/>
          <w:szCs w:val="24"/>
        </w:rPr>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p>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val="en-US" w:eastAsia="zh-CN"/>
        </w:rPr>
        <w:t>1:</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70" w:name="_Toc21760"/>
      <w:r>
        <w:rPr>
          <w:rFonts w:hint="eastAsia" w:ascii="仿宋" w:hAnsi="仿宋" w:eastAsia="仿宋" w:cs="仿宋"/>
          <w:color w:val="auto"/>
        </w:rPr>
        <w:t>1</w:t>
      </w:r>
      <w:bookmarkStart w:id="71" w:name="_Toc491437841"/>
      <w:r>
        <w:rPr>
          <w:rFonts w:hint="eastAsia" w:ascii="仿宋" w:hAnsi="仿宋" w:eastAsia="仿宋" w:cs="仿宋"/>
          <w:color w:val="auto"/>
          <w:lang w:eastAsia="zh-CN"/>
        </w:rPr>
        <w:t>、</w:t>
      </w:r>
      <w:r>
        <w:rPr>
          <w:rFonts w:hint="eastAsia" w:ascii="仿宋" w:hAnsi="仿宋" w:eastAsia="仿宋" w:cs="仿宋"/>
          <w:color w:val="auto"/>
        </w:rPr>
        <w:t>资格审查表</w:t>
      </w:r>
      <w:bookmarkEnd w:id="70"/>
      <w:bookmarkEnd w:id="71"/>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none"/>
          <w:lang w:eastAsia="zh-CN"/>
        </w:rPr>
        <w:t>海南省农业农村厅2021年度信息系统运维项目</w:t>
      </w:r>
      <w:r>
        <w:rPr>
          <w:rFonts w:hint="eastAsia" w:ascii="仿宋" w:hAnsi="仿宋" w:eastAsia="仿宋" w:cs="仿宋"/>
          <w:color w:val="auto"/>
          <w:sz w:val="24"/>
          <w:szCs w:val="24"/>
        </w:rPr>
        <w:t xml:space="preserve">    </w:t>
      </w:r>
    </w:p>
    <w:p>
      <w:pPr>
        <w:shd w:val="clear" w:color="auto" w:fill="FFFFFF"/>
        <w:spacing w:line="360" w:lineRule="auto"/>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none"/>
          <w:lang w:eastAsia="zh-CN"/>
        </w:rPr>
        <w:t>HNZH-2021-241</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投标人的资格</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保证金</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是否提交保证金的</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投标有效期</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 xml:space="preserve">采购人代表：                            </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代表：</w:t>
      </w: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b/>
          <w:color w:val="auto"/>
          <w:sz w:val="24"/>
          <w:szCs w:val="24"/>
        </w:rPr>
      </w:pPr>
    </w:p>
    <w:p>
      <w:pPr>
        <w:shd w:val="clear" w:color="auto" w:fill="FFFFFF"/>
        <w:spacing w:line="4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海南政辉招投标代理有限公司</w:t>
      </w:r>
    </w:p>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年   月   日</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bidi w:val="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附表</w:t>
      </w:r>
      <w:r>
        <w:rPr>
          <w:rFonts w:hint="eastAsia" w:ascii="仿宋" w:hAnsi="仿宋" w:eastAsia="仿宋" w:cs="仿宋"/>
          <w:b/>
          <w:bCs/>
          <w:color w:val="auto"/>
          <w:sz w:val="32"/>
          <w:szCs w:val="32"/>
          <w:lang w:eastAsia="zh-CN"/>
        </w:rPr>
        <w:t>2：</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72" w:name="_Toc5747"/>
      <w:r>
        <w:rPr>
          <w:rFonts w:hint="eastAsia" w:ascii="仿宋" w:hAnsi="仿宋" w:eastAsia="仿宋" w:cs="仿宋"/>
          <w:color w:val="auto"/>
          <w:lang w:val="en-US" w:eastAsia="zh-CN"/>
        </w:rPr>
        <w:t>2、</w:t>
      </w:r>
      <w:r>
        <w:rPr>
          <w:rFonts w:hint="eastAsia" w:ascii="仿宋" w:hAnsi="仿宋" w:eastAsia="仿宋" w:cs="仿宋"/>
          <w:color w:val="auto"/>
          <w:lang w:eastAsia="zh-CN"/>
        </w:rPr>
        <w:t>符合性</w:t>
      </w:r>
      <w:r>
        <w:rPr>
          <w:rFonts w:hint="eastAsia" w:ascii="仿宋" w:hAnsi="仿宋" w:eastAsia="仿宋" w:cs="仿宋"/>
          <w:color w:val="auto"/>
        </w:rPr>
        <w:t>审查表</w:t>
      </w:r>
      <w:bookmarkEnd w:id="72"/>
    </w:p>
    <w:p>
      <w:pPr>
        <w:shd w:val="clear" w:color="auto" w:fill="FFFFFF"/>
        <w:spacing w:line="360" w:lineRule="auto"/>
        <w:rPr>
          <w:rFonts w:hint="eastAsia" w:ascii="仿宋" w:hAnsi="仿宋" w:eastAsia="仿宋" w:cs="仿宋"/>
          <w:color w:val="auto"/>
          <w:sz w:val="24"/>
          <w:szCs w:val="24"/>
        </w:rPr>
      </w:pPr>
    </w:p>
    <w:p>
      <w:pPr>
        <w:shd w:val="clear" w:color="auto" w:fill="FFFFFF"/>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none"/>
          <w:lang w:eastAsia="zh-CN"/>
        </w:rPr>
        <w:t>海南省农业农村厅2021年度信息系统运维项目</w:t>
      </w:r>
      <w:r>
        <w:rPr>
          <w:rFonts w:hint="eastAsia" w:ascii="仿宋" w:hAnsi="仿宋" w:eastAsia="仿宋" w:cs="仿宋"/>
          <w:color w:val="auto"/>
          <w:sz w:val="24"/>
          <w:szCs w:val="24"/>
        </w:rPr>
        <w:t xml:space="preserve">     </w:t>
      </w:r>
    </w:p>
    <w:p>
      <w:pPr>
        <w:shd w:val="clear" w:color="auto" w:fill="FFFFFF"/>
        <w:spacing w:line="360" w:lineRule="auto"/>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none"/>
          <w:lang w:eastAsia="zh-CN"/>
        </w:rPr>
        <w:t>HNZH-2021-241</w:t>
      </w:r>
    </w:p>
    <w:tbl>
      <w:tblPr>
        <w:tblStyle w:val="4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审查项目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评议内容</w:t>
            </w:r>
            <w:r>
              <w:rPr>
                <w:rFonts w:hint="eastAsia" w:ascii="仿宋" w:hAnsi="仿宋" w:eastAsia="仿宋" w:cs="仿宋"/>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投标文件符合性 </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投标文件的有效性、完整性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报价项目完整性</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lang w:eastAsia="zh-CN"/>
              </w:rPr>
            </w:pPr>
            <w:r>
              <w:rPr>
                <w:rFonts w:hint="eastAsia" w:ascii="仿宋" w:hAnsi="仿宋" w:eastAsia="仿宋" w:cs="仿宋"/>
                <w:color w:val="auto"/>
                <w:sz w:val="24"/>
              </w:rPr>
              <w:t>合同履行期限</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无其他无效投标认定条件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5400"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ind w:left="1350"/>
              <w:rPr>
                <w:rFonts w:hint="eastAsia" w:ascii="仿宋" w:hAnsi="仿宋" w:eastAsia="仿宋" w:cs="仿宋"/>
                <w:color w:val="auto"/>
                <w:sz w:val="24"/>
                <w:szCs w:val="24"/>
              </w:rPr>
            </w:pPr>
            <w:r>
              <w:rPr>
                <w:rFonts w:hint="eastAsia" w:ascii="仿宋" w:hAnsi="仿宋" w:eastAsia="仿宋" w:cs="仿宋"/>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w:t>
            </w:r>
          </w:p>
        </w:tc>
      </w:tr>
    </w:tbl>
    <w:p>
      <w:pPr>
        <w:shd w:val="clear" w:color="auto" w:fill="FFFFFF"/>
        <w:rPr>
          <w:rFonts w:hint="eastAsia" w:ascii="仿宋" w:hAnsi="仿宋" w:eastAsia="仿宋" w:cs="仿宋"/>
          <w:color w:val="auto"/>
          <w:sz w:val="24"/>
          <w:szCs w:val="24"/>
        </w:rPr>
      </w:pPr>
    </w:p>
    <w:p>
      <w:pPr>
        <w:shd w:val="clear" w:color="auto" w:fill="FFFFFF"/>
        <w:spacing w:line="48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1、表中只需填写“√/通过”或“×/不通过”。</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3、结论是合格的，才能进入下一轮；不合格的被淘汰。</w:t>
      </w:r>
    </w:p>
    <w:p>
      <w:pPr>
        <w:shd w:val="clear" w:color="auto" w:fill="FFFFFF"/>
        <w:spacing w:line="360" w:lineRule="auto"/>
        <w:rPr>
          <w:rFonts w:hint="eastAsia" w:ascii="仿宋" w:hAnsi="仿宋" w:eastAsia="仿宋" w:cs="仿宋"/>
          <w:color w:val="auto"/>
          <w:sz w:val="24"/>
          <w:szCs w:val="24"/>
        </w:rPr>
      </w:pP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r>
        <w:rPr>
          <w:rFonts w:hint="eastAsia" w:ascii="仿宋" w:hAnsi="仿宋" w:eastAsia="仿宋" w:cs="仿宋"/>
          <w:color w:val="auto"/>
          <w:sz w:val="24"/>
          <w:szCs w:val="24"/>
        </w:rPr>
        <w:t>评  委：</w:t>
      </w:r>
    </w:p>
    <w:p>
      <w:pPr>
        <w:widowControl w:val="0"/>
        <w:shd w:val="clear" w:color="auto" w:fill="FFFFFF"/>
        <w:tabs>
          <w:tab w:val="left" w:pos="720"/>
        </w:tabs>
        <w:snapToGrid w:val="0"/>
        <w:spacing w:line="360" w:lineRule="auto"/>
        <w:ind w:right="630"/>
        <w:rPr>
          <w:rFonts w:hint="eastAsia" w:ascii="仿宋" w:hAnsi="仿宋" w:eastAsia="仿宋" w:cs="仿宋"/>
          <w:color w:val="auto"/>
          <w:sz w:val="24"/>
          <w:szCs w:val="24"/>
        </w:rPr>
      </w:pPr>
    </w:p>
    <w:p>
      <w:pPr>
        <w:shd w:val="clear" w:color="auto" w:fill="FFFFFF"/>
        <w:spacing w:line="48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海南政辉招投标代理有限公司</w:t>
      </w:r>
    </w:p>
    <w:p>
      <w:pPr>
        <w:shd w:val="clear" w:color="auto" w:fill="FFFFFF"/>
        <w:spacing w:line="480" w:lineRule="exact"/>
        <w:jc w:val="center"/>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年   月   日</w:t>
      </w:r>
      <w:bookmarkEnd w:id="58"/>
    </w:p>
    <w:p>
      <w:pPr>
        <w:jc w:val="center"/>
        <w:rPr>
          <w:rFonts w:hint="eastAsia" w:ascii="仿宋" w:hAnsi="仿宋" w:eastAsia="仿宋" w:cs="仿宋"/>
          <w:b/>
          <w:color w:val="auto"/>
          <w:sz w:val="24"/>
          <w:szCs w:val="24"/>
        </w:rPr>
      </w:pPr>
    </w:p>
    <w:p>
      <w:pPr>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pPr>
      <w:bookmarkStart w:id="73" w:name="_Toc28682"/>
      <w:bookmarkEnd w:id="73"/>
      <w:bookmarkStart w:id="74" w:name="_Toc4148"/>
      <w:bookmarkEnd w:id="74"/>
      <w:bookmarkStart w:id="75" w:name="_Toc11988"/>
      <w:bookmarkEnd w:id="75"/>
      <w:bookmarkStart w:id="76" w:name="_Toc417386194"/>
      <w:bookmarkEnd w:id="76"/>
    </w:p>
    <w:p>
      <w:pPr>
        <w:bidi w:val="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附表3</w:t>
      </w:r>
      <w:bookmarkStart w:id="77" w:name="_Toc425425722"/>
      <w:bookmarkStart w:id="78" w:name="_Toc491437842"/>
      <w:r>
        <w:rPr>
          <w:rFonts w:hint="eastAsia" w:ascii="仿宋" w:hAnsi="仿宋" w:eastAsia="仿宋" w:cs="仿宋"/>
          <w:b/>
          <w:bCs/>
          <w:color w:val="auto"/>
          <w:sz w:val="32"/>
          <w:szCs w:val="32"/>
          <w:lang w:val="en-US" w:eastAsia="zh-CN"/>
        </w:rPr>
        <w:t>:</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sz w:val="24"/>
          <w:szCs w:val="24"/>
        </w:rPr>
      </w:pPr>
      <w:bookmarkStart w:id="79" w:name="_Toc16017"/>
      <w:r>
        <w:rPr>
          <w:rFonts w:hint="eastAsia" w:ascii="仿宋" w:hAnsi="仿宋" w:eastAsia="仿宋" w:cs="仿宋"/>
          <w:color w:val="auto"/>
          <w:lang w:val="en-US" w:eastAsia="zh-CN"/>
        </w:rPr>
        <w:t>3、技术、商务</w:t>
      </w:r>
      <w:bookmarkStart w:id="80" w:name="_GoBack"/>
      <w:bookmarkEnd w:id="80"/>
      <w:r>
        <w:rPr>
          <w:rFonts w:hint="eastAsia" w:ascii="仿宋" w:hAnsi="仿宋" w:eastAsia="仿宋" w:cs="仿宋"/>
          <w:color w:val="auto"/>
          <w:lang w:val="en-US" w:eastAsia="zh-CN"/>
        </w:rPr>
        <w:t>评分表</w:t>
      </w:r>
      <w:bookmarkEnd w:id="77"/>
      <w:bookmarkEnd w:id="78"/>
      <w:bookmarkEnd w:id="79"/>
    </w:p>
    <w:p>
      <w:pPr>
        <w:spacing w:line="360" w:lineRule="auto"/>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项目名称：</w:t>
      </w:r>
      <w:r>
        <w:rPr>
          <w:rFonts w:hint="eastAsia" w:ascii="仿宋" w:hAnsi="仿宋" w:eastAsia="仿宋" w:cs="仿宋"/>
          <w:color w:val="auto"/>
          <w:kern w:val="28"/>
          <w:sz w:val="24"/>
          <w:szCs w:val="24"/>
          <w:u w:val="none"/>
          <w:lang w:eastAsia="zh-CN"/>
        </w:rPr>
        <w:t>海南省农业农村厅2021年度信息系统运维项目</w:t>
      </w:r>
    </w:p>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none"/>
          <w:lang w:eastAsia="zh-CN"/>
        </w:rPr>
        <w:t>HNZH-2021-241</w:t>
      </w:r>
    </w:p>
    <w:tbl>
      <w:tblPr>
        <w:tblStyle w:val="43"/>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01"/>
        <w:gridCol w:w="1149"/>
        <w:gridCol w:w="6294"/>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416" w:type="dxa"/>
            <w:vAlign w:val="center"/>
          </w:tcPr>
          <w:p>
            <w:pPr>
              <w:shd w:val="clea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701" w:type="dxa"/>
            <w:vAlign w:val="center"/>
          </w:tcPr>
          <w:p>
            <w:pPr>
              <w:shd w:val="clea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评审因素</w:t>
            </w:r>
          </w:p>
        </w:tc>
        <w:tc>
          <w:tcPr>
            <w:tcW w:w="7443" w:type="dxa"/>
            <w:gridSpan w:val="2"/>
            <w:vAlign w:val="center"/>
          </w:tcPr>
          <w:p>
            <w:pPr>
              <w:shd w:val="clea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评审标准</w:t>
            </w:r>
          </w:p>
        </w:tc>
        <w:tc>
          <w:tcPr>
            <w:tcW w:w="498" w:type="dxa"/>
            <w:vAlign w:val="center"/>
          </w:tcPr>
          <w:p>
            <w:pPr>
              <w:shd w:val="clea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416"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701"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技术评分标准</w:t>
            </w:r>
            <w:r>
              <w:rPr>
                <w:rFonts w:hint="eastAsia" w:ascii="仿宋" w:hAnsi="仿宋" w:eastAsia="仿宋" w:cs="仿宋"/>
                <w:color w:val="auto"/>
                <w:sz w:val="24"/>
              </w:rPr>
              <w:br w:type="textWrapping"/>
            </w:r>
            <w:r>
              <w:rPr>
                <w:rFonts w:hint="eastAsia" w:ascii="仿宋" w:hAnsi="仿宋" w:eastAsia="仿宋" w:cs="仿宋"/>
                <w:color w:val="auto"/>
                <w:sz w:val="24"/>
              </w:rPr>
              <w:t xml:space="preserve">（45分） </w:t>
            </w:r>
          </w:p>
        </w:tc>
        <w:tc>
          <w:tcPr>
            <w:tcW w:w="1149" w:type="dxa"/>
            <w:vAlign w:val="center"/>
          </w:tcPr>
          <w:p>
            <w:pPr>
              <w:shd w:val="clear"/>
              <w:spacing w:line="360" w:lineRule="auto"/>
              <w:jc w:val="center"/>
              <w:rPr>
                <w:rFonts w:hint="eastAsia" w:ascii="仿宋" w:hAnsi="仿宋" w:eastAsia="仿宋" w:cs="仿宋"/>
                <w:color w:val="auto"/>
              </w:rPr>
            </w:pPr>
            <w:r>
              <w:rPr>
                <w:rFonts w:hint="eastAsia" w:ascii="仿宋" w:hAnsi="仿宋" w:eastAsia="仿宋" w:cs="仿宋"/>
                <w:color w:val="auto"/>
              </w:rPr>
              <w:t>响应程度</w:t>
            </w:r>
          </w:p>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根据各投标人对招标文件“用户需求</w:t>
            </w:r>
            <w:r>
              <w:rPr>
                <w:rFonts w:hint="eastAsia" w:ascii="仿宋" w:hAnsi="仿宋" w:eastAsia="仿宋" w:cs="仿宋"/>
                <w:color w:val="auto"/>
                <w:szCs w:val="21"/>
                <w:lang w:eastAsia="zh-CN"/>
              </w:rPr>
              <w:t>书</w:t>
            </w:r>
            <w:r>
              <w:rPr>
                <w:rFonts w:hint="eastAsia" w:ascii="仿宋" w:hAnsi="仿宋" w:eastAsia="仿宋" w:cs="仿宋"/>
                <w:color w:val="auto"/>
                <w:szCs w:val="21"/>
              </w:rPr>
              <w:t>”中的要求响应情况进行评分，完全满足招标文件要求的得8分，每负偏离一项扣1分，扣完为止。</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Align w:val="center"/>
          </w:tcPr>
          <w:p>
            <w:pPr>
              <w:shd w:val="clear"/>
              <w:jc w:val="center"/>
              <w:rPr>
                <w:rFonts w:hint="eastAsia" w:ascii="仿宋" w:hAnsi="仿宋" w:eastAsia="仿宋" w:cs="仿宋"/>
                <w:color w:val="auto"/>
              </w:rPr>
            </w:pPr>
            <w:r>
              <w:rPr>
                <w:rFonts w:hint="eastAsia" w:ascii="仿宋" w:hAnsi="仿宋" w:eastAsia="仿宋" w:cs="仿宋"/>
                <w:color w:val="auto"/>
              </w:rPr>
              <w:t>对现状了解程度</w:t>
            </w: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根据投标人针对本项目服务内容的机房及配套工程现状、软硬件基础设施现状、应用系统现状、线路租赁现状、</w:t>
            </w:r>
            <w:r>
              <w:rPr>
                <w:rFonts w:hint="eastAsia" w:ascii="仿宋" w:hAnsi="仿宋" w:eastAsia="仿宋" w:cs="仿宋"/>
                <w:color w:val="auto"/>
              </w:rPr>
              <w:t>运维服务现状</w:t>
            </w:r>
            <w:r>
              <w:rPr>
                <w:rFonts w:hint="eastAsia" w:ascii="仿宋" w:hAnsi="仿宋" w:eastAsia="仿宋" w:cs="仿宋"/>
                <w:color w:val="auto"/>
                <w:szCs w:val="21"/>
              </w:rPr>
              <w:t>的了解程度，是否理解到位等，由评委横向比较：优得6-8分，良得3-5分，一般得0-2分。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rPr>
              <w:t xml:space="preserve">维护台账方案 </w:t>
            </w: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rPr>
              <w:t>根据投标人针对本项目服务内容提出维护台账方案，包括建立完整的工作台帐、工作信息收集、反馈等客户质量保证措施，由评委根据投标人描述在</w:t>
            </w:r>
            <w:r>
              <w:rPr>
                <w:rFonts w:hint="eastAsia" w:ascii="仿宋" w:hAnsi="仿宋" w:eastAsia="仿宋" w:cs="仿宋"/>
                <w:color w:val="auto"/>
                <w:szCs w:val="21"/>
              </w:rPr>
              <w:t>0-5分之间评分，优得4-5分，良得2-3分，一般得1分，差不得分。</w:t>
            </w:r>
          </w:p>
        </w:tc>
        <w:tc>
          <w:tcPr>
            <w:tcW w:w="498" w:type="dxa"/>
            <w:noWrap/>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restart"/>
            <w:vAlign w:val="center"/>
          </w:tcPr>
          <w:p>
            <w:pPr>
              <w:shd w:val="clear"/>
              <w:spacing w:line="360" w:lineRule="auto"/>
              <w:jc w:val="center"/>
              <w:rPr>
                <w:rFonts w:hint="eastAsia" w:ascii="仿宋" w:hAnsi="仿宋" w:eastAsia="仿宋" w:cs="仿宋"/>
                <w:color w:val="auto"/>
              </w:rPr>
            </w:pPr>
            <w:r>
              <w:rPr>
                <w:rFonts w:hint="eastAsia" w:ascii="仿宋" w:hAnsi="仿宋" w:eastAsia="仿宋" w:cs="仿宋"/>
                <w:color w:val="auto"/>
              </w:rPr>
              <w:t>运行维护方案</w:t>
            </w:r>
          </w:p>
          <w:p>
            <w:pPr>
              <w:shd w:val="clear"/>
              <w:spacing w:line="360" w:lineRule="auto"/>
              <w:jc w:val="center"/>
              <w:rPr>
                <w:rFonts w:hint="eastAsia" w:ascii="仿宋" w:hAnsi="仿宋" w:eastAsia="仿宋" w:cs="仿宋"/>
                <w:color w:val="auto"/>
              </w:rPr>
            </w:pPr>
          </w:p>
        </w:tc>
        <w:tc>
          <w:tcPr>
            <w:tcW w:w="6294" w:type="dxa"/>
            <w:vAlign w:val="center"/>
          </w:tcPr>
          <w:p>
            <w:pPr>
              <w:pStyle w:val="15"/>
              <w:shd w:val="clear"/>
              <w:rPr>
                <w:rFonts w:hint="eastAsia" w:ascii="仿宋" w:hAnsi="仿宋" w:eastAsia="仿宋" w:cs="仿宋"/>
                <w:color w:val="auto"/>
              </w:rPr>
            </w:pPr>
            <w:r>
              <w:rPr>
                <w:rFonts w:hint="eastAsia" w:ascii="仿宋" w:hAnsi="仿宋" w:eastAsia="仿宋" w:cs="仿宋"/>
                <w:color w:val="auto"/>
              </w:rPr>
              <w:t>1、根据投标人针对本项目服务内容提出的运维方案，包括机房及配套工程、软硬件基础设施、应用系统等运维方案，</w:t>
            </w:r>
            <w:r>
              <w:rPr>
                <w:rFonts w:hint="eastAsia" w:ascii="仿宋" w:hAnsi="仿宋" w:eastAsia="仿宋" w:cs="仿宋"/>
                <w:color w:val="auto"/>
                <w:szCs w:val="21"/>
              </w:rPr>
              <w:t>由评委横向比较后在0-8分之间评分，</w:t>
            </w:r>
            <w:r>
              <w:rPr>
                <w:rFonts w:hint="eastAsia" w:ascii="仿宋" w:hAnsi="仿宋" w:eastAsia="仿宋" w:cs="仿宋"/>
                <w:color w:val="auto"/>
                <w:szCs w:val="22"/>
              </w:rPr>
              <w:t>优得6-8分，良得3-5分，一般得0-2分。</w:t>
            </w:r>
          </w:p>
        </w:tc>
        <w:tc>
          <w:tcPr>
            <w:tcW w:w="498" w:type="dxa"/>
            <w:noWrap/>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rPr>
            </w:pPr>
          </w:p>
        </w:tc>
        <w:tc>
          <w:tcPr>
            <w:tcW w:w="6294" w:type="dxa"/>
            <w:vAlign w:val="center"/>
          </w:tcPr>
          <w:p>
            <w:pPr>
              <w:shd w:val="clear"/>
              <w:adjustRightInd w:val="0"/>
              <w:snapToGrid w:val="0"/>
              <w:spacing w:line="360" w:lineRule="auto"/>
              <w:rPr>
                <w:rFonts w:hint="eastAsia" w:ascii="仿宋" w:hAnsi="仿宋" w:eastAsia="仿宋" w:cs="仿宋"/>
                <w:color w:val="auto"/>
              </w:rPr>
            </w:pPr>
            <w:r>
              <w:rPr>
                <w:rFonts w:hint="eastAsia" w:ascii="仿宋" w:hAnsi="仿宋" w:eastAsia="仿宋" w:cs="仿宋"/>
                <w:color w:val="auto"/>
              </w:rPr>
              <w:t>2、根据投标人提供运行维护的服务内容、响应速度、解决问题时间、到达故障现场时间、故障出现解决方案、定期维护以及应急措施档案、其他优惠措施等方面，由评委横向比较：优得6-8分，良得3-5分，一般得0-2分。</w:t>
            </w:r>
          </w:p>
        </w:tc>
        <w:tc>
          <w:tcPr>
            <w:tcW w:w="498" w:type="dxa"/>
            <w:noWrap/>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rPr>
            </w:pPr>
          </w:p>
        </w:tc>
        <w:tc>
          <w:tcPr>
            <w:tcW w:w="6294" w:type="dxa"/>
            <w:vAlign w:val="center"/>
          </w:tcPr>
          <w:p>
            <w:pPr>
              <w:shd w:val="clear"/>
              <w:spacing w:line="360" w:lineRule="auto"/>
              <w:rPr>
                <w:rFonts w:hint="eastAsia" w:ascii="仿宋" w:hAnsi="仿宋" w:eastAsia="仿宋" w:cs="仿宋"/>
                <w:color w:val="auto"/>
              </w:rPr>
            </w:pPr>
            <w:r>
              <w:rPr>
                <w:rFonts w:hint="eastAsia" w:ascii="仿宋" w:hAnsi="仿宋" w:eastAsia="仿宋" w:cs="仿宋"/>
                <w:color w:val="auto"/>
              </w:rPr>
              <w:t>3、投标人对系统运维的保障体系及响应流程有详细说明，根据问题能提供多种形式、多层次的响应服务方式的，对本项目服务内容提出的运行管理方案，包括服务体系架构、服务范围、运维制度等,由评委横向比较：优得6-8分，良得3-5分，一般得0-2分。</w:t>
            </w:r>
          </w:p>
        </w:tc>
        <w:tc>
          <w:tcPr>
            <w:tcW w:w="498" w:type="dxa"/>
            <w:noWrap/>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416"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701"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商务评分标准（45分）</w:t>
            </w:r>
          </w:p>
        </w:tc>
        <w:tc>
          <w:tcPr>
            <w:tcW w:w="1149"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项目团队人员</w:t>
            </w:r>
          </w:p>
        </w:tc>
        <w:tc>
          <w:tcPr>
            <w:tcW w:w="6294" w:type="dxa"/>
            <w:vAlign w:val="center"/>
          </w:tcPr>
          <w:p>
            <w:pPr>
              <w:shd w:val="clear"/>
              <w:spacing w:line="360" w:lineRule="auto"/>
              <w:rPr>
                <w:rFonts w:hint="eastAsia" w:ascii="仿宋" w:hAnsi="仿宋" w:eastAsia="仿宋" w:cs="仿宋"/>
                <w:color w:val="auto"/>
              </w:rPr>
            </w:pPr>
            <w:r>
              <w:rPr>
                <w:rFonts w:hint="eastAsia" w:ascii="仿宋" w:hAnsi="仿宋" w:eastAsia="仿宋" w:cs="仿宋"/>
                <w:color w:val="auto"/>
              </w:rPr>
              <w:t>1、投标人拟投入本项目的项目经理具备较强的系统运维与管理能力，即投入本项目的项目经理同时具有高级信息系统项目管理师、网络工程师、网络通信安全管理证书的得3分，满足其中2项得1分，其他不得分。（提供相关证书复印件和投标截止时间前六个月在投标人单位缴纳社保的证明材料。）</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416" w:type="dxa"/>
            <w:vMerge w:val="continue"/>
            <w:vAlign w:val="center"/>
          </w:tcPr>
          <w:p>
            <w:pPr>
              <w:shd w:val="clear"/>
              <w:spacing w:line="360" w:lineRule="auto"/>
              <w:jc w:val="center"/>
              <w:rPr>
                <w:rFonts w:hint="eastAsia" w:ascii="仿宋" w:hAnsi="仿宋" w:eastAsia="仿宋" w:cs="仿宋"/>
                <w:color w:val="auto"/>
                <w:sz w:val="24"/>
              </w:rPr>
            </w:pPr>
          </w:p>
        </w:tc>
        <w:tc>
          <w:tcPr>
            <w:tcW w:w="701" w:type="dxa"/>
            <w:vMerge w:val="continue"/>
            <w:vAlign w:val="center"/>
          </w:tcPr>
          <w:p>
            <w:pPr>
              <w:shd w:val="clear"/>
              <w:spacing w:line="360" w:lineRule="auto"/>
              <w:jc w:val="center"/>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Cs w:val="21"/>
              </w:rPr>
            </w:pPr>
            <w:r>
              <w:rPr>
                <w:rFonts w:hint="eastAsia" w:ascii="仿宋" w:hAnsi="仿宋" w:eastAsia="仿宋" w:cs="仿宋"/>
                <w:color w:val="auto"/>
                <w:szCs w:val="21"/>
              </w:rPr>
              <w:t>2、投标人拟投入本项目的技术负责人同时具有信息系统项目管理师和ITIL证书的得2分，缺项不得分。（提供相关证书复印件和投标截止时间前六个月在投标人单位缴纳社保的证明材料。）</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6" w:type="dxa"/>
            <w:vMerge w:val="continue"/>
            <w:vAlign w:val="center"/>
          </w:tcPr>
          <w:p>
            <w:pPr>
              <w:shd w:val="clear"/>
              <w:spacing w:line="360" w:lineRule="auto"/>
              <w:jc w:val="center"/>
              <w:rPr>
                <w:rFonts w:hint="eastAsia" w:ascii="仿宋" w:hAnsi="仿宋" w:eastAsia="仿宋" w:cs="仿宋"/>
                <w:color w:val="auto"/>
                <w:sz w:val="24"/>
              </w:rPr>
            </w:pPr>
          </w:p>
        </w:tc>
        <w:tc>
          <w:tcPr>
            <w:tcW w:w="701" w:type="dxa"/>
            <w:vMerge w:val="continue"/>
            <w:vAlign w:val="center"/>
          </w:tcPr>
          <w:p>
            <w:pPr>
              <w:shd w:val="clear"/>
              <w:spacing w:line="360" w:lineRule="auto"/>
              <w:jc w:val="center"/>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3、拟投入本项目的人员（不含项目经理、技术负责人）:</w:t>
            </w:r>
            <w:r>
              <w:rPr>
                <w:rFonts w:hint="eastAsia" w:ascii="仿宋" w:hAnsi="仿宋" w:eastAsia="仿宋" w:cs="仿宋"/>
                <w:color w:val="auto"/>
                <w:szCs w:val="21"/>
              </w:rPr>
              <w:br w:type="textWrapping"/>
            </w:r>
            <w:r>
              <w:rPr>
                <w:rFonts w:hint="eastAsia" w:ascii="仿宋" w:hAnsi="仿宋" w:eastAsia="仿宋" w:cs="仿宋"/>
                <w:color w:val="auto"/>
                <w:szCs w:val="21"/>
              </w:rPr>
              <w:t>拟投入本项目的人员（不含项目经理、技术负责人）:</w:t>
            </w:r>
            <w:r>
              <w:rPr>
                <w:rFonts w:hint="eastAsia" w:ascii="仿宋" w:hAnsi="仿宋" w:eastAsia="仿宋" w:cs="仿宋"/>
                <w:color w:val="auto"/>
                <w:szCs w:val="21"/>
              </w:rPr>
              <w:br w:type="textWrapping"/>
            </w:r>
            <w:r>
              <w:rPr>
                <w:rFonts w:hint="eastAsia" w:ascii="仿宋" w:hAnsi="仿宋" w:eastAsia="仿宋" w:cs="仿宋"/>
                <w:color w:val="auto"/>
                <w:szCs w:val="21"/>
              </w:rPr>
              <w:t>1）售后服务管理师≥2人;</w:t>
            </w:r>
          </w:p>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2）注册信息安全管理人员≥2人;</w:t>
            </w:r>
          </w:p>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3）数据库系统工程师≥2人;</w:t>
            </w:r>
          </w:p>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4）通信工程师≥1人；</w:t>
            </w:r>
          </w:p>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5）IT服务工程师≥1人。</w:t>
            </w:r>
          </w:p>
          <w:p>
            <w:pPr>
              <w:shd w:val="clear"/>
              <w:spacing w:line="400" w:lineRule="exact"/>
              <w:rPr>
                <w:rFonts w:hint="eastAsia" w:ascii="仿宋" w:hAnsi="仿宋" w:eastAsia="仿宋" w:cs="仿宋"/>
                <w:color w:val="auto"/>
                <w:szCs w:val="21"/>
              </w:rPr>
            </w:pPr>
            <w:r>
              <w:rPr>
                <w:rFonts w:hint="eastAsia" w:ascii="仿宋" w:hAnsi="仿宋" w:eastAsia="仿宋" w:cs="仿宋"/>
                <w:color w:val="auto"/>
                <w:szCs w:val="21"/>
              </w:rPr>
              <w:t>以上配备全部满足的得6分，缺项每项扣2分，扣完为止。</w:t>
            </w:r>
          </w:p>
          <w:p>
            <w:pPr>
              <w:shd w:val="clear"/>
              <w:spacing w:line="360" w:lineRule="auto"/>
              <w:rPr>
                <w:rFonts w:hint="eastAsia" w:ascii="仿宋" w:hAnsi="仿宋" w:eastAsia="仿宋" w:cs="仿宋"/>
                <w:color w:val="auto"/>
                <w:szCs w:val="21"/>
              </w:rPr>
            </w:pPr>
            <w:r>
              <w:rPr>
                <w:rFonts w:hint="eastAsia" w:ascii="仿宋" w:hAnsi="仿宋" w:eastAsia="仿宋" w:cs="仿宋"/>
                <w:color w:val="auto"/>
                <w:szCs w:val="21"/>
              </w:rPr>
              <w:t>（一人具有多项证书的，按一项计算。提供人员相关证书复印件和投标截止时间前六个月在投标人单位缴纳社保的证明材料，否则不得分）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restart"/>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企业实力</w:t>
            </w: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投标人具有信息系统建设和服务能力良好级（CS3）及以上得3分，基本级（CS2）的得1分，其它不得分。。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w:t>
            </w:r>
          </w:p>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Cs w:val="21"/>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投标人具有有效期内的五星级售后服务认证证书的得3分。（需提供相关证书复印件及全国认证认可信息公共服务平台查询截图证明并加盖公章）</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Cs w:val="21"/>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投标人具有ITSS 信息技术服务运行维护贰级及以上资质的得3分，其它不得分。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restart"/>
            <w:vAlign w:val="center"/>
          </w:tcPr>
          <w:p>
            <w:pPr>
              <w:shd w:val="clea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管理体系</w:t>
            </w:r>
          </w:p>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投标人具有知识产权管理体系认证证书，且</w:t>
            </w:r>
            <w:r>
              <w:rPr>
                <w:rFonts w:hint="eastAsia" w:ascii="仿宋" w:hAnsi="仿宋" w:eastAsia="仿宋" w:cs="仿宋"/>
                <w:color w:val="auto"/>
              </w:rPr>
              <w:t>覆盖范围包括系统运行维护服务、系统集成的得2分。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投标人同时具有</w:t>
            </w:r>
            <w:r>
              <w:rPr>
                <w:rFonts w:hint="eastAsia" w:ascii="仿宋" w:hAnsi="仿宋" w:eastAsia="仿宋" w:cs="仿宋"/>
                <w:color w:val="auto"/>
              </w:rPr>
              <w:t>质量管理体系认证证书，环境管理体系认证证书、职业健康安全管理体系认证证书，且每项证书的覆盖范围包括数据库维护、监测、预警的得3分。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 w:val="22"/>
              </w:rPr>
              <w:t>投标人具有CCRC信息安全服务资质认证证书，且，认证类别为信息系统安全运维的得2分，满分2分。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restart"/>
            <w:vAlign w:val="center"/>
          </w:tcPr>
          <w:p>
            <w:pPr>
              <w:shd w:val="clea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企业信用及荣誉</w:t>
            </w:r>
          </w:p>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投标人获得省级及以上科学技术奖项，提供一项得1分，满分2分。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投标人同时获得企业信用等级（AAA级）和守合同重信用企业证书得2分。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投标人获得重质量守信誉优秀单位证书的得2分。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restart"/>
            <w:vAlign w:val="center"/>
          </w:tcPr>
          <w:p>
            <w:pPr>
              <w:shd w:val="clea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著作权</w:t>
            </w:r>
          </w:p>
          <w:p>
            <w:pPr>
              <w:shd w:val="clear"/>
              <w:spacing w:line="360" w:lineRule="auto"/>
              <w:jc w:val="center"/>
              <w:rPr>
                <w:rFonts w:hint="eastAsia" w:ascii="仿宋" w:hAnsi="仿宋" w:eastAsia="仿宋" w:cs="仿宋"/>
                <w:color w:val="auto"/>
                <w:szCs w:val="21"/>
              </w:rPr>
            </w:pPr>
            <w:r>
              <w:rPr>
                <w:rFonts w:hint="eastAsia" w:ascii="仿宋" w:hAnsi="仿宋" w:eastAsia="仿宋" w:cs="仿宋"/>
                <w:color w:val="auto"/>
                <w:szCs w:val="21"/>
              </w:rPr>
              <w:t>证书</w:t>
            </w:r>
          </w:p>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投标人同时具有监控管理、运维管理、监督预警3类相关软件著作权证书得2分；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Merge w:val="continue"/>
            <w:vAlign w:val="center"/>
          </w:tcPr>
          <w:p>
            <w:pPr>
              <w:shd w:val="clear"/>
              <w:spacing w:line="360" w:lineRule="auto"/>
              <w:jc w:val="center"/>
              <w:rPr>
                <w:rFonts w:hint="eastAsia" w:ascii="仿宋" w:hAnsi="仿宋" w:eastAsia="仿宋" w:cs="仿宋"/>
                <w:color w:val="auto"/>
                <w:sz w:val="24"/>
              </w:rPr>
            </w:pP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Cs w:val="21"/>
              </w:rPr>
              <w:t>投标人具有4个及以上农业类相关的软件著作权证书得3分，少1个扣1分。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Cs w:val="21"/>
              </w:rPr>
              <w:t>用户满意度评价</w:t>
            </w:r>
          </w:p>
        </w:tc>
        <w:tc>
          <w:tcPr>
            <w:tcW w:w="6294" w:type="dxa"/>
            <w:vAlign w:val="center"/>
          </w:tcPr>
          <w:p>
            <w:pPr>
              <w:shd w:val="clear"/>
              <w:spacing w:line="360" w:lineRule="auto"/>
              <w:rPr>
                <w:rFonts w:hint="eastAsia" w:ascii="仿宋" w:hAnsi="仿宋" w:eastAsia="仿宋" w:cs="仿宋"/>
                <w:color w:val="auto"/>
                <w:szCs w:val="21"/>
              </w:rPr>
            </w:pPr>
            <w:r>
              <w:rPr>
                <w:rFonts w:hint="eastAsia" w:ascii="仿宋" w:hAnsi="仿宋" w:eastAsia="仿宋" w:cs="仿宋"/>
                <w:color w:val="auto"/>
                <w:szCs w:val="21"/>
              </w:rPr>
              <w:t>投标人的运维服务得到用户表扬或好评的，每提供1项得1分，满分5分。证明材料：提供业主开具的证明材料复印件。</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416" w:type="dxa"/>
            <w:vMerge w:val="continue"/>
            <w:vAlign w:val="center"/>
          </w:tcPr>
          <w:p>
            <w:pPr>
              <w:shd w:val="clear"/>
              <w:spacing w:line="360" w:lineRule="auto"/>
              <w:rPr>
                <w:rFonts w:hint="eastAsia" w:ascii="仿宋" w:hAnsi="仿宋" w:eastAsia="仿宋" w:cs="仿宋"/>
                <w:color w:val="auto"/>
                <w:sz w:val="24"/>
              </w:rPr>
            </w:pPr>
          </w:p>
        </w:tc>
        <w:tc>
          <w:tcPr>
            <w:tcW w:w="701" w:type="dxa"/>
            <w:vMerge w:val="continue"/>
            <w:vAlign w:val="center"/>
          </w:tcPr>
          <w:p>
            <w:pPr>
              <w:shd w:val="clear"/>
              <w:spacing w:line="360" w:lineRule="auto"/>
              <w:rPr>
                <w:rFonts w:hint="eastAsia" w:ascii="仿宋" w:hAnsi="仿宋" w:eastAsia="仿宋" w:cs="仿宋"/>
                <w:color w:val="auto"/>
                <w:sz w:val="24"/>
              </w:rPr>
            </w:pPr>
          </w:p>
        </w:tc>
        <w:tc>
          <w:tcPr>
            <w:tcW w:w="1149"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业绩</w:t>
            </w:r>
          </w:p>
        </w:tc>
        <w:tc>
          <w:tcPr>
            <w:tcW w:w="6294" w:type="dxa"/>
            <w:vAlign w:val="center"/>
          </w:tcPr>
          <w:p>
            <w:pPr>
              <w:pStyle w:val="15"/>
              <w:shd w:val="clear"/>
              <w:rPr>
                <w:rFonts w:hint="eastAsia" w:ascii="仿宋" w:hAnsi="仿宋" w:eastAsia="仿宋" w:cs="仿宋"/>
                <w:color w:val="auto"/>
              </w:rPr>
            </w:pPr>
            <w:r>
              <w:rPr>
                <w:rFonts w:hint="eastAsia" w:ascii="仿宋" w:hAnsi="仿宋" w:eastAsia="仿宋" w:cs="仿宋"/>
                <w:color w:val="auto"/>
              </w:rPr>
              <w:t>自201</w:t>
            </w:r>
            <w:r>
              <w:rPr>
                <w:rFonts w:hint="eastAsia" w:ascii="仿宋" w:hAnsi="仿宋" w:eastAsia="仿宋" w:cs="仿宋"/>
                <w:color w:val="auto"/>
                <w:lang w:val="en-US" w:eastAsia="zh-CN"/>
              </w:rPr>
              <w:t>9</w:t>
            </w:r>
            <w:r>
              <w:rPr>
                <w:rFonts w:hint="eastAsia" w:ascii="仿宋" w:hAnsi="仿宋" w:eastAsia="仿宋" w:cs="仿宋"/>
                <w:color w:val="auto"/>
              </w:rPr>
              <w:t>年1月1日起至今（以项目合同签订时间为准）， 独立承担过运行维护项目或软件开发的建设项目，每提供1份得1分，最高得2分；</w:t>
            </w:r>
          </w:p>
          <w:p>
            <w:pPr>
              <w:shd w:val="clear"/>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rPr>
              <w:t>（提供合同关键页或中标通知书加盖公章，未提供则不得分）</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16"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50" w:type="dxa"/>
            <w:gridSpan w:val="2"/>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价格项（10分）</w:t>
            </w:r>
          </w:p>
        </w:tc>
        <w:tc>
          <w:tcPr>
            <w:tcW w:w="6294" w:type="dxa"/>
            <w:vAlign w:val="center"/>
          </w:tcPr>
          <w:p>
            <w:pPr>
              <w:shd w:val="clear"/>
              <w:spacing w:line="360" w:lineRule="auto"/>
              <w:rPr>
                <w:rFonts w:hint="eastAsia" w:ascii="仿宋" w:hAnsi="仿宋" w:eastAsia="仿宋" w:cs="仿宋"/>
                <w:color w:val="auto"/>
                <w:sz w:val="24"/>
              </w:rPr>
            </w:pPr>
            <w:r>
              <w:rPr>
                <w:rFonts w:hint="eastAsia" w:ascii="仿宋" w:hAnsi="仿宋" w:eastAsia="仿宋" w:cs="仿宋"/>
                <w:color w:val="auto"/>
                <w:sz w:val="24"/>
              </w:rPr>
              <w:t>报价得分=评标基准价/投标报价*100*报价分值权重</w:t>
            </w:r>
          </w:p>
        </w:tc>
        <w:tc>
          <w:tcPr>
            <w:tcW w:w="498"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416" w:type="dxa"/>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50" w:type="dxa"/>
            <w:gridSpan w:val="2"/>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6792" w:type="dxa"/>
            <w:gridSpan w:val="2"/>
            <w:vAlign w:val="center"/>
          </w:tcPr>
          <w:p>
            <w:pPr>
              <w:shd w:val="clea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100</w:t>
            </w:r>
          </w:p>
        </w:tc>
      </w:tr>
    </w:tbl>
    <w:p>
      <w:pPr>
        <w:spacing w:line="360" w:lineRule="auto"/>
        <w:rPr>
          <w:rFonts w:hint="eastAsia" w:ascii="仿宋" w:hAnsi="仿宋" w:eastAsia="仿宋" w:cs="仿宋"/>
          <w:color w:val="auto"/>
          <w:sz w:val="24"/>
          <w:szCs w:val="24"/>
          <w:lang w:val="en-US" w:eastAsia="zh-CN"/>
        </w:rPr>
      </w:pPr>
    </w:p>
    <w:sectPr>
      <w:pgSz w:w="11906" w:h="16838"/>
      <w:pgMar w:top="1440" w:right="1365" w:bottom="1440" w:left="1501" w:header="851" w:footer="992" w:gutter="0"/>
      <w:pgBorders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B2C2E46E"/>
    <w:multiLevelType w:val="singleLevel"/>
    <w:tmpl w:val="B2C2E46E"/>
    <w:lvl w:ilvl="0" w:tentative="0">
      <w:start w:val="2"/>
      <w:numFmt w:val="decimal"/>
      <w:suff w:val="nothing"/>
      <w:lvlText w:val="%1、"/>
      <w:lvlJc w:val="left"/>
    </w:lvl>
  </w:abstractNum>
  <w:abstractNum w:abstractNumId="2">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3">
    <w:nsid w:val="00000039"/>
    <w:multiLevelType w:val="multilevel"/>
    <w:tmpl w:val="00000039"/>
    <w:lvl w:ilvl="0" w:tentative="0">
      <w:start w:val="1"/>
      <w:numFmt w:val="decimal"/>
      <w:pStyle w:val="17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4">
    <w:nsid w:val="3A6E3BF8"/>
    <w:multiLevelType w:val="multilevel"/>
    <w:tmpl w:val="3A6E3BF8"/>
    <w:lvl w:ilvl="0" w:tentative="0">
      <w:start w:val="1"/>
      <w:numFmt w:val="bullet"/>
      <w:pStyle w:val="146"/>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1B5B1B"/>
    <w:rsid w:val="022E1DF4"/>
    <w:rsid w:val="02900703"/>
    <w:rsid w:val="02E1775E"/>
    <w:rsid w:val="038572FC"/>
    <w:rsid w:val="04422539"/>
    <w:rsid w:val="04596BFD"/>
    <w:rsid w:val="057958E3"/>
    <w:rsid w:val="05F928F6"/>
    <w:rsid w:val="05FB189C"/>
    <w:rsid w:val="06B140C8"/>
    <w:rsid w:val="070008CF"/>
    <w:rsid w:val="073A6419"/>
    <w:rsid w:val="078E29F0"/>
    <w:rsid w:val="07B928A0"/>
    <w:rsid w:val="07C0300F"/>
    <w:rsid w:val="083D654E"/>
    <w:rsid w:val="084E21CE"/>
    <w:rsid w:val="08DA68F8"/>
    <w:rsid w:val="0938622A"/>
    <w:rsid w:val="09916534"/>
    <w:rsid w:val="09AB73CE"/>
    <w:rsid w:val="09DC0D80"/>
    <w:rsid w:val="0B112FE3"/>
    <w:rsid w:val="0B2E62F4"/>
    <w:rsid w:val="0B5953B5"/>
    <w:rsid w:val="0BC41F0B"/>
    <w:rsid w:val="0BDB7AF8"/>
    <w:rsid w:val="0C10220C"/>
    <w:rsid w:val="0C347089"/>
    <w:rsid w:val="0CF62FCD"/>
    <w:rsid w:val="0D1518E6"/>
    <w:rsid w:val="0D1E7F6D"/>
    <w:rsid w:val="0D5B5A94"/>
    <w:rsid w:val="0D994A20"/>
    <w:rsid w:val="0DA13636"/>
    <w:rsid w:val="0E4133C3"/>
    <w:rsid w:val="0EE22B2A"/>
    <w:rsid w:val="0F9D62FF"/>
    <w:rsid w:val="10E74960"/>
    <w:rsid w:val="113E4EBD"/>
    <w:rsid w:val="11716136"/>
    <w:rsid w:val="11EF7B3C"/>
    <w:rsid w:val="12046484"/>
    <w:rsid w:val="12341544"/>
    <w:rsid w:val="1266384F"/>
    <w:rsid w:val="1323484B"/>
    <w:rsid w:val="132F1DE9"/>
    <w:rsid w:val="13333433"/>
    <w:rsid w:val="133C0869"/>
    <w:rsid w:val="1343304A"/>
    <w:rsid w:val="14505DC8"/>
    <w:rsid w:val="14BD236A"/>
    <w:rsid w:val="153B0062"/>
    <w:rsid w:val="156D7ADD"/>
    <w:rsid w:val="1575437F"/>
    <w:rsid w:val="16140981"/>
    <w:rsid w:val="164141B0"/>
    <w:rsid w:val="16C80C8C"/>
    <w:rsid w:val="16CF6F8D"/>
    <w:rsid w:val="16F5728B"/>
    <w:rsid w:val="17311440"/>
    <w:rsid w:val="17551F4D"/>
    <w:rsid w:val="17793CA9"/>
    <w:rsid w:val="185D555D"/>
    <w:rsid w:val="197518CC"/>
    <w:rsid w:val="199E2BEC"/>
    <w:rsid w:val="19CD4E6A"/>
    <w:rsid w:val="1A5960C9"/>
    <w:rsid w:val="1A7E6331"/>
    <w:rsid w:val="1A9E7F35"/>
    <w:rsid w:val="1C9F6EEC"/>
    <w:rsid w:val="1CAC597A"/>
    <w:rsid w:val="1D0F49CA"/>
    <w:rsid w:val="1D8113BB"/>
    <w:rsid w:val="1DA65082"/>
    <w:rsid w:val="1E0E3AB1"/>
    <w:rsid w:val="1E4970E6"/>
    <w:rsid w:val="1E6628C1"/>
    <w:rsid w:val="1EF76F98"/>
    <w:rsid w:val="1F2C6833"/>
    <w:rsid w:val="1F8C1A4D"/>
    <w:rsid w:val="1FDE519D"/>
    <w:rsid w:val="1FFF7465"/>
    <w:rsid w:val="20395E08"/>
    <w:rsid w:val="20801B09"/>
    <w:rsid w:val="208117F2"/>
    <w:rsid w:val="20E358C0"/>
    <w:rsid w:val="2164401D"/>
    <w:rsid w:val="21C24503"/>
    <w:rsid w:val="221014FF"/>
    <w:rsid w:val="22496173"/>
    <w:rsid w:val="224A1413"/>
    <w:rsid w:val="22D84B36"/>
    <w:rsid w:val="22FB53BC"/>
    <w:rsid w:val="2308730A"/>
    <w:rsid w:val="23785CA1"/>
    <w:rsid w:val="23C15D2B"/>
    <w:rsid w:val="24D22B29"/>
    <w:rsid w:val="25476612"/>
    <w:rsid w:val="25A322C5"/>
    <w:rsid w:val="26572D7C"/>
    <w:rsid w:val="26625F8D"/>
    <w:rsid w:val="26C86FBB"/>
    <w:rsid w:val="27B00426"/>
    <w:rsid w:val="27CC3909"/>
    <w:rsid w:val="27E547AA"/>
    <w:rsid w:val="27FC6437"/>
    <w:rsid w:val="2808439B"/>
    <w:rsid w:val="28241AC9"/>
    <w:rsid w:val="283C75B5"/>
    <w:rsid w:val="284E6D47"/>
    <w:rsid w:val="28BB57D4"/>
    <w:rsid w:val="28BC15F2"/>
    <w:rsid w:val="295A0E0B"/>
    <w:rsid w:val="299C7D36"/>
    <w:rsid w:val="2A57723E"/>
    <w:rsid w:val="2A853341"/>
    <w:rsid w:val="2AC17C0C"/>
    <w:rsid w:val="2B0A1597"/>
    <w:rsid w:val="2B684A66"/>
    <w:rsid w:val="2BDD5594"/>
    <w:rsid w:val="2BE63DC9"/>
    <w:rsid w:val="2C311298"/>
    <w:rsid w:val="2CE95C51"/>
    <w:rsid w:val="2D1953A6"/>
    <w:rsid w:val="2D346B32"/>
    <w:rsid w:val="2D9B1BC0"/>
    <w:rsid w:val="2E50757E"/>
    <w:rsid w:val="2ECA525E"/>
    <w:rsid w:val="30687BAB"/>
    <w:rsid w:val="30857DA9"/>
    <w:rsid w:val="30A81962"/>
    <w:rsid w:val="30FF0F6B"/>
    <w:rsid w:val="31BA0E98"/>
    <w:rsid w:val="323631AC"/>
    <w:rsid w:val="326E7863"/>
    <w:rsid w:val="32955B2F"/>
    <w:rsid w:val="333227E4"/>
    <w:rsid w:val="336E7A12"/>
    <w:rsid w:val="33CB2BE0"/>
    <w:rsid w:val="33FA291C"/>
    <w:rsid w:val="340946CA"/>
    <w:rsid w:val="342F71B3"/>
    <w:rsid w:val="34922FBF"/>
    <w:rsid w:val="34B144DA"/>
    <w:rsid w:val="35773565"/>
    <w:rsid w:val="358115CE"/>
    <w:rsid w:val="35A32C3E"/>
    <w:rsid w:val="35CF7198"/>
    <w:rsid w:val="35D915E8"/>
    <w:rsid w:val="35E26360"/>
    <w:rsid w:val="35F8284B"/>
    <w:rsid w:val="36C32BCF"/>
    <w:rsid w:val="36D51139"/>
    <w:rsid w:val="37264077"/>
    <w:rsid w:val="382208B3"/>
    <w:rsid w:val="385F65ED"/>
    <w:rsid w:val="386B4B50"/>
    <w:rsid w:val="387218C0"/>
    <w:rsid w:val="387A53E1"/>
    <w:rsid w:val="38C458C7"/>
    <w:rsid w:val="38F038C6"/>
    <w:rsid w:val="398D10DE"/>
    <w:rsid w:val="39A06F00"/>
    <w:rsid w:val="39BC4A4B"/>
    <w:rsid w:val="3A9E5660"/>
    <w:rsid w:val="3B2F7211"/>
    <w:rsid w:val="3B4B3E88"/>
    <w:rsid w:val="3B6959D5"/>
    <w:rsid w:val="3BB5748F"/>
    <w:rsid w:val="3BD038C5"/>
    <w:rsid w:val="3C8B0DDA"/>
    <w:rsid w:val="3CBF2520"/>
    <w:rsid w:val="3CDF4B6D"/>
    <w:rsid w:val="3CE147F8"/>
    <w:rsid w:val="3DE32A8D"/>
    <w:rsid w:val="3E182116"/>
    <w:rsid w:val="3E482089"/>
    <w:rsid w:val="3EC0602F"/>
    <w:rsid w:val="3F325B94"/>
    <w:rsid w:val="3FE1012A"/>
    <w:rsid w:val="40BE56B0"/>
    <w:rsid w:val="422E074F"/>
    <w:rsid w:val="423F2C56"/>
    <w:rsid w:val="42DB3517"/>
    <w:rsid w:val="43532C55"/>
    <w:rsid w:val="443502B6"/>
    <w:rsid w:val="44352B7E"/>
    <w:rsid w:val="451D4101"/>
    <w:rsid w:val="455E1D51"/>
    <w:rsid w:val="45F04F59"/>
    <w:rsid w:val="466A47B2"/>
    <w:rsid w:val="46AF3D16"/>
    <w:rsid w:val="47016961"/>
    <w:rsid w:val="471966C9"/>
    <w:rsid w:val="47614FC0"/>
    <w:rsid w:val="477E6B67"/>
    <w:rsid w:val="47970D91"/>
    <w:rsid w:val="47CF30DE"/>
    <w:rsid w:val="492E5555"/>
    <w:rsid w:val="498252F2"/>
    <w:rsid w:val="4A12441C"/>
    <w:rsid w:val="4A1B5B70"/>
    <w:rsid w:val="4A357132"/>
    <w:rsid w:val="4AF01318"/>
    <w:rsid w:val="4B445FE8"/>
    <w:rsid w:val="4C2D2905"/>
    <w:rsid w:val="4C747573"/>
    <w:rsid w:val="4D5E5408"/>
    <w:rsid w:val="4DD11207"/>
    <w:rsid w:val="4F3F0F06"/>
    <w:rsid w:val="4FD62F25"/>
    <w:rsid w:val="50454A71"/>
    <w:rsid w:val="51280750"/>
    <w:rsid w:val="5175023D"/>
    <w:rsid w:val="517A1354"/>
    <w:rsid w:val="51AB3FA7"/>
    <w:rsid w:val="51DF6EA2"/>
    <w:rsid w:val="51EF0764"/>
    <w:rsid w:val="539662B8"/>
    <w:rsid w:val="54232555"/>
    <w:rsid w:val="542E3693"/>
    <w:rsid w:val="544D41F2"/>
    <w:rsid w:val="545C77C4"/>
    <w:rsid w:val="54904CA5"/>
    <w:rsid w:val="54BD17DA"/>
    <w:rsid w:val="550A37C6"/>
    <w:rsid w:val="55454FB4"/>
    <w:rsid w:val="556818F6"/>
    <w:rsid w:val="562D596A"/>
    <w:rsid w:val="566932AD"/>
    <w:rsid w:val="566C6117"/>
    <w:rsid w:val="56BD74F1"/>
    <w:rsid w:val="574842A3"/>
    <w:rsid w:val="58534258"/>
    <w:rsid w:val="58E7141B"/>
    <w:rsid w:val="595763FF"/>
    <w:rsid w:val="59734AE3"/>
    <w:rsid w:val="59CA2D41"/>
    <w:rsid w:val="59E84BC4"/>
    <w:rsid w:val="5A0A5595"/>
    <w:rsid w:val="5A126180"/>
    <w:rsid w:val="5AD64A98"/>
    <w:rsid w:val="5B001320"/>
    <w:rsid w:val="5B2630B3"/>
    <w:rsid w:val="5B546895"/>
    <w:rsid w:val="5B621853"/>
    <w:rsid w:val="5C952069"/>
    <w:rsid w:val="5D141DAB"/>
    <w:rsid w:val="5D20456B"/>
    <w:rsid w:val="5D2C1206"/>
    <w:rsid w:val="5D7D058E"/>
    <w:rsid w:val="5DA2386A"/>
    <w:rsid w:val="5E46515B"/>
    <w:rsid w:val="5E56272E"/>
    <w:rsid w:val="5EAD1AEC"/>
    <w:rsid w:val="5ED062AA"/>
    <w:rsid w:val="5F0223A9"/>
    <w:rsid w:val="5F400B61"/>
    <w:rsid w:val="5FD14F78"/>
    <w:rsid w:val="60837D72"/>
    <w:rsid w:val="60DD1AFB"/>
    <w:rsid w:val="61F763F4"/>
    <w:rsid w:val="61F8006A"/>
    <w:rsid w:val="62371607"/>
    <w:rsid w:val="62740FB9"/>
    <w:rsid w:val="62956B85"/>
    <w:rsid w:val="62F361B8"/>
    <w:rsid w:val="63113EEC"/>
    <w:rsid w:val="63530983"/>
    <w:rsid w:val="63B854E3"/>
    <w:rsid w:val="64173E2F"/>
    <w:rsid w:val="64B463BC"/>
    <w:rsid w:val="64CB19E3"/>
    <w:rsid w:val="64F04C2B"/>
    <w:rsid w:val="65F54EBE"/>
    <w:rsid w:val="66421124"/>
    <w:rsid w:val="66F06435"/>
    <w:rsid w:val="671549CB"/>
    <w:rsid w:val="67242CF7"/>
    <w:rsid w:val="687D2DAE"/>
    <w:rsid w:val="68E2624C"/>
    <w:rsid w:val="6912425E"/>
    <w:rsid w:val="69A73AAF"/>
    <w:rsid w:val="69AF6F0A"/>
    <w:rsid w:val="69CA7448"/>
    <w:rsid w:val="6A150F45"/>
    <w:rsid w:val="6A94509C"/>
    <w:rsid w:val="6AD71E41"/>
    <w:rsid w:val="6AEC0F5A"/>
    <w:rsid w:val="6AF87579"/>
    <w:rsid w:val="6BEF6AED"/>
    <w:rsid w:val="6C021E54"/>
    <w:rsid w:val="6C1A636C"/>
    <w:rsid w:val="6CBE0B6A"/>
    <w:rsid w:val="6E401346"/>
    <w:rsid w:val="6E4D7797"/>
    <w:rsid w:val="6E885B4B"/>
    <w:rsid w:val="6EDD3624"/>
    <w:rsid w:val="6F052B2A"/>
    <w:rsid w:val="6FBC7B15"/>
    <w:rsid w:val="6FCD0F21"/>
    <w:rsid w:val="70366BF4"/>
    <w:rsid w:val="705A0421"/>
    <w:rsid w:val="72672047"/>
    <w:rsid w:val="72677DF9"/>
    <w:rsid w:val="72E22C6E"/>
    <w:rsid w:val="732C42E4"/>
    <w:rsid w:val="73813F0A"/>
    <w:rsid w:val="73FC2A48"/>
    <w:rsid w:val="741310B3"/>
    <w:rsid w:val="74460B98"/>
    <w:rsid w:val="74AD6C8D"/>
    <w:rsid w:val="74E44B91"/>
    <w:rsid w:val="75192934"/>
    <w:rsid w:val="755A1920"/>
    <w:rsid w:val="757E040A"/>
    <w:rsid w:val="76193D2C"/>
    <w:rsid w:val="763037D3"/>
    <w:rsid w:val="768C087D"/>
    <w:rsid w:val="769E15FC"/>
    <w:rsid w:val="76C9078F"/>
    <w:rsid w:val="774D0464"/>
    <w:rsid w:val="79075EA2"/>
    <w:rsid w:val="79683829"/>
    <w:rsid w:val="796C5940"/>
    <w:rsid w:val="7A4E4623"/>
    <w:rsid w:val="7AAF4688"/>
    <w:rsid w:val="7AF732CC"/>
    <w:rsid w:val="7B38062F"/>
    <w:rsid w:val="7C0A2750"/>
    <w:rsid w:val="7C504E37"/>
    <w:rsid w:val="7CD5350A"/>
    <w:rsid w:val="7D1A38E1"/>
    <w:rsid w:val="7D3F3846"/>
    <w:rsid w:val="7D452B44"/>
    <w:rsid w:val="7D541560"/>
    <w:rsid w:val="7DBE3B64"/>
    <w:rsid w:val="7DC527A8"/>
    <w:rsid w:val="7EBE52FA"/>
    <w:rsid w:val="7FF7232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1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0"/>
    <w:qFormat/>
    <w:uiPriority w:val="99"/>
    <w:pPr>
      <w:keepNext/>
      <w:keepLines/>
      <w:widowControl w:val="0"/>
      <w:spacing w:before="260" w:after="260" w:line="415" w:lineRule="auto"/>
      <w:jc w:val="both"/>
      <w:outlineLvl w:val="2"/>
    </w:pPr>
    <w:rPr>
      <w:b/>
      <w:kern w:val="2"/>
      <w:sz w:val="32"/>
    </w:rPr>
  </w:style>
  <w:style w:type="paragraph" w:styleId="5">
    <w:name w:val="heading 4"/>
    <w:basedOn w:val="1"/>
    <w:next w:val="6"/>
    <w:link w:val="12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6"/>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8">
    <w:name w:val="heading 6"/>
    <w:basedOn w:val="1"/>
    <w:next w:val="1"/>
    <w:link w:val="117"/>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88"/>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0">
    <w:name w:val="heading 8"/>
    <w:basedOn w:val="1"/>
    <w:next w:val="1"/>
    <w:link w:val="67"/>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1">
    <w:name w:val="heading 9"/>
    <w:basedOn w:val="1"/>
    <w:next w:val="1"/>
    <w:link w:val="62"/>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6">
    <w:name w:val="Normal Indent"/>
    <w:basedOn w:val="1"/>
    <w:next w:val="1"/>
    <w:link w:val="76"/>
    <w:qFormat/>
    <w:uiPriority w:val="0"/>
    <w:pPr>
      <w:widowControl w:val="0"/>
      <w:ind w:firstLine="420"/>
      <w:jc w:val="both"/>
    </w:pPr>
    <w:rPr>
      <w:kern w:val="2"/>
    </w:rPr>
  </w:style>
  <w:style w:type="paragraph" w:styleId="12">
    <w:name w:val="toc 7"/>
    <w:basedOn w:val="1"/>
    <w:next w:val="1"/>
    <w:qFormat/>
    <w:uiPriority w:val="0"/>
    <w:pPr>
      <w:widowControl w:val="0"/>
      <w:ind w:left="2520" w:leftChars="1200"/>
      <w:jc w:val="both"/>
    </w:pPr>
    <w:rPr>
      <w:rFonts w:ascii="Calibri" w:hAnsi="Calibri"/>
      <w:kern w:val="2"/>
      <w:szCs w:val="22"/>
    </w:rPr>
  </w:style>
  <w:style w:type="paragraph" w:styleId="13">
    <w:name w:val="caption"/>
    <w:basedOn w:val="1"/>
    <w:next w:val="1"/>
    <w:link w:val="93"/>
    <w:qFormat/>
    <w:uiPriority w:val="0"/>
    <w:pPr>
      <w:widowControl w:val="0"/>
      <w:spacing w:line="360" w:lineRule="auto"/>
      <w:jc w:val="center"/>
    </w:pPr>
    <w:rPr>
      <w:rFonts w:ascii="Cambria" w:hAnsi="Cambria" w:eastAsia="黑体"/>
      <w:sz w:val="24"/>
    </w:rPr>
  </w:style>
  <w:style w:type="paragraph" w:styleId="14">
    <w:name w:val="Document Map"/>
    <w:basedOn w:val="1"/>
    <w:link w:val="86"/>
    <w:qFormat/>
    <w:uiPriority w:val="99"/>
    <w:pPr>
      <w:shd w:val="clear" w:color="auto" w:fill="000080"/>
    </w:pPr>
  </w:style>
  <w:style w:type="paragraph" w:styleId="15">
    <w:name w:val="annotation text"/>
    <w:basedOn w:val="1"/>
    <w:link w:val="70"/>
    <w:qFormat/>
    <w:uiPriority w:val="0"/>
  </w:style>
  <w:style w:type="paragraph" w:styleId="16">
    <w:name w:val="Body Text 3"/>
    <w:basedOn w:val="1"/>
    <w:qFormat/>
    <w:uiPriority w:val="0"/>
    <w:pPr>
      <w:widowControl w:val="0"/>
      <w:jc w:val="center"/>
    </w:pPr>
    <w:rPr>
      <w:rFonts w:ascii="宋体"/>
      <w:kern w:val="2"/>
      <w:sz w:val="28"/>
    </w:rPr>
  </w:style>
  <w:style w:type="paragraph" w:styleId="17">
    <w:name w:val="Body Text"/>
    <w:basedOn w:val="1"/>
    <w:next w:val="18"/>
    <w:link w:val="115"/>
    <w:qFormat/>
    <w:uiPriority w:val="99"/>
    <w:pPr>
      <w:spacing w:after="120"/>
    </w:pPr>
  </w:style>
  <w:style w:type="paragraph" w:styleId="18">
    <w:name w:val="Date"/>
    <w:basedOn w:val="1"/>
    <w:next w:val="1"/>
    <w:link w:val="134"/>
    <w:qFormat/>
    <w:uiPriority w:val="99"/>
    <w:pPr>
      <w:widowControl w:val="0"/>
      <w:jc w:val="both"/>
    </w:pPr>
    <w:rPr>
      <w:rFonts w:eastAsia="仿宋_GB2312"/>
      <w:kern w:val="2"/>
      <w:sz w:val="32"/>
    </w:rPr>
  </w:style>
  <w:style w:type="paragraph" w:styleId="19">
    <w:name w:val="Body Text Indent"/>
    <w:basedOn w:val="1"/>
    <w:link w:val="66"/>
    <w:qFormat/>
    <w:uiPriority w:val="99"/>
    <w:pPr>
      <w:widowControl w:val="0"/>
      <w:ind w:firstLine="630"/>
      <w:jc w:val="both"/>
    </w:pPr>
    <w:rPr>
      <w:rFonts w:ascii="宋体"/>
      <w:kern w:val="2"/>
      <w:sz w:val="28"/>
    </w:rPr>
  </w:style>
  <w:style w:type="paragraph" w:styleId="20">
    <w:name w:val="toc 5"/>
    <w:basedOn w:val="1"/>
    <w:next w:val="1"/>
    <w:qFormat/>
    <w:uiPriority w:val="0"/>
    <w:pPr>
      <w:widowControl w:val="0"/>
      <w:ind w:left="1680" w:leftChars="800"/>
      <w:jc w:val="both"/>
    </w:pPr>
    <w:rPr>
      <w:rFonts w:ascii="Calibri" w:hAnsi="Calibri"/>
      <w:kern w:val="2"/>
      <w:szCs w:val="22"/>
    </w:rPr>
  </w:style>
  <w:style w:type="paragraph" w:styleId="21">
    <w:name w:val="toc 3"/>
    <w:basedOn w:val="1"/>
    <w:next w:val="1"/>
    <w:qFormat/>
    <w:uiPriority w:val="39"/>
    <w:pPr>
      <w:ind w:left="840" w:leftChars="400"/>
    </w:pPr>
  </w:style>
  <w:style w:type="paragraph" w:styleId="22">
    <w:name w:val="Plain Text"/>
    <w:basedOn w:val="1"/>
    <w:link w:val="127"/>
    <w:qFormat/>
    <w:uiPriority w:val="99"/>
    <w:pPr>
      <w:widowControl w:val="0"/>
      <w:spacing w:line="360" w:lineRule="auto"/>
      <w:jc w:val="both"/>
    </w:pPr>
    <w:rPr>
      <w:rFonts w:ascii="宋体" w:hAnsi="Courier New"/>
      <w:spacing w:val="-8"/>
      <w:kern w:val="2"/>
      <w:sz w:val="24"/>
    </w:rPr>
  </w:style>
  <w:style w:type="paragraph" w:styleId="23">
    <w:name w:val="toc 8"/>
    <w:basedOn w:val="1"/>
    <w:next w:val="1"/>
    <w:qFormat/>
    <w:uiPriority w:val="0"/>
    <w:pPr>
      <w:widowControl w:val="0"/>
      <w:ind w:left="2940" w:leftChars="1400"/>
      <w:jc w:val="both"/>
    </w:pPr>
    <w:rPr>
      <w:rFonts w:ascii="Calibri" w:hAnsi="Calibri"/>
      <w:kern w:val="2"/>
      <w:szCs w:val="22"/>
    </w:rPr>
  </w:style>
  <w:style w:type="paragraph" w:styleId="24">
    <w:name w:val="Body Text Indent 2"/>
    <w:basedOn w:val="1"/>
    <w:link w:val="116"/>
    <w:qFormat/>
    <w:uiPriority w:val="99"/>
    <w:pPr>
      <w:widowControl w:val="0"/>
      <w:spacing w:before="120"/>
      <w:ind w:firstLine="525"/>
      <w:jc w:val="both"/>
    </w:pPr>
    <w:rPr>
      <w:rFonts w:ascii="宋体" w:eastAsia="仿宋_GB2312"/>
      <w:kern w:val="2"/>
      <w:sz w:val="28"/>
    </w:rPr>
  </w:style>
  <w:style w:type="paragraph" w:styleId="25">
    <w:name w:val="Balloon Text"/>
    <w:basedOn w:val="1"/>
    <w:link w:val="136"/>
    <w:qFormat/>
    <w:uiPriority w:val="99"/>
    <w:rPr>
      <w:sz w:val="18"/>
      <w:szCs w:val="18"/>
    </w:rPr>
  </w:style>
  <w:style w:type="paragraph" w:styleId="26">
    <w:name w:val="footer"/>
    <w:basedOn w:val="1"/>
    <w:link w:val="126"/>
    <w:qFormat/>
    <w:uiPriority w:val="99"/>
    <w:pPr>
      <w:widowControl w:val="0"/>
      <w:tabs>
        <w:tab w:val="center" w:pos="4153"/>
        <w:tab w:val="right" w:pos="8306"/>
      </w:tabs>
      <w:autoSpaceDE w:val="0"/>
      <w:autoSpaceDN w:val="0"/>
      <w:adjustRightInd w:val="0"/>
      <w:snapToGrid w:val="0"/>
    </w:pPr>
    <w:rPr>
      <w:rFonts w:ascii="宋体"/>
      <w:sz w:val="18"/>
    </w:rPr>
  </w:style>
  <w:style w:type="paragraph" w:styleId="27">
    <w:name w:val="header"/>
    <w:basedOn w:val="1"/>
    <w:next w:val="13"/>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28">
    <w:name w:val="toc 1"/>
    <w:basedOn w:val="1"/>
    <w:next w:val="1"/>
    <w:qFormat/>
    <w:uiPriority w:val="39"/>
    <w:pPr>
      <w:spacing w:before="120" w:after="120"/>
    </w:pPr>
    <w:rPr>
      <w:b/>
      <w:bCs/>
      <w:caps/>
      <w:sz w:val="20"/>
    </w:rPr>
  </w:style>
  <w:style w:type="paragraph" w:styleId="29">
    <w:name w:val="toc 4"/>
    <w:basedOn w:val="1"/>
    <w:next w:val="1"/>
    <w:qFormat/>
    <w:uiPriority w:val="39"/>
    <w:pPr>
      <w:widowControl w:val="0"/>
      <w:ind w:left="1260" w:leftChars="600"/>
      <w:jc w:val="both"/>
    </w:pPr>
    <w:rPr>
      <w:kern w:val="2"/>
    </w:rPr>
  </w:style>
  <w:style w:type="paragraph" w:styleId="30">
    <w:name w:val="Subtitle"/>
    <w:basedOn w:val="1"/>
    <w:next w:val="1"/>
    <w:link w:val="118"/>
    <w:qFormat/>
    <w:uiPriority w:val="0"/>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widowControl w:val="0"/>
      <w:ind w:left="2100" w:leftChars="1000"/>
      <w:jc w:val="both"/>
    </w:pPr>
    <w:rPr>
      <w:rFonts w:ascii="Calibri" w:hAnsi="Calibri"/>
      <w:kern w:val="2"/>
      <w:szCs w:val="22"/>
    </w:rPr>
  </w:style>
  <w:style w:type="paragraph" w:styleId="32">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widowControl w:val="0"/>
      <w:ind w:left="3360" w:leftChars="1600"/>
      <w:jc w:val="both"/>
    </w:pPr>
    <w:rPr>
      <w:rFonts w:ascii="Calibri" w:hAnsi="Calibri"/>
      <w:kern w:val="2"/>
      <w:szCs w:val="22"/>
    </w:rPr>
  </w:style>
  <w:style w:type="paragraph" w:styleId="35">
    <w:name w:val="Body Text 2"/>
    <w:basedOn w:val="1"/>
    <w:link w:val="112"/>
    <w:qFormat/>
    <w:uiPriority w:val="0"/>
    <w:pPr>
      <w:widowControl w:val="0"/>
      <w:jc w:val="both"/>
    </w:pPr>
    <w:rPr>
      <w:kern w:val="2"/>
      <w:sz w:val="28"/>
    </w:rPr>
  </w:style>
  <w:style w:type="paragraph" w:styleId="36">
    <w:name w:val="Message Header"/>
    <w:basedOn w:val="1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7">
    <w:name w:val="HTML Preformatted"/>
    <w:basedOn w:val="1"/>
    <w:link w:val="1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38">
    <w:name w:val="Normal (Web)"/>
    <w:basedOn w:val="1"/>
    <w:qFormat/>
    <w:uiPriority w:val="99"/>
    <w:pPr>
      <w:spacing w:before="100" w:beforeAutospacing="1" w:after="100" w:afterAutospacing="1"/>
    </w:pPr>
    <w:rPr>
      <w:rFonts w:hint="eastAsia" w:ascii="宋体" w:hAnsi="宋体"/>
      <w:sz w:val="24"/>
      <w:szCs w:val="24"/>
    </w:rPr>
  </w:style>
  <w:style w:type="paragraph" w:styleId="39">
    <w:name w:val="Title"/>
    <w:basedOn w:val="1"/>
    <w:next w:val="1"/>
    <w:link w:val="89"/>
    <w:qFormat/>
    <w:uiPriority w:val="99"/>
    <w:pPr>
      <w:widowControl w:val="0"/>
      <w:spacing w:before="240" w:after="60"/>
      <w:jc w:val="center"/>
      <w:outlineLvl w:val="0"/>
    </w:pPr>
    <w:rPr>
      <w:rFonts w:ascii="Cambria" w:hAnsi="Cambria"/>
      <w:b/>
      <w:bCs/>
      <w:kern w:val="2"/>
      <w:sz w:val="32"/>
      <w:szCs w:val="32"/>
      <w:lang w:eastAsia="en-US"/>
    </w:rPr>
  </w:style>
  <w:style w:type="paragraph" w:styleId="40">
    <w:name w:val="annotation subject"/>
    <w:basedOn w:val="15"/>
    <w:next w:val="15"/>
    <w:link w:val="61"/>
    <w:qFormat/>
    <w:uiPriority w:val="99"/>
    <w:rPr>
      <w:b/>
      <w:bCs/>
    </w:rPr>
  </w:style>
  <w:style w:type="paragraph" w:styleId="41">
    <w:name w:val="Body Text First Indent"/>
    <w:basedOn w:val="17"/>
    <w:qFormat/>
    <w:uiPriority w:val="0"/>
    <w:pPr>
      <w:ind w:firstLine="420" w:firstLineChars="100"/>
    </w:pPr>
  </w:style>
  <w:style w:type="paragraph" w:styleId="42">
    <w:name w:val="Body Text First Indent 2"/>
    <w:basedOn w:val="19"/>
    <w:link w:val="65"/>
    <w:qFormat/>
    <w:uiPriority w:val="99"/>
    <w:pPr>
      <w:widowControl/>
      <w:spacing w:after="120"/>
      <w:ind w:left="420" w:leftChars="200" w:firstLine="420" w:firstLineChars="200"/>
      <w:jc w:val="left"/>
    </w:pPr>
    <w:rPr>
      <w:rFonts w:ascii="Calibri" w:hAnsi="Calibri"/>
      <w:sz w:val="21"/>
      <w:szCs w:val="22"/>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99"/>
    <w:rPr>
      <w:rFonts w:cs="Times New Roman"/>
    </w:rPr>
  </w:style>
  <w:style w:type="character" w:styleId="50">
    <w:name w:val="HTML Definition"/>
    <w:qFormat/>
    <w:uiPriority w:val="99"/>
    <w:rPr>
      <w:rFonts w:cs="Times New Roman"/>
    </w:rPr>
  </w:style>
  <w:style w:type="character" w:styleId="51">
    <w:name w:val="HTML Typewriter"/>
    <w:qFormat/>
    <w:uiPriority w:val="99"/>
    <w:rPr>
      <w:rFonts w:ascii="宋体" w:hAnsi="宋体" w:eastAsia="宋体" w:cs="宋体"/>
      <w:sz w:val="24"/>
      <w:szCs w:val="24"/>
    </w:rPr>
  </w:style>
  <w:style w:type="character" w:styleId="52">
    <w:name w:val="HTML Variable"/>
    <w:qFormat/>
    <w:uiPriority w:val="99"/>
    <w:rPr>
      <w:rFonts w:cs="Times New Roman"/>
    </w:rPr>
  </w:style>
  <w:style w:type="character" w:styleId="53">
    <w:name w:val="Hyperlink"/>
    <w:basedOn w:val="45"/>
    <w:qFormat/>
    <w:uiPriority w:val="99"/>
    <w:rPr>
      <w:color w:val="0000FF"/>
      <w:u w:val="single"/>
    </w:rPr>
  </w:style>
  <w:style w:type="character" w:styleId="54">
    <w:name w:val="HTML Code"/>
    <w:qFormat/>
    <w:uiPriority w:val="99"/>
    <w:rPr>
      <w:rFonts w:ascii="Courier New" w:hAnsi="Courier New" w:cs="Times New Roman"/>
      <w:sz w:val="20"/>
    </w:rPr>
  </w:style>
  <w:style w:type="character" w:styleId="55">
    <w:name w:val="annotation reference"/>
    <w:basedOn w:val="45"/>
    <w:qFormat/>
    <w:uiPriority w:val="99"/>
    <w:rPr>
      <w:sz w:val="21"/>
      <w:szCs w:val="21"/>
    </w:rPr>
  </w:style>
  <w:style w:type="character" w:styleId="56">
    <w:name w:val="HTML Cite"/>
    <w:qFormat/>
    <w:uiPriority w:val="99"/>
    <w:rPr>
      <w:rFonts w:cs="Times New Roman"/>
    </w:rPr>
  </w:style>
  <w:style w:type="character" w:customStyle="1" w:styleId="57">
    <w:name w:val="ds-reads-app-special"/>
    <w:qFormat/>
    <w:uiPriority w:val="99"/>
    <w:rPr>
      <w:rFonts w:cs="Times New Roman"/>
      <w:color w:val="FFFFFF"/>
      <w:shd w:val="clear" w:color="auto" w:fill="F94A47"/>
    </w:rPr>
  </w:style>
  <w:style w:type="character" w:customStyle="1" w:styleId="58">
    <w:name w:val="正文首行缩进 2 Char"/>
    <w:basedOn w:val="59"/>
    <w:qFormat/>
    <w:uiPriority w:val="99"/>
  </w:style>
  <w:style w:type="character" w:customStyle="1" w:styleId="59">
    <w:name w:val="正文文本缩进 Char"/>
    <w:qFormat/>
    <w:uiPriority w:val="0"/>
    <w:rPr>
      <w:rFonts w:ascii="Calibri" w:hAnsi="Calibri" w:eastAsia="宋体"/>
      <w:kern w:val="2"/>
      <w:sz w:val="21"/>
      <w:szCs w:val="22"/>
      <w:lang w:val="en-US" w:eastAsia="zh-CN" w:bidi="ar-SA"/>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批注主题 Char"/>
    <w:link w:val="40"/>
    <w:qFormat/>
    <w:uiPriority w:val="99"/>
    <w:rPr>
      <w:rFonts w:eastAsia="宋体"/>
      <w:b/>
      <w:bCs/>
      <w:sz w:val="21"/>
      <w:lang w:val="en-US" w:eastAsia="zh-CN" w:bidi="ar-SA"/>
    </w:rPr>
  </w:style>
  <w:style w:type="character" w:customStyle="1" w:styleId="62">
    <w:name w:val="标题 9 Char"/>
    <w:link w:val="11"/>
    <w:qFormat/>
    <w:uiPriority w:val="0"/>
    <w:rPr>
      <w:rFonts w:ascii="Cambria" w:hAnsi="Cambria"/>
      <w:kern w:val="2"/>
      <w:sz w:val="21"/>
      <w:szCs w:val="21"/>
    </w:rPr>
  </w:style>
  <w:style w:type="character" w:customStyle="1" w:styleId="63">
    <w:name w:val="font21"/>
    <w:basedOn w:val="45"/>
    <w:qFormat/>
    <w:uiPriority w:val="0"/>
    <w:rPr>
      <w:rFonts w:hint="default" w:ascii="Arial" w:hAnsi="Arial" w:cs="Arial"/>
      <w:color w:val="000000"/>
      <w:sz w:val="20"/>
      <w:szCs w:val="20"/>
      <w:u w:val="none"/>
    </w:rPr>
  </w:style>
  <w:style w:type="character" w:customStyle="1" w:styleId="64">
    <w:name w:val="font91"/>
    <w:qFormat/>
    <w:uiPriority w:val="99"/>
    <w:rPr>
      <w:rFonts w:ascii="Arial" w:hAnsi="Arial" w:cs="Arial"/>
      <w:color w:val="000000"/>
      <w:sz w:val="21"/>
      <w:szCs w:val="21"/>
      <w:u w:val="none"/>
    </w:rPr>
  </w:style>
  <w:style w:type="character" w:customStyle="1" w:styleId="65">
    <w:name w:val="正文首行缩进 2 Char1"/>
    <w:basedOn w:val="66"/>
    <w:link w:val="42"/>
    <w:qFormat/>
    <w:uiPriority w:val="0"/>
  </w:style>
  <w:style w:type="character" w:customStyle="1" w:styleId="66">
    <w:name w:val="正文文本缩进 Char1"/>
    <w:link w:val="19"/>
    <w:qFormat/>
    <w:uiPriority w:val="99"/>
    <w:rPr>
      <w:rFonts w:ascii="宋体"/>
      <w:kern w:val="2"/>
      <w:sz w:val="28"/>
    </w:rPr>
  </w:style>
  <w:style w:type="character" w:customStyle="1" w:styleId="67">
    <w:name w:val="标题 8 Char"/>
    <w:link w:val="10"/>
    <w:qFormat/>
    <w:uiPriority w:val="0"/>
    <w:rPr>
      <w:rFonts w:ascii="Cambria" w:hAnsi="Cambria"/>
      <w:kern w:val="2"/>
      <w:sz w:val="24"/>
      <w:szCs w:val="24"/>
    </w:rPr>
  </w:style>
  <w:style w:type="character" w:customStyle="1" w:styleId="68">
    <w:name w:val="样式 小四 段前: 3 磅 段后: 3 磅 行距: 1.5 倍行距 Char"/>
    <w:link w:val="69"/>
    <w:qFormat/>
    <w:uiPriority w:val="0"/>
    <w:rPr>
      <w:rFonts w:eastAsia="宋体" w:cs="宋体"/>
      <w:kern w:val="2"/>
      <w:sz w:val="24"/>
      <w:lang w:val="en-US" w:eastAsia="zh-CN" w:bidi="ar-SA"/>
    </w:rPr>
  </w:style>
  <w:style w:type="paragraph" w:customStyle="1" w:styleId="69">
    <w:name w:val="样式 小四 段前: 3 磅 段后: 3 磅 行距: 1.5 倍行距"/>
    <w:basedOn w:val="1"/>
    <w:link w:val="68"/>
    <w:qFormat/>
    <w:uiPriority w:val="0"/>
    <w:pPr>
      <w:widowControl w:val="0"/>
      <w:spacing w:before="60" w:after="60" w:line="360" w:lineRule="auto"/>
      <w:ind w:firstLine="540" w:firstLineChars="225"/>
      <w:jc w:val="both"/>
    </w:pPr>
    <w:rPr>
      <w:rFonts w:cs="宋体"/>
      <w:kern w:val="2"/>
      <w:sz w:val="24"/>
    </w:rPr>
  </w:style>
  <w:style w:type="character" w:customStyle="1" w:styleId="70">
    <w:name w:val="批注文字 Char2"/>
    <w:link w:val="15"/>
    <w:qFormat/>
    <w:uiPriority w:val="0"/>
    <w:rPr>
      <w:rFonts w:eastAsia="宋体"/>
      <w:sz w:val="21"/>
      <w:lang w:val="en-US" w:eastAsia="zh-CN" w:bidi="ar-SA"/>
    </w:rPr>
  </w:style>
  <w:style w:type="character" w:customStyle="1" w:styleId="71">
    <w:name w:val="lei.text Char"/>
    <w:link w:val="72"/>
    <w:qFormat/>
    <w:uiPriority w:val="0"/>
    <w:rPr>
      <w:rFonts w:ascii="宋体" w:hAnsi="Tahoma"/>
      <w:sz w:val="24"/>
      <w:lang w:val="en-US" w:eastAsia="zh-CN" w:bidi="ar-SA"/>
    </w:rPr>
  </w:style>
  <w:style w:type="paragraph" w:customStyle="1" w:styleId="72">
    <w:name w:val="lei.text"/>
    <w:link w:val="71"/>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3">
    <w:name w:val="Title Char1"/>
    <w:qFormat/>
    <w:locked/>
    <w:uiPriority w:val="99"/>
    <w:rPr>
      <w:rFonts w:ascii="Cambria" w:hAnsi="Cambria" w:eastAsia="宋体" w:cs="Times New Roman"/>
      <w:b/>
      <w:bCs/>
      <w:sz w:val="32"/>
      <w:szCs w:val="32"/>
    </w:rPr>
  </w:style>
  <w:style w:type="character" w:customStyle="1" w:styleId="74">
    <w:name w:val="bord"/>
    <w:basedOn w:val="45"/>
    <w:qFormat/>
    <w:uiPriority w:val="0"/>
  </w:style>
  <w:style w:type="character" w:customStyle="1" w:styleId="75">
    <w:name w:val="current"/>
    <w:qFormat/>
    <w:uiPriority w:val="99"/>
    <w:rPr>
      <w:rFonts w:cs="Times New Roman"/>
      <w:b/>
      <w:color w:val="FF0084"/>
    </w:rPr>
  </w:style>
  <w:style w:type="character" w:customStyle="1" w:styleId="76">
    <w:name w:val="正文缩进 Char1"/>
    <w:link w:val="6"/>
    <w:qFormat/>
    <w:uiPriority w:val="0"/>
    <w:rPr>
      <w:rFonts w:eastAsia="宋体"/>
      <w:kern w:val="2"/>
      <w:sz w:val="21"/>
      <w:lang w:val="en-US" w:eastAsia="zh-CN" w:bidi="ar-SA"/>
    </w:rPr>
  </w:style>
  <w:style w:type="character" w:customStyle="1" w:styleId="77">
    <w:name w:val="A4"/>
    <w:qFormat/>
    <w:uiPriority w:val="0"/>
    <w:rPr>
      <w:rFonts w:cs="新宋体"/>
      <w:color w:val="000000"/>
    </w:rPr>
  </w:style>
  <w:style w:type="character" w:customStyle="1" w:styleId="78">
    <w:name w:val="标题 1 Char"/>
    <w:link w:val="3"/>
    <w:qFormat/>
    <w:uiPriority w:val="0"/>
    <w:rPr>
      <w:b/>
      <w:bCs/>
      <w:kern w:val="44"/>
      <w:sz w:val="44"/>
      <w:szCs w:val="44"/>
    </w:rPr>
  </w:style>
  <w:style w:type="character" w:customStyle="1" w:styleId="79">
    <w:name w:val="标题 字符2"/>
    <w:qFormat/>
    <w:uiPriority w:val="99"/>
    <w:rPr>
      <w:rFonts w:ascii="等线 Light" w:hAnsi="等线 Light" w:eastAsia="等线 Light" w:cs="Times New Roman"/>
      <w:b/>
      <w:bCs/>
      <w:sz w:val="32"/>
      <w:szCs w:val="32"/>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Char Char1"/>
    <w:qFormat/>
    <w:uiPriority w:val="0"/>
    <w:rPr>
      <w:rFonts w:ascii="宋体" w:hAnsi="Courier New" w:eastAsia="宋体"/>
      <w:kern w:val="2"/>
      <w:sz w:val="21"/>
      <w:lang w:val="en-US" w:eastAsia="zh-CN" w:bidi="ar-SA"/>
    </w:rPr>
  </w:style>
  <w:style w:type="character" w:customStyle="1" w:styleId="83">
    <w:name w:val="页眉 Char"/>
    <w:link w:val="27"/>
    <w:qFormat/>
    <w:uiPriority w:val="99"/>
    <w:rPr>
      <w:rFonts w:ascii="宋体" w:eastAsia="宋体"/>
      <w:sz w:val="18"/>
      <w:lang w:val="en-US" w:eastAsia="zh-CN" w:bidi="ar-SA"/>
    </w:rPr>
  </w:style>
  <w:style w:type="character" w:customStyle="1" w:styleId="84">
    <w:name w:val="Underrubrik1 Char Char"/>
    <w:qFormat/>
    <w:uiPriority w:val="99"/>
    <w:rPr>
      <w:rFonts w:ascii="Arial" w:hAnsi="Arial"/>
      <w:b/>
      <w:color w:val="000000"/>
      <w:sz w:val="30"/>
    </w:rPr>
  </w:style>
  <w:style w:type="character" w:customStyle="1" w:styleId="85">
    <w:name w:val="页眉 字符1"/>
    <w:semiHidden/>
    <w:qFormat/>
    <w:uiPriority w:val="99"/>
    <w:rPr>
      <w:rFonts w:ascii="Times New Roman" w:hAnsi="Times New Roman" w:eastAsia="宋体" w:cs="Times New Roman"/>
      <w:sz w:val="18"/>
      <w:szCs w:val="18"/>
    </w:rPr>
  </w:style>
  <w:style w:type="character" w:customStyle="1" w:styleId="86">
    <w:name w:val="文档结构图 Char"/>
    <w:link w:val="14"/>
    <w:qFormat/>
    <w:uiPriority w:val="99"/>
    <w:rPr>
      <w:sz w:val="21"/>
      <w:shd w:val="clear" w:color="auto" w:fill="000080"/>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标题 7 Char"/>
    <w:link w:val="9"/>
    <w:qFormat/>
    <w:uiPriority w:val="0"/>
    <w:rPr>
      <w:rFonts w:ascii="Calibri" w:hAnsi="Calibri"/>
      <w:b/>
      <w:bCs/>
      <w:kern w:val="2"/>
      <w:sz w:val="24"/>
      <w:szCs w:val="24"/>
    </w:rPr>
  </w:style>
  <w:style w:type="character" w:customStyle="1" w:styleId="89">
    <w:name w:val="标题 Char"/>
    <w:link w:val="39"/>
    <w:qFormat/>
    <w:uiPriority w:val="99"/>
    <w:rPr>
      <w:rFonts w:ascii="Cambria" w:hAnsi="Cambria"/>
      <w:b/>
      <w:bCs/>
      <w:kern w:val="2"/>
      <w:sz w:val="32"/>
      <w:szCs w:val="32"/>
      <w:lang w:eastAsia="en-US"/>
    </w:rPr>
  </w:style>
  <w:style w:type="character" w:customStyle="1" w:styleId="90">
    <w:name w:val="标题 3 Char1"/>
    <w:link w:val="4"/>
    <w:qFormat/>
    <w:uiPriority w:val="99"/>
    <w:rPr>
      <w:rFonts w:eastAsia="宋体"/>
      <w:b/>
      <w:kern w:val="2"/>
      <w:sz w:val="32"/>
      <w:lang w:val="en-US" w:eastAsia="zh-CN" w:bidi="ar-SA"/>
    </w:rPr>
  </w:style>
  <w:style w:type="character" w:customStyle="1" w:styleId="91">
    <w:name w:val="style11"/>
    <w:qFormat/>
    <w:uiPriority w:val="0"/>
    <w:rPr>
      <w:rFonts w:eastAsia="宋体"/>
      <w:kern w:val="2"/>
      <w:sz w:val="20"/>
      <w:szCs w:val="20"/>
      <w:lang w:val="en-US" w:eastAsia="zh-CN" w:bidi="ar-SA"/>
    </w:rPr>
  </w:style>
  <w:style w:type="character" w:customStyle="1" w:styleId="92">
    <w:name w:val="正文文本缩进 2 字符1"/>
    <w:semiHidden/>
    <w:qFormat/>
    <w:uiPriority w:val="99"/>
    <w:rPr>
      <w:rFonts w:ascii="Times New Roman" w:hAnsi="Times New Roman" w:eastAsia="宋体" w:cs="Times New Roman"/>
      <w:sz w:val="20"/>
      <w:szCs w:val="20"/>
    </w:rPr>
  </w:style>
  <w:style w:type="character" w:customStyle="1" w:styleId="93">
    <w:name w:val="题注 Char"/>
    <w:link w:val="13"/>
    <w:qFormat/>
    <w:uiPriority w:val="0"/>
    <w:rPr>
      <w:rFonts w:ascii="Cambria" w:hAnsi="Cambria" w:eastAsia="黑体"/>
      <w:sz w:val="24"/>
    </w:rPr>
  </w:style>
  <w:style w:type="character" w:customStyle="1" w:styleId="94">
    <w:name w:val="apple-converted-space"/>
    <w:qFormat/>
    <w:uiPriority w:val="99"/>
    <w:rPr>
      <w:rFonts w:cs="Times New Roman"/>
    </w:rPr>
  </w:style>
  <w:style w:type="character" w:customStyle="1" w:styleId="95">
    <w:name w:val="*正文 Char Char"/>
    <w:link w:val="96"/>
    <w:qFormat/>
    <w:uiPriority w:val="0"/>
    <w:rPr>
      <w:rFonts w:ascii="宋体" w:hAnsi="宋体"/>
      <w:snapToGrid/>
      <w:sz w:val="24"/>
      <w:szCs w:val="24"/>
    </w:rPr>
  </w:style>
  <w:style w:type="paragraph" w:customStyle="1" w:styleId="96">
    <w:name w:val="*正文"/>
    <w:basedOn w:val="1"/>
    <w:link w:val="95"/>
    <w:qFormat/>
    <w:uiPriority w:val="0"/>
    <w:pPr>
      <w:widowControl w:val="0"/>
      <w:spacing w:line="360" w:lineRule="auto"/>
      <w:ind w:firstLine="200" w:firstLineChars="200"/>
      <w:jc w:val="both"/>
    </w:pPr>
    <w:rPr>
      <w:rFonts w:ascii="宋体" w:hAnsi="宋体"/>
      <w:sz w:val="24"/>
      <w:szCs w:val="24"/>
    </w:rPr>
  </w:style>
  <w:style w:type="character" w:customStyle="1" w:styleId="97">
    <w:name w:val="Char Char5"/>
    <w:qFormat/>
    <w:uiPriority w:val="99"/>
    <w:rPr>
      <w:rFonts w:ascii="宋体" w:hAnsi="Courier New" w:eastAsia="宋体" w:cs="Times New Roman"/>
      <w:kern w:val="2"/>
      <w:sz w:val="21"/>
      <w:lang w:val="en-US" w:eastAsia="zh-CN" w:bidi="ar-SA"/>
    </w:rPr>
  </w:style>
  <w:style w:type="character" w:customStyle="1" w:styleId="98">
    <w:name w:val="批注文字 字符1"/>
    <w:semiHidden/>
    <w:qFormat/>
    <w:locked/>
    <w:uiPriority w:val="99"/>
    <w:rPr>
      <w:rFonts w:ascii="Times New Roman" w:hAnsi="Times New Roman" w:eastAsia="宋体" w:cs="Times New Roman"/>
      <w:sz w:val="20"/>
      <w:szCs w:val="20"/>
    </w:rPr>
  </w:style>
  <w:style w:type="character" w:customStyle="1" w:styleId="99">
    <w:name w:val="标题 字符1"/>
    <w:qFormat/>
    <w:uiPriority w:val="99"/>
    <w:rPr>
      <w:rFonts w:ascii="等线 Light" w:hAnsi="等线 Light" w:cs="Times New Roman"/>
      <w:b/>
      <w:bCs/>
      <w:sz w:val="32"/>
      <w:szCs w:val="32"/>
    </w:rPr>
  </w:style>
  <w:style w:type="character" w:customStyle="1" w:styleId="100">
    <w:name w:val="普通文字 Char Char1"/>
    <w:qFormat/>
    <w:uiPriority w:val="99"/>
    <w:rPr>
      <w:rFonts w:ascii="宋体" w:hAnsi="Courier New" w:eastAsia="宋体" w:cs="Times New Roman"/>
      <w:kern w:val="2"/>
      <w:sz w:val="21"/>
      <w:lang w:val="en-US" w:eastAsia="zh-CN" w:bidi="ar-SA"/>
    </w:rPr>
  </w:style>
  <w:style w:type="character" w:customStyle="1" w:styleId="101">
    <w:name w:val="批注文字 Char1"/>
    <w:qFormat/>
    <w:uiPriority w:val="0"/>
    <w:rPr>
      <w:rFonts w:ascii="Calibri" w:hAnsi="Calibri" w:eastAsia="宋体"/>
      <w:kern w:val="2"/>
      <w:sz w:val="21"/>
      <w:szCs w:val="22"/>
      <w:lang w:val="en-US" w:eastAsia="zh-CN" w:bidi="ar-SA"/>
    </w:rPr>
  </w:style>
  <w:style w:type="character" w:customStyle="1" w:styleId="102">
    <w:name w:val="正文1 Char"/>
    <w:link w:val="103"/>
    <w:qFormat/>
    <w:uiPriority w:val="0"/>
    <w:rPr>
      <w:rFonts w:ascii="宋体"/>
      <w:sz w:val="34"/>
      <w:lang w:val="en-US" w:eastAsia="zh-CN" w:bidi="ar-SA"/>
    </w:rPr>
  </w:style>
  <w:style w:type="paragraph" w:customStyle="1" w:styleId="103">
    <w:name w:val="正文1"/>
    <w:link w:val="10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ask-title2"/>
    <w:qFormat/>
    <w:uiPriority w:val="99"/>
    <w:rPr>
      <w:rFonts w:cs="Times New Roman"/>
    </w:rPr>
  </w:style>
  <w:style w:type="character" w:customStyle="1" w:styleId="105">
    <w:name w:val="Header Char1"/>
    <w:semiHidden/>
    <w:qFormat/>
    <w:locked/>
    <w:uiPriority w:val="99"/>
    <w:rPr>
      <w:rFonts w:ascii="Times New Roman" w:hAnsi="Times New Roman" w:eastAsia="宋体" w:cs="Times New Roman"/>
      <w:sz w:val="18"/>
      <w:szCs w:val="18"/>
    </w:rPr>
  </w:style>
  <w:style w:type="character" w:customStyle="1" w:styleId="106">
    <w:name w:val="标题 5 Char"/>
    <w:link w:val="7"/>
    <w:qFormat/>
    <w:uiPriority w:val="0"/>
    <w:rPr>
      <w:rFonts w:ascii="Calibri" w:hAnsi="Calibri"/>
      <w:b/>
      <w:bCs/>
      <w:kern w:val="2"/>
      <w:sz w:val="28"/>
      <w:szCs w:val="28"/>
    </w:rPr>
  </w:style>
  <w:style w:type="character" w:customStyle="1" w:styleId="107">
    <w:name w:val="正文文本缩进 字符1"/>
    <w:semiHidden/>
    <w:qFormat/>
    <w:uiPriority w:val="99"/>
    <w:rPr>
      <w:rFonts w:ascii="Times New Roman" w:hAnsi="Times New Roman" w:eastAsia="宋体" w:cs="Times New Roman"/>
      <w:sz w:val="20"/>
      <w:szCs w:val="20"/>
    </w:rPr>
  </w:style>
  <w:style w:type="character" w:customStyle="1" w:styleId="108">
    <w:name w:val="my正文 Char"/>
    <w:link w:val="109"/>
    <w:qFormat/>
    <w:uiPriority w:val="0"/>
    <w:rPr>
      <w:sz w:val="24"/>
      <w:szCs w:val="24"/>
      <w:lang w:val="en-US" w:eastAsia="zh-CN"/>
    </w:rPr>
  </w:style>
  <w:style w:type="paragraph" w:customStyle="1" w:styleId="109">
    <w:name w:val="my正文"/>
    <w:basedOn w:val="1"/>
    <w:link w:val="108"/>
    <w:qFormat/>
    <w:uiPriority w:val="0"/>
    <w:pPr>
      <w:widowControl w:val="0"/>
      <w:spacing w:line="360" w:lineRule="auto"/>
      <w:ind w:firstLine="480" w:firstLineChars="200"/>
      <w:jc w:val="both"/>
    </w:pPr>
    <w:rPr>
      <w:sz w:val="24"/>
      <w:szCs w:val="24"/>
    </w:rPr>
  </w:style>
  <w:style w:type="character" w:customStyle="1" w:styleId="110">
    <w:name w:val="main_tdbg_760"/>
    <w:qFormat/>
    <w:uiPriority w:val="0"/>
    <w:rPr>
      <w:rFonts w:ascii="Verdana" w:hAnsi="Verdana"/>
      <w:kern w:val="0"/>
      <w:szCs w:val="20"/>
      <w:lang w:eastAsia="en-US"/>
    </w:rPr>
  </w:style>
  <w:style w:type="character" w:customStyle="1" w:styleId="111">
    <w:name w:val="标题 2 Char"/>
    <w:link w:val="2"/>
    <w:qFormat/>
    <w:uiPriority w:val="9"/>
    <w:rPr>
      <w:rFonts w:ascii="Arial" w:hAnsi="Arial" w:eastAsia="黑体"/>
      <w:b/>
      <w:bCs/>
      <w:sz w:val="32"/>
      <w:szCs w:val="32"/>
    </w:rPr>
  </w:style>
  <w:style w:type="character" w:customStyle="1" w:styleId="112">
    <w:name w:val="正文文本 2 Char"/>
    <w:link w:val="35"/>
    <w:qFormat/>
    <w:uiPriority w:val="0"/>
    <w:rPr>
      <w:kern w:val="2"/>
      <w:sz w:val="28"/>
    </w:rPr>
  </w:style>
  <w:style w:type="character" w:customStyle="1" w:styleId="113">
    <w:name w:val="批注文字 Char"/>
    <w:qFormat/>
    <w:uiPriority w:val="0"/>
    <w:rPr>
      <w:rFonts w:eastAsia="宋体" w:cs="Times New Roman"/>
      <w:kern w:val="2"/>
      <w:sz w:val="24"/>
      <w:szCs w:val="24"/>
      <w:lang w:val="en-US" w:eastAsia="zh-CN" w:bidi="ar-SA"/>
    </w:rPr>
  </w:style>
  <w:style w:type="character" w:customStyle="1" w:styleId="114">
    <w:name w:val="font31"/>
    <w:basedOn w:val="45"/>
    <w:qFormat/>
    <w:uiPriority w:val="0"/>
    <w:rPr>
      <w:rFonts w:hint="eastAsia" w:ascii="宋体" w:hAnsi="宋体" w:eastAsia="宋体" w:cs="宋体"/>
      <w:color w:val="000000"/>
      <w:sz w:val="20"/>
      <w:szCs w:val="20"/>
      <w:u w:val="none"/>
    </w:rPr>
  </w:style>
  <w:style w:type="character" w:customStyle="1" w:styleId="115">
    <w:name w:val="正文文本 Char"/>
    <w:link w:val="17"/>
    <w:qFormat/>
    <w:uiPriority w:val="99"/>
    <w:rPr>
      <w:sz w:val="21"/>
    </w:rPr>
  </w:style>
  <w:style w:type="character" w:customStyle="1" w:styleId="116">
    <w:name w:val="正文文本缩进 2 Char"/>
    <w:link w:val="24"/>
    <w:qFormat/>
    <w:uiPriority w:val="99"/>
    <w:rPr>
      <w:rFonts w:ascii="宋体" w:eastAsia="仿宋_GB2312"/>
      <w:kern w:val="2"/>
      <w:sz w:val="28"/>
    </w:rPr>
  </w:style>
  <w:style w:type="character" w:customStyle="1" w:styleId="117">
    <w:name w:val="标题 6 Char"/>
    <w:link w:val="8"/>
    <w:qFormat/>
    <w:uiPriority w:val="0"/>
    <w:rPr>
      <w:rFonts w:ascii="Arial" w:hAnsi="Arial" w:eastAsia="黑体"/>
      <w:b/>
      <w:bCs/>
      <w:sz w:val="24"/>
      <w:szCs w:val="24"/>
    </w:rPr>
  </w:style>
  <w:style w:type="character" w:customStyle="1" w:styleId="118">
    <w:name w:val="副标题 Char"/>
    <w:link w:val="30"/>
    <w:qFormat/>
    <w:uiPriority w:val="0"/>
    <w:rPr>
      <w:rFonts w:ascii="Cambria" w:hAnsi="Cambria"/>
      <w:b/>
      <w:bCs/>
      <w:kern w:val="28"/>
      <w:sz w:val="32"/>
      <w:szCs w:val="32"/>
    </w:rPr>
  </w:style>
  <w:style w:type="character" w:customStyle="1" w:styleId="119">
    <w:name w:val="HTML 预设格式 Char"/>
    <w:link w:val="37"/>
    <w:qFormat/>
    <w:uiPriority w:val="99"/>
    <w:rPr>
      <w:rFonts w:ascii="宋体" w:hAnsi="宋体"/>
      <w:sz w:val="24"/>
      <w:szCs w:val="24"/>
    </w:rPr>
  </w:style>
  <w:style w:type="character" w:customStyle="1" w:styleId="120">
    <w:name w:val="H2 Char"/>
    <w:qFormat/>
    <w:uiPriority w:val="0"/>
    <w:rPr>
      <w:rFonts w:eastAsia="宋体"/>
      <w:b/>
      <w:kern w:val="10"/>
      <w:sz w:val="28"/>
      <w:lang w:val="en-US" w:eastAsia="zh-CN" w:bidi="ar-SA"/>
    </w:rPr>
  </w:style>
  <w:style w:type="character" w:customStyle="1" w:styleId="121">
    <w:name w:val="正文缩进 Char"/>
    <w:qFormat/>
    <w:uiPriority w:val="0"/>
  </w:style>
  <w:style w:type="character" w:customStyle="1" w:styleId="122">
    <w:name w:val="ds-reads-from"/>
    <w:qFormat/>
    <w:uiPriority w:val="99"/>
    <w:rPr>
      <w:rFonts w:cs="Times New Roman"/>
    </w:rPr>
  </w:style>
  <w:style w:type="character" w:customStyle="1" w:styleId="123">
    <w:name w:val="样式3 Char Char"/>
    <w:link w:val="124"/>
    <w:qFormat/>
    <w:locked/>
    <w:uiPriority w:val="99"/>
    <w:rPr>
      <w:rFonts w:ascii="宋体" w:hAnsi="Courier New"/>
      <w:sz w:val="24"/>
    </w:rPr>
  </w:style>
  <w:style w:type="paragraph" w:customStyle="1" w:styleId="124">
    <w:name w:val="样式3"/>
    <w:basedOn w:val="22"/>
    <w:link w:val="123"/>
    <w:qFormat/>
    <w:uiPriority w:val="99"/>
    <w:pPr>
      <w:spacing w:line="240" w:lineRule="atLeast"/>
      <w:outlineLvl w:val="0"/>
    </w:pPr>
    <w:rPr>
      <w:spacing w:val="0"/>
      <w:kern w:val="0"/>
    </w:rPr>
  </w:style>
  <w:style w:type="character" w:customStyle="1" w:styleId="125">
    <w:name w:val="标题 3 Char"/>
    <w:qFormat/>
    <w:uiPriority w:val="9"/>
    <w:rPr>
      <w:rFonts w:eastAsia="宋体"/>
      <w:b/>
      <w:kern w:val="2"/>
      <w:sz w:val="32"/>
      <w:lang w:val="en-US" w:eastAsia="zh-CN" w:bidi="ar-SA"/>
    </w:rPr>
  </w:style>
  <w:style w:type="character" w:customStyle="1" w:styleId="126">
    <w:name w:val="页脚 Char"/>
    <w:link w:val="26"/>
    <w:qFormat/>
    <w:uiPriority w:val="99"/>
    <w:rPr>
      <w:rFonts w:ascii="宋体" w:eastAsia="宋体"/>
      <w:sz w:val="18"/>
      <w:lang w:val="en-US" w:eastAsia="zh-CN" w:bidi="ar-SA"/>
    </w:rPr>
  </w:style>
  <w:style w:type="character" w:customStyle="1" w:styleId="127">
    <w:name w:val="纯文本 Char"/>
    <w:link w:val="22"/>
    <w:qFormat/>
    <w:uiPriority w:val="99"/>
    <w:rPr>
      <w:rFonts w:ascii="宋体" w:hAnsi="Courier New" w:eastAsia="宋体"/>
      <w:spacing w:val="-8"/>
      <w:kern w:val="2"/>
      <w:sz w:val="24"/>
      <w:lang w:val="en-US" w:eastAsia="zh-CN" w:bidi="ar-SA"/>
    </w:rPr>
  </w:style>
  <w:style w:type="character" w:customStyle="1" w:styleId="128">
    <w:name w:val="Plain Text Char1"/>
    <w:semiHidden/>
    <w:qFormat/>
    <w:locked/>
    <w:uiPriority w:val="99"/>
    <w:rPr>
      <w:rFonts w:ascii="宋体" w:hAnsi="Courier New" w:eastAsia="宋体" w:cs="Courier New"/>
      <w:sz w:val="21"/>
      <w:szCs w:val="21"/>
    </w:rPr>
  </w:style>
  <w:style w:type="character" w:customStyle="1" w:styleId="129">
    <w:name w:val="标题 4 Char"/>
    <w:link w:val="5"/>
    <w:qFormat/>
    <w:uiPriority w:val="0"/>
    <w:rPr>
      <w:rFonts w:ascii="Arial" w:hAnsi="Arial" w:eastAsia="黑体"/>
      <w:b/>
      <w:bCs/>
      <w:sz w:val="28"/>
      <w:szCs w:val="28"/>
    </w:rPr>
  </w:style>
  <w:style w:type="character" w:customStyle="1" w:styleId="130">
    <w:name w:val="p141"/>
    <w:qFormat/>
    <w:uiPriority w:val="99"/>
    <w:rPr>
      <w:sz w:val="21"/>
    </w:rPr>
  </w:style>
  <w:style w:type="character" w:customStyle="1" w:styleId="131">
    <w:name w:val="textfont1"/>
    <w:qFormat/>
    <w:uiPriority w:val="0"/>
    <w:rPr>
      <w:sz w:val="22"/>
    </w:rPr>
  </w:style>
  <w:style w:type="character" w:customStyle="1" w:styleId="132">
    <w:name w:val="ds-unread-count"/>
    <w:qFormat/>
    <w:uiPriority w:val="99"/>
    <w:rPr>
      <w:rFonts w:cs="Times New Roman"/>
      <w:b/>
      <w:color w:val="EE3322"/>
    </w:rPr>
  </w:style>
  <w:style w:type="character" w:customStyle="1" w:styleId="133">
    <w:name w:val="Body Text Indent Char1"/>
    <w:semiHidden/>
    <w:qFormat/>
    <w:locked/>
    <w:uiPriority w:val="99"/>
    <w:rPr>
      <w:rFonts w:ascii="Times New Roman" w:hAnsi="Times New Roman" w:eastAsia="宋体" w:cs="Times New Roman"/>
      <w:sz w:val="20"/>
      <w:szCs w:val="20"/>
    </w:rPr>
  </w:style>
  <w:style w:type="character" w:customStyle="1" w:styleId="134">
    <w:name w:val="日期 Char"/>
    <w:link w:val="18"/>
    <w:qFormat/>
    <w:locked/>
    <w:uiPriority w:val="99"/>
    <w:rPr>
      <w:rFonts w:eastAsia="仿宋_GB2312"/>
      <w:kern w:val="2"/>
      <w:sz w:val="32"/>
    </w:rPr>
  </w:style>
  <w:style w:type="character" w:customStyle="1" w:styleId="135">
    <w:name w:val="纯文本 字符1"/>
    <w:semiHidden/>
    <w:qFormat/>
    <w:uiPriority w:val="99"/>
    <w:rPr>
      <w:rFonts w:ascii="等线" w:hAnsi="Courier New" w:cs="Courier New"/>
      <w:sz w:val="20"/>
      <w:szCs w:val="20"/>
    </w:rPr>
  </w:style>
  <w:style w:type="character" w:customStyle="1" w:styleId="136">
    <w:name w:val="批注框文本 Char"/>
    <w:link w:val="25"/>
    <w:qFormat/>
    <w:uiPriority w:val="99"/>
    <w:rPr>
      <w:sz w:val="18"/>
      <w:szCs w:val="18"/>
    </w:rPr>
  </w:style>
  <w:style w:type="character" w:customStyle="1" w:styleId="137">
    <w:name w:val="Body Text Indent 2 Char1"/>
    <w:semiHidden/>
    <w:qFormat/>
    <w:locked/>
    <w:uiPriority w:val="99"/>
    <w:rPr>
      <w:rFonts w:ascii="Times New Roman" w:hAnsi="Times New Roman" w:eastAsia="宋体" w:cs="Times New Roman"/>
      <w:sz w:val="20"/>
      <w:szCs w:val="20"/>
    </w:rPr>
  </w:style>
  <w:style w:type="character" w:customStyle="1" w:styleId="138">
    <w:name w:val="font81"/>
    <w:qFormat/>
    <w:uiPriority w:val="99"/>
    <w:rPr>
      <w:rFonts w:ascii="新宋体" w:hAnsi="新宋体" w:eastAsia="新宋体" w:cs="新宋体"/>
      <w:color w:val="000000"/>
      <w:sz w:val="21"/>
      <w:szCs w:val="21"/>
      <w:u w:val="none"/>
    </w:rPr>
  </w:style>
  <w:style w:type="paragraph" w:customStyle="1" w:styleId="139">
    <w:name w:val="正文文本缩进1"/>
    <w:basedOn w:val="1"/>
    <w:qFormat/>
    <w:uiPriority w:val="99"/>
    <w:pPr>
      <w:spacing w:after="120"/>
      <w:ind w:left="420" w:leftChars="200"/>
    </w:pPr>
    <w:rPr>
      <w:sz w:val="34"/>
    </w:rPr>
  </w:style>
  <w:style w:type="paragraph" w:customStyle="1" w:styleId="14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1">
    <w:name w:val="正文格式"/>
    <w:basedOn w:val="1"/>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2">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3">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4">
    <w:name w:val="Char"/>
    <w:basedOn w:val="1"/>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5">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6">
    <w:name w:val="Item List"/>
    <w:basedOn w:val="1"/>
    <w:qFormat/>
    <w:uiPriority w:val="99"/>
    <w:pPr>
      <w:numPr>
        <w:ilvl w:val="0"/>
        <w:numId w:val="1"/>
      </w:numPr>
      <w:spacing w:before="120" w:after="40"/>
    </w:pPr>
    <w:rPr>
      <w:rFonts w:ascii="Arial" w:hAnsi="Arial" w:cs="Arial"/>
      <w:sz w:val="18"/>
      <w:szCs w:val="18"/>
    </w:rPr>
  </w:style>
  <w:style w:type="paragraph" w:customStyle="1" w:styleId="147">
    <w:name w:val="xl32"/>
    <w:basedOn w:val="1"/>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8">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49">
    <w:name w:val="Li"/>
    <w:basedOn w:val="1"/>
    <w:qFormat/>
    <w:uiPriority w:val="0"/>
    <w:rPr>
      <w:rFonts w:ascii="Calibri" w:hAnsi="Calibri"/>
      <w:sz w:val="24"/>
      <w:lang w:val="en-GB" w:eastAsia="en-GB"/>
    </w:rPr>
  </w:style>
  <w:style w:type="paragraph" w:customStyle="1" w:styleId="150">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1">
    <w:name w:val="样式 标题 2 + Times New Roman 四号 非加粗 段前: 5 磅 段后: 0 磅 行距: 固定值 20..."/>
    <w:basedOn w:val="2"/>
    <w:qFormat/>
    <w:uiPriority w:val="99"/>
    <w:pPr>
      <w:spacing w:before="100" w:after="0" w:line="400" w:lineRule="exact"/>
    </w:pPr>
    <w:rPr>
      <w:rFonts w:ascii="Times New Roman" w:hAnsi="Times New Roman" w:cs="宋体"/>
      <w:b w:val="0"/>
      <w:bCs w:val="0"/>
      <w:sz w:val="28"/>
      <w:szCs w:val="20"/>
    </w:rPr>
  </w:style>
  <w:style w:type="paragraph" w:customStyle="1" w:styleId="152">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3">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4">
    <w:name w:val="列出段落5"/>
    <w:basedOn w:val="1"/>
    <w:qFormat/>
    <w:uiPriority w:val="99"/>
    <w:pPr>
      <w:widowControl w:val="0"/>
      <w:ind w:firstLine="420" w:firstLineChars="200"/>
      <w:jc w:val="both"/>
    </w:pPr>
    <w:rPr>
      <w:kern w:val="2"/>
      <w:szCs w:val="24"/>
    </w:rPr>
  </w:style>
  <w:style w:type="paragraph" w:customStyle="1" w:styleId="155">
    <w:name w:val="Table Paragraph"/>
    <w:basedOn w:val="1"/>
    <w:qFormat/>
    <w:uiPriority w:val="1"/>
    <w:rPr>
      <w:rFonts w:ascii="宋体" w:hAnsi="宋体" w:cs="宋体"/>
      <w:sz w:val="22"/>
      <w:lang w:eastAsia="en-US"/>
    </w:rPr>
  </w:style>
  <w:style w:type="paragraph" w:customStyle="1" w:styleId="156">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7">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8">
    <w:name w:val="表格非标题文字"/>
    <w:basedOn w:val="1"/>
    <w:qFormat/>
    <w:uiPriority w:val="99"/>
    <w:pPr>
      <w:snapToGrid w:val="0"/>
      <w:spacing w:before="80" w:after="40"/>
    </w:pPr>
    <w:rPr>
      <w:rFonts w:ascii="Arial" w:hAnsi="Arial" w:cs="Arial"/>
      <w:sz w:val="18"/>
      <w:szCs w:val="18"/>
    </w:rPr>
  </w:style>
  <w:style w:type="paragraph" w:customStyle="1" w:styleId="159">
    <w:name w:val="方案正文"/>
    <w:basedOn w:val="1"/>
    <w:qFormat/>
    <w:uiPriority w:val="0"/>
    <w:pPr>
      <w:spacing w:beforeLines="50" w:afterLines="50" w:line="360" w:lineRule="auto"/>
      <w:ind w:firstLine="200" w:firstLineChars="200"/>
    </w:pPr>
    <w:rPr>
      <w:sz w:val="28"/>
      <w:szCs w:val="28"/>
    </w:rPr>
  </w:style>
  <w:style w:type="paragraph" w:customStyle="1" w:styleId="160">
    <w:name w:val="font13"/>
    <w:basedOn w:val="1"/>
    <w:qFormat/>
    <w:uiPriority w:val="0"/>
    <w:pPr>
      <w:spacing w:before="100" w:beforeAutospacing="1" w:after="100" w:afterAutospacing="1"/>
    </w:pPr>
    <w:rPr>
      <w:rFonts w:ascii="宋体" w:hAnsi="宋体" w:cs="宋体"/>
      <w:sz w:val="18"/>
      <w:szCs w:val="18"/>
    </w:rPr>
  </w:style>
  <w:style w:type="paragraph" w:customStyle="1" w:styleId="161">
    <w:name w:val="1"/>
    <w:basedOn w:val="1"/>
    <w:qFormat/>
    <w:uiPriority w:val="0"/>
    <w:pPr>
      <w:spacing w:after="160" w:line="240" w:lineRule="exact"/>
    </w:pPr>
  </w:style>
  <w:style w:type="paragraph" w:customStyle="1" w:styleId="162">
    <w:name w:val="列出段落4"/>
    <w:basedOn w:val="1"/>
    <w:qFormat/>
    <w:uiPriority w:val="99"/>
    <w:pPr>
      <w:widowControl w:val="0"/>
      <w:ind w:firstLine="420" w:firstLineChars="200"/>
      <w:jc w:val="both"/>
    </w:pPr>
    <w:rPr>
      <w:kern w:val="2"/>
      <w:szCs w:val="24"/>
    </w:rPr>
  </w:style>
  <w:style w:type="paragraph" w:customStyle="1" w:styleId="163">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4">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5">
    <w:name w:val="333"/>
    <w:basedOn w:val="2"/>
    <w:next w:val="2"/>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6">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7">
    <w:name w:val="图例"/>
    <w:basedOn w:val="1"/>
    <w:qFormat/>
    <w:uiPriority w:val="0"/>
    <w:pPr>
      <w:widowControl w:val="0"/>
      <w:spacing w:before="120" w:after="120" w:line="360" w:lineRule="auto"/>
      <w:jc w:val="center"/>
    </w:pPr>
    <w:rPr>
      <w:rFonts w:eastAsia="仿宋_GB2312"/>
      <w:b/>
      <w:kern w:val="2"/>
    </w:rPr>
  </w:style>
  <w:style w:type="paragraph" w:customStyle="1" w:styleId="168">
    <w:name w:val="lei.header3"/>
    <w:next w:val="72"/>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69">
    <w:name w:val="列出段落[858D7CFB-ED40-4347-BF05-701D383B685F][858D7CFB-ED40-4347-BF05-701D383B685F]"/>
    <w:basedOn w:val="1"/>
    <w:qFormat/>
    <w:uiPriority w:val="0"/>
    <w:pPr>
      <w:ind w:firstLine="420" w:firstLineChars="200"/>
    </w:pPr>
  </w:style>
  <w:style w:type="paragraph" w:customStyle="1" w:styleId="170">
    <w:name w:val="正文首行缩进两字符"/>
    <w:basedOn w:val="1"/>
    <w:qFormat/>
    <w:uiPriority w:val="0"/>
    <w:pPr>
      <w:widowControl w:val="0"/>
      <w:spacing w:line="360" w:lineRule="auto"/>
      <w:ind w:firstLine="200" w:firstLineChars="200"/>
      <w:jc w:val="both"/>
    </w:pPr>
    <w:rPr>
      <w:rFonts w:ascii="Calibri" w:hAnsi="Calibri"/>
      <w:kern w:val="2"/>
      <w:szCs w:val="24"/>
    </w:rPr>
  </w:style>
  <w:style w:type="paragraph" w:customStyle="1" w:styleId="171">
    <w:name w:val="Default Paragraph Font Para Char"/>
    <w:basedOn w:val="1"/>
    <w:qFormat/>
    <w:uiPriority w:val="0"/>
    <w:pPr>
      <w:spacing w:after="160" w:line="240" w:lineRule="exact"/>
    </w:pPr>
    <w:rPr>
      <w:rFonts w:ascii="Verdana" w:hAnsi="Verdana"/>
      <w:sz w:val="20"/>
      <w:lang w:eastAsia="en-US"/>
    </w:rPr>
  </w:style>
  <w:style w:type="paragraph" w:customStyle="1" w:styleId="172">
    <w:name w:val="列出段落11"/>
    <w:basedOn w:val="1"/>
    <w:qFormat/>
    <w:uiPriority w:val="99"/>
    <w:pPr>
      <w:widowControl w:val="0"/>
      <w:ind w:firstLine="420" w:firstLineChars="200"/>
      <w:jc w:val="both"/>
    </w:pPr>
    <w:rPr>
      <w:kern w:val="2"/>
      <w:szCs w:val="24"/>
    </w:rPr>
  </w:style>
  <w:style w:type="paragraph" w:customStyle="1" w:styleId="173">
    <w:name w:val="Char Char Char"/>
    <w:basedOn w:val="1"/>
    <w:qFormat/>
    <w:uiPriority w:val="99"/>
    <w:pPr>
      <w:spacing w:after="160" w:line="240" w:lineRule="exact"/>
    </w:pPr>
    <w:rPr>
      <w:rFonts w:ascii="Verdana" w:hAnsi="Verdana" w:cs="Verdana"/>
      <w:szCs w:val="21"/>
      <w:lang w:eastAsia="en-US"/>
    </w:rPr>
  </w:style>
  <w:style w:type="paragraph" w:customStyle="1" w:styleId="174">
    <w:name w:val="_Style 13"/>
    <w:basedOn w:val="1"/>
    <w:qFormat/>
    <w:uiPriority w:val="99"/>
    <w:pPr>
      <w:widowControl w:val="0"/>
      <w:spacing w:after="160" w:line="240" w:lineRule="exact"/>
      <w:jc w:val="both"/>
    </w:pPr>
    <w:rPr>
      <w:kern w:val="2"/>
    </w:rPr>
  </w:style>
  <w:style w:type="paragraph" w:customStyle="1" w:styleId="175">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6">
    <w:name w:val="Char Char Char Char"/>
    <w:basedOn w:val="1"/>
    <w:qFormat/>
    <w:uiPriority w:val="99"/>
    <w:pPr>
      <w:spacing w:after="160" w:line="240" w:lineRule="exact"/>
    </w:pPr>
    <w:rPr>
      <w:rFonts w:ascii="Verdana" w:hAnsi="Verdana"/>
      <w:sz w:val="20"/>
      <w:lang w:eastAsia="en-US"/>
    </w:rPr>
  </w:style>
  <w:style w:type="paragraph" w:customStyle="1" w:styleId="177">
    <w:name w:val="Char Char Char Char Char Char Char"/>
    <w:basedOn w:val="1"/>
    <w:qFormat/>
    <w:uiPriority w:val="99"/>
    <w:pPr>
      <w:widowControl w:val="0"/>
      <w:jc w:val="both"/>
    </w:pPr>
    <w:rPr>
      <w:kern w:val="2"/>
      <w:szCs w:val="24"/>
    </w:rPr>
  </w:style>
  <w:style w:type="paragraph" w:customStyle="1" w:styleId="178">
    <w:name w:val="段标题1"/>
    <w:basedOn w:val="1"/>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79">
    <w:name w:val="T图形题注"/>
    <w:basedOn w:val="1"/>
    <w:next w:val="1"/>
    <w:qFormat/>
    <w:uiPriority w:val="0"/>
    <w:pPr>
      <w:spacing w:line="360" w:lineRule="auto"/>
      <w:jc w:val="center"/>
    </w:pPr>
    <w:rPr>
      <w:rFonts w:ascii="Calibri" w:hAnsi="Calibri" w:eastAsia="黑体"/>
      <w:b/>
      <w:kern w:val="2"/>
      <w:szCs w:val="21"/>
    </w:rPr>
  </w:style>
  <w:style w:type="paragraph" w:customStyle="1" w:styleId="18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1">
    <w:name w:val="font8"/>
    <w:basedOn w:val="1"/>
    <w:qFormat/>
    <w:uiPriority w:val="0"/>
    <w:pPr>
      <w:spacing w:before="100" w:beforeAutospacing="1" w:after="100" w:afterAutospacing="1"/>
    </w:pPr>
    <w:rPr>
      <w:rFonts w:ascii="宋体" w:hAnsi="宋体" w:cs="宋体"/>
      <w:sz w:val="20"/>
    </w:rPr>
  </w:style>
  <w:style w:type="paragraph" w:customStyle="1" w:styleId="182">
    <w:name w:val="样式 正文缩进 + 首行缩进:  2 字符"/>
    <w:basedOn w:val="6"/>
    <w:qFormat/>
    <w:uiPriority w:val="0"/>
    <w:pPr>
      <w:spacing w:line="360" w:lineRule="auto"/>
      <w:ind w:firstLine="480" w:firstLineChars="200"/>
    </w:pPr>
    <w:rPr>
      <w:rFonts w:cs="宋体"/>
      <w:sz w:val="24"/>
    </w:rPr>
  </w:style>
  <w:style w:type="paragraph" w:customStyle="1" w:styleId="183">
    <w:name w:val="Char Char2"/>
    <w:basedOn w:val="1"/>
    <w:qFormat/>
    <w:uiPriority w:val="0"/>
    <w:pPr>
      <w:spacing w:line="400" w:lineRule="exact"/>
      <w:jc w:val="center"/>
    </w:pPr>
    <w:rPr>
      <w:rFonts w:ascii="Verdana" w:hAnsi="Verdana"/>
      <w:lang w:eastAsia="en-US"/>
    </w:rPr>
  </w:style>
  <w:style w:type="paragraph" w:customStyle="1" w:styleId="184">
    <w:name w:val="列出段落1"/>
    <w:basedOn w:val="1"/>
    <w:qFormat/>
    <w:uiPriority w:val="0"/>
    <w:pPr>
      <w:ind w:firstLine="420" w:firstLineChars="200"/>
    </w:pPr>
  </w:style>
  <w:style w:type="paragraph" w:customStyle="1" w:styleId="185">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6">
    <w:name w:val="Char16"/>
    <w:basedOn w:val="1"/>
    <w:qFormat/>
    <w:uiPriority w:val="0"/>
    <w:pPr>
      <w:spacing w:after="160" w:line="240" w:lineRule="exact"/>
    </w:pPr>
    <w:rPr>
      <w:rFonts w:ascii="Verdana" w:hAnsi="Verdana"/>
      <w:sz w:val="20"/>
      <w:lang w:eastAsia="en-US"/>
    </w:rPr>
  </w:style>
  <w:style w:type="paragraph" w:customStyle="1" w:styleId="187">
    <w:name w:val="_Style 1"/>
    <w:basedOn w:val="1"/>
    <w:next w:val="1"/>
    <w:qFormat/>
    <w:uiPriority w:val="34"/>
    <w:pPr>
      <w:widowControl w:val="0"/>
      <w:ind w:firstLine="420" w:firstLineChars="200"/>
      <w:jc w:val="both"/>
    </w:pPr>
    <w:rPr>
      <w:kern w:val="2"/>
      <w:szCs w:val="24"/>
    </w:rPr>
  </w:style>
  <w:style w:type="paragraph" w:customStyle="1" w:styleId="188">
    <w:name w:val="Message Header First"/>
    <w:basedOn w:val="36"/>
    <w:next w:val="36"/>
    <w:qFormat/>
    <w:uiPriority w:val="0"/>
  </w:style>
  <w:style w:type="paragraph" w:customStyle="1" w:styleId="189">
    <w:name w:val="font12"/>
    <w:basedOn w:val="1"/>
    <w:qFormat/>
    <w:uiPriority w:val="0"/>
    <w:pPr>
      <w:spacing w:before="100" w:beforeAutospacing="1" w:after="100" w:afterAutospacing="1"/>
    </w:pPr>
    <w:rPr>
      <w:rFonts w:ascii="宋体" w:hAnsi="宋体" w:cs="宋体"/>
      <w:color w:val="000000"/>
      <w:sz w:val="20"/>
    </w:rPr>
  </w:style>
  <w:style w:type="paragraph" w:customStyle="1" w:styleId="19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1">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92">
    <w:name w:val="List Paragraph"/>
    <w:basedOn w:val="1"/>
    <w:qFormat/>
    <w:uiPriority w:val="34"/>
    <w:pPr>
      <w:ind w:firstLine="420" w:firstLineChars="200"/>
    </w:pPr>
  </w:style>
  <w:style w:type="paragraph" w:customStyle="1" w:styleId="193">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94">
    <w:name w:val="Char Char Char1"/>
    <w:basedOn w:val="1"/>
    <w:qFormat/>
    <w:uiPriority w:val="0"/>
    <w:pPr>
      <w:spacing w:after="160" w:line="240" w:lineRule="exact"/>
    </w:pPr>
    <w:rPr>
      <w:rFonts w:ascii="Calibri" w:hAnsi="Calibri"/>
      <w:kern w:val="2"/>
      <w:szCs w:val="24"/>
    </w:rPr>
  </w:style>
  <w:style w:type="paragraph" w:customStyle="1" w:styleId="195">
    <w:name w:val="列出段落3"/>
    <w:basedOn w:val="1"/>
    <w:qFormat/>
    <w:uiPriority w:val="99"/>
    <w:pPr>
      <w:widowControl w:val="0"/>
      <w:ind w:firstLine="420" w:firstLineChars="200"/>
      <w:jc w:val="both"/>
    </w:pPr>
    <w:rPr>
      <w:kern w:val="2"/>
      <w:szCs w:val="24"/>
    </w:rPr>
  </w:style>
  <w:style w:type="paragraph" w:customStyle="1" w:styleId="196">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7">
    <w:name w:val="Default"/>
    <w:basedOn w:val="1"/>
    <w:qFormat/>
    <w:uiPriority w:val="99"/>
    <w:pPr>
      <w:autoSpaceDE w:val="0"/>
      <w:autoSpaceDN w:val="0"/>
      <w:adjustRightInd w:val="0"/>
    </w:pPr>
    <w:rPr>
      <w:color w:val="000000"/>
      <w:sz w:val="24"/>
    </w:rPr>
  </w:style>
  <w:style w:type="paragraph" w:customStyle="1" w:styleId="198">
    <w:name w:val="p0"/>
    <w:basedOn w:val="1"/>
    <w:qFormat/>
    <w:uiPriority w:val="0"/>
    <w:pPr>
      <w:jc w:val="both"/>
    </w:pPr>
    <w:rPr>
      <w:szCs w:val="21"/>
    </w:rPr>
  </w:style>
  <w:style w:type="paragraph" w:customStyle="1" w:styleId="199">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0">
    <w:name w:val="章节题目"/>
    <w:basedOn w:val="201"/>
    <w:next w:val="1"/>
    <w:qFormat/>
    <w:uiPriority w:val="0"/>
    <w:pPr>
      <w:spacing w:before="720" w:after="400" w:line="540" w:lineRule="atLeast"/>
      <w:ind w:right="2160"/>
    </w:pPr>
    <w:rPr>
      <w:rFonts w:ascii="Times New Roman" w:hAnsi="Times New Roman"/>
      <w:spacing w:val="-40"/>
      <w:sz w:val="60"/>
    </w:rPr>
  </w:style>
  <w:style w:type="paragraph" w:customStyle="1" w:styleId="201">
    <w:name w:val="基准标题"/>
    <w:basedOn w:val="1"/>
    <w:next w:val="17"/>
    <w:qFormat/>
    <w:uiPriority w:val="0"/>
    <w:pPr>
      <w:keepNext/>
      <w:keepLines/>
      <w:spacing w:before="140" w:line="220" w:lineRule="atLeast"/>
    </w:pPr>
    <w:rPr>
      <w:rFonts w:ascii="Arial" w:hAnsi="Arial"/>
      <w:spacing w:val="-4"/>
      <w:kern w:val="28"/>
      <w:sz w:val="22"/>
    </w:rPr>
  </w:style>
  <w:style w:type="paragraph" w:customStyle="1" w:styleId="202">
    <w:name w:val="列出段落12"/>
    <w:basedOn w:val="1"/>
    <w:qFormat/>
    <w:uiPriority w:val="0"/>
    <w:pPr>
      <w:ind w:firstLine="420" w:firstLineChars="200"/>
    </w:pPr>
  </w:style>
  <w:style w:type="paragraph" w:customStyle="1" w:styleId="203">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4">
    <w:name w:val="Char1 Char Char Char Char Char Char1"/>
    <w:basedOn w:val="1"/>
    <w:qFormat/>
    <w:uiPriority w:val="99"/>
    <w:pPr>
      <w:widowControl w:val="0"/>
      <w:spacing w:after="160" w:line="240" w:lineRule="exact"/>
      <w:jc w:val="both"/>
    </w:pPr>
    <w:rPr>
      <w:kern w:val="2"/>
    </w:rPr>
  </w:style>
  <w:style w:type="paragraph" w:customStyle="1" w:styleId="2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6">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7">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8">
    <w:name w:val="Char Char Char Char Char Char"/>
    <w:basedOn w:val="1"/>
    <w:qFormat/>
    <w:uiPriority w:val="0"/>
    <w:pPr>
      <w:spacing w:after="160" w:line="240" w:lineRule="exact"/>
    </w:pPr>
    <w:rPr>
      <w:rFonts w:ascii="Verdana" w:hAnsi="Verdana" w:cs="Verdana"/>
      <w:szCs w:val="21"/>
      <w:lang w:eastAsia="en-US"/>
    </w:rPr>
  </w:style>
  <w:style w:type="paragraph" w:customStyle="1" w:styleId="20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0">
    <w:name w:val="示例×："/>
    <w:basedOn w:val="1"/>
    <w:qFormat/>
    <w:uiPriority w:val="99"/>
    <w:pPr>
      <w:jc w:val="both"/>
    </w:pPr>
    <w:rPr>
      <w:rFonts w:ascii="宋体"/>
      <w:sz w:val="18"/>
      <w:szCs w:val="18"/>
    </w:rPr>
  </w:style>
  <w:style w:type="paragraph" w:customStyle="1" w:styleId="211">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2">
    <w:name w:val="列表段落1"/>
    <w:basedOn w:val="1"/>
    <w:qFormat/>
    <w:uiPriority w:val="34"/>
    <w:pPr>
      <w:widowControl w:val="0"/>
      <w:spacing w:line="360" w:lineRule="auto"/>
      <w:ind w:firstLine="420" w:firstLineChars="200"/>
      <w:jc w:val="both"/>
    </w:pPr>
    <w:rPr>
      <w:rFonts w:ascii="宋体"/>
      <w:kern w:val="2"/>
      <w:sz w:val="24"/>
      <w:szCs w:val="24"/>
    </w:rPr>
  </w:style>
  <w:style w:type="paragraph" w:customStyle="1" w:styleId="213">
    <w:name w:val="样式1"/>
    <w:basedOn w:val="1"/>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4">
    <w:name w:val="font6"/>
    <w:basedOn w:val="1"/>
    <w:qFormat/>
    <w:uiPriority w:val="0"/>
    <w:pPr>
      <w:spacing w:before="100" w:beforeAutospacing="1" w:after="100" w:afterAutospacing="1"/>
    </w:pPr>
    <w:rPr>
      <w:rFonts w:ascii="宋体" w:hAnsi="宋体" w:cs="宋体"/>
      <w:sz w:val="18"/>
      <w:szCs w:val="18"/>
    </w:rPr>
  </w:style>
  <w:style w:type="paragraph" w:customStyle="1" w:styleId="215">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7">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218">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19">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1">
    <w:name w:val="List Paragraph_32a8a71d-9d51-41db-9a20-0e87fd3ab526"/>
    <w:basedOn w:val="1"/>
    <w:qFormat/>
    <w:uiPriority w:val="99"/>
    <w:pPr>
      <w:widowControl w:val="0"/>
      <w:ind w:firstLine="420" w:firstLineChars="200"/>
      <w:jc w:val="both"/>
    </w:pPr>
    <w:rPr>
      <w:kern w:val="2"/>
      <w:szCs w:val="24"/>
    </w:rPr>
  </w:style>
  <w:style w:type="paragraph" w:customStyle="1" w:styleId="222">
    <w:name w:val="lei.txt"/>
    <w:basedOn w:val="1"/>
    <w:qFormat/>
    <w:uiPriority w:val="0"/>
    <w:pPr>
      <w:widowControl w:val="0"/>
      <w:spacing w:line="360" w:lineRule="auto"/>
      <w:ind w:firstLine="480" w:firstLineChars="200"/>
      <w:jc w:val="both"/>
      <w:textAlignment w:val="center"/>
    </w:pPr>
    <w:rPr>
      <w:kern w:val="2"/>
      <w:sz w:val="24"/>
      <w:szCs w:val="24"/>
    </w:rPr>
  </w:style>
  <w:style w:type="paragraph" w:customStyle="1" w:styleId="223">
    <w:name w:val="TOC Heading"/>
    <w:basedOn w:val="3"/>
    <w:next w:val="1"/>
    <w:qFormat/>
    <w:uiPriority w:val="39"/>
    <w:pPr>
      <w:widowControl w:val="0"/>
      <w:spacing w:line="576" w:lineRule="auto"/>
      <w:jc w:val="both"/>
      <w:outlineLvl w:val="9"/>
    </w:pPr>
    <w:rPr>
      <w:rFonts w:ascii="Calibri" w:hAnsi="Calibri"/>
    </w:rPr>
  </w:style>
  <w:style w:type="paragraph" w:customStyle="1" w:styleId="224">
    <w:name w:val="Char Char1 Char Char Char Char Char Char"/>
    <w:basedOn w:val="1"/>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5">
    <w:name w:val="列出段落2"/>
    <w:basedOn w:val="1"/>
    <w:qFormat/>
    <w:uiPriority w:val="99"/>
    <w:pPr>
      <w:widowControl w:val="0"/>
      <w:ind w:firstLine="420" w:firstLineChars="200"/>
      <w:jc w:val="both"/>
    </w:pPr>
    <w:rPr>
      <w:kern w:val="2"/>
      <w:szCs w:val="24"/>
    </w:rPr>
  </w:style>
  <w:style w:type="paragraph" w:customStyle="1" w:styleId="226">
    <w:name w:val="lei.header1"/>
    <w:next w:val="227"/>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7">
    <w:name w:val="lei.header2"/>
    <w:next w:val="1"/>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8">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9">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0">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1">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2">
    <w:name w:val="￥正文"/>
    <w:basedOn w:val="1"/>
    <w:qFormat/>
    <w:uiPriority w:val="0"/>
    <w:pPr>
      <w:widowControl w:val="0"/>
      <w:spacing w:line="360" w:lineRule="auto"/>
      <w:ind w:firstLine="200" w:firstLineChars="200"/>
      <w:jc w:val="both"/>
    </w:pPr>
    <w:rPr>
      <w:rFonts w:ascii="Calibri" w:hAnsi="Calibri"/>
      <w:kern w:val="2"/>
      <w:sz w:val="24"/>
      <w:szCs w:val="24"/>
    </w:rPr>
  </w:style>
  <w:style w:type="paragraph" w:customStyle="1" w:styleId="233">
    <w:name w:val="Char Char"/>
    <w:basedOn w:val="1"/>
    <w:qFormat/>
    <w:uiPriority w:val="0"/>
    <w:pPr>
      <w:spacing w:after="160" w:line="240" w:lineRule="exact"/>
    </w:pPr>
    <w:rPr>
      <w:rFonts w:ascii="Verdana" w:hAnsi="Verdana" w:eastAsia="仿宋_GB2312"/>
      <w:sz w:val="24"/>
      <w:lang w:eastAsia="en-US"/>
    </w:rPr>
  </w:style>
  <w:style w:type="paragraph" w:customStyle="1" w:styleId="234">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5">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6">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7">
    <w:name w:val="font9"/>
    <w:basedOn w:val="1"/>
    <w:qFormat/>
    <w:uiPriority w:val="0"/>
    <w:pPr>
      <w:spacing w:before="100" w:beforeAutospacing="1" w:after="100" w:afterAutospacing="1"/>
    </w:pPr>
    <w:rPr>
      <w:rFonts w:ascii="宋体" w:hAnsi="宋体" w:cs="宋体"/>
      <w:color w:val="000000"/>
      <w:sz w:val="20"/>
    </w:rPr>
  </w:style>
  <w:style w:type="paragraph" w:customStyle="1" w:styleId="238">
    <w:name w:val="TOC 标题1"/>
    <w:basedOn w:val="3"/>
    <w:next w:val="1"/>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39">
    <w:name w:val="Char1"/>
    <w:basedOn w:val="1"/>
    <w:qFormat/>
    <w:uiPriority w:val="0"/>
    <w:pPr>
      <w:spacing w:after="160" w:line="240" w:lineRule="exact"/>
    </w:pPr>
    <w:rPr>
      <w:rFonts w:ascii="Verdana" w:hAnsi="Verdana"/>
      <w:sz w:val="20"/>
      <w:lang w:eastAsia="en-US"/>
    </w:rPr>
  </w:style>
  <w:style w:type="paragraph" w:customStyle="1" w:styleId="240">
    <w:name w:val="标题4"/>
    <w:basedOn w:val="5"/>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1">
    <w:name w:val="Char21"/>
    <w:basedOn w:val="1"/>
    <w:qFormat/>
    <w:uiPriority w:val="99"/>
    <w:pPr>
      <w:spacing w:after="160" w:line="240" w:lineRule="exact"/>
    </w:pPr>
    <w:rPr>
      <w:rFonts w:ascii="Verdana" w:hAnsi="Verdana"/>
      <w:sz w:val="20"/>
      <w:lang w:eastAsia="en-US"/>
    </w:rPr>
  </w:style>
  <w:style w:type="paragraph" w:customStyle="1" w:styleId="242">
    <w:name w:val="xl8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3">
    <w:name w:val="表格"/>
    <w:basedOn w:val="1"/>
    <w:qFormat/>
    <w:uiPriority w:val="99"/>
    <w:pPr>
      <w:widowControl w:val="0"/>
      <w:spacing w:line="400" w:lineRule="exact"/>
      <w:jc w:val="both"/>
    </w:pPr>
    <w:rPr>
      <w:kern w:val="2"/>
      <w:sz w:val="24"/>
      <w:szCs w:val="24"/>
    </w:rPr>
  </w:style>
  <w:style w:type="paragraph" w:customStyle="1" w:styleId="244">
    <w:name w:val="正文2"/>
    <w:basedOn w:val="103"/>
    <w:qFormat/>
    <w:uiPriority w:val="99"/>
    <w:pPr>
      <w:tabs>
        <w:tab w:val="left" w:pos="420"/>
      </w:tabs>
      <w:adjustRightInd/>
      <w:spacing w:line="360" w:lineRule="auto"/>
      <w:ind w:left="420" w:hanging="420"/>
    </w:pPr>
    <w:rPr>
      <w:kern w:val="2"/>
      <w:sz w:val="24"/>
      <w:szCs w:val="24"/>
    </w:rPr>
  </w:style>
  <w:style w:type="paragraph" w:customStyle="1" w:styleId="245">
    <w:name w:val="表格文字"/>
    <w:basedOn w:val="1"/>
    <w:qFormat/>
    <w:uiPriority w:val="99"/>
    <w:pPr>
      <w:widowControl w:val="0"/>
      <w:spacing w:before="25" w:after="25"/>
    </w:pPr>
    <w:rPr>
      <w:bCs/>
      <w:spacing w:val="10"/>
      <w:sz w:val="24"/>
    </w:rPr>
  </w:style>
  <w:style w:type="paragraph" w:customStyle="1" w:styleId="246">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7">
    <w:name w:val="Char2"/>
    <w:basedOn w:val="1"/>
    <w:semiHidden/>
    <w:qFormat/>
    <w:uiPriority w:val="0"/>
    <w:pPr>
      <w:widowControl w:val="0"/>
      <w:jc w:val="both"/>
    </w:pPr>
    <w:rPr>
      <w:rFonts w:ascii="Tahoma" w:hAnsi="Tahoma"/>
      <w:kern w:val="2"/>
      <w:sz w:val="24"/>
    </w:rPr>
  </w:style>
  <w:style w:type="paragraph" w:customStyle="1" w:styleId="24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49">
    <w:name w:val="Char Char Char Char Char Char1 Char"/>
    <w:basedOn w:val="1"/>
    <w:qFormat/>
    <w:uiPriority w:val="0"/>
    <w:pPr>
      <w:spacing w:after="160" w:line="240" w:lineRule="exact"/>
    </w:pPr>
    <w:rPr>
      <w:rFonts w:ascii="Verdana" w:hAnsi="Verdana"/>
      <w:lang w:eastAsia="en-US"/>
    </w:rPr>
  </w:style>
  <w:style w:type="paragraph" w:customStyle="1" w:styleId="250">
    <w:name w:val="p16"/>
    <w:basedOn w:val="1"/>
    <w:qFormat/>
    <w:uiPriority w:val="0"/>
    <w:pPr>
      <w:jc w:val="both"/>
    </w:pPr>
    <w:rPr>
      <w:szCs w:val="21"/>
    </w:rPr>
  </w:style>
  <w:style w:type="paragraph" w:customStyle="1" w:styleId="251">
    <w:name w:val="font10"/>
    <w:basedOn w:val="1"/>
    <w:qFormat/>
    <w:uiPriority w:val="0"/>
    <w:pPr>
      <w:spacing w:before="100" w:beforeAutospacing="1" w:after="100" w:afterAutospacing="1"/>
    </w:pPr>
    <w:rPr>
      <w:rFonts w:ascii="Arial" w:hAnsi="Arial" w:cs="Arial"/>
      <w:color w:val="000000"/>
      <w:sz w:val="20"/>
    </w:rPr>
  </w:style>
  <w:style w:type="paragraph" w:customStyle="1" w:styleId="2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3">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4">
    <w:name w:val="样式 首行缩进:  2 字符"/>
    <w:basedOn w:val="1"/>
    <w:qFormat/>
    <w:uiPriority w:val="99"/>
    <w:pPr>
      <w:widowControl w:val="0"/>
      <w:ind w:firstLine="420" w:firstLineChars="200"/>
      <w:jc w:val="both"/>
    </w:pPr>
    <w:rPr>
      <w:rFonts w:ascii="宋体" w:cs="宋体"/>
      <w:kern w:val="2"/>
    </w:rPr>
  </w:style>
  <w:style w:type="paragraph" w:customStyle="1" w:styleId="255">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6">
    <w:name w:val="_Style 3"/>
    <w:basedOn w:val="3"/>
    <w:next w:val="1"/>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7">
    <w:name w:val="_Style 49"/>
    <w:basedOn w:val="1"/>
    <w:next w:val="22"/>
    <w:qFormat/>
    <w:uiPriority w:val="99"/>
    <w:pPr>
      <w:widowControl w:val="0"/>
      <w:jc w:val="both"/>
    </w:pPr>
    <w:rPr>
      <w:rFonts w:ascii="宋体" w:hAnsi="Courier New"/>
      <w:kern w:val="2"/>
      <w:sz w:val="24"/>
    </w:rPr>
  </w:style>
  <w:style w:type="paragraph" w:customStyle="1" w:styleId="258">
    <w:name w:val="font7"/>
    <w:basedOn w:val="1"/>
    <w:qFormat/>
    <w:uiPriority w:val="0"/>
    <w:pPr>
      <w:spacing w:before="100" w:beforeAutospacing="1" w:after="100" w:afterAutospacing="1"/>
    </w:pPr>
    <w:rPr>
      <w:rFonts w:ascii="宋体" w:hAnsi="宋体" w:cs="宋体"/>
      <w:sz w:val="18"/>
      <w:szCs w:val="18"/>
    </w:rPr>
  </w:style>
  <w:style w:type="paragraph" w:customStyle="1" w:styleId="259">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0">
    <w:name w:val="font11"/>
    <w:basedOn w:val="1"/>
    <w:qFormat/>
    <w:uiPriority w:val="0"/>
    <w:pPr>
      <w:spacing w:before="100" w:beforeAutospacing="1" w:after="100" w:afterAutospacing="1"/>
    </w:pPr>
    <w:rPr>
      <w:color w:val="000000"/>
      <w:sz w:val="20"/>
    </w:rPr>
  </w:style>
  <w:style w:type="paragraph" w:customStyle="1" w:styleId="261">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2">
    <w:name w:val="_Style 12"/>
    <w:basedOn w:val="14"/>
    <w:qFormat/>
    <w:uiPriority w:val="99"/>
    <w:pPr>
      <w:widowControl w:val="0"/>
      <w:adjustRightInd w:val="0"/>
      <w:snapToGrid w:val="0"/>
      <w:spacing w:line="360" w:lineRule="auto"/>
      <w:jc w:val="both"/>
    </w:pPr>
    <w:rPr>
      <w:rFonts w:hAnsi="Tahoma"/>
      <w:kern w:val="2"/>
      <w:sz w:val="24"/>
    </w:rPr>
  </w:style>
  <w:style w:type="paragraph" w:customStyle="1" w:styleId="263">
    <w:name w:val="font5"/>
    <w:basedOn w:val="1"/>
    <w:qFormat/>
    <w:uiPriority w:val="0"/>
    <w:pPr>
      <w:spacing w:before="100" w:beforeAutospacing="1" w:after="100" w:afterAutospacing="1"/>
    </w:pPr>
    <w:rPr>
      <w:rFonts w:ascii="宋体" w:hAnsi="宋体" w:cs="宋体"/>
      <w:sz w:val="18"/>
      <w:szCs w:val="18"/>
    </w:rPr>
  </w:style>
  <w:style w:type="paragraph" w:customStyle="1" w:styleId="264">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5">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6">
    <w:name w:val="msonormalcxspmiddle"/>
    <w:basedOn w:val="1"/>
    <w:qFormat/>
    <w:uiPriority w:val="99"/>
    <w:pPr>
      <w:spacing w:before="280" w:after="280"/>
    </w:pPr>
    <w:rPr>
      <w:rFonts w:ascii="宋体" w:hAnsi="宋体" w:cs="宋体"/>
      <w:kern w:val="1"/>
      <w:sz w:val="24"/>
      <w:szCs w:val="24"/>
      <w:lang w:eastAsia="ar-SA"/>
    </w:rPr>
  </w:style>
  <w:style w:type="paragraph" w:customStyle="1" w:styleId="267">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8">
    <w:name w:val="lei正文"/>
    <w:basedOn w:val="6"/>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69">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270">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1">
    <w:name w:val="默认段落字体 Para Char Char Char Char Char Char Char"/>
    <w:basedOn w:val="1"/>
    <w:qFormat/>
    <w:uiPriority w:val="99"/>
    <w:pPr>
      <w:widowControl w:val="0"/>
      <w:spacing w:line="360" w:lineRule="auto"/>
      <w:jc w:val="both"/>
    </w:pPr>
    <w:rPr>
      <w:kern w:val="2"/>
    </w:rPr>
  </w:style>
  <w:style w:type="paragraph" w:customStyle="1" w:styleId="272">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3">
    <w:name w:val="newstyle16"/>
    <w:basedOn w:val="1"/>
    <w:qFormat/>
    <w:uiPriority w:val="0"/>
    <w:rPr>
      <w:rFonts w:ascii="宋体" w:hAnsi="宋体" w:cs="宋体"/>
      <w:sz w:val="24"/>
      <w:szCs w:val="24"/>
    </w:rPr>
  </w:style>
  <w:style w:type="paragraph" w:customStyle="1" w:styleId="274">
    <w:name w:val="List Paragraph1"/>
    <w:basedOn w:val="1"/>
    <w:qFormat/>
    <w:uiPriority w:val="99"/>
    <w:pPr>
      <w:ind w:firstLine="420" w:firstLineChars="200"/>
    </w:pPr>
    <w:rPr>
      <w:sz w:val="20"/>
    </w:rPr>
  </w:style>
  <w:style w:type="paragraph" w:customStyle="1" w:styleId="275">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6">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277">
    <w:name w:val="U_正文2"/>
    <w:basedOn w:val="1"/>
    <w:qFormat/>
    <w:uiPriority w:val="0"/>
    <w:pPr>
      <w:widowControl w:val="0"/>
      <w:spacing w:beforeLines="10" w:afterLines="10" w:line="300" w:lineRule="auto"/>
      <w:jc w:val="both"/>
    </w:pPr>
    <w:rPr>
      <w:rFonts w:ascii="Calibri" w:hAnsi="Calibri"/>
      <w:kern w:val="2"/>
      <w:sz w:val="24"/>
      <w:szCs w:val="22"/>
    </w:rPr>
  </w:style>
  <w:style w:type="paragraph" w:customStyle="1" w:styleId="278">
    <w:name w:val="Plain Text"/>
    <w:basedOn w:val="279"/>
    <w:qFormat/>
    <w:uiPriority w:val="0"/>
    <w:pPr>
      <w:adjustRightInd w:val="0"/>
      <w:textAlignment w:val="baseline"/>
    </w:pPr>
    <w:rPr>
      <w:rFonts w:ascii="宋体" w:hAnsi="Courier New" w:eastAsia="楷体_GB2312"/>
      <w:sz w:val="28"/>
      <w:szCs w:val="20"/>
    </w:rPr>
  </w:style>
  <w:style w:type="paragraph" w:customStyle="1" w:styleId="27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0">
    <w:name w:val="font41"/>
    <w:basedOn w:val="45"/>
    <w:qFormat/>
    <w:uiPriority w:val="0"/>
    <w:rPr>
      <w:rFonts w:hint="eastAsia" w:ascii="宋体" w:hAnsi="宋体" w:eastAsia="宋体" w:cs="宋体"/>
      <w:color w:val="000000"/>
      <w:sz w:val="24"/>
      <w:szCs w:val="24"/>
      <w:u w:val="none"/>
    </w:rPr>
  </w:style>
  <w:style w:type="character" w:customStyle="1" w:styleId="281">
    <w:name w:val="font01"/>
    <w:basedOn w:val="45"/>
    <w:qFormat/>
    <w:uiPriority w:val="0"/>
    <w:rPr>
      <w:rFonts w:hint="eastAsia" w:ascii="宋体" w:hAnsi="宋体" w:eastAsia="宋体" w:cs="宋体"/>
      <w:color w:val="FF0000"/>
      <w:sz w:val="24"/>
      <w:szCs w:val="24"/>
      <w:u w:val="none"/>
    </w:rPr>
  </w:style>
  <w:style w:type="character" w:customStyle="1" w:styleId="282">
    <w:name w:val="font61"/>
    <w:basedOn w:val="45"/>
    <w:qFormat/>
    <w:uiPriority w:val="0"/>
    <w:rPr>
      <w:rFonts w:hint="eastAsia" w:ascii="宋体" w:hAnsi="宋体" w:eastAsia="宋体" w:cs="宋体"/>
      <w:color w:val="FF0000"/>
      <w:sz w:val="24"/>
      <w:szCs w:val="24"/>
      <w:u w:val="none"/>
    </w:rPr>
  </w:style>
  <w:style w:type="paragraph" w:customStyle="1" w:styleId="283">
    <w:name w:val="正文 样式"/>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6593</Words>
  <Characters>37585</Characters>
  <Lines>313</Lines>
  <Paragraphs>88</Paragraphs>
  <TotalTime>2</TotalTime>
  <ScaleCrop>false</ScaleCrop>
  <LinksUpToDate>false</LinksUpToDate>
  <CharactersWithSpaces>44090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2020-06-28T23:01:00Z</dcterms:created>
  <dc:creator>微软用户</dc:creator>
  <cp:lastModifiedBy>政辉</cp:lastModifiedBy>
  <cp:lastPrinted>2020-02-25T23:31:00Z</cp:lastPrinted>
  <dcterms:modified xsi:type="dcterms:W3CDTF">2021-09-29T09:46:46Z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E9DEFA1426A548BCB7D6D25AC1DD699C</vt:lpwstr>
  </property>
</Properties>
</file>