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11080"/>
      <w:r>
        <w:rPr>
          <w:rFonts w:hint="eastAsia" w:ascii="宋体" w:hAnsi="宋体" w:cs="宋体"/>
          <w:b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采购需求</w:t>
      </w:r>
    </w:p>
    <w:p>
      <w:pPr>
        <w:spacing w:line="360" w:lineRule="auto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一、项目概况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（一）项目名称：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南繁科技城综合服务保障区、甘农大道（南滨段）兴滨路、外围路道路工程项目红线范围内中国联</w:t>
      </w:r>
      <w:bookmarkStart w:id="1" w:name="_GoBack"/>
      <w:bookmarkEnd w:id="1"/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通管线迁移工程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工期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6个月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（三）质量要求：合格。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（四）采购单位：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三亚市崖州区项目推进服务中心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二、工作需求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项目建设规模及内容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南繁科技城综合服务保障区、甘农大道（南滨段）兴滨路、外围路道路工程项目按规划要求，需将原在项目红线内的联通管线迁移到红线范围外。建设内容为新建水泥杆189根，新拉7/2.2吊线8.959公里，敷设12芯架空光缆5.436公里，敷设24芯架空光缆15.706公里，敷设48芯架空光缆15.075公里，敷设96芯架空光缆9.57公里，杆上安装引上钢管36根，穿放引上光缆130条，新增12芯接头8处，新增24芯接头37处，新增48芯接头17处，新增96芯接头13处，光缆成端共2736芯，12芯以下光缆测试36条，24芯以下光缆测试20条,48芯以下光缆测试19条，96芯以下光缆测试18条，新建1152光交箱3个，新增12芯一体化熔接托盘288套，跳纤1423条，安装光分纤箱、光分路箱26套，拆除光分纤箱、光分路箱26套；下地管遒部分：新建12芯管道光缆5.436公里，新建24芯管道光缆15.706公里,新建48芯管道光缆15.075公里，新建96芯管道光缆9.57公里，敷设5孔子管11.686公里，安装引上钢管36根，穿放引上光缆130条，新增12芯接头8处，新增24芯接头37处，新增48芯接头17处,新增96芯接头13处，光缆成端共2736芯，12芯以下光缆测试36条，24芯以下光缆测试20条,48芯以下光缆测试19条,96芯以下光缆测试18条，新建1152光交箱3个，新增12芯一体化熔接托盘288套，跳纤1423条，安装光分纤箱、光分路箱26套，拆除光分纤箱、光分路箱26套</w:t>
      </w:r>
      <w:r>
        <w:rPr>
          <w:rFonts w:hint="eastAsia" w:ascii="宋体" w:hAnsi="宋体" w:cs="宋体"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三、采购预算标准及预算总费用</w:t>
      </w:r>
    </w:p>
    <w:p>
      <w:pPr>
        <w:pStyle w:val="3"/>
        <w:spacing w:before="0" w:beforeAutospacing="0" w:after="0" w:afterAutospacing="0" w:line="360" w:lineRule="auto"/>
        <w:ind w:firstLine="480" w:firstLineChars="200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/>
        </w:rPr>
        <w:t>按照三亚</w:t>
      </w:r>
      <w:r>
        <w:rPr>
          <w:rFonts w:hint="eastAsia" w:hAnsi="宋体"/>
          <w:color w:val="000000"/>
          <w:lang w:val="en-US" w:eastAsia="zh-CN"/>
        </w:rPr>
        <w:t>崖州湾科技城管理局</w:t>
      </w:r>
      <w:r>
        <w:rPr>
          <w:rFonts w:hint="eastAsia" w:hAnsi="宋体"/>
          <w:color w:val="000000"/>
        </w:rPr>
        <w:t>关于</w:t>
      </w:r>
      <w:r>
        <w:rPr>
          <w:rFonts w:hint="eastAsia" w:hAnsi="宋体"/>
          <w:color w:val="000000"/>
          <w:lang w:eastAsia="zh-CN"/>
        </w:rPr>
        <w:t>南繁科技城综合服务保障区、甘农大道（南滨段）兴滨路、外围路道路工程项目红线范围内中国联通管线迁移工程</w:t>
      </w:r>
      <w:r>
        <w:rPr>
          <w:rFonts w:hint="eastAsia" w:hAnsi="宋体"/>
          <w:color w:val="000000"/>
        </w:rPr>
        <w:t>预算审核结论书【</w:t>
      </w:r>
      <w:r>
        <w:rPr>
          <w:rFonts w:hint="eastAsia" w:hAnsi="宋体"/>
          <w:color w:val="000000"/>
          <w:lang w:val="en-US" w:eastAsia="zh-CN"/>
        </w:rPr>
        <w:t>三科审财评</w:t>
      </w:r>
      <w:r>
        <w:rPr>
          <w:rFonts w:hint="eastAsia" w:hAnsi="宋体"/>
          <w:color w:val="000000"/>
        </w:rPr>
        <w:t>〔202</w:t>
      </w:r>
      <w:r>
        <w:rPr>
          <w:rFonts w:hint="eastAsia" w:hAnsi="宋体"/>
          <w:color w:val="000000"/>
          <w:lang w:val="en-US" w:eastAsia="zh-CN"/>
        </w:rPr>
        <w:t>1</w:t>
      </w:r>
      <w:r>
        <w:rPr>
          <w:rFonts w:hint="eastAsia" w:hAnsi="宋体"/>
          <w:color w:val="000000"/>
        </w:rPr>
        <w:t>〕</w:t>
      </w:r>
      <w:r>
        <w:rPr>
          <w:rFonts w:hint="eastAsia" w:hAnsi="宋体"/>
          <w:color w:val="000000"/>
          <w:lang w:val="en-US" w:eastAsia="zh-CN"/>
        </w:rPr>
        <w:t>52</w:t>
      </w:r>
      <w:r>
        <w:rPr>
          <w:rFonts w:hint="eastAsia" w:hAnsi="宋体"/>
          <w:color w:val="000000"/>
        </w:rPr>
        <w:t>号】，审定的建安工程费为</w:t>
      </w:r>
      <w:r>
        <w:rPr>
          <w:rFonts w:hint="eastAsia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2822546.29</w:t>
      </w:r>
      <w:r>
        <w:rPr>
          <w:rFonts w:hint="eastAsia" w:hAnsi="宋体"/>
          <w:color w:val="000000"/>
        </w:rPr>
        <w:t>元。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最高限价为</w:t>
      </w:r>
      <w:r>
        <w:rPr>
          <w:rFonts w:hint="eastAsia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2822546.29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元，超出预算金额（最高限价）的投标，按无效投标处理。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付款方式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付款方式：合同签订后，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中标人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向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提交申请支付30%的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预付款函，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完工后，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完成初步验收后，付款至合同总价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％</w:t>
      </w:r>
      <w:r>
        <w:rPr>
          <w:rFonts w:hint="eastAsia" w:hAnsi="宋体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竣工结算审核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完成后付款至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合同总价97％,剩余3%</w:t>
      </w:r>
      <w:r>
        <w:rPr>
          <w:rFonts w:hint="eastAsia" w:hAnsi="宋体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合同</w:t>
      </w:r>
      <w:r>
        <w:rPr>
          <w:rFonts w:hint="eastAsia" w:hAnsi="宋体"/>
          <w:color w:val="000000" w:themeColor="text1"/>
          <w:kern w:val="2"/>
          <w14:textFill>
            <w14:solidFill>
              <w14:schemeClr w14:val="tx1"/>
            </w14:solidFill>
          </w14:textFill>
        </w:rPr>
        <w:t>款留作质保金，质保金不计利息。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五、其他要求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（一）投标人编制的投标文件，应附详细的实施方案、管理办法等。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（二）投标报价是包含人工、机械、保险、各种税费、劳保等一些费用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（三）凡涉及招标文件的补充说明和修改，均以招标人书面通知为准。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（四）投标人在中标后，在签订合同后20个工作日内，必须完成做好以下准备工作：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1、乙方除有固定的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服务团队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外，还具有随时组织临时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服务团队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2、配齐所需要的机械设备。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81C307"/>
    <w:multiLevelType w:val="singleLevel"/>
    <w:tmpl w:val="C681C3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B5F4E"/>
    <w:rsid w:val="0CF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100" w:beforeAutospacing="1" w:after="10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2021-10-15T08:21:00Z</dcterms:created>
  <dc:creator>陈贺-CH</dc:creator>
  <cp:lastModifiedBy>陈贺-CH</cp:lastModifiedBy>
  <dcterms:modified xsi:type="dcterms:W3CDTF">2021-10-15T08:21:49Z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6F6EC7825D2E4A0FAEBA1AC9B68361AE</vt:lpwstr>
  </property>
</Properties>
</file>