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rPr>
      </w:pPr>
      <w:r>
        <w:rPr>
          <w:rFonts w:hint="eastAsia"/>
          <w:sz w:val="48"/>
          <w:szCs w:val="48"/>
          <w:lang w:val="en-US" w:eastAsia="zh-CN"/>
        </w:rPr>
        <w:t xml:space="preserve">第三章  </w:t>
      </w:r>
      <w:r>
        <w:rPr>
          <w:rFonts w:hint="eastAsia"/>
          <w:sz w:val="48"/>
          <w:szCs w:val="48"/>
        </w:rPr>
        <w:t>采购需求</w:t>
      </w:r>
    </w:p>
    <w:p>
      <w:pPr>
        <w:bidi w:val="0"/>
        <w:rPr>
          <w:rFonts w:hint="eastAsia"/>
        </w:rPr>
      </w:pPr>
      <w:r>
        <w:rPr>
          <w:rFonts w:hint="eastAsia"/>
        </w:rPr>
        <w:t xml:space="preserve">一、基本情况 </w:t>
      </w:r>
    </w:p>
    <w:p>
      <w:pPr>
        <w:bidi w:val="0"/>
        <w:rPr>
          <w:rFonts w:hint="eastAsia"/>
        </w:rPr>
      </w:pPr>
      <w:r>
        <w:rPr>
          <w:rFonts w:hint="eastAsia"/>
        </w:rPr>
        <w:t xml:space="preserve">1、项目名称：海南省机电工程学校1+X网络安全应急响应职业技能实训室建设设备采购项目 </w:t>
      </w:r>
    </w:p>
    <w:p>
      <w:pPr>
        <w:bidi w:val="0"/>
        <w:rPr>
          <w:rFonts w:hint="eastAsia"/>
        </w:rPr>
      </w:pPr>
      <w:r>
        <w:rPr>
          <w:rFonts w:hint="eastAsia"/>
        </w:rPr>
        <w:t>2、项目预算（总预算）：4</w:t>
      </w:r>
      <w:r>
        <w:rPr>
          <w:rFonts w:hint="eastAsia"/>
          <w:lang w:val="en-US" w:eastAsia="zh-CN"/>
        </w:rPr>
        <w:t>58</w:t>
      </w:r>
      <w:r>
        <w:rPr>
          <w:rFonts w:hint="eastAsia"/>
        </w:rPr>
        <w:t>.</w:t>
      </w:r>
      <w:r>
        <w:rPr>
          <w:rFonts w:hint="eastAsia"/>
          <w:lang w:val="en-US" w:eastAsia="zh-CN"/>
        </w:rPr>
        <w:t>01</w:t>
      </w:r>
      <w:r>
        <w:rPr>
          <w:rFonts w:hint="eastAsia"/>
        </w:rPr>
        <w:t xml:space="preserve"> 万元</w:t>
      </w:r>
    </w:p>
    <w:p>
      <w:pPr>
        <w:bidi w:val="0"/>
        <w:rPr>
          <w:rFonts w:hint="eastAsia"/>
        </w:rPr>
      </w:pPr>
      <w:r>
        <w:rPr>
          <w:rFonts w:hint="eastAsia"/>
        </w:rPr>
        <w:t xml:space="preserve">3、项目实施地点：采购人指定地点 </w:t>
      </w:r>
    </w:p>
    <w:p>
      <w:pPr>
        <w:bidi w:val="0"/>
        <w:rPr>
          <w:rFonts w:hint="eastAsia"/>
        </w:rPr>
      </w:pPr>
      <w:r>
        <w:rPr>
          <w:rFonts w:hint="eastAsia"/>
        </w:rPr>
        <w:t xml:space="preserve">4、用途：工作需要 </w:t>
      </w:r>
    </w:p>
    <w:p>
      <w:pPr>
        <w:bidi w:val="0"/>
        <w:rPr>
          <w:rFonts w:hint="eastAsia"/>
        </w:rPr>
      </w:pPr>
      <w:r>
        <w:rPr>
          <w:rFonts w:hint="eastAsia"/>
        </w:rPr>
        <w:t xml:space="preserve">5、采购模式：公开招标 </w:t>
      </w:r>
    </w:p>
    <w:p>
      <w:pPr>
        <w:bidi w:val="0"/>
        <w:rPr>
          <w:rFonts w:hint="eastAsia"/>
        </w:rPr>
      </w:pPr>
      <w:r>
        <w:rPr>
          <w:rFonts w:hint="eastAsia"/>
        </w:rPr>
        <w:t xml:space="preserve">6、合同履行期限（交货期）：签订合同之日起 </w:t>
      </w:r>
      <w:r>
        <w:rPr>
          <w:rFonts w:hint="eastAsia"/>
          <w:lang w:val="en-US" w:eastAsia="zh-CN"/>
        </w:rPr>
        <w:t>3</w:t>
      </w:r>
      <w:r>
        <w:rPr>
          <w:rFonts w:hint="eastAsia"/>
        </w:rPr>
        <w:t>0 天内。</w:t>
      </w:r>
    </w:p>
    <w:p>
      <w:pPr>
        <w:bidi w:val="0"/>
        <w:rPr>
          <w:rFonts w:hint="eastAsia"/>
        </w:rPr>
      </w:pPr>
      <w:r>
        <w:rPr>
          <w:rFonts w:hint="eastAsia"/>
        </w:rPr>
        <w:t>7、采购需求：</w:t>
      </w:r>
    </w:p>
    <w:p>
      <w:pPr>
        <w:rPr>
          <w:rFonts w:hint="eastAsia"/>
        </w:rPr>
      </w:pPr>
    </w:p>
    <w:p>
      <w:r>
        <w:rPr>
          <w:rFonts w:hint="eastAsia"/>
          <w:lang w:val="en-US" w:eastAsia="zh-CN"/>
        </w:rPr>
        <w:t>二、</w:t>
      </w:r>
      <w:r>
        <w:rPr>
          <w:rFonts w:hint="eastAsia"/>
        </w:rPr>
        <w:t>采购需求内容一览表</w:t>
      </w:r>
    </w:p>
    <w:tbl>
      <w:tblPr>
        <w:tblStyle w:val="10"/>
        <w:tblW w:w="5000" w:type="pct"/>
        <w:tblInd w:w="0" w:type="dxa"/>
        <w:shd w:val="clear" w:color="auto" w:fill="FFFFFF" w:themeFill="background1"/>
        <w:tblLayout w:type="autofit"/>
        <w:tblCellMar>
          <w:top w:w="0" w:type="dxa"/>
          <w:left w:w="108" w:type="dxa"/>
          <w:bottom w:w="0" w:type="dxa"/>
          <w:right w:w="108" w:type="dxa"/>
        </w:tblCellMar>
      </w:tblPr>
      <w:tblGrid>
        <w:gridCol w:w="769"/>
        <w:gridCol w:w="2641"/>
        <w:gridCol w:w="3767"/>
        <w:gridCol w:w="771"/>
        <w:gridCol w:w="772"/>
      </w:tblGrid>
      <w:tr>
        <w:tblPrEx>
          <w:shd w:val="clear" w:color="auto" w:fill="FFFFFF" w:themeFill="background1"/>
          <w:tblCellMar>
            <w:top w:w="0" w:type="dxa"/>
            <w:left w:w="108" w:type="dxa"/>
            <w:bottom w:w="0" w:type="dxa"/>
            <w:right w:w="108" w:type="dxa"/>
          </w:tblCellMar>
        </w:tblPrEx>
        <w:trPr>
          <w:trHeight w:val="285" w:hRule="atLeast"/>
        </w:trPr>
        <w:tc>
          <w:tcPr>
            <w:tcW w:w="44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序号</w:t>
            </w:r>
          </w:p>
        </w:tc>
        <w:tc>
          <w:tcPr>
            <w:tcW w:w="1514"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产品类别</w:t>
            </w:r>
          </w:p>
        </w:tc>
        <w:tc>
          <w:tcPr>
            <w:tcW w:w="2159"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产品名称</w:t>
            </w:r>
          </w:p>
        </w:tc>
        <w:tc>
          <w:tcPr>
            <w:tcW w:w="442"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数量</w:t>
            </w:r>
          </w:p>
        </w:tc>
        <w:tc>
          <w:tcPr>
            <w:tcW w:w="442" w:type="pct"/>
            <w:tcBorders>
              <w:top w:val="single" w:color="auto" w:sz="4" w:space="0"/>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单位</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1514" w:type="pct"/>
            <w:vMerge w:val="restart"/>
            <w:tcBorders>
              <w:top w:val="nil"/>
              <w:left w:val="single" w:color="auto" w:sz="4" w:space="0"/>
              <w:bottom w:val="single" w:color="auto" w:sz="4" w:space="0"/>
              <w:right w:val="single" w:color="auto" w:sz="4" w:space="0"/>
            </w:tcBorders>
            <w:shd w:val="clear" w:color="auto" w:fill="FFFFFF" w:themeFill="background1"/>
            <w:noWrap/>
            <w:vAlign w:val="center"/>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1+X信息安全实训系统</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配套一体机硬件设备</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台</w:t>
            </w:r>
          </w:p>
        </w:tc>
      </w:tr>
      <w:tr>
        <w:tblPrEx>
          <w:shd w:val="clear" w:color="auto" w:fill="FFFFFF" w:themeFill="background1"/>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2</w:t>
            </w:r>
          </w:p>
        </w:tc>
        <w:tc>
          <w:tcPr>
            <w:tcW w:w="151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240" w:lineRule="auto"/>
              <w:jc w:val="left"/>
              <w:rPr>
                <w:rFonts w:ascii="等线" w:hAnsi="等线" w:eastAsia="等线" w:cs="宋体"/>
                <w:color w:val="000000"/>
                <w:sz w:val="22"/>
                <w:szCs w:val="22"/>
              </w:rPr>
            </w:pP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标准课程资源包</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shd w:val="clear" w:color="auto" w:fill="FFFFFF" w:themeFill="background1"/>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3</w:t>
            </w:r>
          </w:p>
        </w:tc>
        <w:tc>
          <w:tcPr>
            <w:tcW w:w="151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240" w:lineRule="auto"/>
              <w:jc w:val="left"/>
              <w:rPr>
                <w:rFonts w:ascii="等线" w:hAnsi="等线" w:eastAsia="等线" w:cs="宋体"/>
                <w:color w:val="000000"/>
                <w:sz w:val="22"/>
                <w:szCs w:val="22"/>
              </w:rPr>
            </w:pP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教学管理功能模块</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4</w:t>
            </w:r>
          </w:p>
        </w:tc>
        <w:tc>
          <w:tcPr>
            <w:tcW w:w="151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240" w:lineRule="auto"/>
              <w:jc w:val="left"/>
              <w:rPr>
                <w:rFonts w:ascii="等线" w:hAnsi="等线" w:eastAsia="等线" w:cs="宋体"/>
                <w:color w:val="000000"/>
                <w:sz w:val="22"/>
                <w:szCs w:val="22"/>
              </w:rPr>
            </w:pP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在线学习功能模块</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shd w:val="clear" w:color="auto" w:fill="FFFFFF" w:themeFill="background1"/>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5</w:t>
            </w:r>
          </w:p>
        </w:tc>
        <w:tc>
          <w:tcPr>
            <w:tcW w:w="151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240" w:lineRule="auto"/>
              <w:jc w:val="left"/>
              <w:rPr>
                <w:rFonts w:ascii="等线" w:hAnsi="等线" w:eastAsia="等线" w:cs="宋体"/>
                <w:color w:val="000000"/>
                <w:sz w:val="22"/>
                <w:szCs w:val="22"/>
              </w:rPr>
            </w:pP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考试测评功能模块</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shd w:val="clear" w:color="auto" w:fill="FFFFFF" w:themeFill="background1"/>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6</w:t>
            </w:r>
          </w:p>
        </w:tc>
        <w:tc>
          <w:tcPr>
            <w:tcW w:w="151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240" w:lineRule="auto"/>
              <w:jc w:val="left"/>
              <w:rPr>
                <w:rFonts w:ascii="等线" w:hAnsi="等线" w:eastAsia="等线" w:cs="宋体"/>
                <w:color w:val="000000"/>
                <w:sz w:val="22"/>
                <w:szCs w:val="22"/>
              </w:rPr>
            </w:pP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仿真实验功能模块</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7</w:t>
            </w:r>
          </w:p>
        </w:tc>
        <w:tc>
          <w:tcPr>
            <w:tcW w:w="151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240" w:lineRule="auto"/>
              <w:jc w:val="left"/>
              <w:rPr>
                <w:rFonts w:ascii="等线" w:hAnsi="等线" w:eastAsia="等线" w:cs="宋体"/>
                <w:color w:val="000000"/>
                <w:sz w:val="22"/>
                <w:szCs w:val="22"/>
              </w:rPr>
            </w:pP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虚实结合功能模块</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8</w:t>
            </w:r>
          </w:p>
        </w:tc>
        <w:tc>
          <w:tcPr>
            <w:tcW w:w="151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240" w:lineRule="auto"/>
              <w:jc w:val="left"/>
              <w:rPr>
                <w:rFonts w:ascii="等线" w:hAnsi="等线" w:eastAsia="等线" w:cs="宋体"/>
                <w:color w:val="000000"/>
                <w:sz w:val="22"/>
                <w:szCs w:val="22"/>
              </w:rPr>
            </w:pP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知识库功能模块</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shd w:val="clear" w:color="auto" w:fill="FFFFFF" w:themeFill="background1"/>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9</w:t>
            </w:r>
          </w:p>
        </w:tc>
        <w:tc>
          <w:tcPr>
            <w:tcW w:w="151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240" w:lineRule="auto"/>
              <w:jc w:val="left"/>
              <w:rPr>
                <w:rFonts w:ascii="等线" w:hAnsi="等线" w:eastAsia="等线" w:cs="宋体"/>
                <w:color w:val="000000"/>
                <w:sz w:val="22"/>
                <w:szCs w:val="22"/>
              </w:rPr>
            </w:pP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项目实训功能模块</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10</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1+X应急响应课程资源包</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1+X应急响应课程资源包</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tblCellMar>
            <w:top w:w="0" w:type="dxa"/>
            <w:left w:w="108" w:type="dxa"/>
            <w:bottom w:w="0" w:type="dxa"/>
            <w:right w:w="108" w:type="dxa"/>
          </w:tblCellMar>
        </w:tblPrEx>
        <w:trPr>
          <w:trHeight w:val="302"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11</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1+X实训系统仿真资源</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1+X实训系统仿真资源包</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12</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1+X实训系统标准课程</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hint="eastAsia" w:ascii="等线" w:hAnsi="等线" w:eastAsia="等线" w:cs="宋体"/>
                <w:color w:val="000000"/>
                <w:sz w:val="22"/>
                <w:szCs w:val="22"/>
              </w:rPr>
            </w:pPr>
            <w:r>
              <w:rPr>
                <w:rFonts w:hint="eastAsia" w:ascii="等线" w:hAnsi="等线" w:eastAsia="等线" w:cs="宋体"/>
                <w:color w:val="000000"/>
                <w:sz w:val="22"/>
                <w:szCs w:val="22"/>
              </w:rPr>
              <w:t>1+X实训系统标准课程扩展包</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13</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1+X终端安全课程资源包</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1+X终端安全课程资源包</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14</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1+X终端安全实训设备</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1+X终端安全实训设备</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6</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15</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1+X防火墙课程资源包</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1+X防火墙课程资源包</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shd w:val="clear" w:color="auto" w:fill="FFFFFF" w:themeFill="background1"/>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16</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1+X防火墙实训设备</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1+X防火墙实训设备</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6</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台</w:t>
            </w:r>
          </w:p>
        </w:tc>
      </w:tr>
      <w:tr>
        <w:tblPrEx>
          <w:shd w:val="clear" w:color="auto" w:fill="FFFFFF" w:themeFill="background1"/>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17</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1+X漏扫课程资源包</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1+X漏扫课程资源包</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套</w:t>
            </w:r>
          </w:p>
        </w:tc>
      </w:tr>
      <w:tr>
        <w:tblPrEx>
          <w:shd w:val="clear" w:color="auto" w:fill="FFFFFF" w:themeFill="background1"/>
          <w:tblCellMar>
            <w:top w:w="0" w:type="dxa"/>
            <w:left w:w="108" w:type="dxa"/>
            <w:bottom w:w="0" w:type="dxa"/>
            <w:right w:w="108" w:type="dxa"/>
          </w:tblCellMar>
        </w:tblPrEx>
        <w:trPr>
          <w:trHeight w:val="198"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18</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1+X漏扫实训设备</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1+X漏扫实训设备</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6</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台</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19</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1+X师资培训服务</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1+X师资培训服务</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5</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天</w:t>
            </w:r>
          </w:p>
        </w:tc>
      </w:tr>
      <w:tr>
        <w:tblPrEx>
          <w:shd w:val="clear" w:color="auto" w:fill="FFFFFF" w:themeFill="background1"/>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20</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1+X信息安全实训系统</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课程体系咨询服务</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5</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天</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21</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1+X驻场师资服务</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1+X驻场师资服务</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年</w:t>
            </w:r>
          </w:p>
        </w:tc>
      </w:tr>
      <w:tr>
        <w:tblPrEx>
          <w:shd w:val="clear" w:color="auto" w:fill="FFFFFF" w:themeFill="background1"/>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22</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SDN交换机</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SDN交换机</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6</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台</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23</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串口服务器</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串口服务器</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6</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台</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24</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二层接入交换机</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二层接入交换机</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2</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台</w:t>
            </w:r>
          </w:p>
        </w:tc>
      </w:tr>
      <w:tr>
        <w:tblPrEx>
          <w:tblCellMar>
            <w:top w:w="0" w:type="dxa"/>
            <w:left w:w="108" w:type="dxa"/>
            <w:bottom w:w="0" w:type="dxa"/>
            <w:right w:w="108" w:type="dxa"/>
          </w:tblCellMar>
        </w:tblPrEx>
        <w:trPr>
          <w:trHeight w:val="285" w:hRule="atLeast"/>
        </w:trPr>
        <w:tc>
          <w:tcPr>
            <w:tcW w:w="441" w:type="pct"/>
            <w:tcBorders>
              <w:top w:val="nil"/>
              <w:left w:val="single" w:color="auto" w:sz="4" w:space="0"/>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25</w:t>
            </w:r>
          </w:p>
        </w:tc>
        <w:tc>
          <w:tcPr>
            <w:tcW w:w="1514"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服务器机柜</w:t>
            </w:r>
          </w:p>
        </w:tc>
        <w:tc>
          <w:tcPr>
            <w:tcW w:w="2159"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服务器机柜</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442" w:type="pct"/>
            <w:tcBorders>
              <w:top w:val="nil"/>
              <w:left w:val="nil"/>
              <w:bottom w:val="single" w:color="auto" w:sz="4" w:space="0"/>
              <w:right w:val="single" w:color="auto" w:sz="4" w:space="0"/>
            </w:tcBorders>
            <w:shd w:val="clear" w:color="auto" w:fill="FFFFFF" w:themeFill="background1"/>
            <w:noWrap/>
            <w:vAlign w:val="bottom"/>
          </w:tcPr>
          <w:p>
            <w:pPr>
              <w:spacing w:line="240" w:lineRule="auto"/>
              <w:jc w:val="center"/>
              <w:rPr>
                <w:rFonts w:ascii="等线" w:hAnsi="等线" w:eastAsia="等线" w:cs="宋体"/>
                <w:color w:val="000000"/>
                <w:sz w:val="22"/>
                <w:szCs w:val="22"/>
              </w:rPr>
            </w:pPr>
            <w:r>
              <w:rPr>
                <w:rFonts w:hint="eastAsia" w:ascii="等线" w:hAnsi="等线" w:eastAsia="等线" w:cs="宋体"/>
                <w:color w:val="000000"/>
                <w:sz w:val="22"/>
                <w:szCs w:val="22"/>
              </w:rPr>
              <w:t>个</w:t>
            </w:r>
          </w:p>
        </w:tc>
      </w:tr>
    </w:tbl>
    <w:p/>
    <w:p>
      <w:pPr>
        <w:jc w:val="center"/>
        <w:rPr>
          <w:b/>
          <w:bCs/>
          <w:sz w:val="28"/>
          <w:szCs w:val="28"/>
        </w:rPr>
      </w:pPr>
    </w:p>
    <w:p>
      <w:pPr>
        <w:jc w:val="center"/>
        <w:rPr>
          <w:b/>
          <w:bCs/>
          <w:sz w:val="28"/>
          <w:szCs w:val="28"/>
        </w:rPr>
      </w:pPr>
    </w:p>
    <w:p>
      <w:pPr>
        <w:jc w:val="left"/>
        <w:rPr>
          <w:b/>
          <w:bCs/>
        </w:rPr>
      </w:pPr>
      <w:r>
        <w:rPr>
          <w:rFonts w:hint="eastAsia"/>
          <w:b/>
          <w:bCs/>
          <w:sz w:val="28"/>
          <w:szCs w:val="28"/>
          <w:lang w:val="en-US" w:eastAsia="zh-CN"/>
        </w:rPr>
        <w:t>三、技术要</w:t>
      </w:r>
      <w:r>
        <w:rPr>
          <w:rFonts w:hint="eastAsia"/>
          <w:b/>
          <w:bCs/>
          <w:sz w:val="28"/>
          <w:szCs w:val="28"/>
        </w:rPr>
        <w:t>求</w:t>
      </w:r>
    </w:p>
    <w:p>
      <w:pPr>
        <w:rPr>
          <w:b/>
          <w:bCs/>
        </w:rPr>
      </w:pPr>
    </w:p>
    <w:tbl>
      <w:tblPr>
        <w:tblStyle w:val="10"/>
        <w:tblW w:w="10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973"/>
        <w:gridCol w:w="6978"/>
        <w:gridCol w:w="731"/>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序号</w:t>
            </w:r>
          </w:p>
        </w:tc>
        <w:tc>
          <w:tcPr>
            <w:tcW w:w="973" w:type="dxa"/>
            <w:vAlign w:val="center"/>
          </w:tcPr>
          <w:p>
            <w:pPr>
              <w:rPr>
                <w:rFonts w:ascii="宋体" w:hAnsi="宋体" w:cs="宋体"/>
                <w:b/>
                <w:sz w:val="18"/>
                <w:szCs w:val="18"/>
              </w:rPr>
            </w:pPr>
            <w:r>
              <w:rPr>
                <w:rFonts w:hint="eastAsia" w:ascii="宋体" w:hAnsi="宋体" w:cs="宋体"/>
                <w:b/>
                <w:sz w:val="18"/>
                <w:szCs w:val="18"/>
              </w:rPr>
              <w:t>产品名称</w:t>
            </w:r>
          </w:p>
        </w:tc>
        <w:tc>
          <w:tcPr>
            <w:tcW w:w="6978" w:type="dxa"/>
            <w:shd w:val="clear" w:color="auto" w:fill="auto"/>
            <w:vAlign w:val="center"/>
          </w:tcPr>
          <w:p>
            <w:pPr>
              <w:jc w:val="center"/>
              <w:rPr>
                <w:rFonts w:ascii="宋体" w:hAnsi="宋体"/>
                <w:b/>
                <w:sz w:val="18"/>
                <w:szCs w:val="18"/>
              </w:rPr>
            </w:pPr>
            <w:r>
              <w:rPr>
                <w:rFonts w:hint="eastAsia" w:ascii="宋体" w:hAnsi="宋体"/>
                <w:b/>
                <w:sz w:val="18"/>
                <w:szCs w:val="18"/>
              </w:rPr>
              <w:t>技术参数、规格及要求</w:t>
            </w:r>
          </w:p>
        </w:tc>
        <w:tc>
          <w:tcPr>
            <w:tcW w:w="731" w:type="dxa"/>
            <w:shd w:val="clear" w:color="auto" w:fill="auto"/>
            <w:vAlign w:val="center"/>
          </w:tcPr>
          <w:p>
            <w:pPr>
              <w:jc w:val="center"/>
              <w:rPr>
                <w:rFonts w:ascii="宋体" w:hAnsi="宋体"/>
                <w:b/>
                <w:sz w:val="18"/>
                <w:szCs w:val="18"/>
              </w:rPr>
            </w:pPr>
            <w:r>
              <w:rPr>
                <w:rFonts w:hint="eastAsia" w:ascii="宋体" w:hAnsi="宋体"/>
                <w:b/>
                <w:sz w:val="18"/>
                <w:szCs w:val="18"/>
              </w:rPr>
              <w:t>数量</w:t>
            </w:r>
          </w:p>
        </w:tc>
        <w:tc>
          <w:tcPr>
            <w:tcW w:w="731" w:type="dxa"/>
            <w:vAlign w:val="center"/>
          </w:tcPr>
          <w:p>
            <w:pPr>
              <w:jc w:val="center"/>
              <w:rPr>
                <w:rFonts w:ascii="宋体" w:hAnsi="宋体"/>
                <w:b/>
                <w:sz w:val="18"/>
                <w:szCs w:val="18"/>
              </w:rPr>
            </w:pPr>
            <w:r>
              <w:rPr>
                <w:rFonts w:hint="eastAsia" w:ascii="宋体" w:hAnsi="宋体"/>
                <w:b/>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1</w:t>
            </w:r>
          </w:p>
        </w:tc>
        <w:tc>
          <w:tcPr>
            <w:tcW w:w="973" w:type="dxa"/>
            <w:vAlign w:val="center"/>
          </w:tcPr>
          <w:p>
            <w:pPr>
              <w:rPr>
                <w:rFonts w:ascii="宋体" w:hAnsi="宋体" w:cs="宋体"/>
                <w:b/>
                <w:sz w:val="18"/>
                <w:szCs w:val="18"/>
              </w:rPr>
            </w:pPr>
            <w:r>
              <w:rPr>
                <w:rFonts w:hint="eastAsia" w:ascii="宋体" w:hAnsi="宋体" w:cs="宋体"/>
                <w:b/>
                <w:sz w:val="18"/>
                <w:szCs w:val="18"/>
              </w:rPr>
              <w:t>1+X信息安全实训系统</w:t>
            </w:r>
          </w:p>
        </w:tc>
        <w:tc>
          <w:tcPr>
            <w:tcW w:w="6978" w:type="dxa"/>
            <w:shd w:val="clear" w:color="auto" w:fill="auto"/>
            <w:vAlign w:val="center"/>
          </w:tcPr>
          <w:p>
            <w:pPr>
              <w:pStyle w:val="22"/>
              <w:numPr>
                <w:ilvl w:val="0"/>
                <w:numId w:val="1"/>
              </w:numPr>
              <w:spacing w:line="360" w:lineRule="auto"/>
              <w:ind w:firstLineChars="0"/>
              <w:rPr>
                <w:rFonts w:ascii="宋体" w:hAnsi="宋体"/>
                <w:sz w:val="18"/>
                <w:szCs w:val="18"/>
              </w:rPr>
            </w:pPr>
            <w:r>
              <w:rPr>
                <w:rFonts w:hint="eastAsia" w:ascii="宋体" w:hAnsi="宋体"/>
                <w:sz w:val="18"/>
                <w:szCs w:val="18"/>
              </w:rPr>
              <w:t>2U设备；≥12个千兆电口；≥2颗CPU、CPU主频≥2.2GHZ 、CPU核数≥10核；≥256G内存；硬盘≥4T；≥1G缓存；双电源；提供≥50人并发授权；支持扩容授权到80人。提供从教学方案制定-理论学习-仿真实验-项目实训-能力评估-教学跟踪的一体化人才培养方案。提供三年硬件维保服务。主要包含7大功能模块：教学管理，在线学习，考试测评，仿真实验，虚实结合，知识库，项目实训；</w:t>
            </w:r>
          </w:p>
          <w:p>
            <w:pPr>
              <w:pStyle w:val="22"/>
              <w:numPr>
                <w:ilvl w:val="0"/>
                <w:numId w:val="1"/>
              </w:numPr>
              <w:spacing w:line="360" w:lineRule="auto"/>
              <w:ind w:firstLineChars="0"/>
              <w:rPr>
                <w:rFonts w:ascii="宋体" w:hAnsi="宋体"/>
                <w:sz w:val="18"/>
                <w:szCs w:val="18"/>
              </w:rPr>
            </w:pPr>
            <w:r>
              <w:rPr>
                <w:rFonts w:hint="eastAsia" w:ascii="宋体" w:hAnsi="宋体"/>
                <w:sz w:val="18"/>
                <w:szCs w:val="18"/>
              </w:rPr>
              <w:t>系统内置防护功能，控制中心的告警分析支持可视化图形日志管理，包含今日告警数、今日告警终端数、今日活跃终端数、风险趋势、攻击时序、攻击类型分布与趋势、事件类型分布与趋势、遭受攻击系统Top5、遭受攻击分组Top5、遭受攻击程序Top10、遭受攻击终端Top10；</w:t>
            </w:r>
          </w:p>
          <w:p>
            <w:pPr>
              <w:pStyle w:val="22"/>
              <w:numPr>
                <w:ilvl w:val="0"/>
                <w:numId w:val="1"/>
              </w:numPr>
              <w:spacing w:line="360" w:lineRule="auto"/>
              <w:ind w:firstLineChars="0"/>
              <w:rPr>
                <w:rFonts w:ascii="宋体" w:hAnsi="宋体"/>
                <w:sz w:val="18"/>
                <w:szCs w:val="18"/>
              </w:rPr>
            </w:pPr>
            <w:r>
              <w:rPr>
                <w:rFonts w:hint="eastAsia" w:ascii="宋体" w:hAnsi="宋体"/>
                <w:sz w:val="18"/>
                <w:szCs w:val="18"/>
              </w:rPr>
              <w:t>系统内置防护功能，支持对攻击告警事件上报统计与展示，显示告警类型、告警事件本身信息及涉及资产信息；</w:t>
            </w:r>
          </w:p>
          <w:p>
            <w:pPr>
              <w:pStyle w:val="22"/>
              <w:numPr>
                <w:ilvl w:val="0"/>
                <w:numId w:val="1"/>
              </w:numPr>
              <w:spacing w:line="360" w:lineRule="auto"/>
              <w:ind w:firstLineChars="0"/>
              <w:rPr>
                <w:rFonts w:ascii="宋体" w:hAnsi="宋体"/>
                <w:sz w:val="18"/>
                <w:szCs w:val="18"/>
              </w:rPr>
            </w:pPr>
            <w:r>
              <w:rPr>
                <w:rFonts w:hint="eastAsia" w:ascii="宋体" w:hAnsi="宋体"/>
                <w:sz w:val="18"/>
                <w:szCs w:val="18"/>
              </w:rPr>
              <w:t>系统内置防护功能，告警信息支持相同类型告警事件合并；</w:t>
            </w:r>
          </w:p>
          <w:p>
            <w:pPr>
              <w:pStyle w:val="22"/>
              <w:numPr>
                <w:ilvl w:val="0"/>
                <w:numId w:val="1"/>
              </w:numPr>
              <w:spacing w:line="360" w:lineRule="auto"/>
              <w:ind w:firstLineChars="0"/>
              <w:rPr>
                <w:rFonts w:ascii="宋体" w:hAnsi="宋体"/>
                <w:sz w:val="18"/>
                <w:szCs w:val="18"/>
              </w:rPr>
            </w:pPr>
            <w:r>
              <w:rPr>
                <w:rFonts w:hint="eastAsia" w:ascii="宋体" w:hAnsi="宋体"/>
                <w:sz w:val="18"/>
                <w:szCs w:val="18"/>
              </w:rPr>
              <w:t>系统内置防护功能，客户端程序具备自保功能，避免被恶意篡改；</w:t>
            </w:r>
          </w:p>
          <w:p>
            <w:pPr>
              <w:pStyle w:val="22"/>
              <w:numPr>
                <w:ilvl w:val="0"/>
                <w:numId w:val="1"/>
              </w:numPr>
              <w:spacing w:line="360" w:lineRule="auto"/>
              <w:ind w:firstLineChars="0"/>
            </w:pPr>
            <w:r>
              <w:rPr>
                <w:rFonts w:hint="eastAsia" w:ascii="宋体" w:hAnsi="宋体"/>
                <w:sz w:val="18"/>
                <w:szCs w:val="18"/>
              </w:rPr>
              <w:t>系统内置防护功能，支持RCE远程代码执行漏洞攻击发现并拦截，远程攻击时，控制攻击代码的远程执行，或即便能够执行但将受限，不能够进一步提权、获取数据、持久化等破坏性行为；</w:t>
            </w:r>
          </w:p>
          <w:p>
            <w:pPr>
              <w:pStyle w:val="22"/>
              <w:numPr>
                <w:ilvl w:val="0"/>
                <w:numId w:val="1"/>
              </w:numPr>
              <w:spacing w:line="360" w:lineRule="auto"/>
              <w:ind w:firstLineChars="0"/>
              <w:rPr>
                <w:rFonts w:ascii="宋体" w:hAnsi="宋体"/>
                <w:sz w:val="18"/>
                <w:szCs w:val="18"/>
              </w:rPr>
            </w:pPr>
            <w:r>
              <w:rPr>
                <w:rFonts w:hint="eastAsia" w:ascii="宋体" w:hAnsi="宋体"/>
                <w:sz w:val="18"/>
                <w:szCs w:val="18"/>
              </w:rPr>
              <w:t>★系统内置防护功能，支持带宽设置，对终端数据上传与下载进行限速，以确保控制中心服务器正常运作和网络通畅不影响用户的办公业务；（提供功能截图并加盖公章）</w:t>
            </w:r>
          </w:p>
          <w:p>
            <w:pPr>
              <w:pStyle w:val="22"/>
              <w:numPr>
                <w:ilvl w:val="0"/>
                <w:numId w:val="1"/>
              </w:numPr>
              <w:spacing w:line="360" w:lineRule="auto"/>
              <w:ind w:firstLineChars="0"/>
              <w:rPr>
                <w:rFonts w:ascii="宋体" w:hAnsi="宋体"/>
                <w:sz w:val="18"/>
                <w:szCs w:val="18"/>
              </w:rPr>
            </w:pPr>
            <w:r>
              <w:rPr>
                <w:rFonts w:hint="eastAsia" w:ascii="宋体" w:hAnsi="宋体"/>
                <w:sz w:val="18"/>
                <w:szCs w:val="18"/>
              </w:rPr>
              <w:t>系统内置防护功能，平台提供系统防护功能，升级设置包含升级内容和升级方式，提供用户按自身办公业务情况选择升级；</w:t>
            </w:r>
          </w:p>
          <w:p>
            <w:pPr>
              <w:pStyle w:val="22"/>
              <w:numPr>
                <w:ilvl w:val="0"/>
                <w:numId w:val="1"/>
              </w:numPr>
              <w:spacing w:line="360" w:lineRule="auto"/>
              <w:ind w:firstLineChars="0"/>
              <w:rPr>
                <w:rFonts w:ascii="宋体" w:hAnsi="宋体"/>
                <w:sz w:val="18"/>
                <w:szCs w:val="18"/>
              </w:rPr>
            </w:pPr>
            <w:r>
              <w:rPr>
                <w:rFonts w:hint="eastAsia" w:ascii="宋体" w:hAnsi="宋体"/>
                <w:sz w:val="18"/>
                <w:szCs w:val="18"/>
              </w:rPr>
              <w:t>★系统内置防护功能，支持根据不同运营场景设置不同管控模式，包括部署模式、应急模式和自定义模式，不同模式下对行为事件的监控、上报、处置、弹窗有不同的管理要求，通过自定义模式可自主设置；（提供功能截图并加盖公章）</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973" w:type="dxa"/>
            <w:vAlign w:val="center"/>
          </w:tcPr>
          <w:p>
            <w:pPr>
              <w:rPr>
                <w:rFonts w:ascii="宋体" w:hAnsi="宋体" w:cs="宋体"/>
                <w:b/>
                <w:sz w:val="18"/>
                <w:szCs w:val="18"/>
              </w:rPr>
            </w:pPr>
            <w:r>
              <w:rPr>
                <w:rFonts w:hint="eastAsia" w:ascii="宋体" w:hAnsi="宋体" w:cs="宋体"/>
                <w:b/>
                <w:color w:val="000000"/>
                <w:sz w:val="18"/>
                <w:szCs w:val="18"/>
              </w:rPr>
              <w:t>标准课程资源包</w:t>
            </w:r>
          </w:p>
        </w:tc>
        <w:tc>
          <w:tcPr>
            <w:tcW w:w="6978" w:type="dxa"/>
            <w:shd w:val="clear" w:color="auto" w:fill="auto"/>
            <w:vAlign w:val="center"/>
          </w:tcPr>
          <w:p>
            <w:pPr>
              <w:pStyle w:val="22"/>
              <w:numPr>
                <w:ilvl w:val="0"/>
                <w:numId w:val="2"/>
              </w:numPr>
              <w:spacing w:line="360" w:lineRule="auto"/>
              <w:ind w:firstLineChars="0"/>
              <w:rPr>
                <w:rFonts w:ascii="宋体" w:hAnsi="宋体"/>
                <w:sz w:val="18"/>
                <w:szCs w:val="18"/>
              </w:rPr>
            </w:pPr>
            <w:r>
              <w:rPr>
                <w:rFonts w:hint="eastAsia" w:ascii="宋体" w:hAnsi="宋体"/>
                <w:sz w:val="18"/>
                <w:szCs w:val="18"/>
              </w:rPr>
              <w:t>提供标准课程资源包，包含≥350多个实验环境、实验手册。</w:t>
            </w:r>
          </w:p>
          <w:p>
            <w:pPr>
              <w:pStyle w:val="22"/>
              <w:widowControl w:val="0"/>
              <w:numPr>
                <w:ilvl w:val="0"/>
                <w:numId w:val="2"/>
              </w:numPr>
              <w:spacing w:line="360" w:lineRule="auto"/>
              <w:ind w:firstLineChars="0"/>
              <w:rPr>
                <w:rFonts w:ascii="宋体" w:hAnsi="宋体"/>
                <w:sz w:val="18"/>
                <w:szCs w:val="18"/>
              </w:rPr>
            </w:pPr>
            <w:r>
              <w:rPr>
                <w:rFonts w:hint="eastAsia" w:ascii="宋体" w:hAnsi="宋体"/>
                <w:sz w:val="18"/>
                <w:szCs w:val="18"/>
              </w:rPr>
              <w:t>资源类型包含课程对应实验环境、实验手册、习题等内容；</w:t>
            </w:r>
          </w:p>
          <w:p>
            <w:pPr>
              <w:pStyle w:val="22"/>
              <w:numPr>
                <w:ilvl w:val="0"/>
                <w:numId w:val="2"/>
              </w:numPr>
              <w:spacing w:line="360" w:lineRule="auto"/>
              <w:ind w:firstLineChars="0"/>
              <w:rPr>
                <w:rFonts w:ascii="宋体" w:hAnsi="宋体"/>
                <w:sz w:val="18"/>
                <w:szCs w:val="18"/>
              </w:rPr>
            </w:pPr>
            <w:r>
              <w:rPr>
                <w:rFonts w:hint="eastAsia" w:ascii="宋体" w:hAnsi="宋体"/>
                <w:sz w:val="18"/>
                <w:szCs w:val="18"/>
              </w:rPr>
              <w:t>课程内容包含入侵类型和阶段、信息收集漏洞扫描、病毒蠕虫、木马后门、系统渗透、网络嗅探、Web攻防基础入门、ZMAP工具使用、NMAP工具使用、X-SCAN工具使用、WEB应用扫描-AWVS、敏感目录扫描、SQL注入的类型、SQLMap使用、XSS跨站脚本攻击、CSRF漏洞、文件包含漏洞、命令执行漏洞、解析漏洞、目录遍历漏洞及修复、口令安全、GetShell、中间件弱口令部署木马、远程桌面、提权方式、木马和后门、操作系统后门内网渗透、入侵检测、入侵检测基础、日志清除、DVWA靶场试验、密码学、密码学应用、公钥基础设施PKI、密码破解技术、数据库系统概述、MySQL数据库、Postgresql、Oracle、SQLServer、metasploit信息收集、metasploit漏洞扫描、metasploit漏洞利用、根据扫描报告进行漏洞验证、精确扫描POC验证、版本扫描，版本验证（CVE查询、本地核对）；</w:t>
            </w:r>
          </w:p>
          <w:p>
            <w:pPr>
              <w:pStyle w:val="22"/>
              <w:numPr>
                <w:ilvl w:val="0"/>
                <w:numId w:val="2"/>
              </w:numPr>
              <w:spacing w:line="360" w:lineRule="auto"/>
              <w:ind w:firstLineChars="0"/>
              <w:rPr>
                <w:rFonts w:ascii="宋体" w:hAnsi="宋体"/>
                <w:sz w:val="18"/>
                <w:szCs w:val="18"/>
              </w:rPr>
            </w:pPr>
            <w:r>
              <w:rPr>
                <w:rFonts w:hint="eastAsia" w:ascii="宋体" w:hAnsi="宋体"/>
                <w:sz w:val="18"/>
                <w:szCs w:val="18"/>
              </w:rPr>
              <w:t>提供三年软件升级服务；</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973" w:type="dxa"/>
            <w:vAlign w:val="center"/>
          </w:tcPr>
          <w:p>
            <w:pPr>
              <w:rPr>
                <w:rFonts w:ascii="宋体" w:hAnsi="宋体" w:cs="宋体"/>
                <w:b/>
                <w:sz w:val="18"/>
                <w:szCs w:val="18"/>
              </w:rPr>
            </w:pPr>
            <w:r>
              <w:rPr>
                <w:rFonts w:hint="eastAsia" w:ascii="宋体" w:hAnsi="宋体" w:cs="宋体"/>
                <w:b/>
                <w:color w:val="000000"/>
                <w:sz w:val="18"/>
                <w:szCs w:val="18"/>
              </w:rPr>
              <w:t>教学管理功能模块</w:t>
            </w:r>
          </w:p>
        </w:tc>
        <w:tc>
          <w:tcPr>
            <w:tcW w:w="6978" w:type="dxa"/>
            <w:shd w:val="clear" w:color="auto" w:fill="auto"/>
            <w:vAlign w:val="center"/>
          </w:tcPr>
          <w:p>
            <w:pPr>
              <w:pStyle w:val="22"/>
              <w:numPr>
                <w:ilvl w:val="0"/>
                <w:numId w:val="3"/>
              </w:numPr>
              <w:spacing w:line="360" w:lineRule="auto"/>
              <w:ind w:firstLineChars="0"/>
              <w:rPr>
                <w:rFonts w:ascii="宋体" w:hAnsi="宋体"/>
                <w:sz w:val="18"/>
                <w:szCs w:val="18"/>
              </w:rPr>
            </w:pPr>
            <w:r>
              <w:rPr>
                <w:rFonts w:hint="eastAsia" w:ascii="宋体" w:hAnsi="宋体"/>
                <w:sz w:val="18"/>
                <w:szCs w:val="18"/>
              </w:rPr>
              <w:t>教学管理：采用B/S架构，提供资源概览，可显示基础教学、题库数量、实训项目、安全产品、虚拟资源、安全工具的总体数量，支持显示当前平台知识点分布情况、知识点占比情况、基础内容分布情况；</w:t>
            </w:r>
          </w:p>
          <w:p>
            <w:pPr>
              <w:pStyle w:val="22"/>
              <w:widowControl w:val="0"/>
              <w:numPr>
                <w:ilvl w:val="0"/>
                <w:numId w:val="3"/>
              </w:numPr>
              <w:spacing w:line="360" w:lineRule="auto"/>
              <w:ind w:firstLineChars="0"/>
              <w:rPr>
                <w:rFonts w:ascii="宋体" w:hAnsi="宋体"/>
                <w:sz w:val="18"/>
                <w:szCs w:val="18"/>
              </w:rPr>
            </w:pPr>
            <w:r>
              <w:rPr>
                <w:rFonts w:hint="eastAsia" w:ascii="宋体" w:hAnsi="宋体"/>
                <w:sz w:val="18"/>
                <w:szCs w:val="18"/>
              </w:rPr>
              <w:t>支持教学任务的下发，教学任务类型包括课程、考试、项目实训，教师可根据授课方式、任务时长、课时安排、面向对象（学生或班级）进行常规授课和定向授课；</w:t>
            </w:r>
          </w:p>
          <w:p>
            <w:pPr>
              <w:pStyle w:val="22"/>
              <w:widowControl w:val="0"/>
              <w:numPr>
                <w:ilvl w:val="0"/>
                <w:numId w:val="3"/>
              </w:numPr>
              <w:spacing w:line="360" w:lineRule="auto"/>
              <w:ind w:firstLineChars="0"/>
              <w:rPr>
                <w:rFonts w:ascii="宋体" w:hAnsi="宋体"/>
                <w:sz w:val="18"/>
                <w:szCs w:val="18"/>
              </w:rPr>
            </w:pPr>
            <w:r>
              <w:rPr>
                <w:rFonts w:hint="eastAsia" w:ascii="宋体" w:hAnsi="宋体"/>
                <w:sz w:val="18"/>
                <w:szCs w:val="18"/>
              </w:rPr>
              <w:t>支持老师根据教学需要自定义设置教学方案，方案课程可进行先后排序，并支持课程内容以时序图的形式为老师提供参考授课计划，支持自定义调整时序图；</w:t>
            </w:r>
          </w:p>
          <w:p>
            <w:pPr>
              <w:pStyle w:val="22"/>
              <w:widowControl w:val="0"/>
              <w:numPr>
                <w:ilvl w:val="0"/>
                <w:numId w:val="3"/>
              </w:numPr>
              <w:spacing w:line="360" w:lineRule="auto"/>
              <w:ind w:firstLineChars="0"/>
              <w:rPr>
                <w:rFonts w:ascii="宋体" w:hAnsi="宋体"/>
                <w:sz w:val="18"/>
                <w:szCs w:val="18"/>
              </w:rPr>
            </w:pPr>
            <w:r>
              <w:rPr>
                <w:rFonts w:hint="eastAsia" w:ascii="宋体" w:hAnsi="宋体"/>
                <w:sz w:val="18"/>
                <w:szCs w:val="18"/>
              </w:rPr>
              <w:t>支持课程表管理功能，课程表以日历表的形式展开，课程表支持以年/月/周的形式进行排课设置，支持查看排课表教学任务详情；</w:t>
            </w:r>
          </w:p>
          <w:p>
            <w:pPr>
              <w:pStyle w:val="22"/>
              <w:widowControl w:val="0"/>
              <w:numPr>
                <w:ilvl w:val="0"/>
                <w:numId w:val="3"/>
              </w:numPr>
              <w:spacing w:line="360" w:lineRule="auto"/>
              <w:ind w:firstLineChars="0"/>
              <w:rPr>
                <w:rFonts w:ascii="宋体" w:hAnsi="宋体"/>
                <w:sz w:val="18"/>
                <w:szCs w:val="18"/>
              </w:rPr>
            </w:pPr>
            <w:r>
              <w:rPr>
                <w:rFonts w:hint="eastAsia" w:ascii="宋体" w:hAnsi="宋体"/>
                <w:sz w:val="18"/>
                <w:szCs w:val="18"/>
              </w:rPr>
              <w:t>支持教学任务的下发，教学任务类型包括课程、考试、项目实训，教师可根据授课方式、任务时长、课时安排、面向对象（学生或班级）进行常规授课和定向授课；</w:t>
            </w:r>
          </w:p>
          <w:p>
            <w:pPr>
              <w:pStyle w:val="22"/>
              <w:widowControl w:val="0"/>
              <w:numPr>
                <w:ilvl w:val="0"/>
                <w:numId w:val="3"/>
              </w:numPr>
              <w:spacing w:line="360" w:lineRule="auto"/>
              <w:ind w:firstLineChars="0"/>
              <w:rPr>
                <w:rFonts w:ascii="宋体" w:hAnsi="宋体"/>
                <w:sz w:val="18"/>
                <w:szCs w:val="18"/>
              </w:rPr>
            </w:pPr>
            <w:r>
              <w:rPr>
                <w:rFonts w:hint="eastAsia" w:ascii="宋体" w:hAnsi="宋体"/>
                <w:sz w:val="18"/>
                <w:szCs w:val="18"/>
              </w:rPr>
              <w:t>★支持对课程资源的管理功能，课程资源支持以发布状态或未发布状态显示，教师可对所属教学资源进行公开或私有设置，教师只对自己创建课程具有管理和编辑权限，支持教师对课程资源权限移交功能；提供功能截图并加盖公章。</w:t>
            </w:r>
          </w:p>
          <w:p>
            <w:pPr>
              <w:pStyle w:val="22"/>
              <w:widowControl w:val="0"/>
              <w:numPr>
                <w:ilvl w:val="0"/>
                <w:numId w:val="3"/>
              </w:numPr>
              <w:spacing w:line="360" w:lineRule="auto"/>
              <w:ind w:firstLineChars="0"/>
              <w:rPr>
                <w:rFonts w:ascii="宋体" w:hAnsi="宋体"/>
                <w:sz w:val="18"/>
                <w:szCs w:val="18"/>
              </w:rPr>
            </w:pPr>
            <w:r>
              <w:rPr>
                <w:rFonts w:hint="eastAsia" w:ascii="宋体" w:hAnsi="宋体"/>
                <w:sz w:val="18"/>
                <w:szCs w:val="18"/>
              </w:rPr>
              <w:t>平台支持教师、学生、管理员三种角色，支持对用户头像、姓名、密码等信息进行管理维护，支持账号的批量导入和导出功能，支持账号的单独禁用和批量禁用功能，平台支持查看当时教师、学生在线人数，支持对专业、班级信息的管理和维护，班级需要绑定专业；</w:t>
            </w:r>
          </w:p>
          <w:p>
            <w:pPr>
              <w:pStyle w:val="22"/>
              <w:widowControl w:val="0"/>
              <w:numPr>
                <w:ilvl w:val="0"/>
                <w:numId w:val="3"/>
              </w:numPr>
              <w:spacing w:line="360" w:lineRule="auto"/>
              <w:ind w:firstLineChars="0"/>
              <w:rPr>
                <w:rFonts w:ascii="宋体" w:hAnsi="宋体"/>
                <w:sz w:val="18"/>
                <w:szCs w:val="18"/>
              </w:rPr>
            </w:pPr>
            <w:r>
              <w:rPr>
                <w:rFonts w:hint="eastAsia" w:ascii="宋体" w:hAnsi="宋体"/>
                <w:sz w:val="18"/>
                <w:szCs w:val="18"/>
              </w:rPr>
              <w:t xml:space="preserve">平台支持查看当前课堂学生出勤情况，实验课程中支持教师对学生虚拟机等远程查看，教师可在线观察学生的实验操作情况； </w:t>
            </w:r>
          </w:p>
          <w:p>
            <w:pPr>
              <w:pStyle w:val="22"/>
              <w:widowControl w:val="0"/>
              <w:numPr>
                <w:ilvl w:val="0"/>
                <w:numId w:val="3"/>
              </w:numPr>
              <w:spacing w:line="360" w:lineRule="auto"/>
              <w:ind w:firstLineChars="0"/>
              <w:rPr>
                <w:rFonts w:ascii="宋体" w:hAnsi="宋体"/>
                <w:sz w:val="18"/>
                <w:szCs w:val="18"/>
              </w:rPr>
            </w:pPr>
            <w:r>
              <w:rPr>
                <w:rFonts w:hint="eastAsia" w:ascii="宋体" w:hAnsi="宋体"/>
                <w:sz w:val="18"/>
                <w:szCs w:val="18"/>
              </w:rPr>
              <w:t xml:space="preserve">平台支持对课程内容的新建功能，课程资源类型包括理论、单机、仿真、产品四种类型，新建课程资源可对建议课时、包含知识点进行设置，课程内容需主要包括基本信息、操作手册、实验拓扑、视频、课件、工具资料等内容； </w:t>
            </w:r>
          </w:p>
          <w:p>
            <w:pPr>
              <w:pStyle w:val="22"/>
              <w:widowControl w:val="0"/>
              <w:numPr>
                <w:ilvl w:val="0"/>
                <w:numId w:val="3"/>
              </w:numPr>
              <w:spacing w:line="360" w:lineRule="auto"/>
              <w:ind w:firstLineChars="0"/>
              <w:rPr>
                <w:rFonts w:ascii="宋体" w:hAnsi="宋体"/>
                <w:sz w:val="18"/>
                <w:szCs w:val="18"/>
              </w:rPr>
            </w:pPr>
            <w:r>
              <w:rPr>
                <w:rFonts w:hint="eastAsia" w:ascii="宋体" w:hAnsi="宋体"/>
                <w:sz w:val="18"/>
                <w:szCs w:val="18"/>
              </w:rPr>
              <w:t>平台支持教学事务管理功能，教学事务包含教师下发的所有课程，可查看每节课的出勤情况、实验报告、上课状态、学习状态等信息，可查看课程学习的详细内容，包括分数、排名等信息，可对学生实验报告进行批阅评分，并支持教学事务日志的导出功能；</w:t>
            </w:r>
          </w:p>
          <w:p>
            <w:pPr>
              <w:pStyle w:val="22"/>
              <w:widowControl w:val="0"/>
              <w:numPr>
                <w:ilvl w:val="0"/>
                <w:numId w:val="3"/>
              </w:numPr>
              <w:spacing w:line="360" w:lineRule="auto"/>
              <w:ind w:firstLineChars="0"/>
              <w:rPr>
                <w:rFonts w:ascii="宋体" w:hAnsi="宋体"/>
                <w:sz w:val="18"/>
                <w:szCs w:val="18"/>
              </w:rPr>
            </w:pPr>
            <w:r>
              <w:rPr>
                <w:rFonts w:hint="eastAsia" w:ascii="宋体" w:hAnsi="宋体"/>
                <w:sz w:val="18"/>
                <w:szCs w:val="18"/>
              </w:rPr>
              <w:t>平台支持数据分析功能，提供对教师教学数据的统计汇总，支持对教学的课时、基础教学成绩、考试测评成绩、项目实训成绩的分析及图形化展示；提供对学生学习数据的统计汇总，支持对学生学习的总学时、出勤情况、排名趋势、技能方向、积分排名进行图形化展示；</w:t>
            </w:r>
          </w:p>
          <w:p>
            <w:pPr>
              <w:pStyle w:val="22"/>
              <w:widowControl w:val="0"/>
              <w:numPr>
                <w:ilvl w:val="0"/>
                <w:numId w:val="3"/>
              </w:numPr>
              <w:spacing w:line="360" w:lineRule="auto"/>
              <w:ind w:firstLineChars="0"/>
              <w:rPr>
                <w:rFonts w:ascii="宋体" w:hAnsi="宋体"/>
                <w:sz w:val="18"/>
                <w:szCs w:val="18"/>
              </w:rPr>
            </w:pPr>
            <w:r>
              <w:rPr>
                <w:rFonts w:hint="eastAsia" w:ascii="宋体" w:hAnsi="宋体"/>
                <w:sz w:val="18"/>
                <w:szCs w:val="18"/>
              </w:rPr>
              <w:t>提供三年软件升级服务；</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973" w:type="dxa"/>
            <w:vAlign w:val="center"/>
          </w:tcPr>
          <w:p>
            <w:pPr>
              <w:rPr>
                <w:rFonts w:ascii="宋体" w:hAnsi="宋体" w:cs="宋体"/>
                <w:b/>
                <w:sz w:val="18"/>
                <w:szCs w:val="18"/>
              </w:rPr>
            </w:pPr>
            <w:r>
              <w:rPr>
                <w:rFonts w:hint="eastAsia" w:ascii="宋体" w:hAnsi="宋体" w:cs="宋体"/>
                <w:b/>
                <w:color w:val="000000"/>
                <w:sz w:val="18"/>
                <w:szCs w:val="18"/>
              </w:rPr>
              <w:t>在线学习功能模块</w:t>
            </w:r>
          </w:p>
        </w:tc>
        <w:tc>
          <w:tcPr>
            <w:tcW w:w="6978" w:type="dxa"/>
            <w:shd w:val="clear" w:color="auto" w:fill="auto"/>
            <w:vAlign w:val="center"/>
          </w:tcPr>
          <w:p>
            <w:pPr>
              <w:pStyle w:val="22"/>
              <w:widowControl w:val="0"/>
              <w:numPr>
                <w:ilvl w:val="0"/>
                <w:numId w:val="4"/>
              </w:numPr>
              <w:spacing w:line="360" w:lineRule="auto"/>
              <w:ind w:firstLineChars="0"/>
              <w:rPr>
                <w:rFonts w:ascii="宋体" w:hAnsi="宋体"/>
                <w:sz w:val="18"/>
                <w:szCs w:val="18"/>
              </w:rPr>
            </w:pPr>
            <w:r>
              <w:rPr>
                <w:rFonts w:hint="eastAsia" w:ascii="宋体" w:hAnsi="宋体"/>
                <w:sz w:val="18"/>
                <w:szCs w:val="18"/>
              </w:rPr>
              <w:t>在线学习：支持在线学习支持教学、自学两种模式，提供自学模式下的学习周期管理，可对自学的起止时间进行设置，支持自学时间的周期循环设置；</w:t>
            </w:r>
          </w:p>
          <w:p>
            <w:pPr>
              <w:pStyle w:val="22"/>
              <w:widowControl w:val="0"/>
              <w:numPr>
                <w:ilvl w:val="0"/>
                <w:numId w:val="4"/>
              </w:numPr>
              <w:spacing w:line="360" w:lineRule="auto"/>
              <w:ind w:firstLineChars="0"/>
              <w:rPr>
                <w:rFonts w:ascii="宋体" w:hAnsi="宋体"/>
                <w:sz w:val="18"/>
                <w:szCs w:val="18"/>
              </w:rPr>
            </w:pPr>
            <w:r>
              <w:rPr>
                <w:rFonts w:hint="eastAsia" w:ascii="宋体" w:hAnsi="宋体"/>
                <w:sz w:val="18"/>
                <w:szCs w:val="18"/>
              </w:rPr>
              <w:t>在课程内容方面，具有完整化导师讲解视频、实验环境、课程指导书等内容，同时将讲解视频、实验环境、课程指导书归于同一界面，免去切换界面之繁琐，更高效的满足学员边学、边实验，同时进行实验课程讲义查看及理解的全方位过程；</w:t>
            </w:r>
          </w:p>
          <w:p>
            <w:pPr>
              <w:pStyle w:val="22"/>
              <w:widowControl w:val="0"/>
              <w:numPr>
                <w:ilvl w:val="0"/>
                <w:numId w:val="4"/>
              </w:numPr>
              <w:spacing w:line="360" w:lineRule="auto"/>
              <w:ind w:firstLineChars="0"/>
              <w:rPr>
                <w:rFonts w:ascii="宋体" w:hAnsi="宋体"/>
                <w:sz w:val="18"/>
                <w:szCs w:val="18"/>
              </w:rPr>
            </w:pPr>
            <w:r>
              <w:rPr>
                <w:rFonts w:hint="eastAsia" w:ascii="宋体" w:hAnsi="宋体"/>
                <w:sz w:val="18"/>
                <w:szCs w:val="18"/>
              </w:rPr>
              <w:t>学生可自查的总学时、出勤状况的统计，提供基础知识排名趋势、技能方向、知识云图、积分排行等数据，支持今日/本周/本月/本年/自定义时间段查询功能；</w:t>
            </w:r>
          </w:p>
          <w:p>
            <w:pPr>
              <w:pStyle w:val="22"/>
              <w:widowControl w:val="0"/>
              <w:numPr>
                <w:ilvl w:val="0"/>
                <w:numId w:val="4"/>
              </w:numPr>
              <w:spacing w:line="360" w:lineRule="auto"/>
              <w:ind w:firstLineChars="0"/>
              <w:rPr>
                <w:rFonts w:ascii="宋体" w:hAnsi="宋体"/>
                <w:sz w:val="18"/>
                <w:szCs w:val="18"/>
              </w:rPr>
            </w:pPr>
            <w:r>
              <w:rPr>
                <w:rFonts w:hint="eastAsia" w:ascii="宋体" w:hAnsi="宋体"/>
                <w:sz w:val="18"/>
                <w:szCs w:val="18"/>
              </w:rPr>
              <w:t>学生可自查基础/考试/项目/自学的成绩信息；支持教师对当前课程的个性化设置，支持标准学习和扩展学习两种模式，教师可对实验指导手册、实验视频、拓扑环境等内容进行开启或隐藏；</w:t>
            </w:r>
          </w:p>
          <w:p>
            <w:pPr>
              <w:pStyle w:val="22"/>
              <w:widowControl w:val="0"/>
              <w:numPr>
                <w:ilvl w:val="0"/>
                <w:numId w:val="4"/>
              </w:numPr>
              <w:spacing w:line="360" w:lineRule="auto"/>
              <w:ind w:firstLineChars="0"/>
              <w:rPr>
                <w:rFonts w:ascii="宋体" w:hAnsi="宋体"/>
                <w:sz w:val="18"/>
                <w:szCs w:val="18"/>
              </w:rPr>
            </w:pPr>
            <w:r>
              <w:rPr>
                <w:rFonts w:hint="eastAsia" w:ascii="宋体" w:hAnsi="宋体"/>
                <w:sz w:val="18"/>
                <w:szCs w:val="18"/>
              </w:rPr>
              <w:t>支持学生在线提交实验报告，支持实验报告模板下载，对于已经提交的实验报告支持重复提交；</w:t>
            </w:r>
          </w:p>
          <w:p>
            <w:pPr>
              <w:pStyle w:val="22"/>
              <w:widowControl w:val="0"/>
              <w:numPr>
                <w:ilvl w:val="0"/>
                <w:numId w:val="4"/>
              </w:numPr>
              <w:spacing w:line="360" w:lineRule="auto"/>
              <w:ind w:firstLineChars="0"/>
              <w:rPr>
                <w:rFonts w:ascii="宋体" w:hAnsi="宋体"/>
                <w:sz w:val="18"/>
                <w:szCs w:val="18"/>
              </w:rPr>
            </w:pPr>
            <w:r>
              <w:rPr>
                <w:rFonts w:hint="eastAsia" w:ascii="宋体" w:hAnsi="宋体"/>
                <w:sz w:val="18"/>
                <w:szCs w:val="18"/>
              </w:rPr>
              <w:t>提供三年软件升级服务；</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973" w:type="dxa"/>
            <w:vAlign w:val="center"/>
          </w:tcPr>
          <w:p>
            <w:pPr>
              <w:rPr>
                <w:rFonts w:ascii="宋体" w:hAnsi="宋体" w:cs="宋体"/>
                <w:b/>
                <w:sz w:val="18"/>
                <w:szCs w:val="18"/>
              </w:rPr>
            </w:pPr>
            <w:r>
              <w:rPr>
                <w:rFonts w:hint="eastAsia" w:ascii="宋体" w:hAnsi="宋体" w:cs="宋体"/>
                <w:b/>
                <w:color w:val="000000"/>
                <w:sz w:val="18"/>
                <w:szCs w:val="18"/>
              </w:rPr>
              <w:t>考试测评功能模块</w:t>
            </w:r>
          </w:p>
        </w:tc>
        <w:tc>
          <w:tcPr>
            <w:tcW w:w="6978" w:type="dxa"/>
            <w:shd w:val="clear" w:color="auto" w:fill="auto"/>
            <w:vAlign w:val="center"/>
          </w:tcPr>
          <w:p>
            <w:pPr>
              <w:pStyle w:val="22"/>
              <w:widowControl w:val="0"/>
              <w:numPr>
                <w:ilvl w:val="0"/>
                <w:numId w:val="5"/>
              </w:numPr>
              <w:spacing w:line="360" w:lineRule="auto"/>
              <w:ind w:firstLineChars="0"/>
              <w:rPr>
                <w:rFonts w:ascii="宋体" w:hAnsi="宋体"/>
                <w:sz w:val="18"/>
                <w:szCs w:val="18"/>
              </w:rPr>
            </w:pPr>
            <w:r>
              <w:rPr>
                <w:rFonts w:hint="eastAsia" w:ascii="宋体" w:hAnsi="宋体"/>
                <w:sz w:val="18"/>
                <w:szCs w:val="18"/>
              </w:rPr>
              <w:t>考试测评：支持考试测评的题库管理功能，支持单选题、多选题、填空题、单机题、仿真题、CTF题、简答题等多种题型，支持题目的分类功能，支持按照题目难易度、题目类型进行筛选，支持选择题的批量导入功能，支持导入模板的下载，教师可对题目进行创建，可对题目分类、题干、难易度、关联知识点、涉及工具等内容进行修改和查看；</w:t>
            </w:r>
          </w:p>
          <w:p>
            <w:pPr>
              <w:pStyle w:val="22"/>
              <w:widowControl w:val="0"/>
              <w:numPr>
                <w:ilvl w:val="0"/>
                <w:numId w:val="5"/>
              </w:numPr>
              <w:spacing w:line="360" w:lineRule="auto"/>
              <w:ind w:firstLineChars="0"/>
              <w:rPr>
                <w:rFonts w:ascii="宋体" w:hAnsi="宋体"/>
                <w:sz w:val="18"/>
                <w:szCs w:val="18"/>
              </w:rPr>
            </w:pPr>
            <w:r>
              <w:rPr>
                <w:rFonts w:hint="eastAsia" w:ascii="宋体" w:hAnsi="宋体"/>
                <w:sz w:val="18"/>
                <w:szCs w:val="18"/>
              </w:rPr>
              <w:t>★支持考试测评的试卷管理功能，平台提供试卷模板，试卷模板提供公开、私有属性选项，公开属性下平台的所有教师用户可使用并且编辑，私有属性下试卷模板只能被当前教师所查看；（提供功能截图并加盖公章）</w:t>
            </w:r>
          </w:p>
          <w:p>
            <w:pPr>
              <w:pStyle w:val="22"/>
              <w:widowControl w:val="0"/>
              <w:numPr>
                <w:ilvl w:val="0"/>
                <w:numId w:val="5"/>
              </w:numPr>
              <w:spacing w:line="360" w:lineRule="auto"/>
              <w:ind w:firstLineChars="0"/>
              <w:rPr>
                <w:rFonts w:ascii="宋体" w:hAnsi="宋体"/>
                <w:sz w:val="18"/>
                <w:szCs w:val="18"/>
              </w:rPr>
            </w:pPr>
            <w:r>
              <w:rPr>
                <w:rFonts w:hint="eastAsia" w:ascii="宋体" w:hAnsi="宋体"/>
                <w:sz w:val="18"/>
                <w:szCs w:val="18"/>
              </w:rPr>
              <w:t>支持对试卷的添加、删除、筛选功能，试卷支持名称、试卷分类等信息进行设置，试卷选题支持基于知识点和基于分类两种方式，试卷组卷支持智能组卷和手动组卷两种方式；</w:t>
            </w:r>
          </w:p>
          <w:p>
            <w:pPr>
              <w:pStyle w:val="22"/>
              <w:widowControl w:val="0"/>
              <w:numPr>
                <w:ilvl w:val="0"/>
                <w:numId w:val="5"/>
              </w:numPr>
              <w:spacing w:line="360" w:lineRule="auto"/>
              <w:ind w:firstLineChars="0"/>
              <w:rPr>
                <w:rFonts w:ascii="宋体" w:hAnsi="宋体"/>
                <w:sz w:val="18"/>
                <w:szCs w:val="18"/>
              </w:rPr>
            </w:pPr>
            <w:r>
              <w:rPr>
                <w:rFonts w:hint="eastAsia" w:ascii="宋体" w:hAnsi="宋体"/>
                <w:sz w:val="18"/>
                <w:szCs w:val="18"/>
              </w:rPr>
              <w:t>试卷添加过程可指定各类题目数量、分数快速形成考试试卷，并支持对当前试卷的预览，包括试卷建议课时、题目数量、分数、难易度、所需工具、涵盖知识点等信息；</w:t>
            </w:r>
          </w:p>
          <w:p>
            <w:pPr>
              <w:pStyle w:val="22"/>
              <w:widowControl w:val="0"/>
              <w:numPr>
                <w:ilvl w:val="0"/>
                <w:numId w:val="5"/>
              </w:numPr>
              <w:spacing w:line="360" w:lineRule="auto"/>
              <w:ind w:firstLineChars="0"/>
              <w:rPr>
                <w:rFonts w:ascii="宋体" w:hAnsi="宋体"/>
                <w:sz w:val="18"/>
                <w:szCs w:val="18"/>
              </w:rPr>
            </w:pPr>
            <w:r>
              <w:rPr>
                <w:rFonts w:hint="eastAsia" w:ascii="宋体" w:hAnsi="宋体"/>
                <w:sz w:val="18"/>
                <w:szCs w:val="18"/>
              </w:rPr>
              <w:t>提供三年软件升级服务；</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973" w:type="dxa"/>
            <w:vAlign w:val="center"/>
          </w:tcPr>
          <w:p>
            <w:pPr>
              <w:rPr>
                <w:rFonts w:ascii="宋体" w:hAnsi="宋体" w:cs="宋体"/>
                <w:b/>
                <w:sz w:val="18"/>
                <w:szCs w:val="18"/>
              </w:rPr>
            </w:pPr>
            <w:r>
              <w:rPr>
                <w:rFonts w:hint="eastAsia" w:ascii="宋体" w:hAnsi="宋体" w:cs="宋体"/>
                <w:b/>
                <w:color w:val="000000"/>
                <w:sz w:val="18"/>
                <w:szCs w:val="18"/>
              </w:rPr>
              <w:t>仿真实验功能模块</w:t>
            </w:r>
          </w:p>
        </w:tc>
        <w:tc>
          <w:tcPr>
            <w:tcW w:w="6978" w:type="dxa"/>
            <w:shd w:val="clear" w:color="auto" w:fill="auto"/>
            <w:vAlign w:val="center"/>
          </w:tcPr>
          <w:p>
            <w:pPr>
              <w:pStyle w:val="22"/>
              <w:widowControl w:val="0"/>
              <w:numPr>
                <w:ilvl w:val="0"/>
                <w:numId w:val="6"/>
              </w:numPr>
              <w:spacing w:line="360" w:lineRule="auto"/>
              <w:ind w:firstLineChars="0"/>
              <w:rPr>
                <w:rFonts w:ascii="宋体" w:hAnsi="宋体"/>
                <w:sz w:val="18"/>
                <w:szCs w:val="18"/>
              </w:rPr>
            </w:pPr>
            <w:r>
              <w:rPr>
                <w:rFonts w:hint="eastAsia" w:ascii="宋体" w:hAnsi="宋体"/>
                <w:sz w:val="18"/>
                <w:szCs w:val="18"/>
              </w:rPr>
              <w:t>仿真实验：支持虚拟仿真实验环境，实验环境界面支持显示实验拓扑及配套实验手册、视频讲解和随堂练习等内容，实验拓扑环境支持显示操作机用户名、密码，支持对操作机时间进行延时操作；</w:t>
            </w:r>
          </w:p>
          <w:p>
            <w:pPr>
              <w:pStyle w:val="22"/>
              <w:widowControl w:val="0"/>
              <w:numPr>
                <w:ilvl w:val="0"/>
                <w:numId w:val="6"/>
              </w:numPr>
              <w:spacing w:line="360" w:lineRule="auto"/>
              <w:ind w:firstLineChars="0"/>
              <w:rPr>
                <w:rFonts w:ascii="宋体" w:hAnsi="宋体"/>
                <w:sz w:val="18"/>
                <w:szCs w:val="18"/>
              </w:rPr>
            </w:pPr>
            <w:r>
              <w:rPr>
                <w:rFonts w:hint="eastAsia" w:ascii="宋体" w:hAnsi="宋体"/>
                <w:sz w:val="18"/>
                <w:szCs w:val="18"/>
              </w:rPr>
              <w:t>支持自定义网络拓扑功能，创建实验环境支持以拓扑拖拽形式进行组建，可对拓扑中的元素进行CPU、内存、网口数量等参数信息进行配置，提供拓扑图导出功能、居中显示、放大显示、拓扑全屏显示等拓扑查看功能；</w:t>
            </w:r>
          </w:p>
          <w:p>
            <w:pPr>
              <w:pStyle w:val="22"/>
              <w:widowControl w:val="0"/>
              <w:numPr>
                <w:ilvl w:val="0"/>
                <w:numId w:val="6"/>
              </w:numPr>
              <w:spacing w:line="360" w:lineRule="auto"/>
              <w:ind w:firstLineChars="0"/>
              <w:rPr>
                <w:rFonts w:ascii="宋体" w:hAnsi="宋体"/>
                <w:sz w:val="18"/>
                <w:szCs w:val="18"/>
              </w:rPr>
            </w:pPr>
            <w:r>
              <w:rPr>
                <w:rFonts w:hint="eastAsia" w:ascii="宋体" w:hAnsi="宋体"/>
                <w:sz w:val="18"/>
                <w:szCs w:val="18"/>
              </w:rPr>
              <w:t>★支持机架视图功能，机架视图场景化可提高实验操作物理体验，可形象展示设备面板情况以及网络连接情况，机架视图贯穿课程实验、实训项目等实操环节；（提供功能截图并加盖公章）</w:t>
            </w:r>
          </w:p>
          <w:p>
            <w:pPr>
              <w:pStyle w:val="22"/>
              <w:numPr>
                <w:ilvl w:val="0"/>
                <w:numId w:val="6"/>
              </w:numPr>
              <w:spacing w:line="360" w:lineRule="auto"/>
              <w:ind w:firstLineChars="0"/>
              <w:rPr>
                <w:rFonts w:ascii="宋体" w:hAnsi="宋体"/>
                <w:sz w:val="18"/>
                <w:szCs w:val="18"/>
              </w:rPr>
            </w:pPr>
            <w:r>
              <w:rPr>
                <w:rFonts w:hint="eastAsia" w:ascii="宋体" w:hAnsi="宋体"/>
                <w:sz w:val="18"/>
                <w:szCs w:val="18"/>
              </w:rPr>
              <w:t xml:space="preserve">网络拓扑支持快速复制粘贴功能，以便创建新实验环境下的拓扑的快速复用，支持虚拟资源拓扑可以粘贴到物理资源拓扑，物理资源拓扑只能粘贴到物理资源拓扑； </w:t>
            </w:r>
          </w:p>
          <w:p>
            <w:pPr>
              <w:pStyle w:val="22"/>
              <w:numPr>
                <w:ilvl w:val="0"/>
                <w:numId w:val="6"/>
              </w:numPr>
              <w:spacing w:line="360" w:lineRule="auto"/>
              <w:ind w:firstLineChars="0"/>
              <w:rPr>
                <w:rFonts w:ascii="宋体" w:hAnsi="宋体"/>
                <w:sz w:val="18"/>
                <w:szCs w:val="18"/>
              </w:rPr>
            </w:pPr>
            <w:r>
              <w:rPr>
                <w:rFonts w:hint="eastAsia" w:ascii="宋体" w:hAnsi="宋体"/>
                <w:sz w:val="18"/>
                <w:szCs w:val="18"/>
              </w:rPr>
              <w:t xml:space="preserve">平台支持支持WEB级文件上传功能，教师可将所需文件从本地电脑通过WEB页面中的上传功能直接上传至虚拟机中，在实验环境下支持物理主机桌面向web虚拟桌面进行文本内容进行复制、粘贴操作；  </w:t>
            </w:r>
          </w:p>
          <w:p>
            <w:pPr>
              <w:pStyle w:val="22"/>
              <w:numPr>
                <w:ilvl w:val="0"/>
                <w:numId w:val="6"/>
              </w:numPr>
              <w:spacing w:line="360" w:lineRule="auto"/>
              <w:ind w:firstLineChars="0"/>
              <w:rPr>
                <w:rFonts w:ascii="宋体" w:hAnsi="宋体"/>
                <w:sz w:val="18"/>
                <w:szCs w:val="18"/>
              </w:rPr>
            </w:pPr>
            <w:r>
              <w:rPr>
                <w:rFonts w:hint="eastAsia" w:ascii="宋体" w:hAnsi="宋体"/>
                <w:sz w:val="18"/>
                <w:szCs w:val="18"/>
              </w:rPr>
              <w:t>平台提供后台管理功能，支持对平台资源监控，可对内存、硬盘、CPU使用情况进行图形化展示，支持对平台服务器IP地址修改及重启等功能，支持对教学课表的全局设置管理功能，包括上课时间安排、上课时长安排等；</w:t>
            </w:r>
          </w:p>
          <w:p>
            <w:pPr>
              <w:pStyle w:val="22"/>
              <w:widowControl w:val="0"/>
              <w:numPr>
                <w:ilvl w:val="0"/>
                <w:numId w:val="6"/>
              </w:numPr>
              <w:spacing w:line="360" w:lineRule="auto"/>
              <w:ind w:firstLineChars="0"/>
              <w:rPr>
                <w:rFonts w:ascii="宋体" w:hAnsi="宋体"/>
                <w:sz w:val="18"/>
                <w:szCs w:val="18"/>
              </w:rPr>
            </w:pPr>
            <w:r>
              <w:rPr>
                <w:rFonts w:hint="eastAsia" w:ascii="宋体" w:hAnsi="宋体"/>
                <w:sz w:val="18"/>
                <w:szCs w:val="18"/>
              </w:rPr>
              <w:t>提供三年软件升级服务；</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973" w:type="dxa"/>
            <w:vAlign w:val="center"/>
          </w:tcPr>
          <w:p>
            <w:pPr>
              <w:rPr>
                <w:rFonts w:ascii="宋体" w:hAnsi="宋体" w:cs="宋体"/>
                <w:b/>
                <w:sz w:val="18"/>
                <w:szCs w:val="18"/>
              </w:rPr>
            </w:pPr>
            <w:r>
              <w:rPr>
                <w:rFonts w:hint="eastAsia" w:ascii="宋体" w:hAnsi="宋体" w:cs="宋体"/>
                <w:b/>
                <w:color w:val="000000"/>
                <w:sz w:val="18"/>
                <w:szCs w:val="18"/>
              </w:rPr>
              <w:t>虚实结合功能模块</w:t>
            </w:r>
          </w:p>
        </w:tc>
        <w:tc>
          <w:tcPr>
            <w:tcW w:w="6978" w:type="dxa"/>
            <w:shd w:val="clear" w:color="auto" w:fill="auto"/>
            <w:vAlign w:val="center"/>
          </w:tcPr>
          <w:p>
            <w:pPr>
              <w:pStyle w:val="22"/>
              <w:widowControl w:val="0"/>
              <w:numPr>
                <w:ilvl w:val="0"/>
                <w:numId w:val="7"/>
              </w:numPr>
              <w:spacing w:line="360" w:lineRule="auto"/>
              <w:ind w:firstLineChars="0"/>
              <w:rPr>
                <w:rFonts w:ascii="宋体" w:hAnsi="宋体"/>
                <w:sz w:val="18"/>
                <w:szCs w:val="18"/>
              </w:rPr>
            </w:pPr>
            <w:r>
              <w:rPr>
                <w:rFonts w:hint="eastAsia" w:ascii="宋体" w:hAnsi="宋体"/>
                <w:sz w:val="18"/>
                <w:szCs w:val="18"/>
              </w:rPr>
              <w:t>虚实结合：支持虚实结合功能，在不改变用户原有拓扑环境，可将虚拟化设备和真实物理设备同时加入到同一个网络拓扑中进行实验，支持包含防火墙、IPS、漏扫、日志审计、VPN、WAF等多种安全硬件设备；</w:t>
            </w:r>
          </w:p>
          <w:p>
            <w:pPr>
              <w:pStyle w:val="22"/>
              <w:widowControl w:val="0"/>
              <w:numPr>
                <w:ilvl w:val="0"/>
                <w:numId w:val="7"/>
              </w:numPr>
              <w:spacing w:line="360" w:lineRule="auto"/>
              <w:ind w:firstLineChars="0"/>
              <w:rPr>
                <w:rFonts w:ascii="宋体" w:hAnsi="宋体"/>
                <w:sz w:val="18"/>
                <w:szCs w:val="18"/>
              </w:rPr>
            </w:pPr>
            <w:r>
              <w:rPr>
                <w:rFonts w:hint="eastAsia" w:ascii="宋体" w:hAnsi="宋体"/>
                <w:sz w:val="18"/>
                <w:szCs w:val="18"/>
              </w:rPr>
              <w:t>支持对所添加的物理硬件设备的自定义管理功能，支持对所添加的真实设备资产的设备名称、设备类型、设备图标、设备面板、设备描述等信息修改，支持端口对应，并支持对应关系的端口添加、端口修改、端口删除；</w:t>
            </w:r>
          </w:p>
          <w:p>
            <w:pPr>
              <w:pStyle w:val="22"/>
              <w:widowControl w:val="0"/>
              <w:numPr>
                <w:ilvl w:val="0"/>
                <w:numId w:val="7"/>
              </w:numPr>
              <w:spacing w:line="360" w:lineRule="auto"/>
              <w:ind w:firstLineChars="0"/>
              <w:rPr>
                <w:rFonts w:ascii="宋体" w:hAnsi="宋体"/>
                <w:sz w:val="18"/>
                <w:szCs w:val="18"/>
              </w:rPr>
            </w:pPr>
            <w:r>
              <w:rPr>
                <w:rFonts w:hint="eastAsia" w:ascii="宋体" w:hAnsi="宋体"/>
                <w:sz w:val="18"/>
                <w:szCs w:val="18"/>
              </w:rPr>
              <w:t>提供三年软件升级服务；</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973" w:type="dxa"/>
            <w:vAlign w:val="center"/>
          </w:tcPr>
          <w:p>
            <w:pPr>
              <w:rPr>
                <w:rFonts w:ascii="宋体" w:hAnsi="宋体" w:cs="宋体"/>
                <w:b/>
                <w:sz w:val="18"/>
                <w:szCs w:val="18"/>
              </w:rPr>
            </w:pPr>
            <w:r>
              <w:rPr>
                <w:rFonts w:hint="eastAsia" w:ascii="宋体" w:hAnsi="宋体" w:cs="宋体"/>
                <w:b/>
                <w:color w:val="000000"/>
                <w:sz w:val="18"/>
                <w:szCs w:val="18"/>
              </w:rPr>
              <w:t>知识库功能模块</w:t>
            </w:r>
          </w:p>
        </w:tc>
        <w:tc>
          <w:tcPr>
            <w:tcW w:w="6978" w:type="dxa"/>
            <w:shd w:val="clear" w:color="auto" w:fill="auto"/>
            <w:vAlign w:val="center"/>
          </w:tcPr>
          <w:p>
            <w:pPr>
              <w:pStyle w:val="22"/>
              <w:widowControl w:val="0"/>
              <w:numPr>
                <w:ilvl w:val="0"/>
                <w:numId w:val="8"/>
              </w:numPr>
              <w:spacing w:line="360" w:lineRule="auto"/>
              <w:ind w:firstLineChars="0"/>
              <w:rPr>
                <w:rFonts w:ascii="宋体" w:hAnsi="宋体"/>
                <w:sz w:val="18"/>
                <w:szCs w:val="18"/>
              </w:rPr>
            </w:pPr>
            <w:r>
              <w:rPr>
                <w:rFonts w:hint="eastAsia" w:ascii="宋体" w:hAnsi="宋体"/>
                <w:sz w:val="18"/>
                <w:szCs w:val="18"/>
              </w:rPr>
              <w:t>★知识库：支持知识库功能，可实现一键式查询可通过知识脉络对基础教学内容、项目实训、技能测评等多个方面实现关联，方便老师对平台所有课程知识点进行操作管理；（提供功能截图并加盖公章）</w:t>
            </w:r>
          </w:p>
          <w:p>
            <w:pPr>
              <w:pStyle w:val="22"/>
              <w:widowControl w:val="0"/>
              <w:numPr>
                <w:ilvl w:val="0"/>
                <w:numId w:val="8"/>
              </w:numPr>
              <w:spacing w:line="360" w:lineRule="auto"/>
              <w:ind w:firstLineChars="0"/>
              <w:rPr>
                <w:rFonts w:ascii="宋体" w:hAnsi="宋体"/>
                <w:sz w:val="18"/>
                <w:szCs w:val="18"/>
              </w:rPr>
            </w:pPr>
            <w:r>
              <w:rPr>
                <w:rFonts w:hint="eastAsia" w:ascii="宋体" w:hAnsi="宋体"/>
                <w:sz w:val="18"/>
                <w:szCs w:val="18"/>
              </w:rPr>
              <w:t>支持安全技术工具的管理功能，支持提供不少于100个工具，包括网络嗅探、数据恢复、痕迹清理、后门检测、漏洞扫描利用、提权、抓包改包等类型；</w:t>
            </w:r>
          </w:p>
          <w:p>
            <w:pPr>
              <w:pStyle w:val="22"/>
              <w:widowControl w:val="0"/>
              <w:numPr>
                <w:ilvl w:val="0"/>
                <w:numId w:val="8"/>
              </w:numPr>
              <w:spacing w:line="360" w:lineRule="auto"/>
              <w:ind w:firstLineChars="0"/>
              <w:rPr>
                <w:rFonts w:ascii="宋体" w:hAnsi="宋体"/>
                <w:sz w:val="18"/>
                <w:szCs w:val="18"/>
              </w:rPr>
            </w:pPr>
            <w:r>
              <w:rPr>
                <w:rFonts w:hint="eastAsia" w:ascii="宋体" w:hAnsi="宋体"/>
                <w:sz w:val="18"/>
                <w:szCs w:val="18"/>
              </w:rPr>
              <w:t>提供三年软件升级服务；</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973" w:type="dxa"/>
            <w:vAlign w:val="center"/>
          </w:tcPr>
          <w:p>
            <w:pPr>
              <w:rPr>
                <w:rFonts w:ascii="宋体" w:hAnsi="宋体" w:cs="宋体"/>
                <w:b/>
                <w:sz w:val="18"/>
                <w:szCs w:val="18"/>
              </w:rPr>
            </w:pPr>
            <w:r>
              <w:rPr>
                <w:rFonts w:hint="eastAsia" w:ascii="宋体" w:hAnsi="宋体" w:cs="宋体"/>
                <w:b/>
                <w:color w:val="000000"/>
                <w:sz w:val="18"/>
                <w:szCs w:val="18"/>
              </w:rPr>
              <w:t>实训功能模块</w:t>
            </w:r>
          </w:p>
        </w:tc>
        <w:tc>
          <w:tcPr>
            <w:tcW w:w="6978" w:type="dxa"/>
            <w:shd w:val="clear" w:color="auto" w:fill="auto"/>
            <w:vAlign w:val="center"/>
          </w:tcPr>
          <w:p>
            <w:pPr>
              <w:pStyle w:val="22"/>
              <w:widowControl w:val="0"/>
              <w:numPr>
                <w:ilvl w:val="0"/>
                <w:numId w:val="9"/>
              </w:numPr>
              <w:spacing w:line="360" w:lineRule="auto"/>
              <w:ind w:firstLineChars="0"/>
              <w:rPr>
                <w:rFonts w:ascii="宋体" w:hAnsi="宋体"/>
                <w:sz w:val="18"/>
                <w:szCs w:val="18"/>
              </w:rPr>
            </w:pPr>
            <w:r>
              <w:rPr>
                <w:rFonts w:hint="eastAsia" w:ascii="宋体" w:hAnsi="宋体"/>
                <w:sz w:val="18"/>
                <w:szCs w:val="18"/>
              </w:rPr>
              <w:t>项目实训：支持项目实训功能，支持对用户实际网络架构进行仿真还原，可仿真模拟包括企业网等保测评项目、企业网应急响应项目、企业网安全运维项目的环境及流程；</w:t>
            </w:r>
          </w:p>
          <w:p>
            <w:pPr>
              <w:pStyle w:val="22"/>
              <w:widowControl w:val="0"/>
              <w:numPr>
                <w:ilvl w:val="0"/>
                <w:numId w:val="9"/>
              </w:numPr>
              <w:spacing w:line="360" w:lineRule="auto"/>
              <w:ind w:firstLineChars="0"/>
              <w:rPr>
                <w:rFonts w:ascii="宋体" w:hAnsi="宋体"/>
                <w:sz w:val="18"/>
                <w:szCs w:val="18"/>
              </w:rPr>
            </w:pPr>
            <w:r>
              <w:rPr>
                <w:rFonts w:hint="eastAsia" w:ascii="宋体" w:hAnsi="宋体"/>
                <w:sz w:val="18"/>
                <w:szCs w:val="18"/>
              </w:rPr>
              <w:t>项目实训过程中默认支持实验的断点保存功能，可自动保存实验内容，并支持对实训过程中对项目网络拓扑的编辑修改，如重新规划网络架构，增加新设备资源，更设备改连接线；</w:t>
            </w:r>
          </w:p>
          <w:p>
            <w:pPr>
              <w:pStyle w:val="22"/>
              <w:widowControl w:val="0"/>
              <w:numPr>
                <w:ilvl w:val="0"/>
                <w:numId w:val="9"/>
              </w:numPr>
              <w:spacing w:line="360" w:lineRule="auto"/>
              <w:ind w:firstLineChars="0"/>
              <w:rPr>
                <w:rFonts w:ascii="宋体" w:hAnsi="宋体"/>
                <w:sz w:val="18"/>
                <w:szCs w:val="18"/>
              </w:rPr>
            </w:pPr>
            <w:r>
              <w:rPr>
                <w:rFonts w:hint="eastAsia" w:ascii="宋体" w:hAnsi="宋体"/>
                <w:sz w:val="18"/>
                <w:szCs w:val="18"/>
              </w:rPr>
              <w:t>提供支持仿真资源管理，支持对系统镜像、虚拟设备、物理设备、图形设备的虚拟组件的自动调用，虚拟组件涵盖网络设备、基础服务器、应用服务器、安全设备、路由交换、终端等多种类型；</w:t>
            </w:r>
          </w:p>
          <w:p>
            <w:pPr>
              <w:pStyle w:val="22"/>
              <w:widowControl w:val="0"/>
              <w:numPr>
                <w:ilvl w:val="0"/>
                <w:numId w:val="9"/>
              </w:numPr>
              <w:spacing w:line="360" w:lineRule="auto"/>
              <w:ind w:firstLineChars="0"/>
              <w:rPr>
                <w:rFonts w:ascii="宋体" w:hAnsi="宋体"/>
                <w:sz w:val="18"/>
                <w:szCs w:val="18"/>
              </w:rPr>
            </w:pPr>
            <w:r>
              <w:rPr>
                <w:rFonts w:hint="eastAsia" w:ascii="宋体" w:hAnsi="宋体"/>
                <w:sz w:val="18"/>
                <w:szCs w:val="18"/>
              </w:rPr>
              <w:t>支持对虚拟组件的添加、删除和编辑，虚拟设备的创建支持上传和安装两种方式，支持对虚拟设备的信息编辑，包括对包括设备名称、设备类型、设备图标、设备描述等信息的修改；</w:t>
            </w:r>
          </w:p>
          <w:p>
            <w:pPr>
              <w:pStyle w:val="22"/>
              <w:widowControl w:val="0"/>
              <w:numPr>
                <w:ilvl w:val="0"/>
                <w:numId w:val="9"/>
              </w:numPr>
              <w:spacing w:line="360" w:lineRule="auto"/>
              <w:ind w:firstLineChars="0"/>
              <w:rPr>
                <w:rFonts w:ascii="宋体" w:hAnsi="宋体"/>
                <w:sz w:val="18"/>
                <w:szCs w:val="18"/>
              </w:rPr>
            </w:pPr>
            <w:r>
              <w:rPr>
                <w:rFonts w:hint="eastAsia" w:ascii="宋体" w:hAnsi="宋体"/>
                <w:sz w:val="18"/>
                <w:szCs w:val="18"/>
              </w:rPr>
              <w:t>★支持对虚拟设备模板在线启动和查看功能，启动时可动态设置CPU数量及内存大小，平台支持对虚拟设备的快速克隆，并支持增量和完整两种克隆方式，平台支持对物理设备的当前占用详情查看；（提供功能截图并加盖公章）</w:t>
            </w:r>
          </w:p>
          <w:p>
            <w:pPr>
              <w:pStyle w:val="22"/>
              <w:numPr>
                <w:ilvl w:val="0"/>
                <w:numId w:val="9"/>
              </w:numPr>
              <w:spacing w:line="360" w:lineRule="auto"/>
              <w:ind w:firstLineChars="0"/>
              <w:rPr>
                <w:rFonts w:ascii="宋体" w:hAnsi="宋体"/>
                <w:sz w:val="18"/>
                <w:szCs w:val="18"/>
              </w:rPr>
            </w:pPr>
            <w:r>
              <w:rPr>
                <w:rFonts w:hint="eastAsia" w:ascii="宋体" w:hAnsi="宋体"/>
                <w:sz w:val="18"/>
                <w:szCs w:val="18"/>
              </w:rPr>
              <w:t>★平台支持对项目实训的基本信息、项目流程、网络拓扑进行设置，项目流程包括项目启动、任务分工、项目规划、阶段审核、项目实施、项目测试、项目验收阶段，支持对每个阶段的流程环节内容的设计，支持对流程的添加、删除等功能；（提供功能截图并加盖公章）</w:t>
            </w:r>
          </w:p>
          <w:p>
            <w:pPr>
              <w:pStyle w:val="22"/>
              <w:widowControl w:val="0"/>
              <w:numPr>
                <w:ilvl w:val="0"/>
                <w:numId w:val="9"/>
              </w:numPr>
              <w:spacing w:line="360" w:lineRule="auto"/>
              <w:ind w:firstLineChars="0"/>
              <w:rPr>
                <w:rFonts w:ascii="宋体" w:hAnsi="宋体"/>
                <w:sz w:val="18"/>
                <w:szCs w:val="18"/>
              </w:rPr>
            </w:pPr>
            <w:r>
              <w:rPr>
                <w:rFonts w:hint="eastAsia" w:ascii="宋体" w:hAnsi="宋体"/>
                <w:sz w:val="18"/>
                <w:szCs w:val="18"/>
              </w:rPr>
              <w:t>提供三年软件升级服务；</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10</w:t>
            </w:r>
          </w:p>
        </w:tc>
        <w:tc>
          <w:tcPr>
            <w:tcW w:w="973" w:type="dxa"/>
            <w:vAlign w:val="center"/>
          </w:tcPr>
          <w:p>
            <w:pPr>
              <w:rPr>
                <w:rFonts w:ascii="宋体" w:hAnsi="宋体" w:cs="宋体"/>
                <w:b/>
                <w:sz w:val="18"/>
                <w:szCs w:val="18"/>
              </w:rPr>
            </w:pPr>
            <w:r>
              <w:rPr>
                <w:rFonts w:hint="eastAsia" w:ascii="宋体" w:hAnsi="宋体" w:cs="宋体"/>
                <w:b/>
                <w:sz w:val="18"/>
                <w:szCs w:val="18"/>
              </w:rPr>
              <w:t>1+X应急响应课程资源包</w:t>
            </w:r>
          </w:p>
        </w:tc>
        <w:tc>
          <w:tcPr>
            <w:tcW w:w="6978" w:type="dxa"/>
            <w:shd w:val="clear" w:color="auto" w:fill="auto"/>
            <w:vAlign w:val="center"/>
          </w:tcPr>
          <w:p>
            <w:pPr>
              <w:pStyle w:val="22"/>
              <w:widowControl w:val="0"/>
              <w:numPr>
                <w:ilvl w:val="0"/>
                <w:numId w:val="10"/>
              </w:numPr>
              <w:spacing w:line="360" w:lineRule="auto"/>
              <w:ind w:firstLineChars="0"/>
              <w:rPr>
                <w:rFonts w:ascii="宋体" w:hAnsi="宋体" w:cs="Segoe UI Symbol"/>
                <w:sz w:val="18"/>
                <w:szCs w:val="18"/>
              </w:rPr>
            </w:pPr>
            <w:r>
              <w:rPr>
                <w:rFonts w:hint="eastAsia" w:ascii="宋体" w:hAnsi="宋体" w:cs="Segoe UI Symbol"/>
                <w:sz w:val="18"/>
                <w:szCs w:val="18"/>
              </w:rPr>
              <w:t xml:space="preserve">使学生掌握常见威胁情报平台的使用方法；掌握常见操作系统的应急排查及安全加固工作；能够根据日志分析可疑事件；并根据日志回溯事件发生点，会使用工具分析恶意软件行为；掌握常见应急响应分析工具的使用；可以对常见网络攻击进行分析和处理；可以在发生安全事件后根据备份文件快速恢复业务；根据业务需求对业务系统进行定期备份。包括：应急响应准备、应急演练、系统信息收集分析、日志、流量和威胁情报分析、有害程序事件处置、网络攻击事件处置、信息破坏事件处置、设备故障处理等初级课程。 </w:t>
            </w:r>
          </w:p>
          <w:p>
            <w:pPr>
              <w:pStyle w:val="22"/>
              <w:widowControl w:val="0"/>
              <w:numPr>
                <w:ilvl w:val="0"/>
                <w:numId w:val="10"/>
              </w:numPr>
              <w:spacing w:line="360" w:lineRule="auto"/>
              <w:ind w:firstLineChars="0"/>
              <w:rPr>
                <w:rFonts w:ascii="宋体" w:hAnsi="宋体" w:cs="Segoe UI Symbol"/>
                <w:sz w:val="18"/>
                <w:szCs w:val="18"/>
              </w:rPr>
            </w:pPr>
            <w:r>
              <w:rPr>
                <w:rFonts w:hint="eastAsia" w:ascii="宋体" w:hAnsi="宋体" w:cs="Segoe UI Symbol"/>
                <w:sz w:val="18"/>
                <w:szCs w:val="18"/>
              </w:rPr>
              <w:t>内置包括网络设备、开源安全设备、基础服务器、web服务器、数据库、PC终端、武器库、CMS服务器、综合靶场等多个虚拟仿真环境，用户可自定制虚拟仿真环境</w:t>
            </w:r>
          </w:p>
          <w:p>
            <w:pPr>
              <w:pStyle w:val="22"/>
              <w:widowControl w:val="0"/>
              <w:numPr>
                <w:ilvl w:val="0"/>
                <w:numId w:val="10"/>
              </w:numPr>
              <w:spacing w:line="360" w:lineRule="auto"/>
              <w:ind w:firstLineChars="0"/>
              <w:rPr>
                <w:rFonts w:ascii="宋体" w:hAnsi="宋体" w:cs="Segoe UI Symbol"/>
                <w:sz w:val="18"/>
                <w:szCs w:val="18"/>
              </w:rPr>
            </w:pPr>
            <w:r>
              <w:rPr>
                <w:rFonts w:hint="eastAsia" w:ascii="宋体" w:hAnsi="宋体" w:cs="Segoe UI Symbol"/>
                <w:sz w:val="18"/>
                <w:szCs w:val="18"/>
              </w:rPr>
              <w:t>包含终端安全课程、防火墙课程、漏洞扫描课程的课程大纲、讲义、教学ppt、实验指导书、试题库、实训实验等丰富的教学及实操资源，可满足学校的理论和实验教学需求。 以终端安全管理、硬件防火墙设备、漏洞扫描设备为教学基准，主要介绍终端安全、防火墙、漏洞扫描的基本知识、结构、配置方法。通过该套教材能够掌握终端安全管理、防火墙、漏洞扫描等产品的部署运维。</w:t>
            </w:r>
          </w:p>
          <w:p>
            <w:pPr>
              <w:pStyle w:val="22"/>
              <w:widowControl w:val="0"/>
              <w:numPr>
                <w:ilvl w:val="0"/>
                <w:numId w:val="10"/>
              </w:numPr>
              <w:spacing w:line="360" w:lineRule="auto"/>
              <w:ind w:firstLineChars="0"/>
              <w:rPr>
                <w:rFonts w:ascii="宋体" w:hAnsi="宋体" w:cs="Segoe UI Symbol"/>
                <w:sz w:val="18"/>
                <w:szCs w:val="18"/>
              </w:rPr>
            </w:pPr>
            <w:r>
              <w:rPr>
                <w:rFonts w:hint="eastAsia" w:ascii="宋体" w:hAnsi="宋体" w:cs="Segoe UI Symbol"/>
                <w:sz w:val="18"/>
                <w:szCs w:val="18"/>
              </w:rPr>
              <w:t>内置网络安全技术课程含350多个实验环境、实验手册和PPT资源，3000分钟视频，具体内容包括：入侵类型和阶段、信息收集漏洞扫描、病毒蠕虫、木马后门、系统渗透、网络嗅探、Web攻防基础入门、ZMAP工具使用、NMAP工具使用、X-SCAN工具使用、WEB应用扫描-AWVS、敏感目录扫描、SQL注入的类型、SQLMap使用、XSS跨站脚本攻击、CSRF漏洞、文件包含漏洞、命令执行漏洞、解析漏洞、目录遍历漏洞及修复、口令安全、GetShell、中间件弱口令部署木马、远程桌面、提权方式、木马和后门、操作系统后门内网渗透、入侵检测、入侵检测基础、日志清除、DVWA靶场试验、密码学、密码学应用、公钥基础设施PKI、密码破解技术、数据库系统概述、MySQL数据库、Postgresql、Oracle、SQLServer、metasploit信息收集、metasploit漏洞扫描、metasploit漏洞利用、根据扫描报告进行漏洞验证、精确扫描POC验证、版本扫描，版本验证（CVE查询、本地核对）。</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11</w:t>
            </w:r>
          </w:p>
        </w:tc>
        <w:tc>
          <w:tcPr>
            <w:tcW w:w="973" w:type="dxa"/>
            <w:vAlign w:val="center"/>
          </w:tcPr>
          <w:p>
            <w:pPr>
              <w:rPr>
                <w:rFonts w:ascii="宋体" w:hAnsi="宋体" w:cs="宋体"/>
                <w:b/>
                <w:sz w:val="18"/>
                <w:szCs w:val="18"/>
              </w:rPr>
            </w:pPr>
            <w:r>
              <w:rPr>
                <w:rFonts w:hint="eastAsia" w:ascii="宋体" w:hAnsi="宋体" w:cs="宋体"/>
                <w:b/>
                <w:sz w:val="18"/>
                <w:szCs w:val="18"/>
              </w:rPr>
              <w:t>1+X实训系统仿真资源</w:t>
            </w:r>
          </w:p>
        </w:tc>
        <w:tc>
          <w:tcPr>
            <w:tcW w:w="6978" w:type="dxa"/>
            <w:shd w:val="clear" w:color="auto" w:fill="auto"/>
            <w:vAlign w:val="center"/>
          </w:tcPr>
          <w:p>
            <w:pPr>
              <w:pStyle w:val="22"/>
              <w:widowControl w:val="0"/>
              <w:numPr>
                <w:ilvl w:val="0"/>
                <w:numId w:val="11"/>
              </w:numPr>
              <w:spacing w:line="360" w:lineRule="auto"/>
              <w:ind w:firstLineChars="0"/>
              <w:rPr>
                <w:rFonts w:ascii="宋体" w:hAnsi="宋体"/>
                <w:sz w:val="18"/>
                <w:szCs w:val="18"/>
              </w:rPr>
            </w:pPr>
            <w:r>
              <w:rPr>
                <w:rFonts w:hint="eastAsia" w:ascii="宋体" w:hAnsi="宋体"/>
                <w:sz w:val="18"/>
                <w:szCs w:val="18"/>
              </w:rPr>
              <w:t>内置包括网络设备、开源安全设备、基础服务器、web服务器、数据库、PC终端、武器库、CMS服务器、综合靶场共100多个虚拟仿真环境，用户可自定制虚拟仿真环境</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12</w:t>
            </w:r>
          </w:p>
        </w:tc>
        <w:tc>
          <w:tcPr>
            <w:tcW w:w="973" w:type="dxa"/>
            <w:vAlign w:val="center"/>
          </w:tcPr>
          <w:p>
            <w:pPr>
              <w:rPr>
                <w:rFonts w:ascii="宋体" w:hAnsi="宋体" w:cs="宋体"/>
                <w:b/>
                <w:sz w:val="18"/>
                <w:szCs w:val="18"/>
              </w:rPr>
            </w:pPr>
            <w:r>
              <w:rPr>
                <w:rFonts w:hint="eastAsia" w:ascii="宋体" w:hAnsi="宋体" w:cs="宋体"/>
                <w:b/>
                <w:sz w:val="18"/>
                <w:szCs w:val="18"/>
              </w:rPr>
              <w:t>1+X实训系统标准课程</w:t>
            </w:r>
          </w:p>
        </w:tc>
        <w:tc>
          <w:tcPr>
            <w:tcW w:w="6978" w:type="dxa"/>
            <w:shd w:val="clear" w:color="auto" w:fill="auto"/>
            <w:vAlign w:val="center"/>
          </w:tcPr>
          <w:p>
            <w:pPr>
              <w:pStyle w:val="22"/>
              <w:widowControl w:val="0"/>
              <w:numPr>
                <w:ilvl w:val="0"/>
                <w:numId w:val="12"/>
              </w:numPr>
              <w:spacing w:line="360" w:lineRule="auto"/>
              <w:ind w:firstLineChars="0"/>
              <w:rPr>
                <w:rFonts w:ascii="宋体" w:hAnsi="宋体"/>
                <w:sz w:val="18"/>
                <w:szCs w:val="18"/>
              </w:rPr>
            </w:pPr>
            <w:r>
              <w:rPr>
                <w:rFonts w:hint="eastAsia" w:ascii="宋体" w:hAnsi="宋体"/>
                <w:sz w:val="18"/>
                <w:szCs w:val="18"/>
              </w:rPr>
              <w:t>包含≥350个课程PPT资源≥3000分钟教学视频</w:t>
            </w:r>
          </w:p>
          <w:p>
            <w:pPr>
              <w:pStyle w:val="22"/>
              <w:widowControl w:val="0"/>
              <w:numPr>
                <w:ilvl w:val="0"/>
                <w:numId w:val="12"/>
              </w:numPr>
              <w:spacing w:line="360" w:lineRule="auto"/>
              <w:ind w:firstLineChars="0"/>
              <w:rPr>
                <w:rFonts w:ascii="宋体" w:hAnsi="宋体"/>
                <w:sz w:val="18"/>
                <w:szCs w:val="18"/>
              </w:rPr>
            </w:pPr>
            <w:r>
              <w:rPr>
                <w:rFonts w:hint="eastAsia" w:ascii="宋体" w:hAnsi="宋体"/>
                <w:sz w:val="18"/>
                <w:szCs w:val="18"/>
              </w:rPr>
              <w:t>资源类型包含课程对应教学PPT、理论视频、实验视频等内容；</w:t>
            </w:r>
          </w:p>
          <w:p>
            <w:pPr>
              <w:pStyle w:val="22"/>
              <w:widowControl w:val="0"/>
              <w:numPr>
                <w:ilvl w:val="0"/>
                <w:numId w:val="12"/>
              </w:numPr>
              <w:spacing w:line="360" w:lineRule="auto"/>
              <w:ind w:firstLineChars="0"/>
              <w:rPr>
                <w:rFonts w:ascii="宋体" w:hAnsi="宋体"/>
                <w:sz w:val="18"/>
                <w:szCs w:val="18"/>
              </w:rPr>
            </w:pPr>
            <w:r>
              <w:rPr>
                <w:rFonts w:hint="eastAsia" w:ascii="宋体" w:hAnsi="宋体"/>
                <w:sz w:val="18"/>
                <w:szCs w:val="18"/>
              </w:rPr>
              <w:t>课程内容包含入侵类型和阶段、信息收集漏洞扫描、病毒蠕虫、木马后门、系统渗透、网络嗅探、Web攻防基础入门、ZMAP工具使用、NMAP工具使用、X-SCAN工具使用、WEB应用扫描-AWVS、敏感目录扫描、SQL注入的类型、SQLMap使用、XSS跨站脚本攻击、CSRF漏洞、文件包含漏洞、命令执行漏洞、解析漏洞、目录遍历漏洞及修复、口令安全、GetShell、中间件弱口令部署木马、远程桌面、提权方式、木马和后门、操作系统后门内网渗透、入侵检测、入侵检测基础、日志清除、DVWA靶场试验、密码学、密码学应用、公钥基础设施PKI、密码破解技术、数据库系统概述、MySQL数据库、Postgresql、Oracle、SQLServer、metasploit信息收集、metasploit漏洞扫描、metasploit漏洞利用、根据扫描报告进行漏洞验证、精确扫描POC验证、版本扫描，版本验证（CVE查询、本地核对）</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13</w:t>
            </w:r>
          </w:p>
        </w:tc>
        <w:tc>
          <w:tcPr>
            <w:tcW w:w="973" w:type="dxa"/>
            <w:vAlign w:val="center"/>
          </w:tcPr>
          <w:p>
            <w:pPr>
              <w:rPr>
                <w:rFonts w:ascii="宋体" w:hAnsi="宋体" w:cs="宋体"/>
                <w:b/>
                <w:sz w:val="18"/>
                <w:szCs w:val="18"/>
              </w:rPr>
            </w:pPr>
            <w:r>
              <w:rPr>
                <w:rFonts w:hint="eastAsia" w:ascii="宋体" w:hAnsi="宋体" w:cs="宋体"/>
                <w:b/>
                <w:sz w:val="18"/>
                <w:szCs w:val="18"/>
              </w:rPr>
              <w:t>1+X终端安全课程资源包</w:t>
            </w:r>
          </w:p>
        </w:tc>
        <w:tc>
          <w:tcPr>
            <w:tcW w:w="6978" w:type="dxa"/>
            <w:shd w:val="clear" w:color="auto" w:fill="auto"/>
            <w:vAlign w:val="center"/>
          </w:tcPr>
          <w:p>
            <w:pPr>
              <w:pStyle w:val="22"/>
              <w:widowControl w:val="0"/>
              <w:numPr>
                <w:ilvl w:val="0"/>
                <w:numId w:val="13"/>
              </w:numPr>
              <w:spacing w:line="360" w:lineRule="auto"/>
              <w:ind w:firstLineChars="0"/>
              <w:rPr>
                <w:rFonts w:ascii="宋体" w:hAnsi="宋体"/>
                <w:sz w:val="18"/>
                <w:szCs w:val="18"/>
              </w:rPr>
            </w:pPr>
            <w:r>
              <w:rPr>
                <w:rFonts w:hint="eastAsia" w:ascii="宋体" w:hAnsi="宋体"/>
                <w:sz w:val="18"/>
                <w:szCs w:val="18"/>
              </w:rPr>
              <w:t>终端安全课程资源包 包含课程大纲、讲义、教学ppt、实验指导书、试题库、实训实验（安装在实训系统中，其中包含各种实际工作场景课程20多个）等丰富的教学及实操资源，可满足学校的理论和实验教学需求。 以终端安全管理为教学基准，主要介绍终端安全的基本知识、结构、配置方法。通过该套教材能够掌握终端安全管理产品的部署运维。</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14</w:t>
            </w:r>
          </w:p>
        </w:tc>
        <w:tc>
          <w:tcPr>
            <w:tcW w:w="973" w:type="dxa"/>
            <w:vAlign w:val="center"/>
          </w:tcPr>
          <w:p>
            <w:pPr>
              <w:rPr>
                <w:rFonts w:ascii="宋体" w:hAnsi="宋体" w:cs="宋体"/>
                <w:b/>
                <w:sz w:val="18"/>
                <w:szCs w:val="18"/>
              </w:rPr>
            </w:pPr>
            <w:r>
              <w:rPr>
                <w:rFonts w:hint="eastAsia" w:ascii="宋体" w:hAnsi="宋体" w:cs="宋体"/>
                <w:b/>
                <w:sz w:val="18"/>
                <w:szCs w:val="18"/>
              </w:rPr>
              <w:t>1+X终端安全实训设备</w:t>
            </w:r>
          </w:p>
        </w:tc>
        <w:tc>
          <w:tcPr>
            <w:tcW w:w="6978" w:type="dxa"/>
            <w:shd w:val="clear" w:color="auto" w:fill="auto"/>
            <w:vAlign w:val="center"/>
          </w:tcPr>
          <w:p>
            <w:pPr>
              <w:pStyle w:val="22"/>
              <w:widowControl w:val="0"/>
              <w:numPr>
                <w:ilvl w:val="0"/>
                <w:numId w:val="14"/>
              </w:numPr>
              <w:spacing w:line="360" w:lineRule="auto"/>
              <w:ind w:firstLineChars="0"/>
              <w:rPr>
                <w:rFonts w:ascii="宋体" w:hAnsi="宋体"/>
                <w:sz w:val="18"/>
                <w:szCs w:val="18"/>
              </w:rPr>
            </w:pPr>
            <w:r>
              <w:rPr>
                <w:rFonts w:hint="eastAsia" w:ascii="宋体" w:hAnsi="宋体"/>
                <w:sz w:val="18"/>
                <w:szCs w:val="18"/>
              </w:rPr>
              <w:t>需包含1个控制中心、1个win客户端、1个客户端组件。Win客户端功能：终端审计功能、应用管理、防病毒、补丁管理、运维管控、移动存储、XP盾甲、应用控制、沦陷迹象评估、配置脆弱评估、数据价值评估、软件管家。提供三年软件升级服务。</w:t>
            </w:r>
          </w:p>
          <w:p>
            <w:pPr>
              <w:pStyle w:val="22"/>
              <w:widowControl w:val="0"/>
              <w:numPr>
                <w:ilvl w:val="0"/>
                <w:numId w:val="14"/>
              </w:numPr>
              <w:spacing w:line="360" w:lineRule="auto"/>
              <w:ind w:firstLineChars="0"/>
              <w:rPr>
                <w:rFonts w:ascii="宋体" w:hAnsi="宋体"/>
                <w:sz w:val="18"/>
                <w:szCs w:val="18"/>
              </w:rPr>
            </w:pPr>
            <w:r>
              <w:rPr>
                <w:rFonts w:hint="eastAsia" w:ascii="宋体" w:hAnsi="宋体"/>
                <w:sz w:val="18"/>
                <w:szCs w:val="18"/>
              </w:rPr>
              <w:t>提供控制中心、WindowsPC客户端、WindowsSever客户端、Linux客户端组件。WindowsPC客户端功能：防病毒、基线核查、文件审计、补丁管理、终端数据防泄漏、终端管控、软件管理、停服系统加固、安全水印功能。WindowsSever客户端功能：防病毒、补丁管理。Linux客户端功能：防病毒。</w:t>
            </w:r>
          </w:p>
          <w:p>
            <w:pPr>
              <w:pStyle w:val="22"/>
              <w:widowControl w:val="0"/>
              <w:numPr>
                <w:ilvl w:val="0"/>
                <w:numId w:val="14"/>
              </w:numPr>
              <w:spacing w:line="360" w:lineRule="auto"/>
              <w:ind w:firstLineChars="0"/>
              <w:rPr>
                <w:rFonts w:ascii="宋体" w:hAnsi="宋体"/>
                <w:bCs/>
                <w:sz w:val="18"/>
                <w:szCs w:val="18"/>
              </w:rPr>
            </w:pPr>
            <w:r>
              <w:rPr>
                <w:rFonts w:hint="eastAsia" w:ascii="宋体" w:hAnsi="宋体"/>
                <w:sz w:val="18"/>
                <w:szCs w:val="18"/>
              </w:rPr>
              <w:t>管理控制中心当登录账号输入密码错误次数超过锁定阈值后账号将被锁定，且可设置锁定时间，该时间内账号登录请求不被接受。同时应支持双因子认证登录方式，提高安全性。</w:t>
            </w:r>
            <w:r>
              <w:rPr>
                <w:rFonts w:hint="eastAsia" w:ascii="宋体" w:hAnsi="宋体"/>
                <w:bCs/>
                <w:sz w:val="18"/>
                <w:szCs w:val="18"/>
              </w:rPr>
              <w:t>提供功能截图并加盖公章。</w:t>
            </w:r>
          </w:p>
          <w:p>
            <w:pPr>
              <w:pStyle w:val="22"/>
              <w:widowControl w:val="0"/>
              <w:numPr>
                <w:ilvl w:val="0"/>
                <w:numId w:val="14"/>
              </w:numPr>
              <w:spacing w:line="360" w:lineRule="auto"/>
              <w:ind w:firstLineChars="0"/>
              <w:rPr>
                <w:rFonts w:ascii="宋体" w:hAnsi="宋体"/>
                <w:sz w:val="18"/>
                <w:szCs w:val="18"/>
              </w:rPr>
            </w:pPr>
            <w:r>
              <w:rPr>
                <w:rFonts w:hint="eastAsia" w:ascii="宋体" w:hAnsi="宋体"/>
                <w:sz w:val="18"/>
                <w:szCs w:val="18"/>
              </w:rPr>
              <w:t>客户端主程序、病毒库版本支持按分组和多批次进行灰度更新，保持在低风险中完成终端能力更新。支持设置不同终端类型设置和每批次观察时长。当检测到新版本将从第一批次重新观察。</w:t>
            </w:r>
            <w:r>
              <w:rPr>
                <w:rFonts w:hint="eastAsia" w:ascii="宋体" w:hAnsi="宋体"/>
                <w:bCs/>
                <w:sz w:val="18"/>
                <w:szCs w:val="18"/>
              </w:rPr>
              <w:t>提供功能截图并加盖公章。</w:t>
            </w:r>
          </w:p>
          <w:p>
            <w:pPr>
              <w:pStyle w:val="22"/>
              <w:widowControl w:val="0"/>
              <w:numPr>
                <w:ilvl w:val="0"/>
                <w:numId w:val="14"/>
              </w:numPr>
              <w:spacing w:line="360" w:lineRule="auto"/>
              <w:ind w:firstLineChars="0"/>
              <w:rPr>
                <w:rFonts w:ascii="宋体" w:hAnsi="宋体"/>
                <w:bCs/>
                <w:sz w:val="18"/>
                <w:szCs w:val="18"/>
              </w:rPr>
            </w:pPr>
            <w:r>
              <w:rPr>
                <w:rFonts w:hint="eastAsia" w:ascii="宋体" w:hAnsi="宋体"/>
                <w:sz w:val="18"/>
                <w:szCs w:val="18"/>
              </w:rPr>
              <w:t>★为确保所使用的产品为主流产品，提供的教育设备（或产品）须为近三年IDC市场排名前三的产品。</w:t>
            </w:r>
            <w:r>
              <w:rPr>
                <w:rFonts w:hint="eastAsia" w:ascii="宋体" w:hAnsi="宋体"/>
                <w:bCs/>
                <w:sz w:val="18"/>
                <w:szCs w:val="18"/>
              </w:rPr>
              <w:t>提供证明材料并加盖公章。</w:t>
            </w:r>
          </w:p>
          <w:p>
            <w:pPr>
              <w:pStyle w:val="22"/>
              <w:widowControl w:val="0"/>
              <w:numPr>
                <w:ilvl w:val="0"/>
                <w:numId w:val="14"/>
              </w:numPr>
              <w:spacing w:line="360" w:lineRule="auto"/>
              <w:ind w:firstLineChars="0"/>
              <w:rPr>
                <w:rFonts w:ascii="宋体" w:hAnsi="宋体"/>
                <w:sz w:val="18"/>
                <w:szCs w:val="18"/>
              </w:rPr>
            </w:pPr>
            <w:r>
              <w:rPr>
                <w:rFonts w:hint="eastAsia" w:ascii="宋体" w:hAnsi="宋体"/>
                <w:sz w:val="18"/>
                <w:szCs w:val="18"/>
              </w:rPr>
              <w:t>具备该软件产品的软件著作权，并提供相关的《计算机软件著作权登记证书》资质证书。</w:t>
            </w:r>
            <w:r>
              <w:rPr>
                <w:rFonts w:hint="eastAsia" w:ascii="宋体" w:hAnsi="宋体"/>
                <w:bCs/>
                <w:sz w:val="18"/>
                <w:szCs w:val="18"/>
              </w:rPr>
              <w:t>提供证明材料并加盖公章。</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6</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15</w:t>
            </w:r>
          </w:p>
        </w:tc>
        <w:tc>
          <w:tcPr>
            <w:tcW w:w="973" w:type="dxa"/>
            <w:vAlign w:val="center"/>
          </w:tcPr>
          <w:p>
            <w:pPr>
              <w:rPr>
                <w:rFonts w:ascii="宋体" w:hAnsi="宋体" w:cs="宋体"/>
                <w:b/>
                <w:sz w:val="18"/>
                <w:szCs w:val="18"/>
              </w:rPr>
            </w:pPr>
            <w:r>
              <w:rPr>
                <w:rFonts w:hint="eastAsia" w:ascii="宋体" w:hAnsi="宋体" w:cs="宋体"/>
                <w:b/>
                <w:sz w:val="18"/>
                <w:szCs w:val="18"/>
              </w:rPr>
              <w:t>1+X防火墙课程资源包</w:t>
            </w:r>
          </w:p>
        </w:tc>
        <w:tc>
          <w:tcPr>
            <w:tcW w:w="6978" w:type="dxa"/>
            <w:shd w:val="clear" w:color="auto" w:fill="auto"/>
            <w:vAlign w:val="center"/>
          </w:tcPr>
          <w:p>
            <w:pPr>
              <w:pStyle w:val="22"/>
              <w:widowControl w:val="0"/>
              <w:numPr>
                <w:ilvl w:val="0"/>
                <w:numId w:val="15"/>
              </w:numPr>
              <w:spacing w:line="360" w:lineRule="auto"/>
              <w:ind w:firstLineChars="0"/>
              <w:rPr>
                <w:rFonts w:ascii="宋体" w:hAnsi="宋体"/>
                <w:sz w:val="18"/>
                <w:szCs w:val="18"/>
              </w:rPr>
            </w:pPr>
            <w:r>
              <w:rPr>
                <w:rFonts w:hint="eastAsia" w:ascii="宋体" w:hAnsi="宋体"/>
                <w:sz w:val="18"/>
                <w:szCs w:val="18"/>
              </w:rPr>
              <w:t>智慧防火墙课程资源包 包含课程大纲、讲义、教学ppt、实验指导书、试题库、实训实验（安装在实训系统中，其中包含各种实际工作场景课程20多个）等丰富的教学及实操资源，可满足学校的理论和实验教学需求。 以硬件防火墙设备为教学基准，主要介绍防火墙的基本知识、结构、配置方法。通过该套教材能够掌握智慧防火墙部署运维。</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16</w:t>
            </w:r>
          </w:p>
        </w:tc>
        <w:tc>
          <w:tcPr>
            <w:tcW w:w="973" w:type="dxa"/>
            <w:vAlign w:val="center"/>
          </w:tcPr>
          <w:p>
            <w:pPr>
              <w:rPr>
                <w:rFonts w:ascii="宋体" w:hAnsi="宋体" w:cs="宋体"/>
                <w:b/>
                <w:sz w:val="18"/>
                <w:szCs w:val="18"/>
              </w:rPr>
            </w:pPr>
            <w:r>
              <w:rPr>
                <w:rFonts w:hint="eastAsia" w:ascii="宋体" w:hAnsi="宋体" w:cs="宋体"/>
                <w:b/>
                <w:sz w:val="18"/>
                <w:szCs w:val="18"/>
              </w:rPr>
              <w:t>1+X防火墙实训设备</w:t>
            </w:r>
          </w:p>
        </w:tc>
        <w:tc>
          <w:tcPr>
            <w:tcW w:w="6978" w:type="dxa"/>
            <w:shd w:val="clear" w:color="auto" w:fill="auto"/>
            <w:vAlign w:val="center"/>
          </w:tcPr>
          <w:p>
            <w:pPr>
              <w:pStyle w:val="22"/>
              <w:widowControl w:val="0"/>
              <w:numPr>
                <w:ilvl w:val="0"/>
                <w:numId w:val="16"/>
              </w:numPr>
              <w:spacing w:line="360" w:lineRule="auto"/>
              <w:ind w:firstLineChars="0"/>
              <w:rPr>
                <w:rFonts w:ascii="宋体" w:hAnsi="宋体"/>
                <w:sz w:val="18"/>
                <w:szCs w:val="18"/>
              </w:rPr>
            </w:pPr>
            <w:r>
              <w:rPr>
                <w:rFonts w:hint="eastAsia" w:ascii="宋体" w:hAnsi="宋体"/>
                <w:sz w:val="18"/>
                <w:szCs w:val="18"/>
              </w:rPr>
              <w:t>网络处理能力≥4G，并发连接≥180万，每秒新建连接≥6万/秒，1U机箱，单电源，配置≥6个10/100/1000M自适应电口，另有≥1个扩展板卡插槽, ≥1个Console口， ≥64G SSD硬盘。提供三年硬件维修服务，提供三年全功能模块升级服务。</w:t>
            </w:r>
          </w:p>
          <w:p>
            <w:pPr>
              <w:pStyle w:val="22"/>
              <w:widowControl w:val="0"/>
              <w:numPr>
                <w:ilvl w:val="0"/>
                <w:numId w:val="16"/>
              </w:numPr>
              <w:spacing w:line="360" w:lineRule="auto"/>
              <w:ind w:firstLineChars="0"/>
              <w:rPr>
                <w:rFonts w:ascii="宋体" w:hAnsi="宋体"/>
                <w:sz w:val="18"/>
                <w:szCs w:val="18"/>
              </w:rPr>
            </w:pPr>
            <w:r>
              <w:rPr>
                <w:rFonts w:hint="eastAsia" w:ascii="宋体" w:hAnsi="宋体"/>
                <w:sz w:val="18"/>
                <w:szCs w:val="18"/>
              </w:rPr>
              <w:t>需要与本次项目中的实训系统实现虚实结合的功能，实训系统可对该设备进行配置管理。</w:t>
            </w:r>
          </w:p>
          <w:p>
            <w:pPr>
              <w:pStyle w:val="22"/>
              <w:widowControl w:val="0"/>
              <w:numPr>
                <w:ilvl w:val="0"/>
                <w:numId w:val="16"/>
              </w:numPr>
              <w:spacing w:line="360" w:lineRule="auto"/>
              <w:ind w:firstLineChars="0"/>
              <w:rPr>
                <w:rFonts w:ascii="宋体" w:hAnsi="宋体"/>
                <w:sz w:val="18"/>
                <w:szCs w:val="18"/>
              </w:rPr>
            </w:pPr>
            <w:r>
              <w:rPr>
                <w:rFonts w:hint="eastAsia" w:ascii="宋体" w:hAnsi="宋体"/>
                <w:sz w:val="18"/>
                <w:szCs w:val="18"/>
              </w:rPr>
              <w:t>支持VTEP模式接入VxLAN网络，并可作为VXLAN二层、三层网关实现VxLan网络与传统以太网的相同子网内、跨子网间互联互通；支持通过绑定VLAN、VNI、远程VTEP，手动管理VxLan网络；支持MAC、VNI、VTEP静态绑定。</w:t>
            </w:r>
          </w:p>
          <w:p>
            <w:pPr>
              <w:pStyle w:val="22"/>
              <w:widowControl w:val="0"/>
              <w:numPr>
                <w:ilvl w:val="0"/>
                <w:numId w:val="16"/>
              </w:numPr>
              <w:spacing w:line="360" w:lineRule="auto"/>
              <w:ind w:firstLineChars="0"/>
              <w:rPr>
                <w:rFonts w:ascii="宋体" w:hAnsi="宋体"/>
                <w:sz w:val="18"/>
                <w:szCs w:val="18"/>
              </w:rPr>
            </w:pPr>
            <w:r>
              <w:rPr>
                <w:rFonts w:hint="eastAsia" w:ascii="宋体" w:hAnsi="宋体"/>
                <w:sz w:val="18"/>
                <w:szCs w:val="18"/>
              </w:rPr>
              <w:t>所投产品必须支持与本方案中配置的终端安全管理系统联动，实现基于终端健康状态的访问控制；并支持阻断“高风险”终端网络活动的同时，提示被阻断原因及重定向自定义网址。</w:t>
            </w:r>
            <w:r>
              <w:rPr>
                <w:rFonts w:hint="eastAsia" w:ascii="宋体" w:hAnsi="宋体"/>
                <w:bCs/>
                <w:sz w:val="18"/>
                <w:szCs w:val="18"/>
              </w:rPr>
              <w:t>提供功能截图并加盖公章。</w:t>
            </w:r>
          </w:p>
          <w:p>
            <w:pPr>
              <w:pStyle w:val="22"/>
              <w:widowControl w:val="0"/>
              <w:numPr>
                <w:ilvl w:val="0"/>
                <w:numId w:val="16"/>
              </w:numPr>
              <w:spacing w:line="360" w:lineRule="auto"/>
              <w:ind w:firstLineChars="0"/>
              <w:rPr>
                <w:rFonts w:ascii="宋体" w:hAnsi="宋体"/>
                <w:bCs/>
                <w:sz w:val="18"/>
                <w:szCs w:val="18"/>
              </w:rPr>
            </w:pPr>
            <w:r>
              <w:rPr>
                <w:rFonts w:hint="eastAsia" w:ascii="宋体" w:hAnsi="宋体"/>
                <w:sz w:val="18"/>
                <w:szCs w:val="18"/>
              </w:rPr>
              <w:t>所投产品需支持在设备漏洞防护特征库直接查阅攻击的名称、CVEID、CNNVDID、CWEID、严重性、漏洞平台、类型名称、描述、解决方案建议等详细信息；</w:t>
            </w:r>
            <w:r>
              <w:rPr>
                <w:rFonts w:hint="eastAsia" w:ascii="宋体" w:hAnsi="宋体"/>
                <w:bCs/>
                <w:sz w:val="18"/>
                <w:szCs w:val="18"/>
              </w:rPr>
              <w:t>提供功能截图并加盖公章。</w:t>
            </w:r>
          </w:p>
          <w:p>
            <w:pPr>
              <w:pStyle w:val="22"/>
              <w:widowControl w:val="0"/>
              <w:numPr>
                <w:ilvl w:val="0"/>
                <w:numId w:val="16"/>
              </w:numPr>
              <w:spacing w:line="360" w:lineRule="auto"/>
              <w:ind w:firstLineChars="0"/>
              <w:rPr>
                <w:rFonts w:ascii="宋体" w:hAnsi="宋体"/>
                <w:bCs/>
                <w:sz w:val="18"/>
                <w:szCs w:val="18"/>
              </w:rPr>
            </w:pPr>
            <w:r>
              <w:rPr>
                <w:rFonts w:hint="eastAsia" w:ascii="宋体" w:hAnsi="宋体"/>
                <w:sz w:val="18"/>
                <w:szCs w:val="18"/>
              </w:rPr>
              <w:t>所投产品需具备国家信息安全测评中心EAL4+评测证书。</w:t>
            </w:r>
            <w:r>
              <w:rPr>
                <w:rFonts w:hint="eastAsia" w:ascii="宋体" w:hAnsi="宋体"/>
                <w:bCs/>
                <w:sz w:val="18"/>
                <w:szCs w:val="18"/>
              </w:rPr>
              <w:t>提供证明材料并加盖公章。</w:t>
            </w:r>
          </w:p>
          <w:p>
            <w:pPr>
              <w:pStyle w:val="22"/>
              <w:widowControl w:val="0"/>
              <w:numPr>
                <w:ilvl w:val="0"/>
                <w:numId w:val="16"/>
              </w:numPr>
              <w:spacing w:line="360" w:lineRule="auto"/>
              <w:ind w:firstLineChars="0"/>
              <w:rPr>
                <w:rFonts w:ascii="宋体" w:hAnsi="宋体"/>
                <w:bCs/>
                <w:sz w:val="18"/>
                <w:szCs w:val="18"/>
              </w:rPr>
            </w:pPr>
            <w:r>
              <w:rPr>
                <w:rFonts w:hint="eastAsia" w:ascii="宋体" w:hAnsi="宋体"/>
                <w:sz w:val="18"/>
                <w:szCs w:val="18"/>
              </w:rPr>
              <w:t>所投产品需具备中国信息安全测评中心颁发的《国家信息安全漏洞库兼容性资质证书》。</w:t>
            </w:r>
            <w:r>
              <w:rPr>
                <w:rFonts w:hint="eastAsia" w:ascii="宋体" w:hAnsi="宋体"/>
                <w:bCs/>
                <w:sz w:val="18"/>
                <w:szCs w:val="18"/>
              </w:rPr>
              <w:t>提供证明材料并加盖公章</w:t>
            </w:r>
          </w:p>
          <w:p>
            <w:pPr>
              <w:pStyle w:val="22"/>
              <w:widowControl w:val="0"/>
              <w:numPr>
                <w:ilvl w:val="0"/>
                <w:numId w:val="16"/>
              </w:numPr>
              <w:spacing w:line="360" w:lineRule="auto"/>
              <w:ind w:firstLineChars="0"/>
              <w:rPr>
                <w:rFonts w:ascii="宋体" w:hAnsi="宋体"/>
                <w:sz w:val="18"/>
                <w:szCs w:val="18"/>
              </w:rPr>
            </w:pPr>
            <w:r>
              <w:rPr>
                <w:rFonts w:hint="eastAsia" w:ascii="宋体" w:hAnsi="宋体"/>
                <w:sz w:val="18"/>
                <w:szCs w:val="18"/>
              </w:rPr>
              <w:t>★为确保所使用的产品为主流产品，提供的教育设备（或产品）须为近三年IDC市场排名前三的产品。</w:t>
            </w:r>
            <w:r>
              <w:rPr>
                <w:rFonts w:hint="eastAsia" w:ascii="宋体" w:hAnsi="宋体"/>
                <w:bCs/>
                <w:sz w:val="18"/>
                <w:szCs w:val="18"/>
              </w:rPr>
              <w:t>提供证明材料并加盖公章。</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6</w:t>
            </w:r>
          </w:p>
        </w:tc>
        <w:tc>
          <w:tcPr>
            <w:tcW w:w="731" w:type="dxa"/>
            <w:vAlign w:val="center"/>
          </w:tcPr>
          <w:p>
            <w:pPr>
              <w:jc w:val="center"/>
              <w:rPr>
                <w:rFonts w:ascii="宋体" w:hAnsi="宋体"/>
                <w:sz w:val="18"/>
                <w:szCs w:val="18"/>
              </w:rPr>
            </w:pPr>
            <w:r>
              <w:rPr>
                <w:rFonts w:hint="eastAsia" w:ascii="宋体" w:hAnsi="宋体"/>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17</w:t>
            </w:r>
          </w:p>
        </w:tc>
        <w:tc>
          <w:tcPr>
            <w:tcW w:w="973" w:type="dxa"/>
            <w:vAlign w:val="center"/>
          </w:tcPr>
          <w:p>
            <w:pPr>
              <w:rPr>
                <w:rFonts w:ascii="宋体" w:hAnsi="宋体" w:cs="宋体"/>
                <w:b/>
                <w:sz w:val="18"/>
                <w:szCs w:val="18"/>
              </w:rPr>
            </w:pPr>
            <w:r>
              <w:rPr>
                <w:rFonts w:hint="eastAsia" w:ascii="宋体" w:hAnsi="宋体" w:cs="宋体"/>
                <w:b/>
                <w:sz w:val="18"/>
                <w:szCs w:val="18"/>
              </w:rPr>
              <w:t>1+X漏扫课程资源包</w:t>
            </w:r>
          </w:p>
        </w:tc>
        <w:tc>
          <w:tcPr>
            <w:tcW w:w="6978" w:type="dxa"/>
            <w:shd w:val="clear" w:color="auto" w:fill="auto"/>
            <w:vAlign w:val="center"/>
          </w:tcPr>
          <w:p>
            <w:pPr>
              <w:pStyle w:val="22"/>
              <w:widowControl w:val="0"/>
              <w:numPr>
                <w:ilvl w:val="0"/>
                <w:numId w:val="17"/>
              </w:numPr>
              <w:spacing w:line="360" w:lineRule="auto"/>
              <w:ind w:firstLineChars="0"/>
              <w:rPr>
                <w:rFonts w:ascii="宋体" w:hAnsi="宋体"/>
                <w:sz w:val="18"/>
                <w:szCs w:val="18"/>
              </w:rPr>
            </w:pPr>
            <w:r>
              <w:rPr>
                <w:rFonts w:hint="eastAsia" w:ascii="宋体" w:hAnsi="宋体"/>
                <w:sz w:val="18"/>
                <w:szCs w:val="18"/>
              </w:rPr>
              <w:t>漏洞扫描课程资源包 包含课程大纲、讲义、教学ppt、实验指导书、试题库、实训实验（安装在实训系统中，其中包含各种实际工作场景课程20多个）等丰富的教学及实操资源，可满足学校的理论和实验教学需求。 以漏洞扫描设备为教学基准，主要介绍漏洞扫描的基本知识、结构、配置方法。通过该套教材能够掌握漏洞扫描产品的部署运维。</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18</w:t>
            </w:r>
          </w:p>
        </w:tc>
        <w:tc>
          <w:tcPr>
            <w:tcW w:w="973" w:type="dxa"/>
            <w:vAlign w:val="center"/>
          </w:tcPr>
          <w:p>
            <w:pPr>
              <w:rPr>
                <w:rFonts w:ascii="宋体" w:hAnsi="宋体" w:cs="宋体"/>
                <w:b/>
                <w:sz w:val="18"/>
                <w:szCs w:val="18"/>
              </w:rPr>
            </w:pPr>
            <w:r>
              <w:rPr>
                <w:rFonts w:hint="eastAsia" w:ascii="宋体" w:hAnsi="宋体" w:cs="宋体"/>
                <w:b/>
                <w:sz w:val="18"/>
                <w:szCs w:val="18"/>
              </w:rPr>
              <w:t>1+X漏扫实训设备</w:t>
            </w:r>
          </w:p>
        </w:tc>
        <w:tc>
          <w:tcPr>
            <w:tcW w:w="6978" w:type="dxa"/>
            <w:shd w:val="clear" w:color="auto" w:fill="auto"/>
            <w:vAlign w:val="center"/>
          </w:tcPr>
          <w:p>
            <w:pPr>
              <w:pStyle w:val="22"/>
              <w:widowControl w:val="0"/>
              <w:numPr>
                <w:ilvl w:val="0"/>
                <w:numId w:val="18"/>
              </w:numPr>
              <w:spacing w:line="360" w:lineRule="auto"/>
              <w:ind w:firstLineChars="0"/>
              <w:rPr>
                <w:rFonts w:ascii="宋体" w:hAnsi="宋体"/>
                <w:sz w:val="18"/>
                <w:szCs w:val="18"/>
              </w:rPr>
            </w:pPr>
            <w:r>
              <w:rPr>
                <w:rFonts w:hint="eastAsia" w:ascii="宋体" w:hAnsi="宋体"/>
                <w:sz w:val="18"/>
                <w:szCs w:val="18"/>
              </w:rPr>
              <w:t>Web扫描域名无限制，Web扫描任务并发数≥5个域名。系统扫描IP地址无限制，支持扫描A类、B类、C类地址，系统扫描支持≥50个IP地址并行扫描。标准1U机架式，≥1T硬盘，配置≥6个10/100/1000M自适应电口，支持≥2个扩展插槽,2个USB口，1个Console口，单电源。提供三年漏洞特征库升级，三年硬件维修服务。</w:t>
            </w:r>
          </w:p>
          <w:p>
            <w:pPr>
              <w:pStyle w:val="22"/>
              <w:widowControl w:val="0"/>
              <w:numPr>
                <w:ilvl w:val="0"/>
                <w:numId w:val="18"/>
              </w:numPr>
              <w:spacing w:line="360" w:lineRule="auto"/>
              <w:ind w:firstLineChars="0"/>
              <w:rPr>
                <w:rFonts w:ascii="宋体" w:hAnsi="宋体"/>
                <w:sz w:val="18"/>
                <w:szCs w:val="18"/>
              </w:rPr>
            </w:pPr>
            <w:r>
              <w:rPr>
                <w:rFonts w:hint="eastAsia" w:ascii="宋体" w:hAnsi="宋体"/>
                <w:sz w:val="18"/>
                <w:szCs w:val="18"/>
              </w:rPr>
              <w:t>Web扫描域名无限制，Web扫描任务并发数≥5个域名。系统扫描IP地址无限制，支持扫描A类、B类、C类地址，系统扫描支持≥50个IP地址并行扫描。标准1U机架式，≥1TB硬盘，标准配置≥6个10/100/1000M自适应电口，≥2个SFP插槽, ≥2个USB口，≥1个Console口，单电源。提供三年硬件维修服务，三年软件特征库升级服务。</w:t>
            </w:r>
          </w:p>
          <w:p>
            <w:pPr>
              <w:pStyle w:val="22"/>
              <w:widowControl w:val="0"/>
              <w:numPr>
                <w:ilvl w:val="0"/>
                <w:numId w:val="18"/>
              </w:numPr>
              <w:spacing w:line="360" w:lineRule="auto"/>
              <w:ind w:firstLineChars="0"/>
              <w:rPr>
                <w:rFonts w:ascii="宋体" w:hAnsi="宋体"/>
                <w:sz w:val="18"/>
                <w:szCs w:val="18"/>
              </w:rPr>
            </w:pPr>
            <w:r>
              <w:rPr>
                <w:rFonts w:hint="eastAsia" w:ascii="宋体" w:hAnsi="宋体"/>
                <w:sz w:val="18"/>
                <w:szCs w:val="18"/>
              </w:rPr>
              <w:t>需要与本次项目中的实训系统实现虚实结合的功能，实训系统可对该设备进行配置管理。</w:t>
            </w:r>
          </w:p>
          <w:p>
            <w:pPr>
              <w:pStyle w:val="22"/>
              <w:widowControl w:val="0"/>
              <w:numPr>
                <w:ilvl w:val="0"/>
                <w:numId w:val="18"/>
              </w:numPr>
              <w:spacing w:line="360" w:lineRule="auto"/>
              <w:ind w:firstLineChars="0"/>
              <w:rPr>
                <w:rFonts w:ascii="宋体" w:hAnsi="宋体"/>
                <w:sz w:val="18"/>
                <w:szCs w:val="18"/>
              </w:rPr>
            </w:pPr>
            <w:r>
              <w:rPr>
                <w:rFonts w:hint="eastAsia" w:ascii="宋体" w:hAnsi="宋体"/>
                <w:sz w:val="18"/>
                <w:szCs w:val="18"/>
              </w:rPr>
              <w:t>系统应支持针对指定IP段，同时一键下发系统扫描、Web扫描、弱口令扫描任务，其中Web扫描能够自动发现该网段内的在线网站并开展扫描；弱口令扫描能自动发现该网段IP开放服务并自动开展弱口令扫描。</w:t>
            </w:r>
            <w:r>
              <w:rPr>
                <w:rFonts w:hint="eastAsia" w:ascii="宋体" w:hAnsi="宋体"/>
                <w:bCs/>
                <w:sz w:val="18"/>
                <w:szCs w:val="18"/>
              </w:rPr>
              <w:t>提供功能截图并加盖公章</w:t>
            </w:r>
          </w:p>
          <w:p>
            <w:pPr>
              <w:pStyle w:val="22"/>
              <w:widowControl w:val="0"/>
              <w:numPr>
                <w:ilvl w:val="0"/>
                <w:numId w:val="18"/>
              </w:numPr>
              <w:spacing w:line="360" w:lineRule="auto"/>
              <w:ind w:firstLineChars="0"/>
              <w:rPr>
                <w:rFonts w:ascii="宋体" w:hAnsi="宋体"/>
                <w:bCs/>
                <w:sz w:val="18"/>
                <w:szCs w:val="18"/>
              </w:rPr>
            </w:pPr>
            <w:r>
              <w:rPr>
                <w:rFonts w:hint="eastAsia" w:ascii="宋体" w:hAnsi="宋体"/>
                <w:sz w:val="18"/>
                <w:szCs w:val="18"/>
              </w:rPr>
              <w:t>系统应能对系统漏洞扫描、web漏洞扫描、弱口令扫描进行综合检查和分析，可输出同时包含系统漏洞、Web漏洞、弱口令扫描结果的综合脆弱性分析报告。</w:t>
            </w:r>
            <w:r>
              <w:rPr>
                <w:rFonts w:hint="eastAsia" w:ascii="宋体" w:hAnsi="宋体"/>
                <w:bCs/>
                <w:sz w:val="18"/>
                <w:szCs w:val="18"/>
              </w:rPr>
              <w:t>提供功能截图并加盖公章</w:t>
            </w:r>
          </w:p>
          <w:p>
            <w:pPr>
              <w:pStyle w:val="22"/>
              <w:widowControl w:val="0"/>
              <w:numPr>
                <w:ilvl w:val="0"/>
                <w:numId w:val="18"/>
              </w:numPr>
              <w:spacing w:line="360" w:lineRule="auto"/>
              <w:ind w:firstLineChars="0"/>
              <w:rPr>
                <w:rFonts w:ascii="宋体" w:hAnsi="宋体"/>
                <w:bCs/>
                <w:sz w:val="18"/>
                <w:szCs w:val="18"/>
              </w:rPr>
            </w:pPr>
            <w:r>
              <w:rPr>
                <w:rFonts w:hint="eastAsia" w:ascii="宋体" w:hAnsi="宋体"/>
                <w:sz w:val="18"/>
                <w:szCs w:val="18"/>
              </w:rPr>
              <w:t>系统应能提供4大独立扫描模块，包含系统扫描、Web扫描、数据库扫描、弱口令扫描的全面扫描能力，每个模块具备各自的配置项，可灵活修改每个模块的配置参数以满足不同场景下的扫描需求。</w:t>
            </w:r>
            <w:r>
              <w:rPr>
                <w:rFonts w:hint="eastAsia" w:ascii="宋体" w:hAnsi="宋体"/>
                <w:bCs/>
                <w:sz w:val="18"/>
                <w:szCs w:val="18"/>
              </w:rPr>
              <w:t>提供功能截图并加盖公章</w:t>
            </w:r>
          </w:p>
          <w:p>
            <w:pPr>
              <w:pStyle w:val="22"/>
              <w:widowControl w:val="0"/>
              <w:numPr>
                <w:ilvl w:val="0"/>
                <w:numId w:val="18"/>
              </w:numPr>
              <w:spacing w:line="360" w:lineRule="auto"/>
              <w:ind w:firstLineChars="0"/>
              <w:rPr>
                <w:rFonts w:ascii="宋体" w:hAnsi="宋体"/>
                <w:sz w:val="18"/>
                <w:szCs w:val="18"/>
              </w:rPr>
            </w:pPr>
            <w:r>
              <w:rPr>
                <w:rFonts w:hint="eastAsia" w:ascii="宋体" w:hAnsi="宋体"/>
                <w:sz w:val="18"/>
                <w:szCs w:val="18"/>
              </w:rPr>
              <w:t>具备该软件产品的软件著作权，并提供相关的《计算机软件著作权登记证书》资质证书。提供证明材料并加盖公章</w:t>
            </w:r>
          </w:p>
          <w:p>
            <w:pPr>
              <w:pStyle w:val="22"/>
              <w:widowControl w:val="0"/>
              <w:numPr>
                <w:ilvl w:val="0"/>
                <w:numId w:val="18"/>
              </w:numPr>
              <w:spacing w:line="360" w:lineRule="auto"/>
              <w:ind w:firstLineChars="0"/>
              <w:rPr>
                <w:rFonts w:ascii="宋体" w:hAnsi="宋体"/>
                <w:bCs/>
                <w:sz w:val="18"/>
                <w:szCs w:val="18"/>
              </w:rPr>
            </w:pPr>
            <w:r>
              <w:rPr>
                <w:rFonts w:hint="eastAsia" w:ascii="宋体" w:hAnsi="宋体"/>
                <w:sz w:val="18"/>
                <w:szCs w:val="18"/>
              </w:rPr>
              <w:t>所投产品需具备国家信息安全漏洞库兼容性资质证书（CNNVD）。</w:t>
            </w:r>
            <w:r>
              <w:rPr>
                <w:rFonts w:hint="eastAsia" w:ascii="宋体" w:hAnsi="宋体"/>
                <w:bCs/>
                <w:sz w:val="18"/>
                <w:szCs w:val="18"/>
              </w:rPr>
              <w:t>提供功能截图并加盖公章</w:t>
            </w:r>
          </w:p>
          <w:p>
            <w:pPr>
              <w:pStyle w:val="22"/>
              <w:widowControl w:val="0"/>
              <w:numPr>
                <w:ilvl w:val="0"/>
                <w:numId w:val="18"/>
              </w:numPr>
              <w:spacing w:line="360" w:lineRule="auto"/>
              <w:ind w:firstLineChars="0"/>
              <w:rPr>
                <w:rFonts w:ascii="宋体" w:hAnsi="宋体"/>
                <w:sz w:val="18"/>
                <w:szCs w:val="18"/>
              </w:rPr>
            </w:pPr>
            <w:r>
              <w:rPr>
                <w:rFonts w:hint="eastAsia" w:ascii="宋体" w:hAnsi="宋体"/>
                <w:sz w:val="18"/>
                <w:szCs w:val="18"/>
              </w:rPr>
              <w:t>所投产品需具备国家信息安全测评-信息技术产品安全测评证书（EAL3+）</w:t>
            </w:r>
            <w:r>
              <w:rPr>
                <w:rFonts w:hint="eastAsia" w:ascii="宋体" w:hAnsi="宋体"/>
                <w:bCs/>
                <w:sz w:val="18"/>
                <w:szCs w:val="18"/>
              </w:rPr>
              <w:t>提供功能截图并加盖公章</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6</w:t>
            </w:r>
          </w:p>
        </w:tc>
        <w:tc>
          <w:tcPr>
            <w:tcW w:w="731" w:type="dxa"/>
            <w:vAlign w:val="center"/>
          </w:tcPr>
          <w:p>
            <w:pPr>
              <w:jc w:val="center"/>
              <w:rPr>
                <w:rFonts w:ascii="宋体" w:hAnsi="宋体"/>
                <w:sz w:val="18"/>
                <w:szCs w:val="18"/>
              </w:rPr>
            </w:pPr>
            <w:r>
              <w:rPr>
                <w:rFonts w:hint="eastAsia" w:ascii="宋体" w:hAnsi="宋体"/>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19</w:t>
            </w:r>
          </w:p>
        </w:tc>
        <w:tc>
          <w:tcPr>
            <w:tcW w:w="973" w:type="dxa"/>
            <w:vAlign w:val="center"/>
          </w:tcPr>
          <w:p>
            <w:pPr>
              <w:rPr>
                <w:rFonts w:ascii="宋体" w:hAnsi="宋体" w:cs="宋体"/>
                <w:b/>
                <w:sz w:val="18"/>
                <w:szCs w:val="18"/>
              </w:rPr>
            </w:pPr>
            <w:r>
              <w:rPr>
                <w:rFonts w:hint="eastAsia" w:ascii="宋体" w:hAnsi="宋体" w:cs="宋体"/>
                <w:b/>
                <w:color w:val="000000"/>
                <w:sz w:val="18"/>
                <w:szCs w:val="18"/>
              </w:rPr>
              <w:t>课程体系咨询服务</w:t>
            </w:r>
          </w:p>
        </w:tc>
        <w:tc>
          <w:tcPr>
            <w:tcW w:w="6978" w:type="dxa"/>
            <w:shd w:val="clear" w:color="auto" w:fill="auto"/>
            <w:vAlign w:val="center"/>
          </w:tcPr>
          <w:p>
            <w:pPr>
              <w:pStyle w:val="22"/>
              <w:widowControl w:val="0"/>
              <w:spacing w:line="360" w:lineRule="auto"/>
              <w:ind w:firstLine="0" w:firstLineChars="0"/>
              <w:rPr>
                <w:rFonts w:ascii="宋体" w:hAnsi="宋体"/>
                <w:sz w:val="18"/>
                <w:szCs w:val="18"/>
              </w:rPr>
            </w:pPr>
            <w:r>
              <w:rPr>
                <w:rFonts w:hint="eastAsia" w:ascii="宋体" w:hAnsi="宋体"/>
                <w:sz w:val="18"/>
                <w:szCs w:val="18"/>
              </w:rPr>
              <w:t>包含课程体系咨询服务，协助学校进行人才培养方案以及课程体系建设，可进行5天远程电话会议形式讨论；</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5</w:t>
            </w:r>
          </w:p>
        </w:tc>
        <w:tc>
          <w:tcPr>
            <w:tcW w:w="731" w:type="dxa"/>
            <w:vAlign w:val="center"/>
          </w:tcPr>
          <w:p>
            <w:pPr>
              <w:jc w:val="center"/>
              <w:rPr>
                <w:rFonts w:ascii="宋体" w:hAnsi="宋体"/>
                <w:sz w:val="18"/>
                <w:szCs w:val="18"/>
              </w:rPr>
            </w:pPr>
            <w:r>
              <w:rPr>
                <w:rFonts w:hint="eastAsia" w:ascii="宋体" w:hAnsi="宋体"/>
                <w:sz w:val="18"/>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20</w:t>
            </w:r>
          </w:p>
        </w:tc>
        <w:tc>
          <w:tcPr>
            <w:tcW w:w="973" w:type="dxa"/>
            <w:vAlign w:val="center"/>
          </w:tcPr>
          <w:p>
            <w:pPr>
              <w:rPr>
                <w:rFonts w:ascii="宋体" w:hAnsi="宋体" w:cs="宋体"/>
                <w:b/>
                <w:sz w:val="18"/>
                <w:szCs w:val="18"/>
              </w:rPr>
            </w:pPr>
            <w:r>
              <w:rPr>
                <w:rFonts w:hint="eastAsia" w:ascii="宋体" w:hAnsi="宋体" w:cs="宋体"/>
                <w:b/>
                <w:sz w:val="18"/>
                <w:szCs w:val="18"/>
              </w:rPr>
              <w:t>1+X师资培训服务</w:t>
            </w:r>
          </w:p>
        </w:tc>
        <w:tc>
          <w:tcPr>
            <w:tcW w:w="6978" w:type="dxa"/>
            <w:shd w:val="clear" w:color="auto" w:fill="auto"/>
            <w:vAlign w:val="center"/>
          </w:tcPr>
          <w:p>
            <w:pPr>
              <w:pStyle w:val="22"/>
              <w:widowControl w:val="0"/>
              <w:numPr>
                <w:ilvl w:val="0"/>
                <w:numId w:val="19"/>
              </w:numPr>
              <w:spacing w:line="360" w:lineRule="auto"/>
              <w:ind w:firstLineChars="0"/>
              <w:rPr>
                <w:rFonts w:ascii="宋体" w:hAnsi="宋体"/>
                <w:sz w:val="18"/>
                <w:szCs w:val="18"/>
              </w:rPr>
            </w:pPr>
            <w:r>
              <w:rPr>
                <w:rFonts w:hint="eastAsia" w:ascii="宋体" w:hAnsi="宋体"/>
                <w:sz w:val="18"/>
                <w:szCs w:val="18"/>
              </w:rPr>
              <w:t>每年寒暑假期间，由厂家组织师资培训，学校可派一名专业老师根据实际情况选择参加培训时间。培训内容涵盖以下部分：网安入行（行业认知/就业环境/职业规划），网安核心课（信息安全技术和管理体系/信息安全渗透测试/攻防技术/网络安全新技术/网安教学工具应用），专业核心课（终端安全/防火墙/漏洞扫描）等方面。（含食宿）</w:t>
            </w:r>
          </w:p>
          <w:p>
            <w:pPr>
              <w:pStyle w:val="22"/>
              <w:widowControl w:val="0"/>
              <w:numPr>
                <w:ilvl w:val="0"/>
                <w:numId w:val="19"/>
              </w:numPr>
              <w:spacing w:line="360" w:lineRule="auto"/>
              <w:ind w:firstLineChars="0"/>
              <w:rPr>
                <w:rFonts w:ascii="宋体" w:hAnsi="宋体"/>
                <w:sz w:val="18"/>
                <w:szCs w:val="18"/>
              </w:rPr>
            </w:pPr>
            <w:r>
              <w:rPr>
                <w:rFonts w:hint="eastAsia" w:ascii="宋体" w:hAnsi="宋体"/>
                <w:sz w:val="18"/>
                <w:szCs w:val="18"/>
              </w:rPr>
              <w:t>为从根本上解决师资力量不足问题，产品生产厂家需承诺三年内提供至少九人次的师资培训服务，使校内参训老师具备此次实验室建设相关课程的授课能力。</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5</w:t>
            </w:r>
          </w:p>
        </w:tc>
        <w:tc>
          <w:tcPr>
            <w:tcW w:w="731" w:type="dxa"/>
            <w:vAlign w:val="center"/>
          </w:tcPr>
          <w:p>
            <w:pPr>
              <w:jc w:val="center"/>
              <w:rPr>
                <w:rFonts w:ascii="宋体" w:hAnsi="宋体"/>
                <w:sz w:val="18"/>
                <w:szCs w:val="18"/>
              </w:rPr>
            </w:pPr>
            <w:r>
              <w:rPr>
                <w:rFonts w:hint="eastAsia" w:ascii="宋体" w:hAnsi="宋体"/>
                <w:sz w:val="18"/>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21</w:t>
            </w:r>
          </w:p>
        </w:tc>
        <w:tc>
          <w:tcPr>
            <w:tcW w:w="973" w:type="dxa"/>
            <w:vAlign w:val="center"/>
          </w:tcPr>
          <w:p>
            <w:pPr>
              <w:rPr>
                <w:rFonts w:ascii="宋体" w:hAnsi="宋体" w:cs="宋体"/>
                <w:b/>
                <w:sz w:val="18"/>
                <w:szCs w:val="18"/>
              </w:rPr>
            </w:pPr>
            <w:r>
              <w:rPr>
                <w:rFonts w:hint="eastAsia" w:ascii="宋体" w:hAnsi="宋体" w:cs="宋体"/>
                <w:b/>
                <w:sz w:val="18"/>
                <w:szCs w:val="18"/>
              </w:rPr>
              <w:t>1+X驻场师资服务</w:t>
            </w:r>
          </w:p>
        </w:tc>
        <w:tc>
          <w:tcPr>
            <w:tcW w:w="6978" w:type="dxa"/>
            <w:shd w:val="clear" w:color="auto" w:fill="auto"/>
            <w:vAlign w:val="center"/>
          </w:tcPr>
          <w:p>
            <w:pPr>
              <w:pStyle w:val="22"/>
              <w:widowControl w:val="0"/>
              <w:numPr>
                <w:ilvl w:val="0"/>
                <w:numId w:val="20"/>
              </w:numPr>
              <w:spacing w:line="360" w:lineRule="auto"/>
              <w:ind w:firstLineChars="0"/>
              <w:rPr>
                <w:rFonts w:ascii="宋体" w:hAnsi="宋体"/>
                <w:sz w:val="18"/>
                <w:szCs w:val="18"/>
              </w:rPr>
            </w:pPr>
            <w:r>
              <w:rPr>
                <w:rFonts w:hint="eastAsia" w:ascii="宋体" w:hAnsi="宋体"/>
                <w:sz w:val="18"/>
                <w:szCs w:val="18"/>
              </w:rPr>
              <w:t>由厂家指派教师参与到学校的教学工作中。教学期间需配合校方教学计划，进行授课及考试等教学任务，积极对学生提出的问题进行答疑解惑，对专业老师提出的网络安全课程教学方面问题进行答疑解惑。</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22</w:t>
            </w:r>
          </w:p>
        </w:tc>
        <w:tc>
          <w:tcPr>
            <w:tcW w:w="973" w:type="dxa"/>
            <w:vAlign w:val="center"/>
          </w:tcPr>
          <w:p>
            <w:pPr>
              <w:rPr>
                <w:rFonts w:ascii="宋体" w:hAnsi="宋体" w:cs="宋体"/>
                <w:b/>
                <w:sz w:val="18"/>
                <w:szCs w:val="18"/>
              </w:rPr>
            </w:pPr>
            <w:r>
              <w:rPr>
                <w:rFonts w:hint="eastAsia" w:ascii="宋体" w:hAnsi="宋体" w:cs="宋体"/>
                <w:b/>
                <w:sz w:val="18"/>
                <w:szCs w:val="18"/>
              </w:rPr>
              <w:t>SDN交换机</w:t>
            </w:r>
          </w:p>
        </w:tc>
        <w:tc>
          <w:tcPr>
            <w:tcW w:w="6978" w:type="dxa"/>
            <w:shd w:val="clear" w:color="auto" w:fill="auto"/>
            <w:vAlign w:val="center"/>
          </w:tcPr>
          <w:p>
            <w:pPr>
              <w:pStyle w:val="22"/>
              <w:widowControl w:val="0"/>
              <w:numPr>
                <w:ilvl w:val="0"/>
                <w:numId w:val="21"/>
              </w:numPr>
              <w:spacing w:line="360" w:lineRule="auto"/>
              <w:ind w:firstLineChars="0"/>
              <w:rPr>
                <w:rFonts w:ascii="宋体" w:hAnsi="宋体"/>
                <w:sz w:val="18"/>
                <w:szCs w:val="18"/>
              </w:rPr>
            </w:pPr>
            <w:r>
              <w:rPr>
                <w:rFonts w:hint="eastAsia" w:ascii="宋体" w:hAnsi="宋体"/>
                <w:sz w:val="18"/>
                <w:szCs w:val="18"/>
              </w:rPr>
              <w:t>标准1U设备 ，≥880Gbps吞吐量，整机超低功耗 ；</w:t>
            </w:r>
          </w:p>
          <w:p>
            <w:pPr>
              <w:pStyle w:val="22"/>
              <w:widowControl w:val="0"/>
              <w:numPr>
                <w:ilvl w:val="0"/>
                <w:numId w:val="21"/>
              </w:numPr>
              <w:spacing w:line="360" w:lineRule="auto"/>
              <w:ind w:firstLineChars="0"/>
              <w:rPr>
                <w:rFonts w:ascii="宋体" w:hAnsi="宋体"/>
                <w:sz w:val="18"/>
                <w:szCs w:val="18"/>
              </w:rPr>
            </w:pPr>
            <w:r>
              <w:rPr>
                <w:rFonts w:hint="eastAsia" w:ascii="宋体" w:hAnsi="宋体"/>
                <w:sz w:val="18"/>
                <w:szCs w:val="18"/>
              </w:rPr>
              <w:t>支持OpenFlow 1.3.x/1.4.x版本，支持多达3.5K * 流表 ，支持L2到L4完整匹配域，支持基于单条流表项的多种行为；</w:t>
            </w:r>
          </w:p>
          <w:p>
            <w:pPr>
              <w:pStyle w:val="22"/>
              <w:widowControl w:val="0"/>
              <w:numPr>
                <w:ilvl w:val="0"/>
                <w:numId w:val="21"/>
              </w:numPr>
              <w:spacing w:line="360" w:lineRule="auto"/>
              <w:ind w:firstLineChars="0"/>
              <w:rPr>
                <w:rFonts w:ascii="宋体" w:hAnsi="宋体"/>
                <w:sz w:val="18"/>
                <w:szCs w:val="18"/>
              </w:rPr>
            </w:pPr>
            <w:r>
              <w:rPr>
                <w:rFonts w:hint="eastAsia" w:ascii="宋体" w:hAnsi="宋体"/>
                <w:sz w:val="18"/>
                <w:szCs w:val="18"/>
              </w:rPr>
              <w:t>支持二层GRE/NvGRE/VXLAN隧道；</w:t>
            </w:r>
          </w:p>
          <w:p>
            <w:pPr>
              <w:pStyle w:val="22"/>
              <w:widowControl w:val="0"/>
              <w:numPr>
                <w:ilvl w:val="0"/>
                <w:numId w:val="21"/>
              </w:numPr>
              <w:spacing w:line="360" w:lineRule="auto"/>
              <w:ind w:firstLineChars="0"/>
              <w:rPr>
                <w:rFonts w:ascii="宋体" w:hAnsi="宋体"/>
                <w:sz w:val="18"/>
                <w:szCs w:val="18"/>
              </w:rPr>
            </w:pPr>
            <w:r>
              <w:rPr>
                <w:rFonts w:hint="eastAsia" w:ascii="宋体" w:hAnsi="宋体"/>
                <w:sz w:val="18"/>
                <w:szCs w:val="18"/>
              </w:rPr>
              <w:t>支持MPLS L2 VPN/MPLS，支持QinQ；Meter表项最大支持1000 * meter ID；</w:t>
            </w:r>
          </w:p>
          <w:p>
            <w:pPr>
              <w:pStyle w:val="22"/>
              <w:widowControl w:val="0"/>
              <w:numPr>
                <w:ilvl w:val="0"/>
                <w:numId w:val="21"/>
              </w:numPr>
              <w:spacing w:line="360" w:lineRule="auto"/>
              <w:ind w:firstLineChars="0"/>
              <w:rPr>
                <w:rFonts w:ascii="宋体" w:hAnsi="宋体"/>
                <w:sz w:val="18"/>
                <w:szCs w:val="18"/>
              </w:rPr>
            </w:pPr>
            <w:r>
              <w:rPr>
                <w:rFonts w:hint="eastAsia" w:ascii="宋体" w:hAnsi="宋体"/>
                <w:sz w:val="18"/>
                <w:szCs w:val="18"/>
              </w:rPr>
              <w:t>支持Group(all/select/indirect/fast failover)；</w:t>
            </w:r>
          </w:p>
          <w:p>
            <w:pPr>
              <w:pStyle w:val="22"/>
              <w:widowControl w:val="0"/>
              <w:numPr>
                <w:ilvl w:val="0"/>
                <w:numId w:val="21"/>
              </w:numPr>
              <w:spacing w:line="360" w:lineRule="auto"/>
              <w:ind w:firstLineChars="0"/>
              <w:rPr>
                <w:rFonts w:ascii="宋体" w:hAnsi="宋体"/>
                <w:sz w:val="18"/>
                <w:szCs w:val="18"/>
              </w:rPr>
            </w:pPr>
            <w:r>
              <w:rPr>
                <w:rFonts w:hint="eastAsia" w:ascii="宋体" w:hAnsi="宋体"/>
                <w:sz w:val="18"/>
                <w:szCs w:val="18"/>
              </w:rPr>
              <w:t>支持队列；</w:t>
            </w:r>
          </w:p>
          <w:p>
            <w:pPr>
              <w:pStyle w:val="22"/>
              <w:widowControl w:val="0"/>
              <w:numPr>
                <w:ilvl w:val="0"/>
                <w:numId w:val="21"/>
              </w:numPr>
              <w:spacing w:line="360" w:lineRule="auto"/>
              <w:ind w:firstLineChars="0"/>
              <w:rPr>
                <w:rFonts w:ascii="宋体" w:hAnsi="宋体"/>
                <w:sz w:val="18"/>
                <w:szCs w:val="18"/>
              </w:rPr>
            </w:pPr>
            <w:r>
              <w:rPr>
                <w:rFonts w:hint="eastAsia" w:ascii="宋体" w:hAnsi="宋体"/>
                <w:sz w:val="18"/>
                <w:szCs w:val="18"/>
              </w:rPr>
              <w:t>支持Bond；</w:t>
            </w:r>
          </w:p>
          <w:p>
            <w:pPr>
              <w:pStyle w:val="22"/>
              <w:widowControl w:val="0"/>
              <w:numPr>
                <w:ilvl w:val="0"/>
                <w:numId w:val="21"/>
              </w:numPr>
              <w:spacing w:line="360" w:lineRule="auto"/>
              <w:ind w:firstLineChars="0"/>
              <w:rPr>
                <w:rFonts w:ascii="宋体" w:hAnsi="宋体"/>
                <w:sz w:val="18"/>
                <w:szCs w:val="18"/>
              </w:rPr>
            </w:pPr>
            <w:r>
              <w:rPr>
                <w:rFonts w:hint="eastAsia" w:ascii="宋体" w:hAnsi="宋体"/>
                <w:sz w:val="18"/>
                <w:szCs w:val="18"/>
              </w:rPr>
              <w:t>提供三年维保服务。</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6</w:t>
            </w:r>
          </w:p>
        </w:tc>
        <w:tc>
          <w:tcPr>
            <w:tcW w:w="731" w:type="dxa"/>
            <w:vAlign w:val="center"/>
          </w:tcPr>
          <w:p>
            <w:pPr>
              <w:jc w:val="center"/>
              <w:rPr>
                <w:rFonts w:ascii="宋体" w:hAnsi="宋体"/>
                <w:sz w:val="18"/>
                <w:szCs w:val="18"/>
              </w:rPr>
            </w:pPr>
            <w:r>
              <w:rPr>
                <w:rFonts w:hint="eastAsia" w:ascii="宋体" w:hAnsi="宋体"/>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23</w:t>
            </w:r>
          </w:p>
        </w:tc>
        <w:tc>
          <w:tcPr>
            <w:tcW w:w="973" w:type="dxa"/>
            <w:vAlign w:val="center"/>
          </w:tcPr>
          <w:p>
            <w:pPr>
              <w:rPr>
                <w:rFonts w:ascii="宋体" w:hAnsi="宋体" w:cs="宋体"/>
                <w:b/>
                <w:sz w:val="18"/>
                <w:szCs w:val="18"/>
              </w:rPr>
            </w:pPr>
            <w:r>
              <w:rPr>
                <w:rFonts w:hint="eastAsia" w:ascii="宋体" w:hAnsi="宋体" w:cs="宋体"/>
                <w:b/>
                <w:sz w:val="18"/>
                <w:szCs w:val="18"/>
              </w:rPr>
              <w:t>串口服务器</w:t>
            </w:r>
          </w:p>
        </w:tc>
        <w:tc>
          <w:tcPr>
            <w:tcW w:w="6978" w:type="dxa"/>
            <w:shd w:val="clear" w:color="auto" w:fill="auto"/>
            <w:vAlign w:val="center"/>
          </w:tcPr>
          <w:p>
            <w:pPr>
              <w:pStyle w:val="22"/>
              <w:widowControl w:val="0"/>
              <w:numPr>
                <w:ilvl w:val="0"/>
                <w:numId w:val="22"/>
              </w:numPr>
              <w:spacing w:line="360" w:lineRule="auto"/>
              <w:ind w:firstLineChars="0"/>
              <w:rPr>
                <w:rFonts w:ascii="宋体" w:hAnsi="宋体"/>
                <w:sz w:val="18"/>
                <w:szCs w:val="18"/>
              </w:rPr>
            </w:pPr>
            <w:r>
              <w:rPr>
                <w:rFonts w:hint="eastAsia" w:ascii="宋体" w:hAnsi="宋体"/>
                <w:sz w:val="18"/>
                <w:szCs w:val="18"/>
              </w:rPr>
              <w:t>标准1</w:t>
            </w:r>
            <w:r>
              <w:rPr>
                <w:rFonts w:ascii="宋体" w:hAnsi="宋体"/>
                <w:sz w:val="18"/>
                <w:szCs w:val="18"/>
              </w:rPr>
              <w:t>U</w:t>
            </w:r>
            <w:r>
              <w:rPr>
                <w:rFonts w:hint="eastAsia" w:ascii="宋体" w:hAnsi="宋体"/>
                <w:sz w:val="18"/>
                <w:szCs w:val="18"/>
              </w:rPr>
              <w:t>设备，提供≥8个RJ45接口，</w:t>
            </w:r>
          </w:p>
          <w:p>
            <w:pPr>
              <w:pStyle w:val="22"/>
              <w:widowControl w:val="0"/>
              <w:numPr>
                <w:ilvl w:val="0"/>
                <w:numId w:val="22"/>
              </w:numPr>
              <w:spacing w:line="360" w:lineRule="auto"/>
              <w:ind w:firstLineChars="0"/>
              <w:rPr>
                <w:rFonts w:ascii="宋体" w:hAnsi="宋体"/>
                <w:sz w:val="18"/>
                <w:szCs w:val="18"/>
              </w:rPr>
            </w:pPr>
            <w:r>
              <w:rPr>
                <w:rFonts w:hint="eastAsia" w:ascii="宋体" w:hAnsi="宋体"/>
                <w:sz w:val="18"/>
                <w:szCs w:val="18"/>
              </w:rPr>
              <w:t>支持网络协议：ICMP，IP，TCP，UDP，DHCP，TELNET,DNS,SNMP,HTTP,SMTP,SNTP,ARP,PPP,SLIP,RTELNET</w:t>
            </w:r>
          </w:p>
          <w:p>
            <w:pPr>
              <w:pStyle w:val="22"/>
              <w:widowControl w:val="0"/>
              <w:numPr>
                <w:ilvl w:val="0"/>
                <w:numId w:val="22"/>
              </w:numPr>
              <w:spacing w:line="360" w:lineRule="auto"/>
              <w:ind w:firstLineChars="0"/>
              <w:rPr>
                <w:rFonts w:ascii="宋体" w:hAnsi="宋体"/>
                <w:sz w:val="18"/>
                <w:szCs w:val="18"/>
              </w:rPr>
            </w:pPr>
            <w:r>
              <w:rPr>
                <w:rFonts w:hint="eastAsia" w:ascii="宋体" w:hAnsi="宋体"/>
                <w:sz w:val="18"/>
                <w:szCs w:val="18"/>
              </w:rPr>
              <w:t>支持配置方式：Web Console,Telnet Console,Windows Utility</w:t>
            </w:r>
          </w:p>
          <w:p>
            <w:pPr>
              <w:pStyle w:val="22"/>
              <w:widowControl w:val="0"/>
              <w:numPr>
                <w:ilvl w:val="0"/>
                <w:numId w:val="22"/>
              </w:numPr>
              <w:spacing w:line="360" w:lineRule="auto"/>
              <w:ind w:firstLineChars="0"/>
              <w:rPr>
                <w:rFonts w:ascii="宋体" w:hAnsi="宋体"/>
                <w:sz w:val="18"/>
                <w:szCs w:val="18"/>
              </w:rPr>
            </w:pPr>
            <w:r>
              <w:rPr>
                <w:rFonts w:hint="eastAsia" w:ascii="宋体" w:hAnsi="宋体"/>
                <w:sz w:val="18"/>
                <w:szCs w:val="18"/>
              </w:rPr>
              <w:t>提供三年硬件维保服务。</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6</w:t>
            </w:r>
          </w:p>
        </w:tc>
        <w:tc>
          <w:tcPr>
            <w:tcW w:w="731" w:type="dxa"/>
            <w:vAlign w:val="center"/>
          </w:tcPr>
          <w:p>
            <w:pPr>
              <w:jc w:val="center"/>
              <w:rPr>
                <w:rFonts w:ascii="宋体" w:hAnsi="宋体"/>
                <w:sz w:val="18"/>
                <w:szCs w:val="18"/>
              </w:rPr>
            </w:pPr>
            <w:r>
              <w:rPr>
                <w:rFonts w:hint="eastAsia" w:ascii="宋体" w:hAnsi="宋体"/>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24</w:t>
            </w:r>
          </w:p>
        </w:tc>
        <w:tc>
          <w:tcPr>
            <w:tcW w:w="973" w:type="dxa"/>
            <w:vAlign w:val="center"/>
          </w:tcPr>
          <w:p>
            <w:pPr>
              <w:rPr>
                <w:rFonts w:ascii="宋体" w:hAnsi="宋体" w:cs="宋体"/>
                <w:b/>
                <w:sz w:val="18"/>
                <w:szCs w:val="18"/>
              </w:rPr>
            </w:pPr>
            <w:r>
              <w:rPr>
                <w:rFonts w:hint="eastAsia" w:ascii="宋体" w:hAnsi="宋体" w:cs="宋体"/>
                <w:b/>
                <w:sz w:val="18"/>
                <w:szCs w:val="18"/>
              </w:rPr>
              <w:t>二层接入交换机</w:t>
            </w:r>
          </w:p>
        </w:tc>
        <w:tc>
          <w:tcPr>
            <w:tcW w:w="6978" w:type="dxa"/>
            <w:shd w:val="clear" w:color="auto" w:fill="auto"/>
            <w:vAlign w:val="center"/>
          </w:tcPr>
          <w:p>
            <w:pPr>
              <w:pStyle w:val="22"/>
              <w:widowControl w:val="0"/>
              <w:numPr>
                <w:ilvl w:val="0"/>
                <w:numId w:val="23"/>
              </w:numPr>
              <w:spacing w:line="360" w:lineRule="auto"/>
              <w:ind w:firstLineChars="0"/>
              <w:rPr>
                <w:rFonts w:ascii="宋体" w:hAnsi="宋体"/>
                <w:sz w:val="18"/>
                <w:szCs w:val="18"/>
              </w:rPr>
            </w:pPr>
            <w:r>
              <w:rPr>
                <w:rFonts w:hint="eastAsia" w:ascii="宋体" w:hAnsi="宋体"/>
                <w:sz w:val="18"/>
                <w:szCs w:val="18"/>
              </w:rPr>
              <w:t>1U设备，背板带宽≥240Gbps，≥1个Console端口，可支持≥48个10/100/1000Base-T以太网端口；可支持≥4个100/1000 Base-X SFP光口（含光模块），单电源，系统管理：支持Console/AUX Modem/Telnet/SSH2.0 命令行配置；支持FTP、TFTP、Xmodem、SFTP文件上下载管理；支持SNMP V1/V2c/V3；支持NTP时钟；支持系统工作日志；支持集群管理；组播管理，支持RIP/OSPF/BGP/ISIS等常见网络协议。提供三年维保服务。</w:t>
            </w:r>
          </w:p>
          <w:p>
            <w:pPr>
              <w:pStyle w:val="22"/>
              <w:widowControl w:val="0"/>
              <w:numPr>
                <w:ilvl w:val="0"/>
                <w:numId w:val="23"/>
              </w:numPr>
              <w:spacing w:line="360" w:lineRule="auto"/>
              <w:ind w:firstLineChars="0"/>
              <w:rPr>
                <w:rFonts w:ascii="宋体" w:hAnsi="宋体"/>
                <w:sz w:val="18"/>
                <w:szCs w:val="18"/>
              </w:rPr>
            </w:pPr>
            <w:r>
              <w:rPr>
                <w:rFonts w:hint="eastAsia" w:ascii="宋体" w:hAnsi="宋体"/>
                <w:sz w:val="18"/>
                <w:szCs w:val="18"/>
              </w:rPr>
              <w:t>要求所投设备MAC地址≥16K；</w:t>
            </w:r>
          </w:p>
          <w:p>
            <w:pPr>
              <w:pStyle w:val="22"/>
              <w:widowControl w:val="0"/>
              <w:numPr>
                <w:ilvl w:val="0"/>
                <w:numId w:val="23"/>
              </w:numPr>
              <w:spacing w:line="360" w:lineRule="auto"/>
              <w:ind w:firstLineChars="0"/>
              <w:rPr>
                <w:rFonts w:ascii="宋体" w:hAnsi="宋体"/>
                <w:sz w:val="18"/>
                <w:szCs w:val="18"/>
              </w:rPr>
            </w:pPr>
            <w:r>
              <w:rPr>
                <w:rFonts w:hint="eastAsia" w:ascii="宋体" w:hAnsi="宋体"/>
                <w:sz w:val="18"/>
                <w:szCs w:val="18"/>
              </w:rPr>
              <w:t>支持生成树协议STP(IEEE 802.1d)，RSTP(IEEE 802.1w)和MSTP(IEEE 802.1s)，完全保证快速收敛，提高容错能力，保证网络的稳定运行和链路的负载均衡，合理使用网络通道，提供冗余链路利用率；</w:t>
            </w:r>
          </w:p>
          <w:p>
            <w:pPr>
              <w:pStyle w:val="22"/>
              <w:widowControl w:val="0"/>
              <w:numPr>
                <w:ilvl w:val="0"/>
                <w:numId w:val="23"/>
              </w:numPr>
              <w:spacing w:line="360" w:lineRule="auto"/>
              <w:ind w:firstLineChars="0"/>
              <w:rPr>
                <w:rFonts w:ascii="宋体" w:hAnsi="宋体"/>
                <w:sz w:val="18"/>
                <w:szCs w:val="18"/>
              </w:rPr>
            </w:pPr>
            <w:r>
              <w:rPr>
                <w:rFonts w:hint="eastAsia" w:ascii="宋体" w:hAnsi="宋体"/>
                <w:sz w:val="18"/>
                <w:szCs w:val="18"/>
              </w:rPr>
              <w:t>支持SP、WRR、DRR、SP+WFQ、 SP+WRR、SP+DRR、RED/WRED队列调度；</w:t>
            </w:r>
          </w:p>
          <w:p>
            <w:pPr>
              <w:pStyle w:val="22"/>
              <w:widowControl w:val="0"/>
              <w:numPr>
                <w:ilvl w:val="0"/>
                <w:numId w:val="23"/>
              </w:numPr>
              <w:spacing w:line="360" w:lineRule="auto"/>
              <w:ind w:firstLineChars="0"/>
              <w:rPr>
                <w:rFonts w:ascii="宋体" w:hAnsi="宋体"/>
                <w:sz w:val="18"/>
                <w:szCs w:val="18"/>
              </w:rPr>
            </w:pPr>
            <w:r>
              <w:rPr>
                <w:rFonts w:hint="eastAsia" w:ascii="宋体" w:hAnsi="宋体"/>
                <w:sz w:val="18"/>
                <w:szCs w:val="18"/>
              </w:rPr>
              <w:t>支持G.8032国际标准环网协议ERPS，切换时间≤50ms，可与其他支持该协议的产品完美兼容；</w:t>
            </w:r>
          </w:p>
          <w:p>
            <w:pPr>
              <w:pStyle w:val="22"/>
              <w:widowControl w:val="0"/>
              <w:numPr>
                <w:ilvl w:val="0"/>
                <w:numId w:val="23"/>
              </w:numPr>
              <w:spacing w:line="360" w:lineRule="auto"/>
              <w:ind w:firstLineChars="0"/>
              <w:rPr>
                <w:rFonts w:ascii="宋体" w:hAnsi="宋体"/>
                <w:sz w:val="18"/>
                <w:szCs w:val="18"/>
              </w:rPr>
            </w:pPr>
            <w:r>
              <w:rPr>
                <w:rFonts w:hint="eastAsia" w:ascii="宋体" w:hAnsi="宋体"/>
                <w:sz w:val="18"/>
                <w:szCs w:val="18"/>
              </w:rPr>
              <w:t>支持IPV4/IPV6静态路由；</w:t>
            </w:r>
          </w:p>
          <w:p>
            <w:pPr>
              <w:pStyle w:val="22"/>
              <w:widowControl w:val="0"/>
              <w:numPr>
                <w:ilvl w:val="0"/>
                <w:numId w:val="23"/>
              </w:numPr>
              <w:spacing w:line="360" w:lineRule="auto"/>
              <w:ind w:firstLineChars="0"/>
              <w:rPr>
                <w:rFonts w:ascii="宋体" w:hAnsi="宋体"/>
                <w:bCs/>
                <w:sz w:val="18"/>
                <w:szCs w:val="18"/>
              </w:rPr>
            </w:pPr>
            <w:r>
              <w:rPr>
                <w:rFonts w:hint="eastAsia" w:ascii="宋体" w:hAnsi="宋体"/>
                <w:sz w:val="18"/>
                <w:szCs w:val="18"/>
              </w:rPr>
              <w:t>★支持特有的CPU保护策略，对发往CPU的数据流，进行流区分和优先级队列分级处理，并根据需要实施带宽限速，充分保护CPU不被非法流量占用、恶意攻击和资源消耗，</w:t>
            </w:r>
            <w:r>
              <w:rPr>
                <w:rFonts w:hint="eastAsia" w:ascii="宋体" w:hAnsi="宋体"/>
                <w:bCs/>
                <w:sz w:val="18"/>
                <w:szCs w:val="18"/>
              </w:rPr>
              <w:t>提供官网链接与官网截图，并加盖公章；</w:t>
            </w:r>
          </w:p>
          <w:p>
            <w:pPr>
              <w:pStyle w:val="22"/>
              <w:widowControl w:val="0"/>
              <w:numPr>
                <w:ilvl w:val="0"/>
                <w:numId w:val="23"/>
              </w:numPr>
              <w:spacing w:line="360" w:lineRule="auto"/>
              <w:ind w:firstLineChars="0"/>
              <w:rPr>
                <w:rFonts w:ascii="宋体" w:hAnsi="宋体"/>
                <w:sz w:val="18"/>
                <w:szCs w:val="18"/>
              </w:rPr>
            </w:pPr>
            <w:r>
              <w:rPr>
                <w:rFonts w:hint="eastAsia" w:ascii="宋体" w:hAnsi="宋体"/>
                <w:sz w:val="18"/>
                <w:szCs w:val="18"/>
              </w:rPr>
              <w:t>设备自带云管理功能，即插即用，可随时查看网络健康度，告警及时推送，有日记事件供回溯；</w:t>
            </w:r>
          </w:p>
          <w:p>
            <w:pPr>
              <w:pStyle w:val="22"/>
              <w:widowControl w:val="0"/>
              <w:numPr>
                <w:ilvl w:val="0"/>
                <w:numId w:val="23"/>
              </w:numPr>
              <w:spacing w:line="360" w:lineRule="auto"/>
              <w:ind w:firstLineChars="0"/>
              <w:rPr>
                <w:rFonts w:ascii="宋体" w:hAnsi="宋体"/>
                <w:sz w:val="18"/>
                <w:szCs w:val="18"/>
              </w:rPr>
            </w:pPr>
            <w:r>
              <w:rPr>
                <w:rFonts w:hint="eastAsia" w:ascii="宋体" w:hAnsi="宋体"/>
                <w:sz w:val="18"/>
                <w:szCs w:val="18"/>
              </w:rPr>
              <w:t>支持IEEE 802.3az 标准的 EEE节能技术：当EEE使能时，从而大幅度的减小端口在该阶段的功耗，达到了节能的目的；</w:t>
            </w:r>
          </w:p>
          <w:p>
            <w:pPr>
              <w:pStyle w:val="22"/>
              <w:widowControl w:val="0"/>
              <w:numPr>
                <w:ilvl w:val="0"/>
                <w:numId w:val="23"/>
              </w:numPr>
              <w:spacing w:line="360" w:lineRule="auto"/>
              <w:ind w:firstLineChars="0"/>
              <w:rPr>
                <w:rFonts w:ascii="宋体" w:hAnsi="宋体"/>
                <w:sz w:val="18"/>
                <w:szCs w:val="18"/>
              </w:rPr>
            </w:pPr>
            <w:r>
              <w:rPr>
                <w:rFonts w:hint="eastAsia" w:ascii="宋体" w:hAnsi="宋体"/>
                <w:sz w:val="18"/>
                <w:szCs w:val="18"/>
              </w:rPr>
              <w:t>支持基础网络保护策略，限制用户向网络中发送ARP报文、ICMP请求报文、DHCP请求报文的数率，对超过限速阈值的报文进行丢弃处理，能够识别攻击行为，对有攻击行为的用户进行隔离；</w:t>
            </w:r>
          </w:p>
          <w:p>
            <w:pPr>
              <w:pStyle w:val="22"/>
              <w:widowControl w:val="0"/>
              <w:numPr>
                <w:ilvl w:val="0"/>
                <w:numId w:val="23"/>
              </w:numPr>
              <w:spacing w:line="360" w:lineRule="auto"/>
              <w:ind w:firstLineChars="0"/>
              <w:rPr>
                <w:rFonts w:ascii="宋体" w:hAnsi="宋体"/>
                <w:sz w:val="18"/>
                <w:szCs w:val="18"/>
              </w:rPr>
            </w:pPr>
            <w:r>
              <w:rPr>
                <w:rFonts w:hint="eastAsia" w:ascii="宋体" w:hAnsi="宋体"/>
                <w:sz w:val="18"/>
                <w:szCs w:val="18"/>
              </w:rPr>
              <w:t>★支持快速链路检测协议RLDP，可快速检测链路的通断和光纤链路的单向性，并支持端口下的环路检测功能，防止端口下因私接Hub等设备形成的环路而导致网络故障的现象，</w:t>
            </w:r>
            <w:r>
              <w:rPr>
                <w:rFonts w:hint="eastAsia" w:ascii="宋体" w:hAnsi="宋体"/>
                <w:bCs/>
                <w:sz w:val="18"/>
                <w:szCs w:val="18"/>
              </w:rPr>
              <w:t>提供官网链接与官网截图，并加盖公章</w:t>
            </w:r>
            <w:r>
              <w:rPr>
                <w:rFonts w:hint="eastAsia" w:ascii="宋体" w:hAnsi="宋体"/>
                <w:sz w:val="18"/>
                <w:szCs w:val="18"/>
              </w:rPr>
              <w:t>；</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2</w:t>
            </w:r>
          </w:p>
        </w:tc>
        <w:tc>
          <w:tcPr>
            <w:tcW w:w="731" w:type="dxa"/>
            <w:vAlign w:val="center"/>
          </w:tcPr>
          <w:p>
            <w:pPr>
              <w:jc w:val="center"/>
              <w:rPr>
                <w:rFonts w:ascii="宋体" w:hAnsi="宋体"/>
                <w:sz w:val="18"/>
                <w:szCs w:val="18"/>
              </w:rPr>
            </w:pPr>
            <w:r>
              <w:rPr>
                <w:rFonts w:hint="eastAsia" w:ascii="宋体" w:hAnsi="宋体"/>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7" w:type="dxa"/>
            <w:vAlign w:val="center"/>
          </w:tcPr>
          <w:p>
            <w:pPr>
              <w:jc w:val="center"/>
              <w:rPr>
                <w:rFonts w:ascii="宋体" w:hAnsi="宋体" w:cs="宋体"/>
                <w:b/>
                <w:sz w:val="18"/>
                <w:szCs w:val="18"/>
              </w:rPr>
            </w:pPr>
            <w:r>
              <w:rPr>
                <w:rFonts w:hint="eastAsia" w:ascii="宋体" w:hAnsi="宋体" w:cs="宋体"/>
                <w:b/>
                <w:sz w:val="18"/>
                <w:szCs w:val="18"/>
              </w:rPr>
              <w:t>25</w:t>
            </w:r>
          </w:p>
        </w:tc>
        <w:tc>
          <w:tcPr>
            <w:tcW w:w="973" w:type="dxa"/>
            <w:vAlign w:val="center"/>
          </w:tcPr>
          <w:p>
            <w:pPr>
              <w:rPr>
                <w:rFonts w:ascii="宋体" w:hAnsi="宋体" w:cs="宋体"/>
                <w:b/>
                <w:sz w:val="18"/>
                <w:szCs w:val="18"/>
              </w:rPr>
            </w:pPr>
            <w:r>
              <w:rPr>
                <w:rFonts w:hint="eastAsia" w:ascii="宋体" w:hAnsi="宋体" w:cs="宋体"/>
                <w:b/>
                <w:sz w:val="18"/>
                <w:szCs w:val="18"/>
              </w:rPr>
              <w:t>服务器机柜</w:t>
            </w:r>
          </w:p>
        </w:tc>
        <w:tc>
          <w:tcPr>
            <w:tcW w:w="6978" w:type="dxa"/>
            <w:shd w:val="clear" w:color="auto" w:fill="auto"/>
            <w:vAlign w:val="center"/>
          </w:tcPr>
          <w:p>
            <w:pPr>
              <w:pStyle w:val="22"/>
              <w:widowControl w:val="0"/>
              <w:numPr>
                <w:ilvl w:val="0"/>
                <w:numId w:val="24"/>
              </w:numPr>
              <w:spacing w:line="360" w:lineRule="auto"/>
              <w:ind w:firstLineChars="0"/>
              <w:rPr>
                <w:rFonts w:ascii="宋体" w:hAnsi="宋体"/>
                <w:sz w:val="18"/>
                <w:szCs w:val="18"/>
              </w:rPr>
            </w:pPr>
            <w:r>
              <w:rPr>
                <w:rFonts w:hint="eastAsia" w:ascii="宋体" w:hAnsi="宋体"/>
                <w:sz w:val="18"/>
                <w:szCs w:val="18"/>
              </w:rPr>
              <w:t>尺寸：≥600mm宽*≥1610mm高*≥800mm深，容积≥32U。</w:t>
            </w:r>
          </w:p>
          <w:p>
            <w:pPr>
              <w:pStyle w:val="22"/>
              <w:widowControl w:val="0"/>
              <w:numPr>
                <w:ilvl w:val="0"/>
                <w:numId w:val="24"/>
              </w:numPr>
              <w:spacing w:line="360" w:lineRule="auto"/>
              <w:ind w:firstLineChars="0"/>
              <w:rPr>
                <w:rFonts w:ascii="宋体" w:hAnsi="宋体"/>
                <w:sz w:val="18"/>
                <w:szCs w:val="18"/>
              </w:rPr>
            </w:pPr>
            <w:r>
              <w:rPr>
                <w:rFonts w:hint="eastAsia" w:ascii="宋体" w:hAnsi="宋体"/>
                <w:sz w:val="18"/>
                <w:szCs w:val="18"/>
              </w:rPr>
              <w:t>8位国标排插组件≥1套，固定板≥3块，风扇组件≥1套，重型脚轮≥4个，方螺母螺钉≥40套，支脚≥4只，内六扳手≥1只。提供三年维保服务。</w:t>
            </w:r>
          </w:p>
        </w:tc>
        <w:tc>
          <w:tcPr>
            <w:tcW w:w="731"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731" w:type="dxa"/>
            <w:vAlign w:val="center"/>
          </w:tcPr>
          <w:p>
            <w:pPr>
              <w:jc w:val="center"/>
              <w:rPr>
                <w:rFonts w:ascii="宋体" w:hAnsi="宋体"/>
                <w:sz w:val="18"/>
                <w:szCs w:val="18"/>
              </w:rPr>
            </w:pPr>
            <w:r>
              <w:rPr>
                <w:rFonts w:hint="eastAsia" w:ascii="宋体" w:hAnsi="宋体"/>
                <w:sz w:val="18"/>
                <w:szCs w:val="18"/>
              </w:rPr>
              <w:t>个</w:t>
            </w:r>
          </w:p>
        </w:tc>
      </w:tr>
    </w:tbl>
    <w:p>
      <w:pPr>
        <w:rPr>
          <w:rFonts w:ascii="宋体" w:hAnsi="宋体"/>
        </w:rPr>
      </w:pPr>
    </w:p>
    <w:p>
      <w:pPr>
        <w:rPr>
          <w:rFonts w:ascii="宋体" w:hAnsi="宋体"/>
        </w:rPr>
      </w:pPr>
    </w:p>
    <w:p>
      <w:pPr>
        <w:rPr>
          <w:rFonts w:hint="eastAsia" w:ascii="宋体" w:hAnsi="宋体"/>
        </w:rPr>
      </w:pPr>
      <w:r>
        <w:rPr>
          <w:rFonts w:hint="eastAsia" w:ascii="宋体" w:hAnsi="宋体"/>
        </w:rPr>
        <w:t>三 、 验收标准和要求：</w:t>
      </w:r>
    </w:p>
    <w:p>
      <w:pPr>
        <w:numPr>
          <w:ilvl w:val="0"/>
          <w:numId w:val="25"/>
        </w:numPr>
        <w:ind w:left="105" w:leftChars="0" w:firstLine="0" w:firstLineChars="0"/>
        <w:rPr>
          <w:rFonts w:ascii="宋体" w:hAnsi="宋体"/>
        </w:rPr>
      </w:pPr>
      <w:r>
        <w:rPr>
          <w:rFonts w:ascii="宋体" w:hAnsi="宋体"/>
        </w:rPr>
        <w:t>合同履行期限：签订合同之日起</w:t>
      </w:r>
      <w:r>
        <w:rPr>
          <w:rFonts w:hint="eastAsia" w:ascii="宋体" w:hAnsi="宋体"/>
          <w:lang w:val="en-US" w:eastAsia="zh-CN"/>
        </w:rPr>
        <w:t>3</w:t>
      </w:r>
      <w:r>
        <w:rPr>
          <w:rFonts w:ascii="宋体" w:hAnsi="宋体"/>
        </w:rPr>
        <w:t>0天内</w:t>
      </w:r>
    </w:p>
    <w:p>
      <w:pPr>
        <w:numPr>
          <w:ilvl w:val="0"/>
          <w:numId w:val="25"/>
        </w:numPr>
        <w:ind w:left="105" w:leftChars="0" w:firstLine="0" w:firstLineChars="0"/>
        <w:rPr>
          <w:rFonts w:ascii="宋体" w:hAnsi="宋体"/>
        </w:rPr>
      </w:pPr>
      <w:r>
        <w:rPr>
          <w:rFonts w:ascii="宋体" w:hAnsi="宋体"/>
        </w:rPr>
        <w:t xml:space="preserve">项目实施地点：采购人指定地点 </w:t>
      </w:r>
    </w:p>
    <w:p>
      <w:pPr>
        <w:numPr>
          <w:ilvl w:val="0"/>
          <w:numId w:val="25"/>
        </w:numPr>
        <w:ind w:left="105" w:leftChars="0" w:firstLine="0" w:firstLineChars="0"/>
        <w:rPr>
          <w:rFonts w:ascii="宋体" w:hAnsi="宋体"/>
        </w:rPr>
      </w:pPr>
      <w:r>
        <w:rPr>
          <w:rFonts w:ascii="宋体" w:hAnsi="宋体"/>
        </w:rPr>
        <w:t xml:space="preserve">付款方式：采购人与中标人双方协商 </w:t>
      </w:r>
    </w:p>
    <w:p>
      <w:pPr>
        <w:numPr>
          <w:ilvl w:val="0"/>
          <w:numId w:val="25"/>
        </w:numPr>
        <w:ind w:left="105" w:leftChars="0" w:firstLine="0" w:firstLineChars="0"/>
        <w:rPr>
          <w:rFonts w:ascii="宋体" w:hAnsi="宋体"/>
        </w:rPr>
      </w:pPr>
      <w:r>
        <w:rPr>
          <w:rFonts w:ascii="宋体" w:hAnsi="宋体"/>
        </w:rPr>
        <w:t>验收标准：根据招标文件规定的要求，结合国家、地方和行业的法律法规进行验收</w:t>
      </w:r>
    </w:p>
    <w:p>
      <w:pPr>
        <w:numPr>
          <w:ilvl w:val="0"/>
          <w:numId w:val="25"/>
        </w:numPr>
        <w:ind w:left="105" w:leftChars="0" w:firstLine="0" w:firstLineChars="0"/>
        <w:rPr>
          <w:rFonts w:ascii="宋体" w:hAnsi="宋体"/>
        </w:rPr>
      </w:pPr>
      <w:r>
        <w:rPr>
          <w:rFonts w:ascii="宋体" w:hAnsi="宋体"/>
        </w:rPr>
        <w:t xml:space="preserve">包装及运输要求：本次采购的货物和材料必须是全新的，所有货物运输到达现场时的包装 必须是原厂完整的。安装所需工具设施物料由中标人自备、自费运到现场，完工后自费搬走。 </w:t>
      </w:r>
    </w:p>
    <w:p>
      <w:pPr>
        <w:numPr>
          <w:ilvl w:val="0"/>
          <w:numId w:val="25"/>
        </w:numPr>
        <w:ind w:left="105" w:leftChars="0" w:firstLine="0" w:firstLineChars="0"/>
        <w:rPr>
          <w:rFonts w:ascii="宋体" w:hAnsi="宋体"/>
        </w:rPr>
      </w:pPr>
      <w:r>
        <w:rPr>
          <w:rFonts w:ascii="宋体" w:hAnsi="宋体"/>
        </w:rPr>
        <w:t>售后服务：①投标方必须为此次投标提供不少于</w:t>
      </w:r>
      <w:r>
        <w:rPr>
          <w:rFonts w:hint="eastAsia" w:ascii="宋体" w:hAnsi="宋体"/>
          <w:lang w:val="en-US" w:eastAsia="zh-CN"/>
        </w:rPr>
        <w:t>3</w:t>
      </w:r>
      <w:r>
        <w:rPr>
          <w:rFonts w:ascii="宋体" w:hAnsi="宋体"/>
        </w:rPr>
        <w:t>年质保服务（设备质保期如有超出部分按原厂商标准提供维护，质保期以验收合格之日算起）。②在保修期内由于货物质量原因造成的任何质量问题，投标方须免费负责修理或更换。③在保修期结束前，须由投标方和用户代表进行一次全面检查，任何质量问题必须由投标方负责修理或更换。在修复之后，投标方应将缺陷原因、修理内容、完成修理及恢复正常的时间和日期等报告用户。④在货物安装完毕之后为用户管理人员提供培训、技术支持。 7、提供一年 5×8 小时上门保修，免费更换全部配件；提供 7×24 小时技术支持和服务，2 小时内作出实质性响应，对重大问题提供现场技术支持，24 小时内到达指定现场。问题解 决后 24 小时内，提交问题处理报告，说明问题种类、问题原因、问题解决中使用的方法及造成的损失等情况，3</w:t>
      </w:r>
      <w:bookmarkStart w:id="0" w:name="_GoBack"/>
      <w:bookmarkEnd w:id="0"/>
      <w:r>
        <w:rPr>
          <w:rFonts w:ascii="宋体" w:hAnsi="宋体"/>
        </w:rPr>
        <w:t>年内定期回访每年不少于 2 次，免费提供技术培训，并提供需方要求的 所有培训资料，所有设备超过保修期后，三年内维修只收取零部件成本费。</w:t>
      </w:r>
    </w:p>
    <w:sectPr>
      <w:headerReference r:id="rId5" w:type="first"/>
      <w:footerReference r:id="rId7" w:type="first"/>
      <w:headerReference r:id="rId3" w:type="default"/>
      <w:headerReference r:id="rId4" w:type="even"/>
      <w:footerReference r:id="rId6" w:type="even"/>
      <w:footnotePr>
        <w:numFmt w:val="decimalEnclosedCircleChinese"/>
        <w:numRestart w:val="eachPage"/>
      </w:footnotePr>
      <w:pgSz w:w="11906" w:h="16838"/>
      <w:pgMar w:top="1418" w:right="1701" w:bottom="1418" w:left="1701" w:header="850"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spacing w:after="120"/>
      <w:rPr>
        <w:rStyle w:val="13"/>
      </w:rPr>
    </w:pPr>
    <w:r>
      <w:fldChar w:fldCharType="begin"/>
    </w:r>
    <w:r>
      <w:rPr>
        <w:rStyle w:val="13"/>
      </w:rPr>
      <w:instrText xml:space="preserve">PAGE  </w:instrText>
    </w:r>
    <w:r>
      <w:fldChar w:fldCharType="end"/>
    </w:r>
  </w:p>
  <w:p>
    <w:pPr>
      <w:pStyle w:val="5"/>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489"/>
    <w:multiLevelType w:val="multilevel"/>
    <w:tmpl w:val="008B74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BD6807"/>
    <w:multiLevelType w:val="multilevel"/>
    <w:tmpl w:val="08BD680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BB3077"/>
    <w:multiLevelType w:val="multilevel"/>
    <w:tmpl w:val="0FBB307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4473A6"/>
    <w:multiLevelType w:val="multilevel"/>
    <w:tmpl w:val="124473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A130FC5"/>
    <w:multiLevelType w:val="multilevel"/>
    <w:tmpl w:val="1A130FC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ABD0000"/>
    <w:multiLevelType w:val="multilevel"/>
    <w:tmpl w:val="1ABD00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BB23520"/>
    <w:multiLevelType w:val="multilevel"/>
    <w:tmpl w:val="1BB2352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801816"/>
    <w:multiLevelType w:val="multilevel"/>
    <w:tmpl w:val="1C80181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177F31"/>
    <w:multiLevelType w:val="multilevel"/>
    <w:tmpl w:val="1E177F3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E9243D3"/>
    <w:multiLevelType w:val="multilevel"/>
    <w:tmpl w:val="2E9243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F045FAD"/>
    <w:multiLevelType w:val="multilevel"/>
    <w:tmpl w:val="2F045FA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C513B3D"/>
    <w:multiLevelType w:val="multilevel"/>
    <w:tmpl w:val="3C513B3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CD50FA4"/>
    <w:multiLevelType w:val="singleLevel"/>
    <w:tmpl w:val="3CD50FA4"/>
    <w:lvl w:ilvl="0" w:tentative="0">
      <w:start w:val="1"/>
      <w:numFmt w:val="decimal"/>
      <w:suff w:val="nothing"/>
      <w:lvlText w:val="%1、"/>
      <w:lvlJc w:val="left"/>
      <w:pPr>
        <w:ind w:left="105" w:leftChars="0" w:firstLine="0" w:firstLineChars="0"/>
      </w:pPr>
    </w:lvl>
  </w:abstractNum>
  <w:abstractNum w:abstractNumId="13">
    <w:nsid w:val="458F3283"/>
    <w:multiLevelType w:val="multilevel"/>
    <w:tmpl w:val="458F32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9D2355E"/>
    <w:multiLevelType w:val="multilevel"/>
    <w:tmpl w:val="49D2355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AD7699E"/>
    <w:multiLevelType w:val="multilevel"/>
    <w:tmpl w:val="4AD7699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98A3F5A"/>
    <w:multiLevelType w:val="multilevel"/>
    <w:tmpl w:val="598A3F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D363971"/>
    <w:multiLevelType w:val="multilevel"/>
    <w:tmpl w:val="5D363971"/>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1B944A9"/>
    <w:multiLevelType w:val="multilevel"/>
    <w:tmpl w:val="61B944A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3CB3D5B"/>
    <w:multiLevelType w:val="multilevel"/>
    <w:tmpl w:val="63CB3D5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82F2F0A"/>
    <w:multiLevelType w:val="multilevel"/>
    <w:tmpl w:val="682F2F0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BBC62F8"/>
    <w:multiLevelType w:val="multilevel"/>
    <w:tmpl w:val="6BBC62F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FFE21C5"/>
    <w:multiLevelType w:val="multilevel"/>
    <w:tmpl w:val="6FFE21C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11F0319"/>
    <w:multiLevelType w:val="multilevel"/>
    <w:tmpl w:val="711F03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FE55293"/>
    <w:multiLevelType w:val="multilevel"/>
    <w:tmpl w:val="7FE5529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4"/>
  </w:num>
  <w:num w:numId="2">
    <w:abstractNumId w:val="18"/>
  </w:num>
  <w:num w:numId="3">
    <w:abstractNumId w:val="0"/>
  </w:num>
  <w:num w:numId="4">
    <w:abstractNumId w:val="19"/>
  </w:num>
  <w:num w:numId="5">
    <w:abstractNumId w:val="13"/>
  </w:num>
  <w:num w:numId="6">
    <w:abstractNumId w:val="3"/>
  </w:num>
  <w:num w:numId="7">
    <w:abstractNumId w:val="5"/>
  </w:num>
  <w:num w:numId="8">
    <w:abstractNumId w:val="9"/>
  </w:num>
  <w:num w:numId="9">
    <w:abstractNumId w:val="23"/>
  </w:num>
  <w:num w:numId="10">
    <w:abstractNumId w:val="17"/>
  </w:num>
  <w:num w:numId="11">
    <w:abstractNumId w:val="11"/>
  </w:num>
  <w:num w:numId="12">
    <w:abstractNumId w:val="4"/>
  </w:num>
  <w:num w:numId="13">
    <w:abstractNumId w:val="20"/>
  </w:num>
  <w:num w:numId="14">
    <w:abstractNumId w:val="14"/>
  </w:num>
  <w:num w:numId="15">
    <w:abstractNumId w:val="1"/>
  </w:num>
  <w:num w:numId="16">
    <w:abstractNumId w:val="7"/>
  </w:num>
  <w:num w:numId="17">
    <w:abstractNumId w:val="15"/>
  </w:num>
  <w:num w:numId="18">
    <w:abstractNumId w:val="8"/>
  </w:num>
  <w:num w:numId="19">
    <w:abstractNumId w:val="21"/>
  </w:num>
  <w:num w:numId="20">
    <w:abstractNumId w:val="6"/>
  </w:num>
  <w:num w:numId="21">
    <w:abstractNumId w:val="16"/>
  </w:num>
  <w:num w:numId="22">
    <w:abstractNumId w:val="2"/>
  </w:num>
  <w:num w:numId="23">
    <w:abstractNumId w:val="22"/>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5MDY4YjgxOTY0MTAyN2EyNmEyM2RmMTBiNjUwNDUifQ=="/>
  </w:docVars>
  <w:rsids>
    <w:rsidRoot w:val="00C00BB4"/>
    <w:rsid w:val="000025C4"/>
    <w:rsid w:val="0000460A"/>
    <w:rsid w:val="00007FC8"/>
    <w:rsid w:val="000240BA"/>
    <w:rsid w:val="000257EC"/>
    <w:rsid w:val="00031395"/>
    <w:rsid w:val="00031E34"/>
    <w:rsid w:val="00032917"/>
    <w:rsid w:val="00033B77"/>
    <w:rsid w:val="00033C81"/>
    <w:rsid w:val="00034642"/>
    <w:rsid w:val="0004065C"/>
    <w:rsid w:val="00042A17"/>
    <w:rsid w:val="00047117"/>
    <w:rsid w:val="00052098"/>
    <w:rsid w:val="000576FA"/>
    <w:rsid w:val="00064381"/>
    <w:rsid w:val="00070558"/>
    <w:rsid w:val="000914F7"/>
    <w:rsid w:val="00091B73"/>
    <w:rsid w:val="0009282C"/>
    <w:rsid w:val="000A58CA"/>
    <w:rsid w:val="000B033B"/>
    <w:rsid w:val="000B2D44"/>
    <w:rsid w:val="000C19A6"/>
    <w:rsid w:val="000C3BD6"/>
    <w:rsid w:val="000D56C4"/>
    <w:rsid w:val="000D60BA"/>
    <w:rsid w:val="000D6AED"/>
    <w:rsid w:val="000E466A"/>
    <w:rsid w:val="000F0EA4"/>
    <w:rsid w:val="000F2C6A"/>
    <w:rsid w:val="000F6FF3"/>
    <w:rsid w:val="001078C7"/>
    <w:rsid w:val="001210A3"/>
    <w:rsid w:val="00122DC0"/>
    <w:rsid w:val="00122E9A"/>
    <w:rsid w:val="001956BB"/>
    <w:rsid w:val="001A4A3F"/>
    <w:rsid w:val="001A63F3"/>
    <w:rsid w:val="001C5A8D"/>
    <w:rsid w:val="001C6F65"/>
    <w:rsid w:val="001D34B2"/>
    <w:rsid w:val="001D7137"/>
    <w:rsid w:val="001E4CDD"/>
    <w:rsid w:val="001E5B82"/>
    <w:rsid w:val="001F1697"/>
    <w:rsid w:val="001F6D41"/>
    <w:rsid w:val="0020352A"/>
    <w:rsid w:val="00210D50"/>
    <w:rsid w:val="002156E2"/>
    <w:rsid w:val="00215E09"/>
    <w:rsid w:val="00222EC1"/>
    <w:rsid w:val="00225E75"/>
    <w:rsid w:val="00240167"/>
    <w:rsid w:val="00241E51"/>
    <w:rsid w:val="00255298"/>
    <w:rsid w:val="00261A29"/>
    <w:rsid w:val="00270C43"/>
    <w:rsid w:val="00270CA9"/>
    <w:rsid w:val="0028116F"/>
    <w:rsid w:val="00294333"/>
    <w:rsid w:val="00294468"/>
    <w:rsid w:val="002A115C"/>
    <w:rsid w:val="002A1680"/>
    <w:rsid w:val="002A4B90"/>
    <w:rsid w:val="002B2A24"/>
    <w:rsid w:val="002C2AE4"/>
    <w:rsid w:val="002C3DDB"/>
    <w:rsid w:val="002C6EE6"/>
    <w:rsid w:val="002E0ED3"/>
    <w:rsid w:val="002E72D6"/>
    <w:rsid w:val="002F3653"/>
    <w:rsid w:val="003106C1"/>
    <w:rsid w:val="003118AD"/>
    <w:rsid w:val="0031201F"/>
    <w:rsid w:val="003168AE"/>
    <w:rsid w:val="00321FF8"/>
    <w:rsid w:val="00327208"/>
    <w:rsid w:val="00327F0E"/>
    <w:rsid w:val="00331D27"/>
    <w:rsid w:val="00332743"/>
    <w:rsid w:val="00336E81"/>
    <w:rsid w:val="003373A3"/>
    <w:rsid w:val="00347076"/>
    <w:rsid w:val="0035301F"/>
    <w:rsid w:val="0035655C"/>
    <w:rsid w:val="00371661"/>
    <w:rsid w:val="003746D2"/>
    <w:rsid w:val="003860C6"/>
    <w:rsid w:val="00392D5B"/>
    <w:rsid w:val="003A5F97"/>
    <w:rsid w:val="003B2A8C"/>
    <w:rsid w:val="003B5DC1"/>
    <w:rsid w:val="003C3309"/>
    <w:rsid w:val="003C56F9"/>
    <w:rsid w:val="003C5B86"/>
    <w:rsid w:val="003D46D3"/>
    <w:rsid w:val="003D5793"/>
    <w:rsid w:val="003F4AC4"/>
    <w:rsid w:val="004002AF"/>
    <w:rsid w:val="00402EC3"/>
    <w:rsid w:val="00404045"/>
    <w:rsid w:val="0044198B"/>
    <w:rsid w:val="00444A1A"/>
    <w:rsid w:val="00447A52"/>
    <w:rsid w:val="0045548D"/>
    <w:rsid w:val="00462076"/>
    <w:rsid w:val="00463CCA"/>
    <w:rsid w:val="004705FE"/>
    <w:rsid w:val="004712FB"/>
    <w:rsid w:val="00473631"/>
    <w:rsid w:val="00477B89"/>
    <w:rsid w:val="00496B1C"/>
    <w:rsid w:val="004A7526"/>
    <w:rsid w:val="004B07B0"/>
    <w:rsid w:val="004B5191"/>
    <w:rsid w:val="004C297E"/>
    <w:rsid w:val="004C70A5"/>
    <w:rsid w:val="004D00E5"/>
    <w:rsid w:val="004D2D0D"/>
    <w:rsid w:val="004F27F8"/>
    <w:rsid w:val="0050204D"/>
    <w:rsid w:val="005151F5"/>
    <w:rsid w:val="00515BA2"/>
    <w:rsid w:val="00515D6A"/>
    <w:rsid w:val="00515E4D"/>
    <w:rsid w:val="00527F2A"/>
    <w:rsid w:val="00532AE2"/>
    <w:rsid w:val="00553A13"/>
    <w:rsid w:val="00556206"/>
    <w:rsid w:val="00564739"/>
    <w:rsid w:val="005648B0"/>
    <w:rsid w:val="00571CE4"/>
    <w:rsid w:val="005738C2"/>
    <w:rsid w:val="0057584F"/>
    <w:rsid w:val="0057608B"/>
    <w:rsid w:val="00576BE7"/>
    <w:rsid w:val="00585814"/>
    <w:rsid w:val="005B1031"/>
    <w:rsid w:val="005C0FB2"/>
    <w:rsid w:val="005C3B1D"/>
    <w:rsid w:val="005C5759"/>
    <w:rsid w:val="005C663E"/>
    <w:rsid w:val="005D2BB2"/>
    <w:rsid w:val="005E4329"/>
    <w:rsid w:val="005E43F6"/>
    <w:rsid w:val="005F7D5D"/>
    <w:rsid w:val="0060345B"/>
    <w:rsid w:val="00604D6E"/>
    <w:rsid w:val="00606C46"/>
    <w:rsid w:val="006103C9"/>
    <w:rsid w:val="00611EDA"/>
    <w:rsid w:val="0061533C"/>
    <w:rsid w:val="006222A9"/>
    <w:rsid w:val="00623B30"/>
    <w:rsid w:val="0063443C"/>
    <w:rsid w:val="00645661"/>
    <w:rsid w:val="00651CF0"/>
    <w:rsid w:val="006562E1"/>
    <w:rsid w:val="00656B57"/>
    <w:rsid w:val="006720B9"/>
    <w:rsid w:val="0067299C"/>
    <w:rsid w:val="006760DC"/>
    <w:rsid w:val="00680866"/>
    <w:rsid w:val="00685832"/>
    <w:rsid w:val="006865F7"/>
    <w:rsid w:val="00697D82"/>
    <w:rsid w:val="006A02EE"/>
    <w:rsid w:val="006A0BE7"/>
    <w:rsid w:val="006A0F77"/>
    <w:rsid w:val="006B1287"/>
    <w:rsid w:val="006B1524"/>
    <w:rsid w:val="006C15AB"/>
    <w:rsid w:val="006C234E"/>
    <w:rsid w:val="006D203C"/>
    <w:rsid w:val="006D5C54"/>
    <w:rsid w:val="006D678B"/>
    <w:rsid w:val="006F1566"/>
    <w:rsid w:val="006F2C46"/>
    <w:rsid w:val="006F6D29"/>
    <w:rsid w:val="006F773D"/>
    <w:rsid w:val="007027F6"/>
    <w:rsid w:val="00704332"/>
    <w:rsid w:val="00706ECA"/>
    <w:rsid w:val="0071497B"/>
    <w:rsid w:val="007151B3"/>
    <w:rsid w:val="00721037"/>
    <w:rsid w:val="00721FB3"/>
    <w:rsid w:val="007231F3"/>
    <w:rsid w:val="007275B3"/>
    <w:rsid w:val="00756DA2"/>
    <w:rsid w:val="00761220"/>
    <w:rsid w:val="00762F96"/>
    <w:rsid w:val="007632EF"/>
    <w:rsid w:val="00764254"/>
    <w:rsid w:val="0076681B"/>
    <w:rsid w:val="00776AC5"/>
    <w:rsid w:val="00777C55"/>
    <w:rsid w:val="007809FA"/>
    <w:rsid w:val="00781F34"/>
    <w:rsid w:val="00797691"/>
    <w:rsid w:val="007A0CDA"/>
    <w:rsid w:val="007A3E12"/>
    <w:rsid w:val="007A783A"/>
    <w:rsid w:val="007B2A00"/>
    <w:rsid w:val="007B2C7E"/>
    <w:rsid w:val="007B4ABD"/>
    <w:rsid w:val="007B56B9"/>
    <w:rsid w:val="007C0674"/>
    <w:rsid w:val="007C164F"/>
    <w:rsid w:val="007C1A2B"/>
    <w:rsid w:val="007C3F88"/>
    <w:rsid w:val="007C500A"/>
    <w:rsid w:val="007C677F"/>
    <w:rsid w:val="007D5152"/>
    <w:rsid w:val="007E340C"/>
    <w:rsid w:val="007E60D3"/>
    <w:rsid w:val="007E6173"/>
    <w:rsid w:val="007E669C"/>
    <w:rsid w:val="007E7ACE"/>
    <w:rsid w:val="007F194D"/>
    <w:rsid w:val="00801CE3"/>
    <w:rsid w:val="008022C6"/>
    <w:rsid w:val="00804277"/>
    <w:rsid w:val="00820035"/>
    <w:rsid w:val="008239F9"/>
    <w:rsid w:val="00831C85"/>
    <w:rsid w:val="008367F6"/>
    <w:rsid w:val="00842176"/>
    <w:rsid w:val="00844259"/>
    <w:rsid w:val="008509DB"/>
    <w:rsid w:val="00851E99"/>
    <w:rsid w:val="008546D9"/>
    <w:rsid w:val="008548FD"/>
    <w:rsid w:val="008574F9"/>
    <w:rsid w:val="00867898"/>
    <w:rsid w:val="008678CB"/>
    <w:rsid w:val="008747A9"/>
    <w:rsid w:val="00876C45"/>
    <w:rsid w:val="00886249"/>
    <w:rsid w:val="00887BB2"/>
    <w:rsid w:val="00892882"/>
    <w:rsid w:val="008936FD"/>
    <w:rsid w:val="008B6DC9"/>
    <w:rsid w:val="008C620C"/>
    <w:rsid w:val="008C7873"/>
    <w:rsid w:val="008E0982"/>
    <w:rsid w:val="008E0DDC"/>
    <w:rsid w:val="008E3596"/>
    <w:rsid w:val="008E6D92"/>
    <w:rsid w:val="00921C2E"/>
    <w:rsid w:val="009236B7"/>
    <w:rsid w:val="00924085"/>
    <w:rsid w:val="0095267B"/>
    <w:rsid w:val="00957F84"/>
    <w:rsid w:val="00981D1C"/>
    <w:rsid w:val="00987374"/>
    <w:rsid w:val="00994355"/>
    <w:rsid w:val="009950A6"/>
    <w:rsid w:val="009964C9"/>
    <w:rsid w:val="0099695D"/>
    <w:rsid w:val="009A4A04"/>
    <w:rsid w:val="009A5D39"/>
    <w:rsid w:val="009B17A0"/>
    <w:rsid w:val="009B2863"/>
    <w:rsid w:val="009B2940"/>
    <w:rsid w:val="009C0994"/>
    <w:rsid w:val="009C0A2D"/>
    <w:rsid w:val="009C235E"/>
    <w:rsid w:val="009C7F6F"/>
    <w:rsid w:val="009D31FC"/>
    <w:rsid w:val="009D33E6"/>
    <w:rsid w:val="009D5C6A"/>
    <w:rsid w:val="009D66A7"/>
    <w:rsid w:val="009D7BAD"/>
    <w:rsid w:val="009E1766"/>
    <w:rsid w:val="009E1FAE"/>
    <w:rsid w:val="00A15C18"/>
    <w:rsid w:val="00A1641C"/>
    <w:rsid w:val="00A16E9F"/>
    <w:rsid w:val="00A24CCB"/>
    <w:rsid w:val="00A2574A"/>
    <w:rsid w:val="00A30E95"/>
    <w:rsid w:val="00A3538B"/>
    <w:rsid w:val="00A513A4"/>
    <w:rsid w:val="00A63545"/>
    <w:rsid w:val="00A7244F"/>
    <w:rsid w:val="00A74A0A"/>
    <w:rsid w:val="00A85275"/>
    <w:rsid w:val="00A9016A"/>
    <w:rsid w:val="00A94906"/>
    <w:rsid w:val="00A961FD"/>
    <w:rsid w:val="00AA1B45"/>
    <w:rsid w:val="00AA75F5"/>
    <w:rsid w:val="00AB1740"/>
    <w:rsid w:val="00AB438D"/>
    <w:rsid w:val="00AB68C8"/>
    <w:rsid w:val="00AC2CC4"/>
    <w:rsid w:val="00AC4835"/>
    <w:rsid w:val="00AD5721"/>
    <w:rsid w:val="00AE13C1"/>
    <w:rsid w:val="00AE21A4"/>
    <w:rsid w:val="00AE2A83"/>
    <w:rsid w:val="00AF61CD"/>
    <w:rsid w:val="00AF75E8"/>
    <w:rsid w:val="00B064BC"/>
    <w:rsid w:val="00B105BA"/>
    <w:rsid w:val="00B15AEE"/>
    <w:rsid w:val="00B2279A"/>
    <w:rsid w:val="00B32327"/>
    <w:rsid w:val="00B33D9E"/>
    <w:rsid w:val="00B403DD"/>
    <w:rsid w:val="00B47347"/>
    <w:rsid w:val="00B50309"/>
    <w:rsid w:val="00B51B2B"/>
    <w:rsid w:val="00B53E23"/>
    <w:rsid w:val="00B56577"/>
    <w:rsid w:val="00B57758"/>
    <w:rsid w:val="00B729E1"/>
    <w:rsid w:val="00B823CE"/>
    <w:rsid w:val="00B82429"/>
    <w:rsid w:val="00B930B7"/>
    <w:rsid w:val="00BA40B2"/>
    <w:rsid w:val="00BB62D4"/>
    <w:rsid w:val="00BC7F51"/>
    <w:rsid w:val="00BD2795"/>
    <w:rsid w:val="00BD47DA"/>
    <w:rsid w:val="00BE0C99"/>
    <w:rsid w:val="00BF614B"/>
    <w:rsid w:val="00C00BB4"/>
    <w:rsid w:val="00C14FFF"/>
    <w:rsid w:val="00C20FCD"/>
    <w:rsid w:val="00C221E5"/>
    <w:rsid w:val="00C427E0"/>
    <w:rsid w:val="00C47B16"/>
    <w:rsid w:val="00C53445"/>
    <w:rsid w:val="00C567BF"/>
    <w:rsid w:val="00C646CB"/>
    <w:rsid w:val="00C73DC0"/>
    <w:rsid w:val="00C746CB"/>
    <w:rsid w:val="00C74D7D"/>
    <w:rsid w:val="00C773C2"/>
    <w:rsid w:val="00CA04F4"/>
    <w:rsid w:val="00CC1C86"/>
    <w:rsid w:val="00CC4307"/>
    <w:rsid w:val="00CD0882"/>
    <w:rsid w:val="00CE05C1"/>
    <w:rsid w:val="00CF43E2"/>
    <w:rsid w:val="00CF5F9B"/>
    <w:rsid w:val="00D21B3B"/>
    <w:rsid w:val="00D21B92"/>
    <w:rsid w:val="00D41424"/>
    <w:rsid w:val="00D44466"/>
    <w:rsid w:val="00D537E8"/>
    <w:rsid w:val="00D5763C"/>
    <w:rsid w:val="00D62349"/>
    <w:rsid w:val="00D74CD3"/>
    <w:rsid w:val="00D80A13"/>
    <w:rsid w:val="00D80A16"/>
    <w:rsid w:val="00D96D04"/>
    <w:rsid w:val="00DA3C07"/>
    <w:rsid w:val="00DA430A"/>
    <w:rsid w:val="00DA43D6"/>
    <w:rsid w:val="00DA5BDF"/>
    <w:rsid w:val="00DB4B95"/>
    <w:rsid w:val="00DC04E0"/>
    <w:rsid w:val="00DD5A1A"/>
    <w:rsid w:val="00DD73DE"/>
    <w:rsid w:val="00DD77C9"/>
    <w:rsid w:val="00DF5781"/>
    <w:rsid w:val="00DF68B9"/>
    <w:rsid w:val="00DF7077"/>
    <w:rsid w:val="00E02C8F"/>
    <w:rsid w:val="00E05B9F"/>
    <w:rsid w:val="00E13C8A"/>
    <w:rsid w:val="00E16EF7"/>
    <w:rsid w:val="00E22970"/>
    <w:rsid w:val="00E27F95"/>
    <w:rsid w:val="00E41F42"/>
    <w:rsid w:val="00E564B7"/>
    <w:rsid w:val="00E5686F"/>
    <w:rsid w:val="00E60940"/>
    <w:rsid w:val="00E674FE"/>
    <w:rsid w:val="00E81519"/>
    <w:rsid w:val="00E87F89"/>
    <w:rsid w:val="00EA1158"/>
    <w:rsid w:val="00EB1ACA"/>
    <w:rsid w:val="00EB723E"/>
    <w:rsid w:val="00EB7747"/>
    <w:rsid w:val="00EC04D6"/>
    <w:rsid w:val="00EC13ED"/>
    <w:rsid w:val="00EC1D73"/>
    <w:rsid w:val="00ED1C5E"/>
    <w:rsid w:val="00ED4B56"/>
    <w:rsid w:val="00EE02DA"/>
    <w:rsid w:val="00EE15C3"/>
    <w:rsid w:val="00EF1AEB"/>
    <w:rsid w:val="00EF1B41"/>
    <w:rsid w:val="00EF682F"/>
    <w:rsid w:val="00F07195"/>
    <w:rsid w:val="00F349AF"/>
    <w:rsid w:val="00F358AD"/>
    <w:rsid w:val="00F37F0D"/>
    <w:rsid w:val="00F52B96"/>
    <w:rsid w:val="00F55081"/>
    <w:rsid w:val="00F5708B"/>
    <w:rsid w:val="00F6060F"/>
    <w:rsid w:val="00F63792"/>
    <w:rsid w:val="00F66648"/>
    <w:rsid w:val="00F83A64"/>
    <w:rsid w:val="00F861DF"/>
    <w:rsid w:val="00F92D85"/>
    <w:rsid w:val="00F957F9"/>
    <w:rsid w:val="00FA56CB"/>
    <w:rsid w:val="00FA6059"/>
    <w:rsid w:val="00FA7795"/>
    <w:rsid w:val="00FB039D"/>
    <w:rsid w:val="00FB5408"/>
    <w:rsid w:val="00FC3BAC"/>
    <w:rsid w:val="00FD2B7A"/>
    <w:rsid w:val="00FD5406"/>
    <w:rsid w:val="00FE0E92"/>
    <w:rsid w:val="00FE3060"/>
    <w:rsid w:val="00FE65C7"/>
    <w:rsid w:val="00FF64D4"/>
    <w:rsid w:val="01422176"/>
    <w:rsid w:val="01AC3A93"/>
    <w:rsid w:val="03806F86"/>
    <w:rsid w:val="04267B2D"/>
    <w:rsid w:val="074C50E6"/>
    <w:rsid w:val="08EB5C99"/>
    <w:rsid w:val="093C394F"/>
    <w:rsid w:val="0C985340"/>
    <w:rsid w:val="0D701E19"/>
    <w:rsid w:val="0F501F02"/>
    <w:rsid w:val="112F78F5"/>
    <w:rsid w:val="11A16A45"/>
    <w:rsid w:val="11E3705D"/>
    <w:rsid w:val="15442C2E"/>
    <w:rsid w:val="174F6F43"/>
    <w:rsid w:val="180B10BC"/>
    <w:rsid w:val="18C15C1F"/>
    <w:rsid w:val="19BE215E"/>
    <w:rsid w:val="1A626F8D"/>
    <w:rsid w:val="1C6B037B"/>
    <w:rsid w:val="1CB25FAA"/>
    <w:rsid w:val="1F947BE9"/>
    <w:rsid w:val="1FFC578E"/>
    <w:rsid w:val="20786214"/>
    <w:rsid w:val="21EF55AB"/>
    <w:rsid w:val="2245341D"/>
    <w:rsid w:val="23270D74"/>
    <w:rsid w:val="28BB61E6"/>
    <w:rsid w:val="2ABC1DA2"/>
    <w:rsid w:val="2C060B53"/>
    <w:rsid w:val="3281224F"/>
    <w:rsid w:val="33525999"/>
    <w:rsid w:val="33D60378"/>
    <w:rsid w:val="36015455"/>
    <w:rsid w:val="38C56C0D"/>
    <w:rsid w:val="39D92970"/>
    <w:rsid w:val="3AD1189A"/>
    <w:rsid w:val="3B365BA1"/>
    <w:rsid w:val="3D0221DE"/>
    <w:rsid w:val="3D167A38"/>
    <w:rsid w:val="3D6A7D83"/>
    <w:rsid w:val="3DEB0EC4"/>
    <w:rsid w:val="3E974BA8"/>
    <w:rsid w:val="3E9A1FA2"/>
    <w:rsid w:val="3F4422C3"/>
    <w:rsid w:val="4001677D"/>
    <w:rsid w:val="41344930"/>
    <w:rsid w:val="41943621"/>
    <w:rsid w:val="425F3C2F"/>
    <w:rsid w:val="42BA70B7"/>
    <w:rsid w:val="433E1A96"/>
    <w:rsid w:val="43D441A9"/>
    <w:rsid w:val="444255B6"/>
    <w:rsid w:val="455E01CE"/>
    <w:rsid w:val="46EE10DD"/>
    <w:rsid w:val="49D62A28"/>
    <w:rsid w:val="4C143394"/>
    <w:rsid w:val="4CE511D4"/>
    <w:rsid w:val="4CFF2296"/>
    <w:rsid w:val="4DCB1C80"/>
    <w:rsid w:val="4F0A3C0D"/>
    <w:rsid w:val="50FA733B"/>
    <w:rsid w:val="5181771E"/>
    <w:rsid w:val="54556C40"/>
    <w:rsid w:val="54B07246"/>
    <w:rsid w:val="55D50038"/>
    <w:rsid w:val="57EC78BB"/>
    <w:rsid w:val="58B54151"/>
    <w:rsid w:val="5AEE394A"/>
    <w:rsid w:val="5C335AB8"/>
    <w:rsid w:val="5FB23D5E"/>
    <w:rsid w:val="6170330B"/>
    <w:rsid w:val="61A82AA5"/>
    <w:rsid w:val="620A72BB"/>
    <w:rsid w:val="6353259C"/>
    <w:rsid w:val="64C23E7D"/>
    <w:rsid w:val="66644CBA"/>
    <w:rsid w:val="6922138F"/>
    <w:rsid w:val="6C6D0B73"/>
    <w:rsid w:val="6D5835D1"/>
    <w:rsid w:val="6D8A305E"/>
    <w:rsid w:val="713F6856"/>
    <w:rsid w:val="7229553C"/>
    <w:rsid w:val="72343EE1"/>
    <w:rsid w:val="72EE22E1"/>
    <w:rsid w:val="746E36DA"/>
    <w:rsid w:val="75693A2C"/>
    <w:rsid w:val="75FE45EA"/>
    <w:rsid w:val="7C1D1542"/>
    <w:rsid w:val="7C6B49A3"/>
    <w:rsid w:val="7C7C0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tLeast"/>
      <w:jc w:val="both"/>
    </w:pPr>
    <w:rPr>
      <w:rFonts w:ascii="Times New Roman" w:hAnsi="Times New Roman" w:eastAsia="宋体" w:cs="Times New Roman"/>
      <w:sz w:val="21"/>
      <w:szCs w:val="21"/>
      <w:lang w:val="en-US" w:eastAsia="zh-CN" w:bidi="ar-SA"/>
    </w:rPr>
  </w:style>
  <w:style w:type="paragraph" w:styleId="2">
    <w:name w:val="heading 1"/>
    <w:basedOn w:val="1"/>
    <w:next w:val="1"/>
    <w:link w:val="26"/>
    <w:qFormat/>
    <w:uiPriority w:val="9"/>
    <w:pPr>
      <w:keepNext/>
      <w:keepLines/>
      <w:spacing w:before="340" w:after="330" w:line="578" w:lineRule="atLeast"/>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3"/>
    <w:semiHidden/>
    <w:unhideWhenUsed/>
    <w:qFormat/>
    <w:uiPriority w:val="99"/>
    <w:pPr>
      <w:jc w:val="left"/>
    </w:pPr>
  </w:style>
  <w:style w:type="paragraph" w:styleId="4">
    <w:name w:val="Balloon Text"/>
    <w:basedOn w:val="1"/>
    <w:link w:val="25"/>
    <w:semiHidden/>
    <w:unhideWhenUsed/>
    <w:qFormat/>
    <w:uiPriority w:val="99"/>
    <w:pPr>
      <w:spacing w:line="240" w:lineRule="auto"/>
    </w:pPr>
    <w:rPr>
      <w:sz w:val="18"/>
      <w:szCs w:val="18"/>
    </w:rPr>
  </w:style>
  <w:style w:type="paragraph" w:styleId="5">
    <w:name w:val="footer"/>
    <w:basedOn w:val="1"/>
    <w:link w:val="15"/>
    <w:qFormat/>
    <w:uiPriority w:val="99"/>
    <w:pPr>
      <w:tabs>
        <w:tab w:val="center" w:pos="4153"/>
        <w:tab w:val="right" w:pos="8306"/>
      </w:tabs>
      <w:snapToGrid w:val="0"/>
      <w:spacing w:line="240" w:lineRule="auto"/>
    </w:pPr>
    <w:rPr>
      <w:rFonts w:asciiTheme="minorHAnsi" w:hAnsiTheme="minorHAnsi" w:eastAsiaTheme="minorEastAsia" w:cstheme="minorBidi"/>
      <w:kern w:val="2"/>
      <w:sz w:val="15"/>
      <w:szCs w:val="18"/>
    </w:rPr>
  </w:style>
  <w:style w:type="paragraph" w:styleId="6">
    <w:name w:val="header"/>
    <w:basedOn w:val="1"/>
    <w:link w:val="17"/>
    <w:qFormat/>
    <w:uiPriority w:val="99"/>
    <w:pPr>
      <w:tabs>
        <w:tab w:val="center" w:pos="4153"/>
        <w:tab w:val="right" w:pos="8306"/>
      </w:tabs>
      <w:snapToGrid w:val="0"/>
      <w:jc w:val="center"/>
    </w:pPr>
    <w:rPr>
      <w:sz w:val="18"/>
      <w:szCs w:val="18"/>
    </w:rPr>
  </w:style>
  <w:style w:type="paragraph" w:styleId="7">
    <w:name w:val="Title"/>
    <w:basedOn w:val="8"/>
    <w:link w:val="19"/>
    <w:qFormat/>
    <w:uiPriority w:val="0"/>
    <w:pPr>
      <w:jc w:val="center"/>
      <w:outlineLvl w:val="0"/>
    </w:pPr>
    <w:rPr>
      <w:rFonts w:eastAsia="黑体" w:cs="Arial"/>
      <w:b/>
      <w:bCs/>
      <w:sz w:val="52"/>
      <w:szCs w:val="32"/>
    </w:rPr>
  </w:style>
  <w:style w:type="paragraph" w:customStyle="1" w:styleId="8">
    <w:name w:val="正文（安云科技）"/>
    <w:link w:val="16"/>
    <w:qFormat/>
    <w:uiPriority w:val="0"/>
    <w:pPr>
      <w:spacing w:line="360" w:lineRule="auto"/>
      <w:ind w:firstLine="200" w:firstLineChars="200"/>
    </w:pPr>
    <w:rPr>
      <w:rFonts w:asciiTheme="minorHAnsi" w:hAnsiTheme="minorHAnsi" w:eastAsiaTheme="minorEastAsia" w:cstheme="minorBidi"/>
      <w:kern w:val="2"/>
      <w:sz w:val="24"/>
      <w:szCs w:val="21"/>
      <w:lang w:val="en-US" w:eastAsia="zh-CN" w:bidi="ar-SA"/>
    </w:rPr>
  </w:style>
  <w:style w:type="paragraph" w:styleId="9">
    <w:name w:val="annotation subject"/>
    <w:basedOn w:val="3"/>
    <w:next w:val="3"/>
    <w:link w:val="24"/>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semiHidden/>
    <w:qFormat/>
    <w:uiPriority w:val="0"/>
  </w:style>
  <w:style w:type="character" w:styleId="14">
    <w:name w:val="annotation reference"/>
    <w:basedOn w:val="12"/>
    <w:semiHidden/>
    <w:unhideWhenUsed/>
    <w:qFormat/>
    <w:uiPriority w:val="99"/>
    <w:rPr>
      <w:sz w:val="21"/>
      <w:szCs w:val="21"/>
    </w:rPr>
  </w:style>
  <w:style w:type="character" w:customStyle="1" w:styleId="15">
    <w:name w:val="页脚 字符"/>
    <w:link w:val="5"/>
    <w:qFormat/>
    <w:uiPriority w:val="99"/>
    <w:rPr>
      <w:sz w:val="15"/>
      <w:szCs w:val="18"/>
    </w:rPr>
  </w:style>
  <w:style w:type="character" w:customStyle="1" w:styleId="16">
    <w:name w:val="正文（安云科技） Char Char"/>
    <w:link w:val="8"/>
    <w:qFormat/>
    <w:uiPriority w:val="0"/>
    <w:rPr>
      <w:sz w:val="24"/>
      <w:szCs w:val="21"/>
    </w:rPr>
  </w:style>
  <w:style w:type="character" w:customStyle="1" w:styleId="17">
    <w:name w:val="页眉 字符"/>
    <w:basedOn w:val="12"/>
    <w:link w:val="6"/>
    <w:qFormat/>
    <w:uiPriority w:val="99"/>
    <w:rPr>
      <w:rFonts w:ascii="Times New Roman" w:hAnsi="Times New Roman" w:eastAsia="宋体" w:cs="Times New Roman"/>
      <w:kern w:val="0"/>
      <w:sz w:val="18"/>
      <w:szCs w:val="18"/>
    </w:rPr>
  </w:style>
  <w:style w:type="character" w:customStyle="1" w:styleId="18">
    <w:name w:val="页脚 字符1"/>
    <w:basedOn w:val="12"/>
    <w:semiHidden/>
    <w:qFormat/>
    <w:uiPriority w:val="99"/>
    <w:rPr>
      <w:rFonts w:ascii="Times New Roman" w:hAnsi="Times New Roman" w:eastAsia="宋体" w:cs="Times New Roman"/>
      <w:kern w:val="0"/>
      <w:sz w:val="18"/>
      <w:szCs w:val="18"/>
    </w:rPr>
  </w:style>
  <w:style w:type="character" w:customStyle="1" w:styleId="19">
    <w:name w:val="标题 字符"/>
    <w:basedOn w:val="12"/>
    <w:link w:val="7"/>
    <w:qFormat/>
    <w:uiPriority w:val="0"/>
    <w:rPr>
      <w:rFonts w:eastAsia="黑体" w:cs="Arial"/>
      <w:b/>
      <w:bCs/>
      <w:sz w:val="52"/>
      <w:szCs w:val="32"/>
    </w:rPr>
  </w:style>
  <w:style w:type="paragraph" w:customStyle="1" w:styleId="20">
    <w:name w:val="页脚左端（安云科技）"/>
    <w:basedOn w:val="1"/>
    <w:qFormat/>
    <w:uiPriority w:val="0"/>
    <w:pPr>
      <w:pBdr>
        <w:top w:val="single" w:color="auto" w:sz="4" w:space="4"/>
      </w:pBdr>
      <w:tabs>
        <w:tab w:val="center" w:pos="4153"/>
        <w:tab w:val="right" w:pos="8306"/>
      </w:tabs>
      <w:snapToGrid w:val="0"/>
      <w:spacing w:before="100" w:beforeAutospacing="1" w:line="240" w:lineRule="auto"/>
      <w:jc w:val="left"/>
    </w:pPr>
    <w:rPr>
      <w:b/>
      <w:sz w:val="18"/>
      <w:szCs w:val="18"/>
    </w:rPr>
  </w:style>
  <w:style w:type="paragraph" w:customStyle="1" w:styleId="21">
    <w:name w:val="页脚页码（绿盟科技）"/>
    <w:basedOn w:val="5"/>
    <w:qFormat/>
    <w:uiPriority w:val="0"/>
    <w:pPr>
      <w:framePr w:w="703" w:wrap="around" w:vAnchor="text" w:hAnchor="page" w:x="5598" w:y="247"/>
      <w:jc w:val="center"/>
    </w:pPr>
    <w:rPr>
      <w:sz w:val="18"/>
    </w:rPr>
  </w:style>
  <w:style w:type="paragraph" w:styleId="22">
    <w:name w:val="List Paragraph"/>
    <w:basedOn w:val="1"/>
    <w:link w:val="27"/>
    <w:qFormat/>
    <w:uiPriority w:val="34"/>
    <w:pPr>
      <w:ind w:firstLine="420" w:firstLineChars="200"/>
    </w:pPr>
  </w:style>
  <w:style w:type="character" w:customStyle="1" w:styleId="23">
    <w:name w:val="批注文字 字符"/>
    <w:basedOn w:val="12"/>
    <w:link w:val="3"/>
    <w:semiHidden/>
    <w:qFormat/>
    <w:uiPriority w:val="99"/>
    <w:rPr>
      <w:rFonts w:ascii="Times New Roman" w:hAnsi="Times New Roman" w:eastAsia="宋体" w:cs="Times New Roman"/>
      <w:kern w:val="0"/>
      <w:szCs w:val="21"/>
    </w:rPr>
  </w:style>
  <w:style w:type="character" w:customStyle="1" w:styleId="24">
    <w:name w:val="批注主题 字符"/>
    <w:basedOn w:val="23"/>
    <w:link w:val="9"/>
    <w:semiHidden/>
    <w:qFormat/>
    <w:uiPriority w:val="99"/>
    <w:rPr>
      <w:rFonts w:ascii="Times New Roman" w:hAnsi="Times New Roman" w:eastAsia="宋体" w:cs="Times New Roman"/>
      <w:b/>
      <w:bCs/>
      <w:kern w:val="0"/>
      <w:szCs w:val="21"/>
    </w:rPr>
  </w:style>
  <w:style w:type="character" w:customStyle="1" w:styleId="25">
    <w:name w:val="批注框文本 字符"/>
    <w:basedOn w:val="12"/>
    <w:link w:val="4"/>
    <w:semiHidden/>
    <w:qFormat/>
    <w:uiPriority w:val="99"/>
    <w:rPr>
      <w:rFonts w:ascii="Times New Roman" w:hAnsi="Times New Roman" w:eastAsia="宋体" w:cs="Times New Roman"/>
      <w:kern w:val="0"/>
      <w:sz w:val="18"/>
      <w:szCs w:val="18"/>
    </w:rPr>
  </w:style>
  <w:style w:type="character" w:customStyle="1" w:styleId="26">
    <w:name w:val="标题 1 字符"/>
    <w:basedOn w:val="12"/>
    <w:link w:val="2"/>
    <w:qFormat/>
    <w:uiPriority w:val="9"/>
    <w:rPr>
      <w:rFonts w:ascii="Times New Roman" w:hAnsi="Times New Roman" w:eastAsia="宋体" w:cs="Times New Roman"/>
      <w:b/>
      <w:bCs/>
      <w:kern w:val="44"/>
      <w:sz w:val="44"/>
      <w:szCs w:val="44"/>
    </w:rPr>
  </w:style>
  <w:style w:type="character" w:customStyle="1" w:styleId="27">
    <w:name w:val="列出段落 字符"/>
    <w:link w:val="22"/>
    <w:qFormat/>
    <w:uiPriority w:val="34"/>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9C1105-8D83-4A06-A3C0-8F6F4530337C}">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1698</Words>
  <Characters>9681</Characters>
  <Lines>80</Lines>
  <Paragraphs>22</Paragraphs>
  <TotalTime>7</TotalTime>
  <ScaleCrop>false</ScaleCrop>
  <LinksUpToDate>false</LinksUpToDate>
  <CharactersWithSpaces>11357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2022-05-12T01:56:00Z</dcterms:created>
  <dc:creator>zhangxin@anyuntec.com</dc:creator>
  <cp:lastModifiedBy>ASUS</cp:lastModifiedBy>
  <dcterms:modified xsi:type="dcterms:W3CDTF">2022-06-20T03:21:48Z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100BB6683BE34E8AB43ECC66EF99635D</vt:lpwstr>
  </property>
</Properties>
</file>