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ED2" w:rsidRPr="00AF6ED2" w:rsidRDefault="00AF6ED2" w:rsidP="00AF6ED2">
      <w:pPr>
        <w:keepNext/>
        <w:keepLines/>
        <w:spacing w:line="360" w:lineRule="auto"/>
        <w:jc w:val="center"/>
        <w:outlineLvl w:val="0"/>
        <w:rPr>
          <w:rFonts w:ascii="Times New Roman" w:eastAsia="宋体" w:hAnsi="Times New Roman" w:cs="Times New Roman" w:hint="eastAsia"/>
          <w:b/>
          <w:bCs/>
          <w:kern w:val="44"/>
          <w:sz w:val="32"/>
          <w:szCs w:val="44"/>
          <w:lang/>
        </w:rPr>
      </w:pPr>
      <w:r w:rsidRPr="00AF6ED2">
        <w:rPr>
          <w:rFonts w:ascii="Times New Roman" w:eastAsia="宋体" w:hAnsi="Times New Roman" w:cs="Times New Roman" w:hint="eastAsia"/>
          <w:b/>
          <w:bCs/>
          <w:kern w:val="44"/>
          <w:sz w:val="32"/>
          <w:szCs w:val="44"/>
          <w:lang/>
        </w:rPr>
        <w:t>第三章</w:t>
      </w:r>
      <w:r w:rsidRPr="00AF6ED2">
        <w:rPr>
          <w:rFonts w:ascii="Times New Roman" w:eastAsia="宋体" w:hAnsi="Times New Roman" w:cs="Times New Roman" w:hint="eastAsia"/>
          <w:b/>
          <w:bCs/>
          <w:kern w:val="44"/>
          <w:sz w:val="32"/>
          <w:szCs w:val="44"/>
          <w:lang/>
        </w:rPr>
        <w:t xml:space="preserve"> </w:t>
      </w:r>
      <w:r w:rsidRPr="00AF6ED2">
        <w:rPr>
          <w:rFonts w:ascii="Times New Roman" w:eastAsia="宋体" w:hAnsi="Times New Roman" w:cs="Times New Roman" w:hint="eastAsia"/>
          <w:b/>
          <w:bCs/>
          <w:kern w:val="44"/>
          <w:sz w:val="32"/>
          <w:szCs w:val="44"/>
          <w:lang/>
        </w:rPr>
        <w:t>采购需求</w:t>
      </w:r>
    </w:p>
    <w:p w:rsidR="00AF6ED2" w:rsidRPr="00AF6ED2" w:rsidRDefault="00AF6ED2" w:rsidP="00AF6ED2">
      <w:pPr>
        <w:keepNext/>
        <w:keepLines/>
        <w:numPr>
          <w:ilvl w:val="0"/>
          <w:numId w:val="1"/>
        </w:numPr>
        <w:tabs>
          <w:tab w:val="left" w:pos="0"/>
        </w:tabs>
        <w:spacing w:line="360" w:lineRule="auto"/>
        <w:ind w:left="284"/>
        <w:outlineLvl w:val="0"/>
        <w:rPr>
          <w:rFonts w:ascii="宋体" w:eastAsia="宋体" w:hAnsi="宋体" w:cs="宋体"/>
          <w:b/>
          <w:bCs/>
          <w:kern w:val="44"/>
          <w:sz w:val="24"/>
          <w:szCs w:val="24"/>
        </w:rPr>
      </w:pPr>
      <w:bookmarkStart w:id="0" w:name="_Toc472354723"/>
      <w:bookmarkStart w:id="1" w:name="_Toc14197"/>
      <w:r w:rsidRPr="00AF6ED2">
        <w:rPr>
          <w:rFonts w:ascii="宋体" w:eastAsia="宋体" w:hAnsi="宋体" w:cs="宋体" w:hint="eastAsia"/>
          <w:b/>
          <w:bCs/>
          <w:kern w:val="44"/>
          <w:sz w:val="24"/>
          <w:szCs w:val="24"/>
        </w:rPr>
        <w:t>概述</w:t>
      </w:r>
      <w:bookmarkEnd w:id="0"/>
      <w:bookmarkEnd w:id="1"/>
    </w:p>
    <w:p w:rsidR="00AF6ED2" w:rsidRPr="00AF6ED2" w:rsidRDefault="00AF6ED2" w:rsidP="00AF6ED2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kern w:val="0"/>
          <w:sz w:val="24"/>
        </w:rPr>
      </w:pPr>
      <w:r w:rsidRPr="00AF6ED2">
        <w:rPr>
          <w:rFonts w:ascii="Times New Roman" w:eastAsia="宋体" w:hAnsi="Times New Roman" w:cs="Times New Roman" w:hint="eastAsia"/>
          <w:kern w:val="0"/>
          <w:sz w:val="24"/>
        </w:rPr>
        <w:t>元门乡地处白沙黎族自治县东南部，东与细水乡为邻，东南与琼中黎族苗族自治县红毛镇交界，南与琼中黎族苗族自治县什运乡和五指山市毛阳镇相连，西靠南开乡，北与牙叉镇接壤。乡人民政府驻地距县城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8.3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千米。辖区东西最大距离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17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千米，南北最大距离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16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千米，行政区域总面积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182.46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平方千米，区域内共有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22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条河流据国家卫健委和公安部不完全统计，我国每年有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5.7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万人死于溺水，少年儿童溺水死亡人数占总数的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56%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，远高于交通事故和失足跌落的意外伤害。虽然我们安装了救生设备、安排了人力巡逻，但是悲剧却依然在发生……落水人员不能及时发现、溺水人员位置难确定都是造成溺水伤害的重要因素。</w:t>
      </w:r>
    </w:p>
    <w:p w:rsidR="00AF6ED2" w:rsidRPr="00AF6ED2" w:rsidRDefault="00AF6ED2" w:rsidP="00AF6ED2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kern w:val="0"/>
          <w:sz w:val="24"/>
        </w:rPr>
      </w:pPr>
      <w:r w:rsidRPr="00AF6ED2">
        <w:rPr>
          <w:rFonts w:ascii="Times New Roman" w:eastAsia="宋体" w:hAnsi="Times New Roman" w:cs="Times New Roman" w:hint="eastAsia"/>
          <w:kern w:val="0"/>
          <w:sz w:val="24"/>
        </w:rPr>
        <w:t>解决溺水的问题关键在于事前预警和事中干预。在进入危险水域之前，做到及时提醒，让人意识到，一旦进入，生命安全难以保证，即使真的不幸落水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/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溺水，要畅通报警“通道”，做到及时发现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 xml:space="preserve"> 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，确定位置，及时救助。</w:t>
      </w:r>
    </w:p>
    <w:p w:rsidR="00AF6ED2" w:rsidRPr="00AF6ED2" w:rsidRDefault="00AF6ED2" w:rsidP="00AF6ED2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kern w:val="0"/>
          <w:sz w:val="24"/>
        </w:rPr>
      </w:pPr>
      <w:r w:rsidRPr="00AF6ED2">
        <w:rPr>
          <w:rFonts w:ascii="Times New Roman" w:eastAsia="宋体" w:hAnsi="Times New Roman" w:cs="Times New Roman" w:hint="eastAsia"/>
          <w:kern w:val="0"/>
          <w:sz w:val="24"/>
        </w:rPr>
        <w:t>江河湖泊具有重要的资源功能、生态功能和经济功能。近年来，红旗村积极采取措施，加强河湖治理、管理和保护。但是随着经济社会快速发展，河湖管理保护出现了一些新问题，例如一些地区入河湖污染物排放量居高不下，一些地方垃圾堆放、“炸鱼”、河边烧烤现象时有发生。</w:t>
      </w:r>
    </w:p>
    <w:p w:rsidR="00AF6ED2" w:rsidRPr="00AF6ED2" w:rsidRDefault="00AF6ED2" w:rsidP="00AF6ED2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kern w:val="0"/>
          <w:sz w:val="24"/>
        </w:rPr>
      </w:pPr>
      <w:r w:rsidRPr="00AF6ED2">
        <w:rPr>
          <w:rFonts w:ascii="Times New Roman" w:eastAsia="宋体" w:hAnsi="Times New Roman" w:cs="Times New Roman" w:hint="eastAsia"/>
          <w:kern w:val="0"/>
          <w:sz w:val="24"/>
        </w:rPr>
        <w:t>可视化系统作为河湖管理中的重要保障手段，通过人工智能图像识别技术，可实现河道水面及两岸保洁、河湖水域岸线违法告警，将河湖破坏消灭在萌芽状态，提高管理效率，力保“河畅、水清、岸绿、景美”。</w:t>
      </w:r>
    </w:p>
    <w:p w:rsidR="00AF6ED2" w:rsidRPr="00AF6ED2" w:rsidRDefault="00AF6ED2" w:rsidP="00AF6ED2">
      <w:pPr>
        <w:keepNext/>
        <w:keepLines/>
        <w:numPr>
          <w:ilvl w:val="0"/>
          <w:numId w:val="1"/>
        </w:numPr>
        <w:tabs>
          <w:tab w:val="left" w:pos="0"/>
        </w:tabs>
        <w:spacing w:line="360" w:lineRule="auto"/>
        <w:ind w:left="284"/>
        <w:outlineLvl w:val="0"/>
        <w:rPr>
          <w:rFonts w:ascii="宋体" w:eastAsia="宋体" w:hAnsi="宋体" w:cs="宋体"/>
          <w:b/>
          <w:bCs/>
          <w:kern w:val="44"/>
          <w:sz w:val="24"/>
          <w:szCs w:val="24"/>
        </w:rPr>
      </w:pPr>
      <w:r w:rsidRPr="00AF6ED2">
        <w:rPr>
          <w:rFonts w:ascii="宋体" w:eastAsia="宋体" w:hAnsi="宋体" w:cs="宋体" w:hint="eastAsia"/>
          <w:b/>
          <w:bCs/>
          <w:kern w:val="44"/>
          <w:sz w:val="24"/>
          <w:szCs w:val="24"/>
          <w:lang/>
        </w:rPr>
        <w:t>监控点位选择</w:t>
      </w:r>
    </w:p>
    <w:p w:rsidR="00AF6ED2" w:rsidRPr="00AF6ED2" w:rsidRDefault="00AF6ED2" w:rsidP="00AF6ED2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kern w:val="0"/>
          <w:sz w:val="24"/>
        </w:rPr>
      </w:pPr>
      <w:r w:rsidRPr="00AF6ED2">
        <w:rPr>
          <w:rFonts w:ascii="Times New Roman" w:eastAsia="宋体" w:hAnsi="Times New Roman" w:cs="Times New Roman" w:hint="eastAsia"/>
          <w:kern w:val="0"/>
          <w:sz w:val="24"/>
        </w:rPr>
        <w:t>本期选点在白沙县元门乡白沙水库、福才大桥、黑揽桥、元门大桥、向民大桥、向民电站、向民漫水桥、印妹二队、什佬沟、翁村二桥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9</w:t>
      </w:r>
      <w:r w:rsidRPr="00AF6ED2">
        <w:rPr>
          <w:rFonts w:ascii="Times New Roman" w:eastAsia="宋体" w:hAnsi="Times New Roman" w:cs="Times New Roman" w:hint="eastAsia"/>
          <w:kern w:val="0"/>
          <w:sz w:val="24"/>
        </w:rPr>
        <w:t>个点位，详细情况如下表：</w:t>
      </w:r>
    </w:p>
    <w:tbl>
      <w:tblPr>
        <w:tblW w:w="8359" w:type="dxa"/>
        <w:tblInd w:w="113" w:type="dxa"/>
        <w:tblLook w:val="0000"/>
      </w:tblPr>
      <w:tblGrid>
        <w:gridCol w:w="600"/>
        <w:gridCol w:w="1096"/>
        <w:gridCol w:w="2455"/>
        <w:gridCol w:w="1231"/>
        <w:gridCol w:w="992"/>
        <w:gridCol w:w="1985"/>
      </w:tblGrid>
      <w:tr w:rsidR="00AF6ED2" w:rsidRPr="00AF6ED2" w:rsidTr="00687CE5">
        <w:trPr>
          <w:trHeight w:val="312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点位名称</w:t>
            </w: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经纬度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新增双光谱云台摄像机（台）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新增双光谱球机（台）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备注</w:t>
            </w:r>
          </w:p>
        </w:tc>
      </w:tr>
      <w:tr w:rsidR="00AF6ED2" w:rsidRPr="00AF6ED2" w:rsidTr="00687CE5">
        <w:trPr>
          <w:trHeight w:val="312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2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白沙水库区域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109.51506748419561，</w:t>
            </w: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br/>
              <w:t>19.14914776355672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监控点为中心半径500米内的人员实施检测预警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597275" cy="2019935"/>
                  <wp:effectExtent l="19050" t="0" r="3175" b="0"/>
                  <wp:docPr id="46" name="图片 2" descr="D:\01工作\白沙县元门乡河道治理\元门乡整体方案\点位图片\白沙水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D:\01工作\白沙县元门乡河道治理\元门乡整体方案\点位图片\白沙水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福才大桥区域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109.48173556439215，</w:t>
            </w: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br/>
              <w:t>19.145400687964127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监控点为中心半径500米内的人员实施检测预警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597275" cy="2019935"/>
                  <wp:effectExtent l="19050" t="0" r="3175" b="0"/>
                  <wp:docPr id="47" name="图片 3" descr="D:\01工作\白沙县元门乡河道治理\元门乡整体方案\点位图片\福才大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:\01工作\白沙县元门乡河道治理\元门乡整体方案\点位图片\福才大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那吉村元门大桥区域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109.49457390545504，</w:t>
            </w: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br/>
              <w:t>19.145380773142712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监控点为中心半径500米内的人员实施检测预警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587115" cy="2120265"/>
                  <wp:effectExtent l="19050" t="0" r="0" b="0"/>
                  <wp:docPr id="48" name="图片 5" descr="D:\01工作\白沙县元门乡河道治理\元门乡整体方案\点位图片\那吉村元门大桥流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D:\01工作\白沙县元门乡河道治理\元门乡整体方案\点位图片\那吉村元门大桥流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115" cy="212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向民大桥区域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109.46828268052414，</w:t>
            </w: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br/>
              <w:t>19.141843118579924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监控点为中心半径500米内的人员实施检测预警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617595" cy="2170430"/>
                  <wp:effectExtent l="19050" t="0" r="1905" b="0"/>
                  <wp:docPr id="49" name="图片 6" descr="D:\01工作\白沙县元门乡河道治理\元门乡整体方案\点位图片\向民大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D:\01工作\白沙县元门乡河道治理\元门乡整体方案\点位图片\向民大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向民电站区域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109.47051020141444，</w:t>
            </w: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br/>
              <w:t>19.14468107179086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监控点为中心半径500米内的人员实施检测预警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456940" cy="2150110"/>
                  <wp:effectExtent l="19050" t="0" r="0" b="0"/>
                  <wp:docPr id="50" name="图片 7" descr="D:\01工作\白沙县元门乡河道治理\元门乡整体方案\点位图片\向民电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D:\01工作\白沙县元门乡河道治理\元门乡整体方案\点位图片\向民电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215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印妹二队区域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109.50438456819611，</w:t>
            </w: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br/>
              <w:t>19.15113161307619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监控点为中心半径500米内的人员实施检测预警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627755" cy="2210435"/>
                  <wp:effectExtent l="19050" t="0" r="0" b="0"/>
                  <wp:docPr id="51" name="图片 8" descr="D:\01工作\白沙县元门乡河道治理\元门乡整体方案\点位图片\印妹二队流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D:\01工作\白沙县元门乡河道治理\元门乡整体方案\点位图片\印妹二队流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755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什佬沟区域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109.51861674641478，</w:t>
            </w:r>
          </w:p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19.127527077901042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监控点为中心半径250米内的人员实施检测预警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536950" cy="1989455"/>
                  <wp:effectExtent l="19050" t="0" r="6350" b="0"/>
                  <wp:docPr id="5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翁村二桥区域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109.51806619526579，</w:t>
            </w: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br/>
              <w:t>19.135059455820744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监控点为中心半径250米内的人员实施检测预警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778250" cy="2160270"/>
                  <wp:effectExtent l="19050" t="0" r="0" b="0"/>
                  <wp:docPr id="53" name="图片 10" descr="D:\01工作\白沙县元门乡河道治理\元门乡整体方案\点位图片\翁村二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D:\01工作\白沙县元门乡河道治理\元门乡整体方案\点位图片\翁村二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向民漫水桥区域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109.46470654415535，</w:t>
            </w: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br/>
              <w:t>19.142673224971613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Cs w:val="21"/>
              </w:rPr>
              <w:t>监控点为中心半径250米内的人员实施检测预警</w:t>
            </w:r>
          </w:p>
        </w:tc>
      </w:tr>
      <w:tr w:rsidR="00AF6ED2" w:rsidRPr="00AF6ED2" w:rsidTr="00687CE5">
        <w:trPr>
          <w:trHeight w:val="864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7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3697605" cy="2491740"/>
                  <wp:effectExtent l="19050" t="0" r="0" b="0"/>
                  <wp:docPr id="54" name="图片 11" descr="D:\01工作\白沙县元门乡河道治理\元门乡整体方案\点位图片\向民漫水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D:\01工作\白沙县元门乡河道治理\元门乡整体方案\点位图片\向民漫水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D2" w:rsidRPr="00AF6ED2" w:rsidTr="00687CE5">
        <w:trPr>
          <w:trHeight w:val="276"/>
        </w:trPr>
        <w:tc>
          <w:tcPr>
            <w:tcW w:w="4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ED2" w:rsidRPr="00AF6ED2" w:rsidRDefault="00AF6ED2" w:rsidP="00AF6ED2">
            <w:pPr>
              <w:widowControl/>
              <w:jc w:val="right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合计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2"/>
              </w:rPr>
            </w:pPr>
            <w:r w:rsidRPr="00AF6ED2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AF6ED2" w:rsidRPr="00AF6ED2" w:rsidRDefault="00AF6ED2" w:rsidP="00AF6ED2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AF6ED2" w:rsidRPr="00AF6ED2" w:rsidRDefault="00AF6ED2" w:rsidP="00AF6ED2">
      <w:pPr>
        <w:keepNext/>
        <w:keepLines/>
        <w:numPr>
          <w:ilvl w:val="0"/>
          <w:numId w:val="1"/>
        </w:numPr>
        <w:tabs>
          <w:tab w:val="left" w:pos="0"/>
        </w:tabs>
        <w:spacing w:line="360" w:lineRule="auto"/>
        <w:ind w:left="284"/>
        <w:outlineLvl w:val="0"/>
        <w:rPr>
          <w:rFonts w:ascii="宋体" w:eastAsia="宋体" w:hAnsi="宋体" w:cs="宋体"/>
          <w:b/>
          <w:bCs/>
          <w:kern w:val="44"/>
          <w:sz w:val="24"/>
          <w:szCs w:val="24"/>
        </w:rPr>
      </w:pPr>
      <w:r w:rsidRPr="00AF6ED2">
        <w:rPr>
          <w:rFonts w:ascii="宋体" w:eastAsia="宋体" w:hAnsi="宋体" w:cs="宋体" w:hint="eastAsia"/>
          <w:b/>
          <w:bCs/>
          <w:kern w:val="44"/>
          <w:sz w:val="24"/>
          <w:szCs w:val="24"/>
          <w:lang/>
        </w:rPr>
        <w:lastRenderedPageBreak/>
        <w:t>采购清单及技术规格</w:t>
      </w:r>
    </w:p>
    <w:p w:rsidR="00AF6ED2" w:rsidRPr="00AF6ED2" w:rsidRDefault="00AF6ED2" w:rsidP="00AF6ED2">
      <w:pPr>
        <w:rPr>
          <w:rFonts w:ascii="宋体" w:eastAsia="宋体" w:hAnsi="宋体" w:cs="宋体" w:hint="eastAsia"/>
          <w:sz w:val="24"/>
          <w:szCs w:val="24"/>
          <w:lang/>
        </w:rPr>
      </w:pPr>
    </w:p>
    <w:tbl>
      <w:tblPr>
        <w:tblW w:w="5000" w:type="pct"/>
        <w:tblLayout w:type="fixed"/>
        <w:tblLook w:val="0000"/>
      </w:tblPr>
      <w:tblGrid>
        <w:gridCol w:w="657"/>
        <w:gridCol w:w="1656"/>
        <w:gridCol w:w="4028"/>
        <w:gridCol w:w="664"/>
        <w:gridCol w:w="673"/>
        <w:gridCol w:w="844"/>
      </w:tblGrid>
      <w:tr w:rsidR="00AF6ED2" w:rsidRPr="00AF6ED2" w:rsidTr="00687CE5">
        <w:trPr>
          <w:trHeight w:val="300"/>
        </w:trPr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6"/>
                <w:szCs w:val="16"/>
                <w:lang/>
              </w:rPr>
              <w:t>一、物联感知设备</w:t>
            </w:r>
          </w:p>
        </w:tc>
      </w:tr>
      <w:tr w:rsidR="00AF6ED2" w:rsidRPr="00AF6ED2" w:rsidTr="00687CE5">
        <w:trPr>
          <w:trHeight w:val="30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6"/>
                <w:szCs w:val="16"/>
                <w:lang/>
              </w:rPr>
              <w:t>序号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F6ED2" w:rsidRPr="00AF6ED2" w:rsidRDefault="00AF6ED2" w:rsidP="00AF6ED2">
            <w:pPr>
              <w:ind w:firstLine="320"/>
              <w:jc w:val="left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top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6"/>
                <w:szCs w:val="16"/>
                <w:lang/>
              </w:rPr>
              <w:t>技术规格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6"/>
                <w:szCs w:val="16"/>
                <w:lang/>
              </w:rPr>
              <w:t>单位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6"/>
                <w:szCs w:val="16"/>
                <w:lang/>
              </w:rPr>
              <w:t>数量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b/>
                <w:bCs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6"/>
                <w:szCs w:val="16"/>
                <w:lang/>
              </w:rPr>
              <w:t>备注</w:t>
            </w:r>
          </w:p>
        </w:tc>
      </w:tr>
      <w:tr w:rsidR="00AF6ED2" w:rsidRPr="00AF6ED2" w:rsidTr="00687CE5">
        <w:trPr>
          <w:trHeight w:val="9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双光谱云台摄像机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1. 热成像：分辨率≥384×288；焦距≥50mm；视场角≥7.47° × 5.61°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2. 可见光：分辨率≥2688×1520，像素≥400万；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3. 人员最远报警距离（以1.8米*0.5米为准）≥500m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4. 车辆最远报警距离（以4米*1.4米为准）≥1500m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5. 船只最远报警距离（以10米*5米为准）≥1500m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6. 火点最远报警距离（以2米*2米为准）≥3000m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7. 烟雾最远报警距离（以5米*5米为准）≥4km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8. 支持≥800米激光补光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9. 支持光学透雾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10. 水平方向360°连续旋转，垂直方向≥-90°～40°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11. 电源：AC24V; DC36V; DC48V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12. 工作温度：不小于-40℃-65℃，湿度小于90%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13. 防护等级：≥IP66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  <w:lang/>
              </w:rPr>
              <w:t>主要设备</w:t>
            </w:r>
          </w:p>
        </w:tc>
      </w:tr>
      <w:tr w:rsidR="00AF6ED2" w:rsidRPr="00AF6ED2" w:rsidTr="00687CE5">
        <w:trPr>
          <w:trHeight w:val="1691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双光谱球机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1. 热成像：分辨率≥384×288；焦距≥25mm；视场角≥14.9°x11.2°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2. 可见光：分辨率≥2688×1520，像素≥</w:t>
            </w:r>
            <w:r w:rsidRPr="00AF6ED2">
              <w:rPr>
                <w:rFonts w:ascii="微软雅黑" w:eastAsia="微软雅黑" w:hAnsi="微软雅黑" w:cs="微软雅黑"/>
                <w:sz w:val="16"/>
                <w:szCs w:val="16"/>
              </w:rPr>
              <w:t>2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00万；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3. 人员最远报警距离（以1.8米*0.5米为准）≥250m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4. 车辆最远报警距离（以4米*1.4米为准）≥750m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5. 船只最远报警距离（以10米*5米为准）≥750m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6. 火点最远报警距离（以2米*2米为准）≥1500m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7. 烟雾最远报警距离（以5米*5米为准）≥4km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8. 支持≥150米红外补光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9. 水平方向360°连续旋转，垂直方向≥-20°～90°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10. 电源：AC24V，60W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11. 工作温度：≥-40℃-60℃，湿度小于90%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12. 防护等级：≥IP66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  <w:lang/>
              </w:rPr>
              <w:t>主要设备</w:t>
            </w:r>
          </w:p>
        </w:tc>
      </w:tr>
      <w:tr w:rsidR="00AF6ED2" w:rsidRPr="00AF6ED2" w:rsidTr="00687CE5">
        <w:trPr>
          <w:trHeight w:val="69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球机支架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壁装支架/白色/铝合金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987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SD卡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TLC晶元，擦写次数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3000次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标称容量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256GB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Class10，UHS-I（读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95MB/s，写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85MB/s）;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张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210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专用执法设备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不小于5.5寸高清720 * 1440电容屏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支持≥1080P高清录像并支持高清网传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支持4G全网通双卡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需内置高灵敏度卫星定位模块，支持北斗，GPS定位；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防水、防尘、防摔（≥IP68）,支持1.5米防摔，适合全天候野外作业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支持群组对讲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lastRenderedPageBreak/>
              <w:t>支持智能算法，人脸识别、OCR识别、关键字语音识别等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CPU性能不低于 八核2.0Ghz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外置存储 micro SD(TF)卡 最大支持512GB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后置≥1300 万像素相机，前置≥500万像素相机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电池容量≥4900mAh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传感器需支持重力加速/光距感应/陀螺仪/地磁；支持NFC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支持单机人脸识别、人脸比对功能，支持检出瞳距20像素点以上的人脸，支持10万张人脸库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（需提供公安部检测报告证明复印件，并加盖厂家公章或投标专用章）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Times New Roman" w:eastAsia="宋体" w:hAnsi="Times New Roman" w:cs="Times New Roman" w:hint="eastAsia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支持群组语音对讲，群组文字消息；单对单语音对讲（需提供公安部检测报告证明复印件，并加盖厂家公章或投标专用章）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lastRenderedPageBreak/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13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lastRenderedPageBreak/>
              <w:t>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SD卡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TLC晶元，擦写次数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3000次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标称容量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64GB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Class10，UHS-I（读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90MB/s，写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45MB/s）;</w:t>
            </w:r>
          </w:p>
          <w:p w:rsidR="00AF6ED2" w:rsidRPr="00AF6ED2" w:rsidRDefault="00AF6ED2" w:rsidP="00AF6ED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张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99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工业交换机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提供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4个百兆电口，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2个千兆光口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交换容量：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4.8 Gbps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包转发率：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3.5712 Mpps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工作温度：-40~75 ℃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 xml:space="preserve">支持IEEE 802.3、IEEE 802.3u、IEEE 802.3x标准 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存储转发交换方式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 xml:space="preserve">支持远程升级 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坚固式高强度金属外壳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9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8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交换机电源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具备短路保护、过流保护、 输出过压保护等多种保护功能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符合信息技术类认证标准，并取得3C认证， 良好的EMC性能，符合环保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体积小巧，外观新颖， 应用于摄像机、路由器等音视频、数据通讯类产品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输入规格：AC100V~240V，50Hz/60Hz，最大0.7A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输出规格：DC12V/2A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输出功率：24W Max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44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lastRenderedPageBreak/>
              <w:t>9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中心机房UPS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在线式单进单出 UPS主机，9KW/10KVA,长延时机型，高频机，塔式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额定容量：9W/10KVA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相数：单相三线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*额定输入电压：220/230/240Vac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*输入电压范围：110~286Vac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*输入频率范围：40~70Hz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*输入功率因数：100%负载≥0.995；50%负载≥0.972；30%负载≥0.947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输入电流谐波成份：100%负载≤3.1%；50%负载≤4.3%；30%负载≤6.5%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输出电压：220/230/240(1±1%)Vac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输出稳压精度：≤0.3%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输出频率：市电模式：与输入同步；当市电频率超出最大±10%（可设置±1%、±2%、±4%、±5%）时，输出频率50/60(±0.1); 电池模式：50/60(±0.1)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输出波形失真：阻性市电≤0.9%，电池：≤0.9%；非线性市电≤2.8%，电池：≤2.8%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*整机效率：100%负载≥94.6%；50%负载≥95.2%；30%负载≥94.1%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*过载能力：≤110%，60min；≤125%，10min；≤150% 1min；＞150% 立即转旁路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输出电流峰值系数：≥3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*功率因数：0.9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电池电压：192；216；240 (16节、18节、20节可选)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工作温度：0℃～40℃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存储温度：-25℃～55℃(不含电池)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相对湿度：0%～95%(不凝露)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噪音：≤55dB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告警功能：过载、市电异常、UPS故障、电池欠压等多种告警功能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保护功能：短路、过载、过温、电池欠压、过欠压、风扇故障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495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lastRenderedPageBreak/>
              <w:t>10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前端ups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在线式单进单出 UPS主机，0.9KW/1KVA,长延时机型，高频机，塔式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额定容量：0.9KW/1KVA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相数：单相三线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*额定输入电压：220/230/240Vac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*输入电压范围：110~300Vac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*输入频率范围：40~70Hz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*输入功率因数：100%负载≥0.995；50%负载≥0.972；30%负载≥0.947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输入电流谐波成份：100%负载≤3.1%；50%负载≤4.3%；30%负载≤6.5%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输出电压：220/230/240(1±1%)Vac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输出稳压精度：≤0.3%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输出频率：市电模式：与输入同步；当市电频率超出最大±10%（可设置±1%、±2%、±4%、±5%）时，输出频率50/60(±0.1); 电池模式：50/60(±0.1)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输出波形失真：阻性市电≤0.9%，电池：≤0.9%；非线性市电≤2.8%，电池：≤2.8%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*整机效率：100%负载≥94.6%；50%负载≥95.2%；30%负载≥94.1%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*过载能力：≤110%，60min；≤125%，10min；≤150% 1min；＞150% 立即转旁路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输出电流峰值系数：≥3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*功率因数：0.9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电池电压：36Vdc(3节)标配；24Vdc(2节)非标可选（下单备注，不支持现场调试）；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工作温度：0℃～40℃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存储温度：-25℃～55℃(不含电池)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相对湿度：0%～95%(不凝露)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噪音：≤55dB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告警功能：过载、市电异常、UPS故障、电池欠压等多种告警功能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保护功能：短路、过载、过温、电池欠压、过欠压、风扇故障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2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立杆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6米立杆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AF6ED2">
              <w:rPr>
                <w:rFonts w:ascii="宋体" w:eastAsia="宋体" w:hAnsi="宋体" w:cs="Times New Roman" w:hint="eastAsia"/>
                <w:kern w:val="0"/>
                <w:sz w:val="18"/>
                <w:szCs w:val="18"/>
                <w:lang/>
              </w:rPr>
              <w:t>根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ED2" w:rsidRPr="00AF6ED2" w:rsidRDefault="00AF6ED2" w:rsidP="00AF6ED2">
            <w:pPr>
              <w:widowControl/>
              <w:ind w:firstLine="360"/>
              <w:jc w:val="right"/>
              <w:textAlignment w:val="bottom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</w:tr>
      <w:tr w:rsidR="00AF6ED2" w:rsidRPr="00AF6ED2" w:rsidTr="00687CE5">
        <w:trPr>
          <w:trHeight w:val="2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地笼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地笼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AF6ED2">
              <w:rPr>
                <w:rFonts w:ascii="宋体" w:eastAsia="宋体" w:hAnsi="宋体" w:cs="Times New Roman" w:hint="eastAsia"/>
                <w:kern w:val="0"/>
                <w:sz w:val="18"/>
                <w:szCs w:val="18"/>
                <w:lang/>
              </w:rPr>
              <w:t>个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ED2" w:rsidRPr="00AF6ED2" w:rsidRDefault="00AF6ED2" w:rsidP="00AF6ED2">
            <w:pPr>
              <w:widowControl/>
              <w:ind w:firstLine="360"/>
              <w:jc w:val="right"/>
              <w:textAlignment w:val="bottom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</w:tr>
      <w:tr w:rsidR="00AF6ED2" w:rsidRPr="00AF6ED2" w:rsidTr="00687CE5">
        <w:trPr>
          <w:trHeight w:val="2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基础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基础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AF6ED2">
              <w:rPr>
                <w:rFonts w:ascii="宋体" w:eastAsia="宋体" w:hAnsi="宋体" w:cs="Times New Roman" w:hint="eastAsia"/>
                <w:kern w:val="0"/>
                <w:sz w:val="18"/>
                <w:szCs w:val="18"/>
                <w:lang/>
              </w:rPr>
              <w:t>座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ED2" w:rsidRPr="00AF6ED2" w:rsidRDefault="00AF6ED2" w:rsidP="00AF6ED2">
            <w:pPr>
              <w:widowControl/>
              <w:ind w:firstLine="360"/>
              <w:jc w:val="right"/>
              <w:textAlignment w:val="bottom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</w:tr>
      <w:tr w:rsidR="00AF6ED2" w:rsidRPr="00AF6ED2" w:rsidTr="00687CE5">
        <w:trPr>
          <w:trHeight w:val="2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抱杆支架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抱杆支架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AF6ED2">
              <w:rPr>
                <w:rFonts w:ascii="宋体" w:eastAsia="宋体" w:hAnsi="宋体" w:cs="Times New Roman" w:hint="eastAsia"/>
                <w:kern w:val="0"/>
                <w:sz w:val="18"/>
                <w:szCs w:val="18"/>
                <w:lang/>
              </w:rPr>
              <w:t>根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ED2" w:rsidRPr="00AF6ED2" w:rsidRDefault="00AF6ED2" w:rsidP="00AF6ED2">
            <w:pPr>
              <w:widowControl/>
              <w:ind w:firstLine="360"/>
              <w:jc w:val="right"/>
              <w:textAlignment w:val="bottom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</w:tr>
      <w:tr w:rsidR="00AF6ED2" w:rsidRPr="00AF6ED2" w:rsidTr="00687CE5">
        <w:trPr>
          <w:trHeight w:val="2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防水箱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防水箱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AF6ED2">
              <w:rPr>
                <w:rFonts w:ascii="宋体" w:eastAsia="宋体" w:hAnsi="宋体" w:cs="Times New Roman" w:hint="eastAsia"/>
                <w:kern w:val="0"/>
                <w:sz w:val="18"/>
                <w:szCs w:val="18"/>
                <w:lang/>
              </w:rPr>
              <w:t>个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ED2" w:rsidRPr="00AF6ED2" w:rsidRDefault="00AF6ED2" w:rsidP="00AF6ED2">
            <w:pPr>
              <w:widowControl/>
              <w:ind w:firstLine="360"/>
              <w:jc w:val="right"/>
              <w:textAlignment w:val="bottom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</w:tr>
      <w:tr w:rsidR="00AF6ED2" w:rsidRPr="00AF6ED2" w:rsidTr="00687CE5">
        <w:trPr>
          <w:trHeight w:val="2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辅材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辅材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AF6ED2">
              <w:rPr>
                <w:rFonts w:ascii="宋体" w:eastAsia="宋体" w:hAnsi="宋体" w:cs="Times New Roman" w:hint="eastAsia"/>
                <w:kern w:val="0"/>
                <w:sz w:val="18"/>
                <w:szCs w:val="18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ED2" w:rsidRPr="00AF6ED2" w:rsidRDefault="00AF6ED2" w:rsidP="00AF6ED2">
            <w:pPr>
              <w:widowControl/>
              <w:ind w:firstLine="360"/>
              <w:jc w:val="right"/>
              <w:textAlignment w:val="bottom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</w:tr>
      <w:tr w:rsidR="00AF6ED2" w:rsidRPr="00AF6ED2" w:rsidTr="00687CE5">
        <w:trPr>
          <w:trHeight w:val="46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前端安装与调试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前端安装与调试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AF6ED2">
              <w:rPr>
                <w:rFonts w:ascii="宋体" w:eastAsia="宋体" w:hAnsi="宋体" w:cs="Times New Roman" w:hint="eastAsia"/>
                <w:kern w:val="0"/>
                <w:sz w:val="18"/>
                <w:szCs w:val="18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ED2" w:rsidRPr="00AF6ED2" w:rsidRDefault="00AF6ED2" w:rsidP="00AF6ED2">
            <w:pPr>
              <w:widowControl/>
              <w:ind w:firstLine="360"/>
              <w:jc w:val="right"/>
              <w:textAlignment w:val="bottom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</w:tr>
      <w:tr w:rsidR="00AF6ED2" w:rsidRPr="00AF6ED2" w:rsidTr="00687CE5">
        <w:trPr>
          <w:trHeight w:val="270"/>
        </w:trPr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二、河湖管理智能可视化系统</w:t>
            </w:r>
          </w:p>
        </w:tc>
      </w:tr>
      <w:tr w:rsidR="00AF6ED2" w:rsidRPr="00AF6ED2" w:rsidTr="00687CE5">
        <w:trPr>
          <w:trHeight w:val="208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基础模块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 xml:space="preserve">系统最大区域数量 2万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系统最大区域层级数量 10级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系统区域下最大点位数 5000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系统最大用户数量 100万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系统最大部门数量 2万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系统最大部门层级数量 10级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系统最大同时在线用户数量 8000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 xml:space="preserve">系统最大并发登录用户数量 240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系统最大角色数量 3万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视频联网服务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 xml:space="preserve">最大监控点管理能力: 50万 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最大设备管理能力: 20万</w:t>
            </w:r>
          </w:p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对级联的视频点位进行管理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包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128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6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视频运维管理功能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支持对视频类设备的健康度巡检，包括编码设备、监控点的在线情况，录像完整性检测，视频质量诊断，并提供相应的统计报表。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6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水利一张图基础功能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资源概览和多维检索。支持水利资源以站点、流域等维度，在地图上展示和查询。支持对站点和点位进行收藏，方便快速预览常规站点和点位。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72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水利一张图_报警实时监测功能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支持报警数据在地图上进行定位和展示。支持在一张图上监测报警数据（漂浮物、游泳等），报警数据可以实时弹出，点击可以查看报警详情，包括抓图、视频等内容。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70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河湖智能管控功能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支持水利相关算法的接收，对算法进行研判，下发给相关人员，处置反馈，形成流程闭环。支持APP端接收相关事件。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河道采砂监管功能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支持热成像设备识别采砂船只，进行过船监测、实时预览。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8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在建工程监管功能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支持在建工程信息录入，在建工程管理一张图。可实时查看在建工程信息。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9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站点切片功能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以水利对象的维度进行管理，每个站点关联的点位进行抓图。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10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水利巡查功能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针对日常的巡查工作，可以在平台进行巡查任务派单，巡查员可以在APP上接收事件，进行处置，反馈结果。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75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水利模型管理功能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支持漂浮物、游泳、钓鱼等水利相关算法下发到分析服务器上。支持对水利相关算法包进行管理。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智能巡视计划功能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支持一视频多算法，支持前后端统一调度。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GPU资源管理功能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智能调度是对有限的计算资源进行分配，并按需调度切换算法，动态调整计算资源配置，使资源利用最大化。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边缘算法引擎功能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提供算法运行引擎服务，支持前端计算设备运行算法授权控制。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算法调优服务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针对已有算法，在不同项目中，不同场景下提供算法优化服务。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包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lastRenderedPageBreak/>
              <w:t>1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钓鱼识别_特定场景功能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检测画面中是否存在钓鱼的人，适用于水库、山塘、景观河道内禁止钓鱼，促进景观河道生态保护。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包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70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采砂船检测（热成像）_特定场景功能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通过热成像分析技术，对采砂船进行识别检测，适用于目前河道上常见的采砂船，对于未训练过的改装船只无法检测。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包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8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非法采砂检测功能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检测图像中是否存在渣土车、砂石堆、挖掘机、推土机、货车等目标，适用于水道区域、河流采砂区域和非法采砂高发区。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包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19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游泳识别_特定场景功能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检测画面中是否存在游泳的人、游泳圈等，对穿衣服的人、半身或全裸的人、游泳圈等进行识别，适用于水库、山塘、景观河道内禁止游泳，促进景观河道生态保护。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包</w:t>
            </w: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70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2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垃圾堆检测（河岸/旷野）功能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通过图像分析技术，检测并识别河道、旷野周边的建筑垃圾、生活垃圾等垃圾堆。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包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2</w:t>
            </w:r>
            <w:r w:rsidRPr="00AF6ED2">
              <w:rPr>
                <w:rFonts w:ascii="微软雅黑" w:eastAsia="微软雅黑" w:hAnsi="微软雅黑" w:cs="微软雅黑"/>
                <w:b/>
                <w:bCs/>
                <w:kern w:val="0"/>
                <w:sz w:val="18"/>
                <w:szCs w:val="18"/>
                <w:lang/>
              </w:rPr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洗衣识别_特定场景功能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检测画面中是否存在洗衣的人、桶盆篮，适用于水库、山塘、景观河道内禁止洗涤、游泳、钓鱼，促进景观河道生态保护。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包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270"/>
        </w:trPr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left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三、后端硬件设备</w:t>
            </w:r>
          </w:p>
        </w:tc>
      </w:tr>
      <w:tr w:rsidR="00AF6ED2" w:rsidRPr="00AF6ED2" w:rsidTr="00687CE5">
        <w:trPr>
          <w:trHeight w:val="69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平台服务器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1. CPU：1颗 x86架构HYGON处理器，核数≥24核，频率≥2.2GHz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2. 内存：≥64G DDR4，16根内存插槽，最大支持扩展至2TB内存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3. 硬盘：≥4块600G 10K 2.5英寸SAS盘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4. 支持≥1个M.2插槽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5. 支持≥1个TF插槽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6. 阵列卡：标配SAS_HBA卡，支持RAID0/1/10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7. 可选RAID_2G卡，支持0/1/5/6/10/50/60，可选支持断电保护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8. PCIE扩展：最大可支持6个PCIe扩展插槽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9. 网口：≥2个千兆电口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10. 其他接口：≥1个千兆RJ-45管理接口，≥4个USB 3.0接口，≥1个VGA口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 xml:space="preserve">12. "电源：标配550W（1+1）白金冗余电源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9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算法调度服务器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1. CPU：1颗 x86架构HYGON处理器，核数≥24核，频率≥2.2GHz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2. 内存：≥64G DDR4，16根内存插槽，最大支持扩展至2TB内存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3. 硬盘：≥4块600G 10K 2.5英寸SAS盘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4. 支持≥1个M.2插槽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5. 支持≥1个TF插槽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6. 阵列卡：标配SAS_HBA卡，支持RAID0/1/10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7. 可选RAID_2G卡，支持0/1/5/6/10/50/60，可选支持断电保护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8. PCIE扩展：最大可支持6个PCIe扩展插槽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9. 网口：≥2个千兆电口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lastRenderedPageBreak/>
              <w:t>10. 其他接口：≥1个千兆RJ-45管理接口，≥4个USB 3.0接口，≥1个VGA口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 xml:space="preserve">12. "电源：标配550W（1+1）白金冗余电源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lastRenderedPageBreak/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466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lastRenderedPageBreak/>
              <w:t>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AI开放平台超脑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1. 3U标准机架式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2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内置≥8块8T硬盘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3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≥2个HDMI，1个VGA,HDMI+VGA组内同源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4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支持双4K异源输出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5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≥16盘位，支持硬盘热插拔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6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≥4个千兆网口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7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≥2个USB2.0接口、2个USB3.0接口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8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≥1个eSATA接口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9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支持RAID0、1、5、6、10，支持全局热备盘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0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IO报警：≥16进8出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输入带宽：≥400M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2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支持≥128路H.265、H.264混合接入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3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最大支持20×1080P解码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4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支持H.265、H.264、SVAC混合解码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5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★多算法支持按通道配置，支持模型下的算法切换。（需提供公安部检测报告证明复印件，并加盖厂家公章或投标专用章）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6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★支持定时抓图任务布控计划配置、可进行周一至周日全天计划配置、可配置某天计划并复制到其余日期、每天最多可配置8个时间段，支持一键删除所有计划 （需提供公安部检测报告证明复印件，并加盖厂家公章或投标专用章）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7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★支持实时视频、视频轮巡、定时抓图三种分析模式。在视频轮巡分析模式下，支持轮巡时间配置，轮巡时间（10～3600）s可选。（需提供公安部检测报告证明复印件，并加盖厂家公章或投标专用章）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8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★支持设置机动车、人体、行为分析视频算法混合运行；（需提供公安部检测报告证明复印件，并加盖厂家公章或投标专用章）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</w:pP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19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★支持离线模型和在线模型两种模型导入方式，支持第三方算法插件的导入和管理； （需提供公安部检测报告证明复印件，并加盖厂家公章或投标专用章）</w:t>
            </w:r>
          </w:p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>0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. 支持Smart 2.0/整机热备/ANR/智能检索/智能回放/车牌检索/人脸检索/热度图/客流量统计/分时段回放/超高倍速回放/双系统备份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9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边界防火墙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1U,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6个千兆电口,防火墙吞吐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2.2G，并发连接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70万，每秒新建连接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1.4万，IPSEC VPN吞吐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40M，SSL VPN吞吐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100M；含3年攻击知识库、专业版病毒知识库及应用知识库升级服务；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1、支持多元组的访问控制规则，至少支持基于源MAC、源端口、目的端口、时间、域名、URL等多个元素进行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lastRenderedPageBreak/>
              <w:t>访问控制；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2、支持入站智能DNS功能及服务器负载均衡功能，为更合理的实现流量负载分担，需提供不少于10种的负载均衡算法；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3、支持WEB界面显示每条策略的命中数，能够在WEB界面显示每条策略所引用资源（地址、区域、时间、服务、域名等）的对象信息；                                                                                                          4、支持在WEB界面上开启策略冲突检测功能，在出现策略冲突时，能够在WEB界面进行警告；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br/>
              <w:t>5、具有IP/MAC绑定功能，保证IP地址唯一性；支持手动绑定和自动探测两种方式进行IP/MAC绑定；同时，支持免客户端的跨路由设备IP/MAC绑定；支持IP/MAC绑定关系导入导出。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lastRenderedPageBreak/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9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lastRenderedPageBreak/>
              <w:t>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综合审计系统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2U,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6个千兆电口,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4个万兆光口,冗余电源,CPU:Intel 处理器*</w:t>
            </w:r>
            <w:r w:rsidRPr="00AF6ED2">
              <w:rPr>
                <w:rFonts w:ascii="微软雅黑" w:eastAsia="微软雅黑" w:hAnsi="微软雅黑" w:cs="微软雅黑"/>
                <w:kern w:val="0"/>
                <w:sz w:val="16"/>
                <w:szCs w:val="16"/>
                <w:lang/>
              </w:rPr>
              <w:t xml:space="preserve"> 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 xml:space="preserve">2颗 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8核心支持超线程， 内存：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96G内存， 系统盘：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256G*1 SSD, 数据磁盘：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2T*2 raid 0；软件管理平台，含3年升级许可，组件总数为4，组件为网络审计、数据库审计、日志审计（20授权）、堡垒机（20授权）安全网元；EDR（20 windows PC授权）。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套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9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服务器终端防御系统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1个LinuxServer客户端防病毒功能授权，含3年升级服务。 针对服务器操作系统进行病毒查杀，提供主动防御系统防护等功能。系统默认支持LinuxServer，含三年升级服务。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组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9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交换机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ED2" w:rsidRPr="00AF6ED2" w:rsidRDefault="00AF6ED2" w:rsidP="00AF6ED2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全网管三层交换机，机架式，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24个千兆电口，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4个千兆光口，交换容量：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336Gbps/3.36Tbps，包转发率：</w:t>
            </w:r>
            <w:r w:rsidRPr="00AF6ED2">
              <w:rPr>
                <w:rFonts w:ascii="微软雅黑" w:eastAsia="微软雅黑" w:hAnsi="微软雅黑" w:cs="微软雅黑" w:hint="eastAsia"/>
                <w:sz w:val="16"/>
                <w:szCs w:val="16"/>
              </w:rPr>
              <w:t>≥</w:t>
            </w: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51Mpps/126Mpps，1U高度，19英寸宽，工作温度：0℃～45℃，满负荷功耗≤24W；支持RIP/OSPF/VRRP，IPv6，VLAN，流量控制，ACL，QoS，端口镜像，环网RRPP/ERPS、支持SNMP V1/V2c/V3网管。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F6ED2" w:rsidRPr="00AF6ED2" w:rsidTr="00687CE5">
        <w:trPr>
          <w:trHeight w:val="696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60"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AF6ED2">
              <w:rPr>
                <w:rFonts w:ascii="微软雅黑" w:eastAsia="微软雅黑" w:hAnsi="微软雅黑" w:cs="微软雅黑" w:hint="eastAsia"/>
                <w:b/>
                <w:bCs/>
                <w:kern w:val="0"/>
                <w:sz w:val="18"/>
                <w:szCs w:val="18"/>
                <w:lang/>
              </w:rPr>
              <w:t>8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机柜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16U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个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F6ED2">
              <w:rPr>
                <w:rFonts w:ascii="微软雅黑" w:eastAsia="微软雅黑" w:hAnsi="微软雅黑" w:cs="微软雅黑" w:hint="eastAsia"/>
                <w:kern w:val="0"/>
                <w:sz w:val="16"/>
                <w:szCs w:val="16"/>
                <w:lang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ED2" w:rsidRPr="00AF6ED2" w:rsidRDefault="00AF6ED2" w:rsidP="00AF6ED2">
            <w:pPr>
              <w:widowControl/>
              <w:ind w:firstLine="320"/>
              <w:jc w:val="center"/>
              <w:textAlignment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</w:tbl>
    <w:p w:rsidR="00AF6ED2" w:rsidRPr="00AF6ED2" w:rsidRDefault="00AF6ED2" w:rsidP="00AF6ED2">
      <w:pPr>
        <w:rPr>
          <w:rFonts w:ascii="宋体" w:eastAsia="宋体" w:hAnsi="宋体" w:cs="宋体" w:hint="eastAsia"/>
          <w:sz w:val="24"/>
          <w:szCs w:val="24"/>
          <w:lang/>
        </w:rPr>
      </w:pPr>
    </w:p>
    <w:p w:rsidR="00AF6ED2" w:rsidRPr="00AF6ED2" w:rsidRDefault="00AF6ED2" w:rsidP="00AF6ED2">
      <w:pPr>
        <w:rPr>
          <w:rFonts w:ascii="Times New Roman" w:eastAsia="宋体" w:hAnsi="Times New Roman" w:cs="Times New Roman"/>
          <w:lang/>
        </w:rPr>
      </w:pPr>
      <w:r w:rsidRPr="00AF6ED2">
        <w:rPr>
          <w:rFonts w:ascii="Times New Roman" w:eastAsia="宋体" w:hAnsi="Times New Roman" w:cs="Times New Roman" w:hint="eastAsia"/>
          <w:lang/>
        </w:rPr>
        <w:t>备注</w:t>
      </w:r>
      <w:r w:rsidRPr="00AF6ED2">
        <w:rPr>
          <w:rFonts w:ascii="Times New Roman" w:eastAsia="宋体" w:hAnsi="Times New Roman" w:cs="Times New Roman"/>
          <w:lang/>
        </w:rPr>
        <w:t>：</w:t>
      </w:r>
      <w:r w:rsidRPr="00AF6ED2">
        <w:rPr>
          <w:rFonts w:ascii="Times New Roman" w:eastAsia="宋体" w:hAnsi="Times New Roman" w:cs="Times New Roman"/>
          <w:lang/>
        </w:rPr>
        <w:t>1</w:t>
      </w:r>
      <w:r w:rsidRPr="00AF6ED2">
        <w:rPr>
          <w:rFonts w:ascii="Times New Roman" w:eastAsia="宋体" w:hAnsi="Times New Roman" w:cs="Times New Roman"/>
          <w:lang/>
        </w:rPr>
        <w:t>、</w:t>
      </w:r>
      <w:r w:rsidRPr="00AF6ED2">
        <w:rPr>
          <w:rFonts w:ascii="Times New Roman" w:eastAsia="宋体" w:hAnsi="Times New Roman" w:cs="Times New Roman" w:hint="eastAsia"/>
          <w:lang/>
        </w:rPr>
        <w:t>本项目主要设备为双光谱云台摄像机、双光谱球机</w:t>
      </w:r>
      <w:r w:rsidRPr="00AF6ED2">
        <w:rPr>
          <w:rFonts w:ascii="Times New Roman" w:eastAsia="宋体" w:hAnsi="Times New Roman" w:cs="Times New Roman"/>
          <w:lang/>
        </w:rPr>
        <w:t>。</w:t>
      </w:r>
      <w:r w:rsidRPr="00AF6ED2">
        <w:rPr>
          <w:rFonts w:ascii="Times New Roman" w:eastAsia="宋体" w:hAnsi="Times New Roman" w:cs="Times New Roman"/>
          <w:lang/>
        </w:rPr>
        <w:br/>
      </w:r>
      <w:r w:rsidRPr="00AF6ED2">
        <w:rPr>
          <w:rFonts w:ascii="Times New Roman" w:eastAsia="宋体" w:hAnsi="Times New Roman" w:cs="Times New Roman"/>
          <w:lang/>
        </w:rPr>
        <w:tab/>
        <w:t xml:space="preserve">  2</w:t>
      </w:r>
      <w:r w:rsidRPr="00AF6ED2">
        <w:rPr>
          <w:rFonts w:ascii="Times New Roman" w:eastAsia="宋体" w:hAnsi="Times New Roman" w:cs="Times New Roman"/>
          <w:lang/>
        </w:rPr>
        <w:t>、</w:t>
      </w:r>
      <w:r w:rsidRPr="00AF6ED2">
        <w:rPr>
          <w:rFonts w:ascii="Times New Roman" w:eastAsia="宋体" w:hAnsi="Times New Roman" w:cs="Times New Roman" w:hint="eastAsia"/>
          <w:lang/>
        </w:rPr>
        <w:t>本项目系统需支持部署在政务云</w:t>
      </w:r>
      <w:r w:rsidRPr="00AF6ED2">
        <w:rPr>
          <w:rFonts w:ascii="Times New Roman" w:eastAsia="宋体" w:hAnsi="Times New Roman" w:cs="Times New Roman"/>
          <w:lang/>
        </w:rPr>
        <w:t>。</w:t>
      </w:r>
    </w:p>
    <w:p w:rsidR="00AF6ED2" w:rsidRPr="00AF6ED2" w:rsidRDefault="00AF6ED2" w:rsidP="00AF6ED2">
      <w:pPr>
        <w:keepNext/>
        <w:keepLines/>
        <w:numPr>
          <w:ilvl w:val="0"/>
          <w:numId w:val="1"/>
        </w:numPr>
        <w:tabs>
          <w:tab w:val="left" w:pos="0"/>
        </w:tabs>
        <w:spacing w:line="360" w:lineRule="auto"/>
        <w:ind w:left="284"/>
        <w:outlineLvl w:val="0"/>
        <w:rPr>
          <w:rFonts w:ascii="宋体" w:eastAsia="宋体" w:hAnsi="宋体" w:cs="宋体"/>
          <w:b/>
          <w:bCs/>
          <w:kern w:val="44"/>
          <w:sz w:val="24"/>
          <w:szCs w:val="24"/>
        </w:rPr>
      </w:pPr>
      <w:r w:rsidRPr="00AF6ED2">
        <w:rPr>
          <w:rFonts w:ascii="宋体" w:eastAsia="宋体" w:hAnsi="宋体" w:cs="宋体" w:hint="eastAsia"/>
          <w:b/>
          <w:bCs/>
          <w:kern w:val="44"/>
          <w:sz w:val="24"/>
          <w:szCs w:val="24"/>
        </w:rPr>
        <w:t>项目工期</w:t>
      </w:r>
    </w:p>
    <w:p w:rsidR="00AF6ED2" w:rsidRPr="00AF6ED2" w:rsidRDefault="00AF6ED2" w:rsidP="00AF6ED2">
      <w:pPr>
        <w:spacing w:line="360" w:lineRule="auto"/>
        <w:ind w:firstLineChars="250" w:firstLine="600"/>
        <w:rPr>
          <w:rFonts w:ascii="Times New Roman" w:eastAsia="宋体" w:hAnsi="Times New Roman" w:cs="Times New Roman"/>
          <w:sz w:val="24"/>
          <w:szCs w:val="20"/>
        </w:rPr>
      </w:pPr>
      <w:r w:rsidRPr="00AF6ED2">
        <w:rPr>
          <w:rFonts w:ascii="Times New Roman" w:eastAsia="宋体" w:hAnsi="Times New Roman" w:cs="Times New Roman" w:hint="eastAsia"/>
          <w:sz w:val="24"/>
        </w:rPr>
        <w:t>项目工期为：合同签订后</w:t>
      </w:r>
      <w:r w:rsidRPr="00AF6ED2">
        <w:rPr>
          <w:rFonts w:ascii="Times New Roman" w:eastAsia="宋体" w:hAnsi="Times New Roman" w:cs="Times New Roman"/>
          <w:sz w:val="24"/>
        </w:rPr>
        <w:t>90</w:t>
      </w:r>
      <w:r w:rsidRPr="00AF6ED2">
        <w:rPr>
          <w:rFonts w:ascii="Times New Roman" w:eastAsia="宋体" w:hAnsi="Times New Roman" w:cs="Times New Roman" w:hint="eastAsia"/>
          <w:sz w:val="24"/>
        </w:rPr>
        <w:t>日内。</w:t>
      </w:r>
    </w:p>
    <w:p w:rsidR="00AF6ED2" w:rsidRPr="00AF6ED2" w:rsidRDefault="00AF6ED2" w:rsidP="00AF6ED2">
      <w:pPr>
        <w:spacing w:line="360" w:lineRule="auto"/>
        <w:ind w:leftChars="230" w:left="483" w:firstLineChars="50" w:firstLine="120"/>
        <w:rPr>
          <w:rFonts w:ascii="宋体" w:eastAsia="宋体" w:hAnsi="Times New Roman" w:cs="Times New Roman"/>
          <w:sz w:val="24"/>
        </w:rPr>
      </w:pPr>
      <w:r w:rsidRPr="00AF6ED2">
        <w:rPr>
          <w:rFonts w:ascii="Times New Roman" w:eastAsia="宋体" w:hAnsi="Times New Roman" w:cs="Times New Roman" w:hint="eastAsia"/>
          <w:sz w:val="24"/>
        </w:rPr>
        <w:t>项目工期每逾期一天，甲方将扣除合同总金额的</w:t>
      </w:r>
      <w:r w:rsidRPr="00AF6ED2">
        <w:rPr>
          <w:rFonts w:ascii="Times New Roman" w:eastAsia="宋体" w:hAnsi="Times New Roman" w:cs="Times New Roman"/>
          <w:sz w:val="24"/>
        </w:rPr>
        <w:t>5</w:t>
      </w:r>
      <w:r w:rsidRPr="00AF6ED2">
        <w:rPr>
          <w:rFonts w:ascii="Times New Roman" w:eastAsia="宋体" w:hAnsi="Times New Roman" w:cs="Times New Roman" w:hint="eastAsia"/>
          <w:sz w:val="24"/>
        </w:rPr>
        <w:t>%</w:t>
      </w:r>
      <w:r w:rsidRPr="00AF6ED2">
        <w:rPr>
          <w:rFonts w:ascii="Times New Roman" w:eastAsia="宋体" w:hAnsi="Times New Roman" w:cs="Times New Roman" w:hint="eastAsia"/>
          <w:sz w:val="24"/>
        </w:rPr>
        <w:t>，不再支付给乙方。</w:t>
      </w:r>
    </w:p>
    <w:p w:rsidR="00AF6ED2" w:rsidRPr="00AF6ED2" w:rsidRDefault="00AF6ED2" w:rsidP="00AF6ED2">
      <w:pPr>
        <w:spacing w:line="360" w:lineRule="auto"/>
        <w:ind w:leftChars="280" w:left="588"/>
        <w:rPr>
          <w:rFonts w:ascii="Times New Roman" w:eastAsia="宋体" w:hAnsi="Times New Roman" w:cs="Times New Roman"/>
          <w:sz w:val="24"/>
        </w:rPr>
      </w:pPr>
      <w:r w:rsidRPr="00AF6ED2">
        <w:rPr>
          <w:rFonts w:ascii="Times New Roman" w:eastAsia="宋体" w:hAnsi="Times New Roman" w:cs="Times New Roman" w:hint="eastAsia"/>
          <w:sz w:val="24"/>
        </w:rPr>
        <w:t>项目工期逾期超五天，甲方有权终止合同，按本次应标单位得分高低，顺序选取剩余应标单位，作为中标单位就本项目展开合作。</w:t>
      </w:r>
    </w:p>
    <w:p w:rsidR="00AF6ED2" w:rsidRPr="00AF6ED2" w:rsidRDefault="00AF6ED2" w:rsidP="00AF6ED2">
      <w:pPr>
        <w:keepNext/>
        <w:keepLines/>
        <w:numPr>
          <w:ilvl w:val="0"/>
          <w:numId w:val="1"/>
        </w:numPr>
        <w:tabs>
          <w:tab w:val="left" w:pos="0"/>
        </w:tabs>
        <w:spacing w:line="360" w:lineRule="auto"/>
        <w:ind w:left="284"/>
        <w:outlineLvl w:val="0"/>
        <w:rPr>
          <w:rFonts w:ascii="宋体" w:eastAsia="宋体" w:hAnsi="宋体" w:cs="宋体"/>
          <w:b/>
          <w:bCs/>
          <w:kern w:val="44"/>
          <w:sz w:val="24"/>
          <w:szCs w:val="24"/>
        </w:rPr>
      </w:pPr>
      <w:r w:rsidRPr="00AF6ED2">
        <w:rPr>
          <w:rFonts w:ascii="宋体" w:eastAsia="宋体" w:hAnsi="宋体" w:cs="宋体" w:hint="eastAsia"/>
          <w:b/>
          <w:bCs/>
          <w:kern w:val="44"/>
          <w:sz w:val="24"/>
          <w:szCs w:val="24"/>
          <w:lang/>
        </w:rPr>
        <w:lastRenderedPageBreak/>
        <w:t>项目质保期</w:t>
      </w:r>
    </w:p>
    <w:p w:rsidR="00AF6ED2" w:rsidRPr="00AF6ED2" w:rsidRDefault="00AF6ED2" w:rsidP="00AF6ED2">
      <w:pPr>
        <w:spacing w:line="360" w:lineRule="auto"/>
        <w:ind w:firstLineChars="250" w:firstLine="600"/>
        <w:rPr>
          <w:rFonts w:ascii="Times New Roman" w:eastAsia="宋体" w:hAnsi="Times New Roman" w:cs="Times New Roman"/>
          <w:sz w:val="24"/>
          <w:szCs w:val="20"/>
        </w:rPr>
      </w:pPr>
      <w:r w:rsidRPr="00AF6ED2">
        <w:rPr>
          <w:rFonts w:ascii="Times New Roman" w:eastAsia="宋体" w:hAnsi="Times New Roman" w:cs="Times New Roman" w:hint="eastAsia"/>
          <w:sz w:val="24"/>
        </w:rPr>
        <w:t>项目</w:t>
      </w:r>
      <w:r w:rsidRPr="00AF6ED2">
        <w:rPr>
          <w:rFonts w:ascii="Times New Roman" w:eastAsia="宋体" w:hAnsi="Times New Roman" w:cs="Times New Roman" w:hint="eastAsia"/>
          <w:sz w:val="24"/>
          <w:lang/>
        </w:rPr>
        <w:t>验收后</w:t>
      </w:r>
      <w:r w:rsidRPr="00AF6ED2">
        <w:rPr>
          <w:rFonts w:ascii="Times New Roman" w:eastAsia="宋体" w:hAnsi="Times New Roman" w:cs="Times New Roman"/>
          <w:sz w:val="24"/>
          <w:lang/>
        </w:rPr>
        <w:t>2</w:t>
      </w:r>
      <w:r w:rsidRPr="00AF6ED2">
        <w:rPr>
          <w:rFonts w:ascii="Times New Roman" w:eastAsia="宋体" w:hAnsi="Times New Roman" w:cs="Times New Roman" w:hint="eastAsia"/>
          <w:sz w:val="24"/>
          <w:lang/>
        </w:rPr>
        <w:t>年</w:t>
      </w:r>
      <w:r w:rsidRPr="00AF6ED2">
        <w:rPr>
          <w:rFonts w:ascii="Times New Roman" w:eastAsia="宋体" w:hAnsi="Times New Roman" w:cs="Times New Roman"/>
          <w:sz w:val="24"/>
          <w:lang/>
        </w:rPr>
        <w:t>。</w:t>
      </w:r>
    </w:p>
    <w:p w:rsidR="00AF6ED2" w:rsidRPr="00AF6ED2" w:rsidRDefault="00AF6ED2" w:rsidP="00AF6ED2">
      <w:pPr>
        <w:keepNext/>
        <w:keepLines/>
        <w:numPr>
          <w:ilvl w:val="0"/>
          <w:numId w:val="1"/>
        </w:numPr>
        <w:tabs>
          <w:tab w:val="left" w:pos="0"/>
        </w:tabs>
        <w:spacing w:line="360" w:lineRule="auto"/>
        <w:ind w:left="284"/>
        <w:outlineLvl w:val="0"/>
        <w:rPr>
          <w:rFonts w:ascii="宋体" w:eastAsia="宋体" w:hAnsi="宋体" w:cs="宋体"/>
          <w:b/>
          <w:bCs/>
          <w:kern w:val="44"/>
          <w:sz w:val="24"/>
          <w:szCs w:val="24"/>
        </w:rPr>
      </w:pPr>
      <w:r w:rsidRPr="00AF6ED2">
        <w:rPr>
          <w:rFonts w:ascii="宋体" w:eastAsia="宋体" w:hAnsi="宋体" w:cs="宋体" w:hint="eastAsia"/>
          <w:b/>
          <w:bCs/>
          <w:kern w:val="44"/>
          <w:sz w:val="24"/>
          <w:szCs w:val="24"/>
        </w:rPr>
        <w:t>综合说明</w:t>
      </w:r>
    </w:p>
    <w:p w:rsidR="00AF6ED2" w:rsidRPr="00AF6ED2" w:rsidRDefault="00AF6ED2" w:rsidP="00AF6ED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0"/>
        </w:rPr>
      </w:pPr>
      <w:r w:rsidRPr="00AF6ED2">
        <w:rPr>
          <w:rFonts w:ascii="Times New Roman" w:eastAsia="宋体" w:hAnsi="Times New Roman" w:cs="Times New Roman" w:hint="eastAsia"/>
          <w:sz w:val="24"/>
        </w:rPr>
        <w:t>1</w:t>
      </w:r>
      <w:r w:rsidRPr="00AF6ED2">
        <w:rPr>
          <w:rFonts w:ascii="Times New Roman" w:eastAsia="宋体" w:hAnsi="Times New Roman" w:cs="Times New Roman" w:hint="eastAsia"/>
          <w:sz w:val="24"/>
        </w:rPr>
        <w:t>、投标报价是包括辅助材料、安装、调试、国家有关部检测、强制性认证等费用，以及人工、机械、保险、运费、各种税费、劳保、专利技术及质保期间一切费用的总报价。</w:t>
      </w:r>
    </w:p>
    <w:p w:rsidR="00AF6ED2" w:rsidRPr="00AF6ED2" w:rsidRDefault="00AF6ED2" w:rsidP="00AF6ED2">
      <w:pPr>
        <w:spacing w:line="360" w:lineRule="auto"/>
        <w:ind w:firstLineChars="200" w:firstLine="480"/>
        <w:rPr>
          <w:rFonts w:ascii="宋体" w:eastAsia="宋体" w:hAnsi="Times New Roman" w:cs="Times New Roman"/>
          <w:sz w:val="24"/>
        </w:rPr>
      </w:pPr>
      <w:r w:rsidRPr="00AF6ED2">
        <w:rPr>
          <w:rFonts w:ascii="Times New Roman" w:eastAsia="宋体" w:hAnsi="Times New Roman" w:cs="Times New Roman" w:hint="eastAsia"/>
          <w:sz w:val="24"/>
        </w:rPr>
        <w:t>2</w:t>
      </w:r>
      <w:r w:rsidRPr="00AF6ED2">
        <w:rPr>
          <w:rFonts w:ascii="Times New Roman" w:eastAsia="宋体" w:hAnsi="Times New Roman" w:cs="Times New Roman" w:hint="eastAsia"/>
          <w:sz w:val="24"/>
        </w:rPr>
        <w:t>、投标人必须响应招标文件中提出的全部技术规格与要求。如果对其中某些条款不响应时，应在投标文件中逐条列出。</w:t>
      </w:r>
    </w:p>
    <w:p w:rsidR="00AF6ED2" w:rsidRPr="00AF6ED2" w:rsidRDefault="00AF6ED2" w:rsidP="00AF6ED2">
      <w:pPr>
        <w:spacing w:line="360" w:lineRule="auto"/>
        <w:ind w:firstLineChars="200" w:firstLine="480"/>
        <w:rPr>
          <w:rFonts w:ascii="Times New Roman" w:eastAsia="宋体" w:hAnsi="Times New Roman" w:cs="Times New Roman"/>
        </w:rPr>
      </w:pPr>
      <w:r w:rsidRPr="00AF6ED2">
        <w:rPr>
          <w:rFonts w:ascii="Times New Roman" w:eastAsia="宋体" w:hAnsi="Times New Roman" w:cs="Times New Roman" w:hint="eastAsia"/>
          <w:sz w:val="24"/>
        </w:rPr>
        <w:t>3</w:t>
      </w:r>
      <w:r w:rsidRPr="00AF6ED2">
        <w:rPr>
          <w:rFonts w:ascii="Times New Roman" w:eastAsia="宋体" w:hAnsi="Times New Roman" w:cs="Times New Roman" w:hint="eastAsia"/>
          <w:sz w:val="24"/>
        </w:rPr>
        <w:t>、凡涉及招标文件的补充说明和修改，均以招标代理机构书面通知为准。</w:t>
      </w:r>
    </w:p>
    <w:p w:rsidR="003955D8" w:rsidRPr="00AF6ED2" w:rsidRDefault="003955D8"/>
    <w:sectPr w:rsidR="003955D8" w:rsidRPr="00AF6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5D8" w:rsidRPr="00A03BCE" w:rsidRDefault="003955D8" w:rsidP="00AF6ED2">
      <w:pPr>
        <w:rPr>
          <w:rFonts w:ascii="宋体" w:hAnsi="宋体"/>
          <w:color w:val="000000"/>
          <w:sz w:val="36"/>
          <w:szCs w:val="36"/>
          <w:lang w:eastAsia="en-US"/>
        </w:rPr>
      </w:pPr>
      <w:r>
        <w:separator/>
      </w:r>
    </w:p>
  </w:endnote>
  <w:endnote w:type="continuationSeparator" w:id="1">
    <w:p w:rsidR="003955D8" w:rsidRPr="00A03BCE" w:rsidRDefault="003955D8" w:rsidP="00AF6ED2">
      <w:pPr>
        <w:rPr>
          <w:rFonts w:ascii="宋体" w:hAnsi="宋体"/>
          <w:color w:val="000000"/>
          <w:sz w:val="36"/>
          <w:szCs w:val="36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5D8" w:rsidRPr="00A03BCE" w:rsidRDefault="003955D8" w:rsidP="00AF6ED2">
      <w:pPr>
        <w:rPr>
          <w:rFonts w:ascii="宋体" w:hAnsi="宋体"/>
          <w:color w:val="000000"/>
          <w:sz w:val="36"/>
          <w:szCs w:val="36"/>
          <w:lang w:eastAsia="en-US"/>
        </w:rPr>
      </w:pPr>
      <w:r>
        <w:separator/>
      </w:r>
    </w:p>
  </w:footnote>
  <w:footnote w:type="continuationSeparator" w:id="1">
    <w:p w:rsidR="003955D8" w:rsidRPr="00A03BCE" w:rsidRDefault="003955D8" w:rsidP="00AF6ED2">
      <w:pPr>
        <w:rPr>
          <w:rFonts w:ascii="宋体" w:hAnsi="宋体"/>
          <w:color w:val="000000"/>
          <w:sz w:val="36"/>
          <w:szCs w:val="36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A40C24"/>
    <w:multiLevelType w:val="multilevel"/>
    <w:tmpl w:val="5EA40C24"/>
    <w:lvl w:ilvl="0">
      <w:start w:val="1"/>
      <w:numFmt w:val="chineseCountingThousand"/>
      <w:lvlText w:val="%1、"/>
      <w:lvlJc w:val="left"/>
      <w:pPr>
        <w:ind w:left="475" w:hanging="420"/>
      </w:pPr>
    </w:lvl>
    <w:lvl w:ilvl="1">
      <w:start w:val="1"/>
      <w:numFmt w:val="lowerLetter"/>
      <w:lvlText w:val="%2)"/>
      <w:lvlJc w:val="left"/>
      <w:pPr>
        <w:ind w:left="895" w:hanging="420"/>
      </w:pPr>
    </w:lvl>
    <w:lvl w:ilvl="2">
      <w:start w:val="1"/>
      <w:numFmt w:val="lowerRoman"/>
      <w:lvlText w:val="%3."/>
      <w:lvlJc w:val="right"/>
      <w:pPr>
        <w:ind w:left="1315" w:hanging="420"/>
      </w:pPr>
    </w:lvl>
    <w:lvl w:ilvl="3">
      <w:start w:val="1"/>
      <w:numFmt w:val="decimal"/>
      <w:lvlText w:val="%4."/>
      <w:lvlJc w:val="left"/>
      <w:pPr>
        <w:ind w:left="1735" w:hanging="420"/>
      </w:pPr>
    </w:lvl>
    <w:lvl w:ilvl="4">
      <w:start w:val="1"/>
      <w:numFmt w:val="lowerLetter"/>
      <w:lvlText w:val="%5)"/>
      <w:lvlJc w:val="left"/>
      <w:pPr>
        <w:ind w:left="2155" w:hanging="420"/>
      </w:pPr>
    </w:lvl>
    <w:lvl w:ilvl="5">
      <w:start w:val="1"/>
      <w:numFmt w:val="lowerRoman"/>
      <w:lvlText w:val="%6."/>
      <w:lvlJc w:val="right"/>
      <w:pPr>
        <w:ind w:left="2575" w:hanging="420"/>
      </w:pPr>
    </w:lvl>
    <w:lvl w:ilvl="6">
      <w:start w:val="1"/>
      <w:numFmt w:val="decimal"/>
      <w:lvlText w:val="%7."/>
      <w:lvlJc w:val="left"/>
      <w:pPr>
        <w:ind w:left="2995" w:hanging="420"/>
      </w:pPr>
    </w:lvl>
    <w:lvl w:ilvl="7">
      <w:start w:val="1"/>
      <w:numFmt w:val="lowerLetter"/>
      <w:lvlText w:val="%8)"/>
      <w:lvlJc w:val="left"/>
      <w:pPr>
        <w:ind w:left="3415" w:hanging="420"/>
      </w:pPr>
    </w:lvl>
    <w:lvl w:ilvl="8">
      <w:start w:val="1"/>
      <w:numFmt w:val="lowerRoman"/>
      <w:lvlText w:val="%9."/>
      <w:lvlJc w:val="right"/>
      <w:pPr>
        <w:ind w:left="3835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6ED2"/>
    <w:rsid w:val="003955D8"/>
    <w:rsid w:val="00AF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6E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6E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6E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6E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6E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6E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1324</Words>
  <Characters>7552</Characters>
  <Application>Microsoft Office Word</Application>
  <DocSecurity>0</DocSecurity>
  <Lines>62</Lines>
  <Paragraphs>17</Paragraphs>
  <ScaleCrop>false</ScaleCrop>
  <Company/>
  <LinksUpToDate>false</LinksUpToDate>
  <CharactersWithSpaces>8859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2022-06-24T09:11:00Z</dcterms:created>
  <dcterms:modified xsi:type="dcterms:W3CDTF">2022-06-24T09:11:00Z</dcterms:modified>
</cp:coreProperties>
</file>