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12" w:firstLineChars="47"/>
        <w:outlineLvl w:val="0"/>
        <w:rPr>
          <w:rFonts w:hint="eastAsia" w:ascii="宋体" w:hAnsi="宋体" w:eastAsia="宋体" w:cs="宋体"/>
          <w:b/>
          <w:color w:val="auto"/>
          <w:kern w:val="0"/>
          <w:sz w:val="32"/>
          <w:shd w:val="clear" w:color="auto" w:fill="FFFFFF"/>
        </w:rPr>
      </w:pPr>
      <w:bookmarkStart w:id="1" w:name="_GoBack"/>
      <w:bookmarkEnd w:id="1"/>
      <w:bookmarkStart w:id="0" w:name="_Toc373100977"/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一、</w:t>
      </w:r>
      <w:bookmarkEnd w:id="0"/>
      <w:r>
        <w:rPr>
          <w:rFonts w:hint="eastAsia" w:ascii="宋体" w:hAnsi="宋体" w:eastAsia="宋体" w:cs="宋体"/>
          <w:color w:val="auto"/>
          <w:kern w:val="24"/>
          <w:sz w:val="24"/>
          <w:shd w:val="clear" w:color="auto" w:fill="FFFFFF"/>
        </w:rPr>
        <w:t>供应商须知前附表</w:t>
      </w:r>
    </w:p>
    <w:tbl>
      <w:tblPr>
        <w:tblStyle w:val="7"/>
        <w:tblW w:w="0" w:type="auto"/>
        <w:tblInd w:w="-28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2914"/>
        <w:gridCol w:w="56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</w:trPr>
        <w:tc>
          <w:tcPr>
            <w:tcW w:w="914" w:type="dxa"/>
            <w:noWrap w:val="0"/>
            <w:vAlign w:val="center"/>
          </w:tcPr>
          <w:p>
            <w:pPr>
              <w:pStyle w:val="9"/>
              <w:spacing w:line="360" w:lineRule="auto"/>
              <w:ind w:left="9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序号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条款名称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pStyle w:val="9"/>
              <w:spacing w:line="360" w:lineRule="auto"/>
              <w:ind w:left="571" w:leftChars="272" w:firstLine="1677" w:firstLineChars="699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说明和要求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</w:trPr>
        <w:tc>
          <w:tcPr>
            <w:tcW w:w="914" w:type="dxa"/>
            <w:noWrap w:val="0"/>
            <w:vAlign w:val="center"/>
          </w:tcPr>
          <w:p>
            <w:pPr>
              <w:pStyle w:val="9"/>
              <w:spacing w:line="360" w:lineRule="auto"/>
              <w:ind w:left="9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1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  <w:lang w:val="zh-CN"/>
              </w:rPr>
              <w:t>项目预算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  <w:t>本项目采购预算为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250万元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  <w:t>报价（包括第一次报价及磋商后的最后报价）不能超过采购预算，超过视为无效响应。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914" w:type="dxa"/>
            <w:noWrap w:val="0"/>
            <w:vAlign w:val="center"/>
          </w:tcPr>
          <w:p>
            <w:pPr>
              <w:pStyle w:val="9"/>
              <w:spacing w:line="360" w:lineRule="auto"/>
              <w:ind w:left="9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2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  <w:t>是否接受进口产品报价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  <w:t>接受（ 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  <w:t>）    不接受（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14" w:type="dxa"/>
            <w:noWrap w:val="0"/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3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标前踏勘现场或/和标前答疑会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  <w:t>组织（ ）   不组织（√）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14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4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lang w:val="zh-CN"/>
              </w:rPr>
              <w:t>述标和/或产（样）品演（展）示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tabs>
                <w:tab w:val="left" w:pos="425"/>
              </w:tabs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zh-CN"/>
              </w:rPr>
              <w:t>有（）       无（√）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14" w:type="dxa"/>
            <w:noWrap w:val="0"/>
            <w:vAlign w:val="center"/>
          </w:tcPr>
          <w:p>
            <w:pPr>
              <w:pStyle w:val="9"/>
              <w:spacing w:line="360" w:lineRule="auto"/>
              <w:ind w:left="9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5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响应有效期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自响应文件递交之日起90天内。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14" w:type="dxa"/>
            <w:noWrap w:val="0"/>
            <w:vAlign w:val="center"/>
          </w:tcPr>
          <w:p>
            <w:pPr>
              <w:pStyle w:val="3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评审方法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最低评标价法（  ） 综合评分法（√）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14" w:type="dxa"/>
            <w:noWrap w:val="0"/>
            <w:vAlign w:val="center"/>
          </w:tcPr>
          <w:p>
            <w:pPr>
              <w:pStyle w:val="3"/>
              <w:spacing w:line="360" w:lineRule="auto"/>
              <w:ind w:left="0" w:leftChars="0" w:firstLine="480" w:firstLineChars="200"/>
              <w:jc w:val="left"/>
              <w:rPr>
                <w:rFonts w:hint="eastAsia" w:ascii="宋体" w:hAnsi="宋体" w:eastAsia="宋体" w:cs="宋体"/>
                <w:color w:val="auto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合同履行期限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合同签订后，国内产品45天内、进口产品90天内交付使用。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14" w:type="dxa"/>
            <w:noWrap w:val="0"/>
            <w:vAlign w:val="center"/>
          </w:tcPr>
          <w:p>
            <w:pPr>
              <w:pStyle w:val="3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交货地点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采购人指定地点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14" w:type="dxa"/>
            <w:noWrap w:val="0"/>
            <w:vAlign w:val="center"/>
          </w:tcPr>
          <w:p>
            <w:pPr>
              <w:pStyle w:val="3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zh-CN"/>
              </w:rPr>
              <w:t>备注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pStyle w:val="9"/>
              <w:spacing w:line="360" w:lineRule="auto"/>
              <w:ind w:lef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1、采购需求中未列明偏差的除特殊订制类货物以外，列明的尺寸、重量及体积允许±5%偏差。</w:t>
            </w:r>
          </w:p>
          <w:p>
            <w:pPr>
              <w:pStyle w:val="9"/>
              <w:spacing w:line="360" w:lineRule="auto"/>
              <w:ind w:lef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FFFFFF"/>
              </w:rPr>
              <w:t>2、采购标的物需按照国家相关标准、行业标准、地方标准或者其他标准、规范执行。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 xml:space="preserve">二、交货事项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1、 合同履行期限：合同签订后，国内产品</w:t>
      </w:r>
      <w:r>
        <w:rPr>
          <w:rFonts w:ascii="宋体" w:hAnsi="宋体" w:cs="宋体"/>
          <w:color w:val="auto"/>
          <w:kern w:val="0"/>
          <w:sz w:val="24"/>
          <w:lang w:bidi="ar"/>
        </w:rPr>
        <w:t>45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>天内、进口产品</w:t>
      </w:r>
      <w:r>
        <w:rPr>
          <w:rFonts w:ascii="宋体" w:hAnsi="宋体" w:cs="宋体"/>
          <w:color w:val="auto"/>
          <w:kern w:val="0"/>
          <w:sz w:val="24"/>
          <w:lang w:bidi="ar"/>
        </w:rPr>
        <w:t>90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天内交付使用。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2、 交货地点：采购人指定地点。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3、 交货时必须向采购人提供有关设备的安装、调试、使用、维修和保养所需的中文技术文件（图纸、手册、说明书等）。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 xml:space="preserve">三、安装、调试与验收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1、 安装、调试：由供应商负责在</w:t>
      </w:r>
      <w:r>
        <w:rPr>
          <w:rFonts w:hint="eastAsia" w:ascii="宋体" w:hAnsi="宋体" w:cs="宋体"/>
          <w:color w:val="auto"/>
          <w:kern w:val="0"/>
          <w:sz w:val="24"/>
          <w:lang w:eastAsia="zh-CN" w:bidi="ar"/>
        </w:rPr>
        <w:t>采购人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现场进行整机安装、调试及试运行。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2、 验收方式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kern w:val="2"/>
        </w:rPr>
      </w:pPr>
      <w:r>
        <w:rPr>
          <w:rFonts w:hint="eastAsia"/>
          <w:color w:val="auto"/>
          <w:kern w:val="2"/>
          <w:lang w:val="en-US" w:eastAsia="zh-CN"/>
        </w:rPr>
        <w:t>2.1</w:t>
      </w:r>
      <w:r>
        <w:rPr>
          <w:rFonts w:hint="eastAsia"/>
          <w:color w:val="auto"/>
          <w:kern w:val="2"/>
        </w:rPr>
        <w:t>项目验收、交付标准内容主要包括合同规定的外观数量、技术质量等内容的履约情况，主要包括但不限于以下内容：</w:t>
      </w:r>
    </w:p>
    <w:p>
      <w:pPr>
        <w:snapToGrid w:val="0"/>
        <w:spacing w:line="360" w:lineRule="auto"/>
        <w:ind w:firstLine="472" w:firstLineChars="19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</w:rPr>
        <w:t>）外观及数量：合同、到货清单和实物三者品牌、型号、配置、配件、生产厂商、产地、数量等完全相符。</w:t>
      </w:r>
    </w:p>
    <w:p>
      <w:pPr>
        <w:snapToGrid w:val="0"/>
        <w:spacing w:line="360" w:lineRule="auto"/>
        <w:ind w:firstLine="472" w:firstLineChars="19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</w:rPr>
        <w:t>）技术质量：货物完全按规范进行安装，并通过运行调试（包括功能调试、技术指标调试、整机统调等）和仪器检测等方法，检查仪器设备的性能指标、技术质量以及提供的人员培训等符合合同规定的要求等。</w:t>
      </w:r>
    </w:p>
    <w:p>
      <w:pPr>
        <w:snapToGrid w:val="0"/>
        <w:spacing w:line="360" w:lineRule="auto"/>
        <w:ind w:firstLine="472" w:firstLineChars="197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）文档资料：货物合格证、说明书、保修单等齐备；交货单等组织过程文件、试运行报告、调试报告、培训记录、用户手册等其他说明文件完成。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 xml:space="preserve">四、售后服务和质量保证 </w:t>
      </w:r>
    </w:p>
    <w:p>
      <w:pPr>
        <w:snapToGrid w:val="0"/>
        <w:spacing w:line="360" w:lineRule="auto"/>
        <w:ind w:firstLine="472" w:firstLineChars="197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 xml:space="preserve">1、 交货时提供产品质量合格证书。 </w:t>
      </w:r>
    </w:p>
    <w:p>
      <w:pPr>
        <w:snapToGrid w:val="0"/>
        <w:spacing w:line="360" w:lineRule="auto"/>
        <w:ind w:firstLine="472" w:firstLineChars="197"/>
        <w:rPr>
          <w:rFonts w:hint="eastAsia" w:ascii="宋体" w:hAnsi="宋体" w:eastAsia="宋体" w:cs="Times New Roman"/>
          <w:color w:val="auto"/>
          <w:sz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</w:rPr>
        <w:t>2、 供应商应对所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提供</w:t>
      </w:r>
      <w:r>
        <w:rPr>
          <w:rFonts w:hint="eastAsia" w:ascii="宋体" w:hAnsi="宋体" w:eastAsia="宋体" w:cs="Times New Roman"/>
          <w:color w:val="auto"/>
          <w:sz w:val="24"/>
        </w:rPr>
        <w:t>货物在质保期内免费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包修、</w:t>
      </w:r>
      <w:r>
        <w:rPr>
          <w:rFonts w:hint="eastAsia" w:ascii="宋体" w:hAnsi="宋体" w:eastAsia="宋体" w:cs="Times New Roman"/>
          <w:color w:val="auto"/>
          <w:sz w:val="24"/>
        </w:rPr>
        <w:t>包换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。</w:t>
      </w:r>
    </w:p>
    <w:p>
      <w:pPr>
        <w:snapToGrid w:val="0"/>
        <w:spacing w:line="360" w:lineRule="auto"/>
        <w:ind w:firstLine="472" w:firstLineChars="197"/>
        <w:rPr>
          <w:rFonts w:hint="eastAsia" w:ascii="宋体" w:hAnsi="宋体" w:eastAsia="宋体" w:cs="Times New Roman"/>
          <w:color w:val="auto"/>
          <w:sz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</w:rPr>
        <w:t>3、 免费维修服务期限1年（验收合格之日起计）和保养服务质保期外的维修成本价收费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。</w:t>
      </w:r>
      <w:r>
        <w:rPr>
          <w:rFonts w:hint="eastAsia" w:ascii="宋体" w:hAnsi="宋体" w:eastAsia="宋体" w:cs="Times New Roman"/>
          <w:b/>
          <w:bCs/>
          <w:color w:val="auto"/>
          <w:sz w:val="24"/>
        </w:rPr>
        <w:t>（采购清单中免费保修期有特殊要求的按照采购清单中的为准）。若厂家有超过期限免费保修期的按厂家方案执行。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4、 供应商应开通 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 xml:space="preserve">24 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小时服务热线。保证在接到故障电话后响应时间小于 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 xml:space="preserve">2 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小时，如需现场解决，保证 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 xml:space="preserve">12 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小时内派出技术服务人员赶到现场。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5、 产品或主要部件在质保期内发生故障而无法排除并影响用户使用时，供应商须免费更换产品。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 xml:space="preserve">五、伴随服务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1、 免费提供现场培训及相关技术咨询。培训内容应包括技术原理、操作、日常基本维护与保养，使参加培训的人员能独立使用，同时能独立处理常见性故障。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2、 定期到用户单位回访，及时向用户了解设备使用情况，协助用户进行设备日常维护与保养。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 xml:space="preserve">六、综合说明 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1、供应商所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 w:bidi="ar"/>
        </w:rPr>
        <w:t>提供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产品应能够至少达到磋商文件的要求，同时明确所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 w:bidi="ar"/>
        </w:rPr>
        <w:t>提供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产品的品牌、型号、规格和外形、尺寸、安装尺寸、重量及一些必须说明的技术参数，并提供详细的技术参数、性能说明书、产品图片等资料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 w:bidi="ar"/>
        </w:rPr>
        <w:t>，否则在技术评审环节将导致重大扣分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。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2、本项目除备注接受进口产品的仪器设备外，其它不允许进口产品参加</w:t>
      </w:r>
      <w:r>
        <w:rPr>
          <w:rFonts w:hint="eastAsia" w:ascii="宋体" w:hAnsi="宋体" w:cs="宋体"/>
          <w:color w:val="auto"/>
          <w:kern w:val="0"/>
          <w:sz w:val="24"/>
          <w:lang w:eastAsia="zh-CN" w:bidi="ar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3、供应商报价是包括全部货物、运输、辅助材料、安装、调试、国家有关部检测、强制性认证等费用，以及人工、机械、运输、仓储、保险、运费、各种税费、劳保、专利技术及质保期间一切费用的总报价。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4、供应商必须响应磋商文件中提出的全部技术规格与要求。如果对其中某些条款不响应时，应在响应文件中逐条列出。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5、所有设备和附（配）件应符合其规定的性能，无瑕疵和缺陷，质量为合格产品，同时有明确的生产制造厂商。交货时必须原包装现场拆封验收。供应商对质量问题负责包退、包换和包修，因此发生的费用由供应商负责。 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、培训要求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.1报价人应对本项目建设的内容提供维护、操作使用、管理等方面的培训，使受训人员能基本掌握使用及简单维护，直至能熟练独立操作。</w:t>
      </w:r>
    </w:p>
    <w:p>
      <w:pPr>
        <w:snapToGrid w:val="0"/>
        <w:spacing w:line="360" w:lineRule="auto"/>
        <w:ind w:firstLine="42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 xml:space="preserve">6.2 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免费为2—3位采购人技术人员提供系统操作、维护培训。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7、付款方式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所有设备到货安装运行正常并验收合格后，供应商向采购人开具合同总价发票（普通增值税发票），采购人凭发票和验收资料在30日内向供应商支付相应款项。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auto"/>
          <w:kern w:val="0"/>
          <w:sz w:val="32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br w:type="page"/>
      </w:r>
      <w:r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  <w:t>七、</w:t>
      </w:r>
      <w:r>
        <w:rPr>
          <w:rFonts w:hint="eastAsia" w:ascii="宋体" w:hAnsi="宋体" w:eastAsia="宋体" w:cs="宋体"/>
          <w:b/>
          <w:color w:val="auto"/>
          <w:kern w:val="0"/>
          <w:sz w:val="32"/>
        </w:rPr>
        <w:t>采购需求清单：</w:t>
      </w:r>
    </w:p>
    <w:tbl>
      <w:tblPr>
        <w:tblStyle w:val="7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35"/>
        <w:gridCol w:w="4620"/>
        <w:gridCol w:w="780"/>
        <w:gridCol w:w="64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序</w:t>
            </w: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采购品目名称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参考规格和配置技术参数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是否原装进口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数</w:t>
            </w: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单</w:t>
            </w:r>
            <w:r>
              <w:rPr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小动物行为记录分析系统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系统通过红外线数码摄像头采集视频，实现位置跟踪及活动量监测。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系统可以同时观察不少于100个区域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系统控制光线和调节明暗条件，模拟白天环境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配有掀开式前面板，保证较好的操作空间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配有TTL控制的白色冷光源，可调节白光波的强度，范围0-10000lux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软件支持自定义开始停止事件，互斥事件、点事件，允许独立的手动标记记录事件。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系统可以使用的96孔微量反应平板规格为14.5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cm×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13.0 cm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可以同时一次检测多至1000个胚胎，测定胚胎惊厥次数–胚胎移动的次数、胚胎移动的时间百分比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配置点源式振动刺激，可通过控制系统，自动施加振动级别，振动刺激可自定义选择八种等级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配有温度控制装置，可以将温度控制在15℃~40℃的任意温度，温控噪音小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记录分析软件可安装在任意电脑使用，软件采用加密狗方式激活，可在多台电脑间任意切换使用。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系统可以导出轨迹原始数据和统计分析数据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系统可以直接输出轨迹图、热区图结果，并能对热区图的色谱及比例进行调节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配有红外线背光型托盘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系统可设定隐藏区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可自动识别进入或游出行为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可将记录数据与原始视频进行同界面下的可视化数据查看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支持查看不同时间段的位置数据。可以分别计算鱼的心房跟心室的跳动次数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支持位置成像图，可自定义至少3种不同类型的色域，如红-黄-蓝型、黄-绿-蓝型等。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19.配置斑马鱼T迷宫，可同时用于成鱼T迷宫实验，规格长20cm，宽6cm，高10cm。带红外背光，亮度可调。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20. 可以自动识别胚胎、选择胚胎绒毛膜内为感兴趣区域，无需手动划区域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21.可以确定尾长，眼睛大小，心包区，或任何其他测量参数，可以根据实际需要来自定义测量范围。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22.斑马鱼成鱼观察箱：规格长30cm*宽30cm*高20cm，配置观察支架，可调高度80cm-220cm。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23高清摄像机，采集频率30FPS-60FPS，分辨率1920*1080。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24.数据分析工作站 CPU主频2.5GHz以上，内存8GB以上，3.5英寸 SATA 7200Rpm硬盘，存储容量1TB，显卡容量2GB，显示器23英寸。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25.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提供制造商或其指定的代理商出具的授权书、售后服务承诺书及参数确认表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6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海洋生物养殖系统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  <w:t>1、</w:t>
            </w:r>
            <w:r>
              <w:rPr>
                <w:rFonts w:ascii="宋体" w:hAnsi="宋体"/>
                <w:b/>
                <w:color w:val="auto"/>
                <w:sz w:val="21"/>
                <w:szCs w:val="21"/>
              </w:rPr>
              <w:t>水生生物培养架</w:t>
            </w:r>
            <w:r>
              <w:rPr>
                <w:rFonts w:ascii="宋体" w:hAnsi="宋体"/>
                <w:b/>
                <w:color w:val="auto"/>
                <w:sz w:val="21"/>
                <w:szCs w:val="21"/>
                <w:u w:val="single"/>
              </w:rPr>
              <w:t xml:space="preserve"> 1 </w:t>
            </w:r>
            <w:r>
              <w:rPr>
                <w:rFonts w:ascii="宋体" w:hAnsi="宋体"/>
                <w:b/>
                <w:color w:val="auto"/>
                <w:sz w:val="21"/>
                <w:szCs w:val="21"/>
              </w:rPr>
              <w:t>套</w:t>
            </w:r>
          </w:p>
          <w:p>
            <w:pPr>
              <w:ind w:firstLine="420" w:firstLineChars="200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每套配置及功能：</w:t>
            </w:r>
          </w:p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1）配置316L材质不锈钢机架，25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mm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×25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mm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×2.0㎜，带底脚调节螺丝；</w:t>
            </w:r>
          </w:p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2）安装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15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个5L、12个10L养殖缸，玻璃材质</w:t>
            </w:r>
          </w:p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3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）每个养殖缸的供水单独可控；每排养殖缸的供水单独可控；管道符合饮用水级别；</w:t>
            </w:r>
          </w:p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4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）系统自带循环、四级过滤、杀菌，独立使用，保证单元内养殖缸内的水循环更新量大于4次/小时；自带温控功能（加热，调整温度为26°C-29°C）；水温超过30°C时自动断电保护；充气补氧；自动补水功能；缺水保护功能；按键式控制面板，12V安全电压；</w:t>
            </w:r>
          </w:p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5）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自带</w:t>
            </w:r>
            <w:r>
              <w:rPr>
                <w:rFonts w:ascii="宋体" w:hAnsi="宋体"/>
                <w:color w:val="auto"/>
                <w:kern w:val="0"/>
                <w:sz w:val="21"/>
                <w:szCs w:val="21"/>
              </w:rPr>
              <w:t>光照系统：配防水式照明灯具，每一层独立控制开关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b/>
                <w:color w:val="auto"/>
                <w:sz w:val="21"/>
                <w:szCs w:val="21"/>
              </w:rPr>
              <w:t>2、小型纯水机</w:t>
            </w:r>
            <w:r>
              <w:rPr>
                <w:rFonts w:ascii="宋体" w:hAnsi="宋体"/>
                <w:b/>
                <w:color w:val="auto"/>
                <w:sz w:val="21"/>
                <w:szCs w:val="21"/>
                <w:u w:val="single"/>
              </w:rPr>
              <w:t xml:space="preserve"> 1 </w:t>
            </w:r>
            <w:r>
              <w:rPr>
                <w:rFonts w:ascii="宋体" w:hAnsi="宋体"/>
                <w:b/>
                <w:color w:val="auto"/>
                <w:sz w:val="21"/>
                <w:szCs w:val="21"/>
              </w:rPr>
              <w:t>套</w:t>
            </w:r>
          </w:p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每套配置及功能：制水量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80-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120L/H，脱盐率大于99%；活性炭过滤器；精密过滤器；高压泵；反渗透膜；RO程序化控制单元；全钢箱体；水电分离；11G压力罐1个。</w:t>
            </w:r>
          </w:p>
          <w:p>
            <w:pPr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b/>
                <w:color w:val="auto"/>
                <w:sz w:val="21"/>
                <w:szCs w:val="21"/>
              </w:rPr>
              <w:t>3、pH及电导率调节仪</w:t>
            </w:r>
            <w:r>
              <w:rPr>
                <w:rFonts w:ascii="宋体" w:hAnsi="宋体"/>
                <w:b/>
                <w:color w:val="auto"/>
                <w:sz w:val="21"/>
                <w:szCs w:val="21"/>
                <w:u w:val="single"/>
              </w:rPr>
              <w:t xml:space="preserve"> 1 </w:t>
            </w:r>
            <w:r>
              <w:rPr>
                <w:rFonts w:ascii="宋体" w:hAnsi="宋体"/>
                <w:b/>
                <w:color w:val="auto"/>
                <w:sz w:val="21"/>
                <w:szCs w:val="21"/>
              </w:rPr>
              <w:t>套</w:t>
            </w:r>
          </w:p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每套配置及功能：含pH仪表（含电极）1套、电导率仪表（含电极）1套、计量泵2台、加药箱2个，不锈钢架1套，SP608水泵1台。可监测和调节PH和电导率，pH调节范围7.2~7.6，电导率调节范围500~550μs/cm。pH仪表：pH范围：0-14.00pH，pH精度：0.01pH。</w:t>
            </w:r>
          </w:p>
          <w:p>
            <w:pPr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b/>
                <w:color w:val="auto"/>
                <w:sz w:val="21"/>
                <w:szCs w:val="21"/>
              </w:rPr>
              <w:t>4、配件1批</w:t>
            </w:r>
          </w:p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★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1）卤虫孵化缸2台：玻璃材质，20L，圆锥形无死角，有取料口；有曝气；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★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2）鱼苗培养器5套：0.8L，两件套，玻璃材质，内胆底部为60目304不锈钢网，能迅速按换水，便于观察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否</w:t>
            </w:r>
          </w:p>
        </w:tc>
        <w:tc>
          <w:tcPr>
            <w:tcW w:w="6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套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全自动柱膜通用固相萃取仪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设备用途：应用于常规实验室中，从液体样品中萃取目标物的仪器。具备萃取饮用水、废水、地表水等多种基体的能力，可以为GC, GC/MS, LC, UV/VIS等仪器提供完善的快速样品前处理过程，尤其适合于大体积液体样品中痕量污染物。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技术参数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2.1泵：样品上样泵采用高精密计量泵，采用陶瓷阀芯，耐腐蚀和磨损，须使用正压方式实现小柱清洗、预平衡、样品装样、再清洗和将样品洗脱全过程，以保证良好的重现性结果和系统稳定性，仪器无需额外配置真空泵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2.2 上样体积10ML～20L，支持大体积进样。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2.3 样品上样泵流速：0～60ML/分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2.4柱清洗和洗脱：采用正压方式注射泵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2.5 主机系统能实时显示样品处理的状态和进度，可实时诊断和报警。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2.6萃取通道：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2.6.1 主机有六个通道可实现同时工作或顺序工作，须能够实现6个样品的同时萃取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2.6.2 仪器收集样品管可配套自动定量浓缩装置，无需进行样品转移，同时定量浓缩6个样品，实现固相萃取和浓缩自动联机操作，无需切换和人工干预。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2.6.3 氮吹浓缩时采用旋涡气流斜吹技术，吹针不伸入管内，不上下移动，避免交叉污染。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2.6.4 配套联机自动浓缩模块，样品定量浓缩收集管为50ml/1.0规格，可多次收集萃取液，可自动定量到1.0ml或0.5ml终点。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2.6.5  仪器自动选择可达5种以上溶剂，自动控制流速、自动压力保护和停泵功能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2.6.6  仪器配套的6ml/3ml小柱柱塞均采用不锈钢金属针过柱，柱塞结构需采用活动压缩式，可对样品进行有效密封，避免泄露，也可增加柱塞的使用寿命。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2.6.7 仪器具备中英文操作界面，实时显示萃取状态和进程。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2.6.8样品废液和有机溶剂废液独立排放，降低排污成本。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2.6.9 12英寸触摸屏电脑控制，无需外接电脑。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2.6.9 仪器须具备样品漏液报警功能，避免样品渗漏，损坏设备，实时监控并保护好仪器。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2.7 进样管为PTFE材质，内径不小于1.5mm,仪器进样前端配套有过滤头，防止颗粒物或藻类堵塞仪器。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2.8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.★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提供制造商或其指定的代理商出具的授权书、售后服务承诺书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参数确认表。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3配置要求: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3.1六通道全自动固相萃取仪主机含控制软件，一套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3.2 样品收集瓶架，1套；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3.3固相萃取柱：C18，6ml，1包/30个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3.4  维护包一个，包括3ml/6ml的O型密封圈各3个，3个过滤头，废液管2米，使用说明书，一份。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3.5 12英寸的平板控制电脑，一台。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3.6 六位全自动定量浓缩模块，一个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是</w:t>
            </w:r>
          </w:p>
        </w:tc>
        <w:tc>
          <w:tcPr>
            <w:tcW w:w="6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全自动核酸蛋白分析系统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1、功能：采用毛细管电泳原理，可应用于DNA、RNA等核酸的电泳分析，能进行全自动的核酸片段大小测定，核酸质控，浓度测定，微卫星分析等；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2、光源：LED光源，高灵敏度的光电倍增管检测；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★3、自动化程度：采用预装式卡夹，即插即用，无须人工制胶、灌胶、上样，整个过程全部由仪器自动来完成；每轮分析后，仪器自动清洗毛细管，无须人工清洗；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4、上样形式：直接兼容0.2ml离心管、8联管；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★5、可搭配专用微量管，样品管中溶液需求量最低（1ul微升）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★6、可以一次性完成1-15个样品的检测分析，可单次测单个样本不造成浪费；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★7、分辨率：200bp片段可达2bp的分辨率，对&lt;500bp的DNA片段，可达1-4bp的分辨率；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8、检测片段范围：15bp-40kb；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9、灵敏度：无需对样品进行纯化，可以直接对PCR产物原液进行检测。DNA样品的检测灵敏度为可达pg级；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10、样品上样量：小于0.1ul 微升；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11、分析时间：最快可达1-2分钟内完成一次电泳；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12、卡夹：提供预制胶卡夹，适用于DNA高分辨率分析、DNA标准卡夹、DNA快速筛查分析、RNA质量控制分析等应用；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13、软件功能：软件可以自动输出电泳胶图、峰图、样品浓度、片段大小等一系列数据，并可以以报告形式完整打印输出； PDF， WORD，JPG都可以输出；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14、无污染：系统中仪器、耗材及检测过程均为全封闭式，避免了核酸染色剂等有害物质与操作人员的接触；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★15、采用空气压缩机或其他给压装置，操作方便，小巧便于放置和移动，无需氮气钢瓶，无需后期灌气；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16.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提供制造商或其指定的代理商出具的授权书、售后服务承诺书及参数确认表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二、配置清单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1、主机一台(包含软件)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2、包含1个预制胶卡夹试剂盒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是</w:t>
            </w:r>
          </w:p>
        </w:tc>
        <w:tc>
          <w:tcPr>
            <w:tcW w:w="6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低通量核酸提取仪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1. 原理：内置永久磁性磁棒式全自动核酸提取纯化系统，无需离心、过滤、移液操作，磁珠与目的样品特异结合，仪器磁棒上下运动使液体混匀，并吸取磁珠，在不同样品板/管间移动，经转移、洗脱、释放等步骤，直接提取纯化核酸等样品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2. 用于从各种材料，如全血、拭子、血浆、血清、组织等多种组织中提取DNA或RNA，可以提供游离核酸、miRNA/mRNA提取、石蜡切片DNA/RNA共提取最新自动化方案，兼具免疫沉淀反应、蛋白纯化等功能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3. 磁棒类型：末端充磁的非拼接式一体化永磁棒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4. 样品通量：&gt; 20个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5. 工作体积：30-5000</w:t>
            </w:r>
            <w:r>
              <w:rPr>
                <w:rStyle w:val="10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μ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l，标准磁头：30-1000</w:t>
            </w:r>
            <w:r>
              <w:rPr>
                <w:rStyle w:val="10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μ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l；大体积磁头：200-5000</w:t>
            </w:r>
            <w:r>
              <w:rPr>
                <w:rStyle w:val="10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μ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l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6. 具有温度控制功能，温度范围10-75℃，温度精准度：±1℃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★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7. 同时具有独立于96深孔板的洗脱模块，洗脱模块同时具有加热和制冷模块，产物可设置低温保存，低温至4℃，维持样本的生物活性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8. 中文彩色图形化用户界面，实时显示程序运行状态，可独立使用，无需电脑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9. 内置USB接口，可直接通过U盘进行程序导入与备份，或通过USB数据线与电脑连接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10. 内置程序分类管理功能，具有200个程序存储空间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11. 提供专门的磁珠纯化配套软件，软件权限开放，支持用户重新编程，或使用预编辑的快捷程序组进行优化，具有样本及耗材信息管理和追溯功能，可配备条码阅读器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12. 振荡模式具有多种速度与时间自由组合，低/中/高等多种上下混匀速度，底部/中部/表面等多种混匀方式，具有磁珠预收集、干燥、暂停等多种动作设置，磁珠释放、吸附时间及模式可自由编辑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13. 试剂开放并兼容用户自定义实验方案，兼容进口及国产磁珠试剂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14. 内置紫外灯用于方便、有效的杀菌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bidi="ar"/>
              </w:rPr>
              <w:t>15. 提供原厂技术支持和售后服务，整机原装进口，具有CFDA国家级医疗器械备案</w:t>
            </w:r>
            <w:r>
              <w:rPr>
                <w:rStyle w:val="11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★</w:t>
            </w:r>
            <w:r>
              <w:rPr>
                <w:rStyle w:val="11"/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bidi="ar"/>
              </w:rPr>
              <w:t>16.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提供制造商或其指定的代理商出具的授权书、售后服务承诺书及参数确认表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。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二、配置清单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1.</w:t>
            </w:r>
            <w:r>
              <w:rPr>
                <w:rStyle w:val="12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全自动磁珠提取纯化系统 1台，6道磁头1个，12道磁头1个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2.</w:t>
            </w:r>
            <w:r>
              <w:rPr>
                <w:rStyle w:val="12"/>
                <w:rFonts w:hint="eastAsia" w:ascii="宋体" w:hAnsi="宋体" w:cs="宋体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11"/>
                <w:rFonts w:hint="default" w:ascii="宋体" w:hAnsi="宋体" w:eastAsia="宋体" w:cs="宋体"/>
                <w:color w:val="auto"/>
                <w:sz w:val="21"/>
                <w:szCs w:val="21"/>
                <w:lang w:bidi="ar"/>
              </w:rPr>
              <w:t>配套磁珠纯化软件 1套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是</w:t>
            </w:r>
          </w:p>
        </w:tc>
        <w:tc>
          <w:tcPr>
            <w:tcW w:w="6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光合作用分析仪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1.用途：主要用于研究植物光合作用，同时包括独特的闭路方式测量非常微弱的光合作用以及呼吸（植物、种子、微生物、昆虫和土壤等呼吸）、蒸腾等研究。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★2.测量方式：可选择开路和闭路两种测量方法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可选择测量单叶和群体的光合作用以及昆虫、种子、果品等的呼吸作用或一些微弱光合作用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3.测量参数：测量单叶或群体的净光合速率或呼吸速率、蒸腾速率、气孔导度、胞间CO2浓度及进出叶室的空气CO2浓度、相对湿度、空气温度、叶面温度、光合有效辐射（PAR）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★4.特殊测量功能：具有独特的快速连续光合测量功能(1秒钟测一组数据)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5.电源：7.2V，可连续使用4－6小时的充电锂电池，或使用交流适配器，6～12伏直流输入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★6.重量：不超过1.8kg(含叶室和锂电池)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7.体积：不超过50cm×6cm×5cm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8.CO2分析器：使用对震动不敏感型非扩散式红外CO2分析器，测量范围为0～2000ppm或0～3000ppm（可选配） ，分辨率0.1ppm，精确度 ±2％，相应时间 小于1s,气路反应时间：35s，耗电：2.5W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9.叶室温度：热电偶温度传感器，测量范围-15～50℃，精度±0.1℃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★10.叶面温度：红外非接触式表面温度传感器，测量范围-10～50℃，精度±0.3℃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11.空气湿度：不怕结露型湿敏电容，测量范围0-100%RH，在10%RH时，精确度在±2%，在90%时精确度为±3.5%。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12.PAR：使用带余玄校正滤光片的GaAsP光电池，响应光谱为400～700nm，测量范围为0～2500μmol/m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superscript"/>
              </w:rPr>
              <w:t>-2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/s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superscript"/>
              </w:rPr>
              <w:t>-1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，精度为5μmol/m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superscript"/>
              </w:rPr>
              <w:t>-2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/s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superscript"/>
              </w:rPr>
              <w:t>-1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superscript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13.空气流量计：电子流量计，气流速度100-1000cm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/min，精度：2%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14.基本配置：主机、叶室、PAR探头、红外叶温计、碱石灰管、硅胶管、可充电锂电池、电池充电器、USB数据线缆、说明书、便携式仪器箱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★15.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提供制造商或其指定的代理商出具的授权书、售后服务承诺书及参数确认表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850" w:type="dxa"/>
            <w:gridSpan w:val="6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1、表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中标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注“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”为重要参数，供应商响应参数时，存在不满足或负偏离的，将导致重大扣分。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 w:bidi="ar"/>
              </w:rPr>
              <w:t>2、本次采购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核心产品：光合作用分析仪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rPr>
          <w:rFonts w:hint="eastAsia" w:ascii="宋体" w:hAnsi="宋体" w:eastAsia="宋体" w:cs="宋体"/>
          <w:b/>
          <w:color w:val="auto"/>
          <w:kern w:val="0"/>
          <w:sz w:val="32"/>
        </w:rPr>
      </w:pPr>
    </w:p>
    <w:p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rPr>
          <w:rFonts w:hint="eastAsia" w:ascii="宋体" w:hAnsi="宋体" w:eastAsia="宋体" w:cs="宋体"/>
          <w:b/>
          <w:color w:val="auto"/>
          <w:kern w:val="0"/>
          <w:sz w:val="32"/>
        </w:rPr>
      </w:pPr>
    </w:p>
    <w:p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color w:val="auto"/>
          <w:kern w:val="0"/>
          <w:sz w:val="32"/>
        </w:rPr>
      </w:pPr>
    </w:p>
    <w:p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napToGrid w:val="0"/>
        <w:spacing w:line="300" w:lineRule="auto"/>
        <w:jc w:val="both"/>
        <w:rPr>
          <w:rFonts w:hint="eastAsia" w:ascii="宋体" w:hAnsi="宋体" w:eastAsia="宋体" w:cs="宋体"/>
          <w:b/>
          <w:color w:val="auto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403D751E"/>
    <w:rsid w:val="403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60" w:beforeLines="0" w:after="360" w:afterLines="0"/>
      <w:jc w:val="center"/>
      <w:textAlignment w:val="baseline"/>
      <w:outlineLvl w:val="0"/>
    </w:pPr>
    <w:rPr>
      <w:rFonts w:ascii="宋体" w:hAnsi="宋体"/>
      <w:b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99"/>
    <w:pPr>
      <w:autoSpaceDE w:val="0"/>
      <w:autoSpaceDN w:val="0"/>
      <w:spacing w:line="360" w:lineRule="auto"/>
      <w:ind w:left="181" w:firstLine="420"/>
    </w:pPr>
    <w:rPr>
      <w:sz w:val="24"/>
      <w:szCs w:val="20"/>
    </w:rPr>
  </w:style>
  <w:style w:type="paragraph" w:styleId="4">
    <w:name w:val="Block Text"/>
    <w:basedOn w:val="1"/>
    <w:uiPriority w:val="0"/>
    <w:pPr>
      <w:spacing w:after="120" w:afterLines="0"/>
      <w:ind w:left="1440" w:leftChars="700" w:right="1440" w:rightChars="700"/>
    </w:pPr>
  </w:style>
  <w:style w:type="paragraph" w:styleId="5">
    <w:name w:val="toc 1"/>
    <w:basedOn w:val="1"/>
    <w:next w:val="1"/>
    <w:uiPriority w:val="0"/>
    <w:pPr>
      <w:spacing w:before="120" w:beforeLines="0" w:after="120" w:afterLines="0"/>
      <w:jc w:val="left"/>
    </w:pPr>
    <w:rPr>
      <w:b/>
      <w:bCs/>
      <w:caps/>
    </w:rPr>
  </w:style>
  <w:style w:type="paragraph" w:styleId="6">
    <w:name w:val="Normal (Web)"/>
    <w:basedOn w:val="1"/>
    <w:next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9">
    <w:name w:val="样式"/>
    <w:basedOn w:val="1"/>
    <w:next w:val="4"/>
    <w:uiPriority w:val="0"/>
    <w:pPr>
      <w:ind w:left="572" w:right="32" w:firstLine="478"/>
    </w:pPr>
    <w:rPr>
      <w:szCs w:val="21"/>
    </w:rPr>
  </w:style>
  <w:style w:type="character" w:customStyle="1" w:styleId="10">
    <w:name w:val="font51"/>
    <w:qFormat/>
    <w:uiPriority w:val="0"/>
    <w:rPr>
      <w:rFonts w:hint="default"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">
    <w:name w:val="font01"/>
    <w:qFormat/>
    <w:uiPriority w:val="0"/>
    <w:rPr>
      <w:rFonts w:hint="eastAsia" w:ascii="楷体" w:hAnsi="楷体" w:eastAsia="楷体" w:cs="楷体"/>
      <w:color w:val="000000"/>
      <w:sz w:val="16"/>
      <w:szCs w:val="16"/>
      <w:u w:val="none"/>
    </w:rPr>
  </w:style>
  <w:style w:type="character" w:customStyle="1" w:styleId="12">
    <w:name w:val="font61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2022-06-29T08:23:00Z</dcterms:created>
  <dc:creator>ASUS</dc:creator>
  <cp:lastModifiedBy>ASUS</cp:lastModifiedBy>
  <dcterms:modified xsi:type="dcterms:W3CDTF">2022-06-29T08:24:05Z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D7C56479F5DD4902AAFB073FE4025C05</vt:lpwstr>
  </property>
</Properties>
</file>