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ascii="宋体" w:hAnsi="宋体" w:cs="宋体"/>
          <w:b/>
          <w:bCs/>
          <w:color w:val="auto"/>
          <w:kern w:val="0"/>
          <w:sz w:val="72"/>
          <w:szCs w:val="72"/>
          <w:highlight w:val="none"/>
          <w:lang w:val="en-GB"/>
        </w:rPr>
      </w:pPr>
    </w:p>
    <w:p>
      <w:pPr>
        <w:pStyle w:val="6"/>
        <w:spacing w:line="360" w:lineRule="auto"/>
        <w:ind w:firstLine="0" w:firstLineChars="0"/>
        <w:jc w:val="center"/>
        <w:rPr>
          <w:rFonts w:hint="eastAsia" w:ascii="宋体" w:hAnsi="宋体" w:cs="宋体"/>
          <w:b/>
          <w:bCs/>
          <w:color w:val="auto"/>
          <w:kern w:val="0"/>
          <w:sz w:val="56"/>
          <w:szCs w:val="72"/>
          <w:highlight w:val="none"/>
        </w:rPr>
      </w:pPr>
      <w:r>
        <w:rPr>
          <w:rFonts w:hint="eastAsia" w:ascii="宋体" w:hAnsi="宋体" w:cs="宋体"/>
          <w:b/>
          <w:bCs/>
          <w:color w:val="auto"/>
          <w:kern w:val="0"/>
          <w:sz w:val="56"/>
          <w:szCs w:val="72"/>
          <w:highlight w:val="none"/>
        </w:rPr>
        <w:t>荣山河水体2022年第三方达标运维服务项目</w:t>
      </w:r>
    </w:p>
    <w:p>
      <w:pPr>
        <w:pStyle w:val="6"/>
        <w:spacing w:line="360" w:lineRule="auto"/>
        <w:ind w:firstLine="0" w:firstLineChars="0"/>
        <w:jc w:val="center"/>
        <w:rPr>
          <w:rFonts w:hint="eastAsia" w:ascii="宋体" w:hAnsi="宋体" w:cs="宋体"/>
          <w:b/>
          <w:bCs/>
          <w:color w:val="auto"/>
          <w:kern w:val="0"/>
          <w:sz w:val="72"/>
          <w:szCs w:val="72"/>
          <w:highlight w:val="none"/>
        </w:rPr>
      </w:pPr>
    </w:p>
    <w:p>
      <w:pPr>
        <w:pStyle w:val="6"/>
        <w:spacing w:line="360" w:lineRule="auto"/>
        <w:ind w:firstLine="0" w:firstLineChars="0"/>
        <w:jc w:val="center"/>
        <w:rPr>
          <w:rFonts w:hint="eastAsia" w:ascii="宋体" w:hAnsi="宋体" w:cs="宋体"/>
          <w:b/>
          <w:bCs/>
          <w:color w:val="auto"/>
          <w:kern w:val="0"/>
          <w:sz w:val="72"/>
          <w:szCs w:val="72"/>
          <w:highlight w:val="none"/>
        </w:rPr>
      </w:pPr>
    </w:p>
    <w:p>
      <w:pPr>
        <w:pStyle w:val="6"/>
        <w:spacing w:line="360" w:lineRule="auto"/>
        <w:ind w:firstLine="0" w:firstLineChars="0"/>
        <w:jc w:val="center"/>
        <w:rPr>
          <w:rFonts w:hint="eastAsia" w:ascii="宋体" w:hAnsi="宋体" w:cs="宋体"/>
          <w:b/>
          <w:bCs/>
          <w:color w:val="auto"/>
          <w:kern w:val="0"/>
          <w:sz w:val="72"/>
          <w:szCs w:val="72"/>
          <w:highlight w:val="none"/>
        </w:rPr>
      </w:pPr>
    </w:p>
    <w:p>
      <w:pPr>
        <w:pStyle w:val="6"/>
        <w:spacing w:line="360" w:lineRule="auto"/>
        <w:ind w:firstLine="0" w:firstLineChars="0"/>
        <w:jc w:val="center"/>
        <w:rPr>
          <w:rFonts w:ascii="宋体" w:hAnsi="宋体" w:cs="宋体"/>
          <w:b/>
          <w:bCs/>
          <w:color w:val="auto"/>
          <w:kern w:val="0"/>
          <w:sz w:val="56"/>
          <w:szCs w:val="72"/>
          <w:highlight w:val="none"/>
          <w:lang w:val="en-GB"/>
        </w:rPr>
      </w:pPr>
      <w:r>
        <w:rPr>
          <w:rFonts w:hint="eastAsia" w:ascii="宋体" w:hAnsi="宋体" w:cs="宋体"/>
          <w:b/>
          <w:bCs/>
          <w:color w:val="auto"/>
          <w:kern w:val="0"/>
          <w:sz w:val="56"/>
          <w:szCs w:val="72"/>
          <w:highlight w:val="none"/>
        </w:rPr>
        <w:t>竞争性磋商</w:t>
      </w:r>
      <w:r>
        <w:rPr>
          <w:rFonts w:hint="eastAsia" w:ascii="宋体" w:hAnsi="宋体" w:cs="宋体"/>
          <w:b/>
          <w:bCs/>
          <w:color w:val="auto"/>
          <w:kern w:val="0"/>
          <w:sz w:val="56"/>
          <w:szCs w:val="72"/>
          <w:highlight w:val="none"/>
          <w:lang w:val="en-GB"/>
        </w:rPr>
        <w:t>文件</w:t>
      </w:r>
    </w:p>
    <w:p>
      <w:pPr>
        <w:pStyle w:val="6"/>
        <w:spacing w:line="360" w:lineRule="auto"/>
        <w:ind w:firstLine="0" w:firstLineChars="0"/>
        <w:rPr>
          <w:rFonts w:ascii="宋体" w:hAnsi="宋体" w:cs="宋体"/>
          <w:b/>
          <w:bCs/>
          <w:color w:val="auto"/>
          <w:kern w:val="0"/>
          <w:sz w:val="28"/>
          <w:szCs w:val="28"/>
          <w:highlight w:val="none"/>
          <w:lang w:val="en-GB"/>
        </w:rPr>
      </w:pPr>
    </w:p>
    <w:p>
      <w:pPr>
        <w:adjustRightInd w:val="0"/>
        <w:snapToGrid w:val="0"/>
        <w:spacing w:line="360" w:lineRule="auto"/>
        <w:rPr>
          <w:rStyle w:val="42"/>
          <w:rFonts w:ascii="宋体" w:hAnsi="宋体" w:cs="宋体"/>
          <w:b/>
          <w:color w:val="auto"/>
          <w:sz w:val="30"/>
          <w:szCs w:val="30"/>
          <w:highlight w:val="none"/>
        </w:rPr>
      </w:pPr>
    </w:p>
    <w:p>
      <w:pPr>
        <w:adjustRightInd w:val="0"/>
        <w:snapToGrid w:val="0"/>
        <w:spacing w:line="360" w:lineRule="auto"/>
        <w:ind w:firstLine="2409" w:firstLineChars="800"/>
        <w:rPr>
          <w:rStyle w:val="42"/>
          <w:rFonts w:hint="eastAsia" w:ascii="宋体" w:hAnsi="宋体" w:cs="宋体"/>
          <w:b/>
          <w:color w:val="auto"/>
          <w:sz w:val="30"/>
          <w:szCs w:val="30"/>
          <w:highlight w:val="none"/>
        </w:rPr>
      </w:pPr>
    </w:p>
    <w:p>
      <w:pPr>
        <w:adjustRightInd w:val="0"/>
        <w:snapToGrid w:val="0"/>
        <w:spacing w:line="360" w:lineRule="auto"/>
        <w:ind w:firstLine="1506" w:firstLineChars="500"/>
        <w:rPr>
          <w:rStyle w:val="42"/>
          <w:rFonts w:hint="eastAsia" w:ascii="宋体" w:hAnsi="宋体" w:cs="宋体"/>
          <w:b/>
          <w:color w:val="auto"/>
          <w:sz w:val="30"/>
          <w:szCs w:val="30"/>
          <w:highlight w:val="none"/>
        </w:rPr>
      </w:pPr>
      <w:r>
        <w:rPr>
          <w:rStyle w:val="42"/>
          <w:rFonts w:hint="eastAsia" w:ascii="宋体" w:hAnsi="宋体" w:cs="宋体"/>
          <w:b/>
          <w:color w:val="auto"/>
          <w:sz w:val="30"/>
          <w:szCs w:val="30"/>
          <w:highlight w:val="none"/>
        </w:rPr>
        <w:t>采购方式：竞争性磋商</w:t>
      </w:r>
    </w:p>
    <w:p>
      <w:pPr>
        <w:adjustRightInd w:val="0"/>
        <w:snapToGrid w:val="0"/>
        <w:spacing w:line="360" w:lineRule="auto"/>
        <w:ind w:firstLine="1506" w:firstLineChars="500"/>
        <w:rPr>
          <w:rStyle w:val="42"/>
          <w:rFonts w:hint="eastAsia" w:ascii="宋体" w:hAnsi="宋体" w:cs="宋体"/>
          <w:b/>
          <w:color w:val="auto"/>
          <w:sz w:val="30"/>
          <w:szCs w:val="30"/>
          <w:highlight w:val="none"/>
        </w:rPr>
      </w:pPr>
      <w:r>
        <w:rPr>
          <w:rStyle w:val="42"/>
          <w:rFonts w:hint="eastAsia" w:ascii="宋体" w:hAnsi="宋体" w:cs="宋体"/>
          <w:b/>
          <w:color w:val="auto"/>
          <w:sz w:val="30"/>
          <w:szCs w:val="30"/>
          <w:highlight w:val="none"/>
        </w:rPr>
        <w:t>项目编号：HNTS-2022-052</w:t>
      </w:r>
    </w:p>
    <w:p>
      <w:pPr>
        <w:adjustRightInd w:val="0"/>
        <w:snapToGrid w:val="0"/>
        <w:spacing w:line="360" w:lineRule="auto"/>
        <w:ind w:firstLine="1506" w:firstLineChars="500"/>
        <w:rPr>
          <w:rStyle w:val="42"/>
          <w:rFonts w:hint="eastAsia" w:ascii="宋体" w:hAnsi="宋体" w:cs="宋体"/>
          <w:b/>
          <w:color w:val="auto"/>
          <w:sz w:val="30"/>
          <w:szCs w:val="30"/>
          <w:highlight w:val="none"/>
        </w:rPr>
      </w:pPr>
      <w:r>
        <w:rPr>
          <w:rStyle w:val="42"/>
          <w:rFonts w:hint="eastAsia" w:ascii="宋体" w:hAnsi="宋体" w:cs="宋体"/>
          <w:b/>
          <w:color w:val="auto"/>
          <w:sz w:val="30"/>
          <w:szCs w:val="30"/>
          <w:highlight w:val="none"/>
        </w:rPr>
        <w:t>采购单位：海口市秀英区水务局</w:t>
      </w:r>
    </w:p>
    <w:p>
      <w:pPr>
        <w:adjustRightInd w:val="0"/>
        <w:snapToGrid w:val="0"/>
        <w:spacing w:line="360" w:lineRule="auto"/>
        <w:ind w:firstLine="1506" w:firstLineChars="500"/>
        <w:rPr>
          <w:rStyle w:val="42"/>
          <w:rFonts w:hint="eastAsia" w:ascii="宋体" w:hAnsi="宋体" w:cs="宋体"/>
          <w:b/>
          <w:color w:val="auto"/>
          <w:sz w:val="30"/>
          <w:szCs w:val="30"/>
          <w:highlight w:val="none"/>
        </w:rPr>
      </w:pPr>
      <w:r>
        <w:rPr>
          <w:rStyle w:val="42"/>
          <w:rFonts w:hint="eastAsia" w:ascii="宋体" w:hAnsi="宋体" w:cs="宋体"/>
          <w:b/>
          <w:color w:val="auto"/>
          <w:sz w:val="30"/>
          <w:szCs w:val="30"/>
          <w:highlight w:val="none"/>
        </w:rPr>
        <w:t>项目名称：荣山河水体2022年第三方达标运维服务项目</w:t>
      </w:r>
    </w:p>
    <w:p>
      <w:pPr>
        <w:adjustRightInd w:val="0"/>
        <w:snapToGrid w:val="0"/>
        <w:spacing w:line="360" w:lineRule="auto"/>
        <w:ind w:firstLine="2409" w:firstLineChars="800"/>
        <w:rPr>
          <w:rStyle w:val="42"/>
          <w:rFonts w:hint="eastAsia" w:ascii="宋体" w:hAnsi="宋体" w:cs="宋体"/>
          <w:b/>
          <w:color w:val="auto"/>
          <w:sz w:val="30"/>
          <w:szCs w:val="30"/>
          <w:highlight w:val="none"/>
        </w:rPr>
      </w:pPr>
    </w:p>
    <w:p>
      <w:pPr>
        <w:adjustRightInd w:val="0"/>
        <w:snapToGrid w:val="0"/>
        <w:spacing w:line="360" w:lineRule="auto"/>
        <w:ind w:firstLine="2409" w:firstLineChars="800"/>
        <w:rPr>
          <w:rStyle w:val="42"/>
          <w:rFonts w:hint="eastAsia" w:ascii="宋体" w:hAnsi="宋体" w:cs="宋体"/>
          <w:b/>
          <w:color w:val="auto"/>
          <w:sz w:val="30"/>
          <w:szCs w:val="30"/>
          <w:highlight w:val="none"/>
        </w:rPr>
      </w:pPr>
    </w:p>
    <w:p>
      <w:pPr>
        <w:adjustRightInd w:val="0"/>
        <w:snapToGrid w:val="0"/>
        <w:spacing w:line="360" w:lineRule="auto"/>
        <w:jc w:val="center"/>
        <w:rPr>
          <w:rStyle w:val="42"/>
          <w:rFonts w:hint="eastAsia" w:ascii="宋体" w:hAnsi="宋体" w:cs="宋体"/>
          <w:b/>
          <w:color w:val="auto"/>
          <w:sz w:val="30"/>
          <w:szCs w:val="30"/>
          <w:highlight w:val="none"/>
        </w:rPr>
      </w:pPr>
    </w:p>
    <w:p>
      <w:pPr>
        <w:adjustRightInd w:val="0"/>
        <w:snapToGrid w:val="0"/>
        <w:spacing w:line="360" w:lineRule="auto"/>
        <w:jc w:val="center"/>
        <w:rPr>
          <w:rStyle w:val="42"/>
          <w:rFonts w:hint="eastAsia" w:ascii="宋体" w:hAnsi="宋体" w:cs="宋体"/>
          <w:b/>
          <w:color w:val="auto"/>
          <w:sz w:val="30"/>
          <w:szCs w:val="30"/>
          <w:highlight w:val="none"/>
        </w:rPr>
      </w:pPr>
      <w:r>
        <w:rPr>
          <w:rStyle w:val="42"/>
          <w:rFonts w:hint="eastAsia" w:ascii="宋体" w:hAnsi="宋体" w:cs="宋体"/>
          <w:b/>
          <w:color w:val="auto"/>
          <w:sz w:val="30"/>
          <w:szCs w:val="30"/>
          <w:highlight w:val="none"/>
        </w:rPr>
        <w:t>海南通尚工程管理有限公司 编制</w:t>
      </w:r>
    </w:p>
    <w:p>
      <w:pPr>
        <w:adjustRightInd w:val="0"/>
        <w:snapToGrid w:val="0"/>
        <w:spacing w:line="360" w:lineRule="auto"/>
        <w:jc w:val="center"/>
        <w:rPr>
          <w:rStyle w:val="42"/>
          <w:rFonts w:hint="eastAsia" w:ascii="宋体" w:hAnsi="宋体" w:cs="宋体"/>
          <w:b/>
          <w:color w:val="auto"/>
          <w:sz w:val="30"/>
          <w:szCs w:val="30"/>
          <w:highlight w:val="none"/>
        </w:rPr>
      </w:pPr>
      <w:r>
        <w:rPr>
          <w:rStyle w:val="42"/>
          <w:rFonts w:hint="eastAsia" w:ascii="宋体" w:hAnsi="宋体" w:cs="宋体"/>
          <w:b/>
          <w:color w:val="auto"/>
          <w:sz w:val="30"/>
          <w:szCs w:val="30"/>
          <w:highlight w:val="none"/>
        </w:rPr>
        <w:t>2022年07月</w:t>
      </w:r>
    </w:p>
    <w:p>
      <w:pPr>
        <w:tabs>
          <w:tab w:val="left" w:leader="dot" w:pos="8400"/>
        </w:tabs>
        <w:spacing w:line="480" w:lineRule="exact"/>
        <w:jc w:val="center"/>
        <w:rPr>
          <w:rFonts w:ascii="宋体" w:hAnsi="宋体" w:cs="宋体"/>
          <w:b/>
          <w:color w:val="auto"/>
          <w:sz w:val="44"/>
          <w:szCs w:val="44"/>
          <w:highlight w:val="none"/>
        </w:rPr>
        <w:sectPr>
          <w:headerReference r:id="rId3" w:type="default"/>
          <w:headerReference r:id="rId4" w:type="even"/>
          <w:footerReference r:id="rId5" w:type="even"/>
          <w:pgSz w:w="11906" w:h="16838"/>
          <w:pgMar w:top="1134" w:right="1274" w:bottom="850" w:left="1417" w:header="907" w:footer="907" w:gutter="0"/>
          <w:pgNumType w:start="1"/>
          <w:cols w:space="708" w:num="1"/>
          <w:titlePg/>
          <w:docGrid w:type="lines" w:linePitch="312" w:charSpace="0"/>
        </w:sectPr>
      </w:pPr>
    </w:p>
    <w:p>
      <w:pPr>
        <w:jc w:val="center"/>
        <w:rPr>
          <w:rFonts w:ascii="宋体" w:hAnsi="宋体" w:cs="宋体"/>
          <w:color w:val="auto"/>
          <w:sz w:val="28"/>
          <w:szCs w:val="28"/>
          <w:highlight w:val="none"/>
        </w:rPr>
      </w:pPr>
      <w:r>
        <w:rPr>
          <w:rFonts w:hint="eastAsia" w:ascii="宋体" w:hAnsi="宋体" w:cs="宋体"/>
          <w:color w:val="auto"/>
          <w:sz w:val="28"/>
          <w:szCs w:val="28"/>
          <w:highlight w:val="none"/>
        </w:rPr>
        <w:t>目  录</w:t>
      </w:r>
    </w:p>
    <w:p>
      <w:pPr>
        <w:pStyle w:val="49"/>
        <w:tabs>
          <w:tab w:val="right" w:leader="dot" w:pos="8868"/>
        </w:tabs>
        <w:rPr>
          <w:rFonts w:ascii="宋体" w:hAnsi="宋体" w:cs="宋体"/>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"1-1" \h \u </w:instrText>
      </w:r>
      <w:r>
        <w:rPr>
          <w:rFonts w:hint="eastAsia" w:ascii="宋体" w:hAnsi="宋体" w:cs="宋体"/>
          <w:color w:val="auto"/>
          <w:sz w:val="28"/>
          <w:szCs w:val="28"/>
          <w:highlight w:val="none"/>
        </w:rPr>
        <w:fldChar w:fldCharType="separate"/>
      </w:r>
      <w:r>
        <w:fldChar w:fldCharType="begin"/>
      </w:r>
      <w:r>
        <w:instrText xml:space="preserve"> HYPERLINK \l "_Toc2915" </w:instrText>
      </w:r>
      <w:r>
        <w:fldChar w:fldCharType="separate"/>
      </w:r>
      <w:r>
        <w:rPr>
          <w:rFonts w:hint="eastAsia" w:ascii="宋体" w:hAnsi="宋体" w:cs="宋体"/>
          <w:color w:val="auto"/>
          <w:sz w:val="28"/>
          <w:szCs w:val="28"/>
          <w:highlight w:val="none"/>
        </w:rPr>
        <w:t>第一部分  竞争性磋商公告</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_Toc2915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1</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49"/>
        <w:tabs>
          <w:tab w:val="right" w:leader="dot" w:pos="8868"/>
        </w:tabs>
        <w:rPr>
          <w:rFonts w:ascii="宋体" w:hAnsi="宋体" w:cs="宋体"/>
          <w:color w:val="auto"/>
          <w:sz w:val="28"/>
          <w:szCs w:val="28"/>
          <w:highlight w:val="none"/>
        </w:rPr>
      </w:pPr>
      <w:r>
        <w:fldChar w:fldCharType="begin"/>
      </w:r>
      <w:r>
        <w:instrText xml:space="preserve"> HYPERLINK \l "_Toc9426" </w:instrText>
      </w:r>
      <w:r>
        <w:fldChar w:fldCharType="separate"/>
      </w:r>
      <w:r>
        <w:rPr>
          <w:rFonts w:hint="eastAsia" w:ascii="宋体" w:hAnsi="宋体" w:cs="宋体"/>
          <w:color w:val="auto"/>
          <w:sz w:val="28"/>
          <w:szCs w:val="28"/>
          <w:highlight w:val="none"/>
        </w:rPr>
        <w:t>第二部分  供应商须知</w:t>
      </w:r>
      <w:r>
        <w:rPr>
          <w:rFonts w:hint="eastAsia" w:ascii="宋体" w:hAnsi="宋体" w:cs="宋体"/>
          <w:color w:val="auto"/>
          <w:sz w:val="28"/>
          <w:szCs w:val="28"/>
          <w:highlight w:val="none"/>
        </w:rPr>
        <w:tab/>
      </w: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 PAGEREF _Toc9426 </w:instrText>
      </w:r>
      <w:r>
        <w:rPr>
          <w:rFonts w:hint="eastAsia" w:ascii="宋体" w:hAnsi="宋体" w:cs="宋体"/>
          <w:color w:val="auto"/>
          <w:sz w:val="28"/>
          <w:szCs w:val="28"/>
          <w:highlight w:val="none"/>
        </w:rPr>
        <w:fldChar w:fldCharType="separate"/>
      </w:r>
      <w:r>
        <w:rPr>
          <w:rFonts w:hint="eastAsia" w:ascii="宋体" w:hAnsi="宋体" w:cs="宋体"/>
          <w:color w:val="auto"/>
          <w:sz w:val="28"/>
          <w:szCs w:val="28"/>
          <w:highlight w:val="none"/>
        </w:rPr>
        <w:t>4</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fldChar w:fldCharType="end"/>
      </w:r>
    </w:p>
    <w:p>
      <w:pPr>
        <w:pStyle w:val="49"/>
        <w:tabs>
          <w:tab w:val="right" w:leader="dot" w:pos="8868"/>
        </w:tabs>
        <w:rPr>
          <w:rFonts w:hint="eastAsia" w:ascii="宋体" w:hAnsi="宋体" w:cs="宋体"/>
          <w:color w:val="auto"/>
          <w:sz w:val="28"/>
          <w:szCs w:val="28"/>
          <w:highlight w:val="none"/>
        </w:rPr>
      </w:pPr>
      <w:r>
        <w:fldChar w:fldCharType="begin"/>
      </w:r>
      <w:r>
        <w:instrText xml:space="preserve"> HYPERLINK \l "_Toc30648" </w:instrText>
      </w:r>
      <w:r>
        <w:fldChar w:fldCharType="separate"/>
      </w:r>
      <w:r>
        <w:rPr>
          <w:rFonts w:hint="eastAsia" w:ascii="宋体" w:hAnsi="宋体" w:cs="宋体"/>
          <w:color w:val="auto"/>
          <w:sz w:val="28"/>
          <w:szCs w:val="28"/>
          <w:highlight w:val="none"/>
        </w:rPr>
        <w:t>第三部分  合同文本</w:t>
      </w:r>
      <w:r>
        <w:rPr>
          <w:rFonts w:hint="eastAsia" w:ascii="宋体" w:hAnsi="宋体" w:cs="宋体"/>
          <w:color w:val="auto"/>
          <w:sz w:val="28"/>
          <w:szCs w:val="28"/>
          <w:highlight w:val="none"/>
        </w:rPr>
        <w:tab/>
      </w:r>
      <w:r>
        <w:rPr>
          <w:rFonts w:hint="eastAsia" w:ascii="宋体" w:hAnsi="宋体" w:cs="宋体"/>
          <w:color w:val="auto"/>
          <w:sz w:val="28"/>
          <w:szCs w:val="28"/>
          <w:highlight w:val="none"/>
        </w:rPr>
        <w:t>1</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9</w:t>
      </w:r>
    </w:p>
    <w:p>
      <w:pPr>
        <w:pStyle w:val="49"/>
        <w:tabs>
          <w:tab w:val="right" w:leader="dot" w:pos="8868"/>
        </w:tabs>
        <w:rPr>
          <w:rFonts w:hint="eastAsia" w:ascii="宋体" w:hAnsi="宋体" w:cs="宋体"/>
          <w:color w:val="auto"/>
          <w:sz w:val="28"/>
          <w:szCs w:val="28"/>
          <w:highlight w:val="none"/>
        </w:rPr>
      </w:pPr>
      <w:r>
        <w:fldChar w:fldCharType="begin"/>
      </w:r>
      <w:r>
        <w:instrText xml:space="preserve"> HYPERLINK \l "_Toc10838" </w:instrText>
      </w:r>
      <w:r>
        <w:fldChar w:fldCharType="separate"/>
      </w:r>
      <w:r>
        <w:rPr>
          <w:rFonts w:hint="eastAsia" w:ascii="宋体" w:hAnsi="宋体" w:cs="宋体"/>
          <w:color w:val="auto"/>
          <w:sz w:val="28"/>
          <w:szCs w:val="28"/>
          <w:highlight w:val="none"/>
        </w:rPr>
        <w:t>第四部分  响应文件格式</w:t>
      </w:r>
      <w:r>
        <w:rPr>
          <w:rFonts w:hint="eastAsia" w:ascii="宋体" w:hAnsi="宋体" w:cs="宋体"/>
          <w:color w:val="auto"/>
          <w:sz w:val="28"/>
          <w:szCs w:val="28"/>
          <w:highlight w:val="none"/>
        </w:rPr>
        <w:tab/>
      </w:r>
      <w:r>
        <w:rPr>
          <w:rFonts w:hint="eastAsia" w:ascii="宋体" w:hAnsi="宋体" w:cs="宋体"/>
          <w:color w:val="auto"/>
          <w:sz w:val="28"/>
          <w:szCs w:val="28"/>
          <w:highlight w:val="none"/>
        </w:rPr>
        <w:t>2</w:t>
      </w:r>
      <w:r>
        <w:rPr>
          <w:rFonts w:hint="eastAsia" w:ascii="宋体" w:hAnsi="宋体" w:cs="宋体"/>
          <w:color w:val="auto"/>
          <w:sz w:val="28"/>
          <w:szCs w:val="28"/>
          <w:highlight w:val="none"/>
        </w:rPr>
        <w:fldChar w:fldCharType="end"/>
      </w:r>
      <w:r>
        <w:rPr>
          <w:rFonts w:hint="eastAsia" w:ascii="宋体" w:hAnsi="宋体" w:cs="宋体"/>
          <w:color w:val="auto"/>
          <w:sz w:val="28"/>
          <w:szCs w:val="28"/>
          <w:highlight w:val="none"/>
        </w:rPr>
        <w:t>3</w:t>
      </w:r>
    </w:p>
    <w:p>
      <w:pPr>
        <w:pStyle w:val="49"/>
        <w:tabs>
          <w:tab w:val="right" w:leader="dot" w:pos="8868"/>
        </w:tabs>
        <w:rPr>
          <w:rFonts w:hint="eastAsia" w:ascii="宋体" w:hAnsi="宋体" w:cs="宋体"/>
          <w:color w:val="auto"/>
          <w:sz w:val="28"/>
          <w:szCs w:val="28"/>
          <w:highlight w:val="none"/>
        </w:rPr>
      </w:pPr>
      <w:r>
        <w:fldChar w:fldCharType="begin"/>
      </w:r>
      <w:r>
        <w:instrText xml:space="preserve"> HYPERLINK \l "_Toc23265" </w:instrText>
      </w:r>
      <w:r>
        <w:fldChar w:fldCharType="separate"/>
      </w:r>
      <w:r>
        <w:rPr>
          <w:rFonts w:hint="eastAsia" w:ascii="宋体" w:hAnsi="宋体" w:cs="宋体"/>
          <w:color w:val="auto"/>
          <w:sz w:val="28"/>
          <w:szCs w:val="28"/>
          <w:highlight w:val="none"/>
        </w:rPr>
        <w:t>第五部分  采购需求</w:t>
      </w:r>
      <w:r>
        <w:rPr>
          <w:rFonts w:hint="eastAsia" w:ascii="宋体" w:hAnsi="宋体" w:cs="宋体"/>
          <w:color w:val="auto"/>
          <w:sz w:val="28"/>
          <w:szCs w:val="28"/>
          <w:highlight w:val="none"/>
        </w:rPr>
        <w:tab/>
      </w:r>
      <w:r>
        <w:rPr>
          <w:rFonts w:hint="eastAsia" w:ascii="宋体" w:hAnsi="宋体" w:cs="宋体"/>
          <w:color w:val="auto"/>
          <w:sz w:val="28"/>
          <w:szCs w:val="28"/>
          <w:highlight w:val="none"/>
        </w:rPr>
        <w:t>46</w:t>
      </w:r>
      <w:r>
        <w:rPr>
          <w:rFonts w:hint="eastAsia" w:ascii="宋体" w:hAnsi="宋体" w:cs="宋体"/>
          <w:color w:val="auto"/>
          <w:sz w:val="28"/>
          <w:szCs w:val="28"/>
          <w:highlight w:val="none"/>
        </w:rPr>
        <w:fldChar w:fldCharType="end"/>
      </w:r>
    </w:p>
    <w:p>
      <w:pPr>
        <w:spacing w:before="312" w:beforeLines="100" w:after="312" w:afterLines="100"/>
        <w:rPr>
          <w:color w:val="auto"/>
          <w:highlight w:val="none"/>
        </w:rPr>
      </w:pPr>
      <w:r>
        <w:rPr>
          <w:rFonts w:hint="eastAsia" w:ascii="宋体" w:hAnsi="宋体" w:cs="宋体"/>
          <w:color w:val="auto"/>
          <w:sz w:val="28"/>
          <w:szCs w:val="28"/>
          <w:highlight w:val="none"/>
        </w:rPr>
        <w:fldChar w:fldCharType="end"/>
      </w:r>
    </w:p>
    <w:p>
      <w:pPr>
        <w:pStyle w:val="20"/>
        <w:ind w:firstLine="560"/>
        <w:rPr>
          <w:color w:val="auto"/>
          <w:highlight w:val="none"/>
        </w:rPr>
        <w:sectPr>
          <w:headerReference r:id="rId7" w:type="first"/>
          <w:footerReference r:id="rId9" w:type="first"/>
          <w:headerReference r:id="rId6" w:type="default"/>
          <w:footerReference r:id="rId8" w:type="default"/>
          <w:pgSz w:w="11906" w:h="16838"/>
          <w:pgMar w:top="1258" w:right="1519" w:bottom="1258" w:left="1519" w:header="907" w:footer="907" w:gutter="0"/>
          <w:cols w:space="708" w:num="1"/>
          <w:titlePg/>
          <w:docGrid w:type="lines" w:linePitch="312" w:charSpace="0"/>
        </w:sectPr>
      </w:pPr>
    </w:p>
    <w:p>
      <w:pPr>
        <w:spacing w:before="160" w:beforeLines="50" w:after="160" w:afterLines="50" w:line="360" w:lineRule="auto"/>
        <w:jc w:val="center"/>
        <w:outlineLvl w:val="0"/>
        <w:rPr>
          <w:rStyle w:val="42"/>
          <w:rFonts w:ascii="宋体" w:hAnsi="宋体" w:cs="宋体"/>
          <w:b/>
          <w:color w:val="auto"/>
          <w:sz w:val="44"/>
          <w:szCs w:val="44"/>
          <w:highlight w:val="none"/>
        </w:rPr>
      </w:pPr>
      <w:bookmarkStart w:id="0" w:name="_Toc433126975"/>
      <w:bookmarkStart w:id="1" w:name="_Toc2915"/>
      <w:r>
        <w:rPr>
          <w:rStyle w:val="42"/>
          <w:rFonts w:hint="eastAsia" w:ascii="宋体" w:hAnsi="宋体" w:cs="宋体"/>
          <w:b/>
          <w:color w:val="auto"/>
          <w:sz w:val="44"/>
          <w:szCs w:val="44"/>
          <w:highlight w:val="none"/>
        </w:rPr>
        <w:t>第一部分 竞争性磋商</w:t>
      </w:r>
      <w:bookmarkEnd w:id="0"/>
      <w:bookmarkEnd w:id="1"/>
      <w:r>
        <w:rPr>
          <w:rStyle w:val="42"/>
          <w:rFonts w:hint="eastAsia" w:ascii="宋体" w:hAnsi="宋体" w:cs="宋体"/>
          <w:b/>
          <w:color w:val="auto"/>
          <w:sz w:val="44"/>
          <w:szCs w:val="44"/>
          <w:highlight w:val="none"/>
        </w:rPr>
        <w:t>公告</w:t>
      </w:r>
      <w:bookmarkStart w:id="2" w:name="_Toc433126982"/>
    </w:p>
    <w:p>
      <w:pPr>
        <w:pStyle w:val="15"/>
        <w:rPr>
          <w:color w:val="auto"/>
          <w:highlight w:val="none"/>
        </w:rPr>
      </w:pPr>
    </w:p>
    <w:p>
      <w:pPr>
        <w:pBdr>
          <w:top w:val="single" w:color="auto" w:sz="4" w:space="1"/>
          <w:left w:val="single" w:color="auto" w:sz="4" w:space="4"/>
          <w:bottom w:val="single" w:color="auto" w:sz="4" w:space="1"/>
          <w:right w:val="single" w:color="auto" w:sz="4" w:space="4"/>
        </w:pBdr>
        <w:spacing w:line="360" w:lineRule="auto"/>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 xml:space="preserve"> 荣山河水体2022年第三方达标运维服务项目</w:t>
      </w:r>
      <w:r>
        <w:rPr>
          <w:rFonts w:hint="eastAsia" w:ascii="宋体" w:hAnsi="宋体" w:cs="宋体"/>
          <w:color w:val="auto"/>
          <w:sz w:val="24"/>
          <w:highlight w:val="none"/>
        </w:rPr>
        <w:t>采购项目的潜在供应商应在</w:t>
      </w:r>
      <w:r>
        <w:rPr>
          <w:rFonts w:hint="eastAsia" w:ascii="宋体" w:hAnsi="宋体" w:cs="宋体"/>
          <w:color w:val="auto"/>
          <w:sz w:val="24"/>
          <w:highlight w:val="none"/>
          <w:u w:val="single"/>
        </w:rPr>
        <w:t>海南省政府采购网(www.ccgp-hainan.gov.cn)-海南省政府采购电子化交易管理系统(新)</w:t>
      </w:r>
      <w:r>
        <w:rPr>
          <w:rFonts w:hint="eastAsia" w:ascii="宋体" w:hAnsi="宋体" w:cs="宋体"/>
          <w:color w:val="auto"/>
          <w:sz w:val="24"/>
          <w:highlight w:val="none"/>
        </w:rPr>
        <w:t>获取磋商文件，并于</w:t>
      </w:r>
      <w:r>
        <w:rPr>
          <w:rFonts w:hint="eastAsia" w:ascii="宋体" w:hAnsi="宋体" w:cs="宋体"/>
          <w:color w:val="auto"/>
          <w:sz w:val="24"/>
          <w:highlight w:val="none"/>
          <w:u w:val="single"/>
        </w:rPr>
        <w:t>2022</w:t>
      </w:r>
      <w:r>
        <w:rPr>
          <w:rFonts w:hint="eastAsia" w:ascii="宋体" w:hAnsi="宋体" w:cs="宋体"/>
          <w:bCs/>
          <w:color w:val="auto"/>
          <w:sz w:val="24"/>
          <w:highlight w:val="none"/>
          <w:u w:val="single"/>
        </w:rPr>
        <w:t>年07月25日09点00分</w:t>
      </w:r>
      <w:r>
        <w:rPr>
          <w:rFonts w:hint="eastAsia" w:ascii="宋体" w:hAnsi="宋体" w:cs="宋体"/>
          <w:bCs/>
          <w:color w:val="auto"/>
          <w:sz w:val="24"/>
          <w:highlight w:val="none"/>
        </w:rPr>
        <w:t>（北京时间）前提交响应文件</w:t>
      </w:r>
      <w:r>
        <w:rPr>
          <w:rFonts w:hint="eastAsia" w:ascii="宋体" w:hAnsi="宋体" w:cs="宋体"/>
          <w:color w:val="auto"/>
          <w:sz w:val="24"/>
          <w:highlight w:val="none"/>
        </w:rPr>
        <w:t>。</w:t>
      </w:r>
    </w:p>
    <w:p>
      <w:pPr>
        <w:pStyle w:val="4"/>
        <w:spacing w:line="240" w:lineRule="auto"/>
        <w:rPr>
          <w:rFonts w:ascii="宋体" w:hAnsi="宋体" w:eastAsia="宋体" w:cs="宋体"/>
          <w:bCs w:val="0"/>
          <w:color w:val="auto"/>
          <w:sz w:val="24"/>
          <w:szCs w:val="24"/>
          <w:highlight w:val="none"/>
        </w:rPr>
      </w:pPr>
      <w:bookmarkStart w:id="3" w:name="_Toc28359012"/>
      <w:bookmarkStart w:id="4" w:name="_Toc28359089"/>
      <w:bookmarkStart w:id="5" w:name="_Toc35393629"/>
      <w:bookmarkStart w:id="6" w:name="_Toc35393798"/>
      <w:r>
        <w:rPr>
          <w:rFonts w:hint="eastAsia" w:ascii="宋体" w:hAnsi="宋体" w:eastAsia="宋体" w:cs="宋体"/>
          <w:bCs w:val="0"/>
          <w:color w:val="auto"/>
          <w:sz w:val="24"/>
          <w:szCs w:val="24"/>
          <w:highlight w:val="none"/>
        </w:rPr>
        <w:t>一、项目基本情况</w:t>
      </w:r>
      <w:bookmarkEnd w:id="3"/>
      <w:bookmarkEnd w:id="4"/>
      <w:bookmarkEnd w:id="5"/>
      <w:bookmarkEnd w:id="6"/>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项目编号：HNTS-2022-052</w:t>
      </w:r>
    </w:p>
    <w:p>
      <w:pPr>
        <w:spacing w:line="360" w:lineRule="auto"/>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项目名称：荣山河水体2022年第三方达标运维服务项目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采购方式：竞争性磋商</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预算金额：233万元</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最高限价：233万元</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采购需求：具体内容详见竞争性磋商文件第五部分采购需求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服务期限：合同签订后一年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服务地点：秀英区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本项目不接受联合体投标</w:t>
      </w:r>
    </w:p>
    <w:p>
      <w:pPr>
        <w:pStyle w:val="4"/>
        <w:spacing w:line="240" w:lineRule="auto"/>
        <w:rPr>
          <w:rFonts w:hint="eastAsia" w:ascii="宋体" w:hAnsi="宋体" w:eastAsia="宋体" w:cs="宋体"/>
          <w:b w:val="0"/>
          <w:bCs w:val="0"/>
          <w:color w:val="auto"/>
          <w:sz w:val="24"/>
          <w:highlight w:val="none"/>
        </w:rPr>
      </w:pPr>
      <w:bookmarkStart w:id="7" w:name="_Toc35393630"/>
      <w:bookmarkStart w:id="8" w:name="_Toc28359090"/>
      <w:bookmarkStart w:id="9" w:name="_Toc35393799"/>
      <w:bookmarkStart w:id="10" w:name="_Toc28359013"/>
      <w:r>
        <w:rPr>
          <w:rFonts w:hint="eastAsia" w:ascii="宋体" w:hAnsi="宋体" w:eastAsia="宋体" w:cs="宋体"/>
          <w:color w:val="auto"/>
          <w:sz w:val="24"/>
          <w:highlight w:val="none"/>
        </w:rPr>
        <w:t>二、申请人的资格要求：</w:t>
      </w:r>
      <w:bookmarkEnd w:id="7"/>
      <w:bookmarkEnd w:id="8"/>
      <w:bookmarkEnd w:id="9"/>
      <w:bookmarkEnd w:id="1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spacing w:line="360" w:lineRule="auto"/>
        <w:ind w:firstLine="480" w:firstLineChars="200"/>
        <w:rPr>
          <w:rFonts w:ascii="宋体" w:hAnsi="宋体" w:cs="宋体"/>
          <w:color w:val="auto"/>
          <w:sz w:val="24"/>
          <w:highlight w:val="none"/>
        </w:rPr>
      </w:pPr>
      <w:bookmarkStart w:id="11" w:name="_Toc28359014"/>
      <w:bookmarkStart w:id="12" w:name="_Toc28359091"/>
      <w:r>
        <w:rPr>
          <w:rFonts w:hint="eastAsia" w:ascii="宋体" w:hAnsi="宋体" w:cs="宋体"/>
          <w:color w:val="auto"/>
          <w:sz w:val="24"/>
          <w:highlight w:val="none"/>
        </w:rPr>
        <w:t>2.落实政府采购政策需满足的资格要求：</w:t>
      </w:r>
      <w:r>
        <w:rPr>
          <w:rFonts w:hint="eastAsia" w:ascii="宋体" w:hAnsi="宋体" w:cs="宋体"/>
          <w:color w:val="auto"/>
          <w:sz w:val="24"/>
          <w:highlight w:val="none"/>
          <w:lang w:val="en-US" w:eastAsia="zh-CN"/>
        </w:rPr>
        <w:t>支持</w:t>
      </w:r>
      <w:r>
        <w:rPr>
          <w:rFonts w:hint="eastAsia" w:ascii="宋体" w:hAnsi="宋体" w:cs="宋体"/>
          <w:color w:val="auto"/>
          <w:sz w:val="24"/>
          <w:highlight w:val="none"/>
        </w:rPr>
        <w:t>《</w:t>
      </w:r>
      <w:r>
        <w:rPr>
          <w:rFonts w:hint="eastAsia" w:ascii="宋体" w:hAnsi="宋体" w:cs="宋体"/>
          <w:color w:val="auto"/>
          <w:kern w:val="0"/>
          <w:sz w:val="24"/>
          <w:highlight w:val="none"/>
          <w:lang w:bidi="ar"/>
        </w:rPr>
        <w:t>政府采购促进中小企业发展管理办法</w:t>
      </w:r>
      <w:r>
        <w:rPr>
          <w:rFonts w:hint="eastAsia" w:ascii="宋体" w:hAnsi="宋体" w:cs="宋体"/>
          <w:color w:val="auto"/>
          <w:sz w:val="24"/>
          <w:highlight w:val="none"/>
        </w:rPr>
        <w:t>》、《关于促进残疾人就业政府采购政策的通知》、《财政部司法部关于政府采购支持监狱企业发展有关问题的通知书》等政府采购优惠政策；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w:t>
      </w:r>
      <w:bookmarkStart w:id="13" w:name="_Toc35393631"/>
      <w:bookmarkStart w:id="14" w:name="_Toc35393800"/>
    </w:p>
    <w:p>
      <w:pPr>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r>
        <w:rPr>
          <w:rFonts w:hint="eastAsia" w:ascii="宋体" w:hAnsi="宋体" w:cs="宋体"/>
          <w:color w:val="auto"/>
          <w:sz w:val="24"/>
          <w:highlight w:val="none"/>
          <w:lang w:eastAsia="zh-CN"/>
        </w:rPr>
        <w:t>（</w:t>
      </w:r>
      <w:r>
        <w:rPr>
          <w:rFonts w:hint="eastAsia" w:ascii="宋体" w:hAnsi="宋体" w:cs="宋体"/>
          <w:color w:val="auto"/>
          <w:sz w:val="24"/>
          <w:highlight w:val="none"/>
        </w:rPr>
        <w:t>提供营业执照副本复印件、组织机构代码证副本复印件、税务登记证副本复印件或改革后的“三证合一”或“多证合一”营业执照复印件</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(2)具有良好的商业信誉和健全的财务会计制度（提供202</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年度经第三方审计的财务审计报告或本企业2021年</w:t>
      </w:r>
      <w:r>
        <w:rPr>
          <w:rFonts w:hint="eastAsia" w:ascii="宋体" w:hAnsi="宋体" w:cs="宋体"/>
          <w:color w:val="auto"/>
          <w:sz w:val="24"/>
          <w:highlight w:val="none"/>
          <w:lang w:val="en-US" w:eastAsia="zh-CN"/>
        </w:rPr>
        <w:t>1月至今</w:t>
      </w:r>
      <w:r>
        <w:rPr>
          <w:rFonts w:hint="eastAsia" w:ascii="宋体" w:hAnsi="宋体" w:cs="宋体"/>
          <w:color w:val="auto"/>
          <w:sz w:val="24"/>
          <w:highlight w:val="none"/>
        </w:rPr>
        <w:t>任意三个月财务报表（资产负债表、利润表、现金流量表）复印件加盖公章）；</w:t>
      </w:r>
    </w:p>
    <w:p>
      <w:pPr>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(3)具有依法缴纳社会保障资金的良好记录（提供2021年</w:t>
      </w:r>
      <w:r>
        <w:rPr>
          <w:rFonts w:hint="eastAsia" w:ascii="宋体" w:hAnsi="宋体" w:cs="宋体"/>
          <w:color w:val="auto"/>
          <w:sz w:val="24"/>
          <w:highlight w:val="none"/>
          <w:lang w:val="en-US" w:eastAsia="zh-CN"/>
        </w:rPr>
        <w:t>1月</w:t>
      </w:r>
      <w:r>
        <w:rPr>
          <w:rFonts w:hint="eastAsia" w:ascii="宋体" w:hAnsi="宋体" w:cs="宋体"/>
          <w:color w:val="auto"/>
          <w:sz w:val="24"/>
          <w:highlight w:val="none"/>
          <w:lang w:eastAsia="zh-CN"/>
        </w:rPr>
        <w:t>至今</w:t>
      </w:r>
      <w:r>
        <w:rPr>
          <w:rFonts w:hint="eastAsia" w:ascii="宋体" w:hAnsi="宋体" w:cs="宋体"/>
          <w:color w:val="auto"/>
          <w:sz w:val="24"/>
          <w:highlight w:val="none"/>
        </w:rPr>
        <w:t>任意三个月社会保障缴费记录复印件加盖公章）；</w:t>
      </w:r>
    </w:p>
    <w:p>
      <w:pPr>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(4)</w:t>
      </w:r>
      <w:r>
        <w:rPr>
          <w:rFonts w:hint="eastAsia"/>
          <w:color w:val="auto"/>
          <w:highlight w:val="none"/>
        </w:rPr>
        <w:t xml:space="preserve"> 具</w:t>
      </w:r>
      <w:r>
        <w:rPr>
          <w:rFonts w:hint="eastAsia" w:ascii="宋体" w:hAnsi="宋体" w:cs="宋体"/>
          <w:color w:val="auto"/>
          <w:sz w:val="24"/>
          <w:highlight w:val="none"/>
        </w:rPr>
        <w:t>有依法缴纳税收良好记录（提供2021年</w:t>
      </w:r>
      <w:r>
        <w:rPr>
          <w:rFonts w:hint="eastAsia" w:ascii="宋体" w:hAnsi="宋体" w:cs="宋体"/>
          <w:color w:val="auto"/>
          <w:sz w:val="24"/>
          <w:highlight w:val="none"/>
          <w:lang w:val="en-US" w:eastAsia="zh-CN"/>
        </w:rPr>
        <w:t>1月</w:t>
      </w:r>
      <w:r>
        <w:rPr>
          <w:rFonts w:hint="eastAsia" w:ascii="宋体" w:hAnsi="宋体" w:cs="宋体"/>
          <w:color w:val="auto"/>
          <w:sz w:val="24"/>
          <w:highlight w:val="none"/>
        </w:rPr>
        <w:t>至今任意三个月纳税记录复印件加盖公章）；</w:t>
      </w:r>
    </w:p>
    <w:p>
      <w:pPr>
        <w:spacing w:line="360" w:lineRule="auto"/>
        <w:ind w:left="210" w:leftChars="100" w:firstLine="480" w:firstLineChars="200"/>
        <w:rPr>
          <w:rFonts w:hint="eastAsia" w:ascii="宋体" w:hAnsi="宋体" w:cs="宋体"/>
          <w:color w:val="auto"/>
          <w:sz w:val="24"/>
          <w:highlight w:val="none"/>
        </w:rPr>
      </w:pPr>
      <w:r>
        <w:rPr>
          <w:rFonts w:hint="eastAsia" w:ascii="宋体" w:hAnsi="宋体" w:cs="宋体"/>
          <w:color w:val="auto"/>
          <w:sz w:val="24"/>
          <w:highlight w:val="none"/>
        </w:rPr>
        <w:t>(5)供应商必须为未被列入信用中国网站( www.creditchina.gov.cn )的“重大税收违法失信主体”“政府采购严重违法失信名单”和中国政府采购网( www.ccgp.gov.cn )的“政府采购严重违法失信行为记录名单”和中国执行信息公开网的“失信被执行人”的供应商（提供相关网页截图）；</w:t>
      </w:r>
    </w:p>
    <w:p>
      <w:pPr>
        <w:spacing w:line="360" w:lineRule="auto"/>
        <w:ind w:left="210" w:leftChars="100" w:firstLine="480" w:firstLineChars="200"/>
        <w:rPr>
          <w:rFonts w:hint="eastAsia" w:ascii="宋体" w:hAnsi="宋体" w:cs="宋体"/>
          <w:color w:val="auto"/>
          <w:sz w:val="24"/>
          <w:highlight w:val="none"/>
        </w:rPr>
      </w:pPr>
      <w:r>
        <w:rPr>
          <w:rFonts w:hint="eastAsia" w:ascii="宋体" w:hAnsi="宋体" w:cs="宋体"/>
          <w:color w:val="auto"/>
          <w:sz w:val="24"/>
          <w:highlight w:val="none"/>
        </w:rPr>
        <w:t>(6)提供参加本次政府采购活动前三年内（成立不足三年的从成立之日起算），在经营活动中没有重大违法记录的声明函（</w:t>
      </w:r>
      <w:r>
        <w:rPr>
          <w:rFonts w:hint="eastAsia" w:cs="Tahoma"/>
          <w:color w:val="auto"/>
          <w:sz w:val="24"/>
          <w:highlight w:val="none"/>
        </w:rPr>
        <w:t>提供声明函</w:t>
      </w:r>
      <w:r>
        <w:rPr>
          <w:rFonts w:hint="eastAsia" w:ascii="宋体" w:hAnsi="宋体" w:cs="宋体"/>
          <w:color w:val="auto"/>
          <w:sz w:val="24"/>
          <w:highlight w:val="none"/>
        </w:rPr>
        <w:t>）；</w:t>
      </w:r>
    </w:p>
    <w:p>
      <w:pPr>
        <w:pStyle w:val="9"/>
        <w:ind w:left="210" w:leftChars="100" w:firstLine="480"/>
        <w:rPr>
          <w:rFonts w:hint="eastAsia" w:eastAsia="宋体" w:cs="宋体"/>
          <w:color w:val="auto"/>
          <w:sz w:val="24"/>
          <w:highlight w:val="none"/>
          <w:lang w:eastAsia="zh-CN"/>
        </w:rPr>
      </w:pPr>
      <w:r>
        <w:rPr>
          <w:rFonts w:hint="eastAsia" w:cs="宋体"/>
          <w:color w:val="auto"/>
          <w:sz w:val="24"/>
          <w:highlight w:val="none"/>
        </w:rPr>
        <w:t>(7) 具有履行合同所必需的设备和专业技术能力（提供履约能力承诺函）</w:t>
      </w:r>
      <w:r>
        <w:rPr>
          <w:rFonts w:hint="eastAsia" w:cs="宋体"/>
          <w:color w:val="auto"/>
          <w:sz w:val="24"/>
          <w:highlight w:val="none"/>
          <w:lang w:eastAsia="zh-CN"/>
        </w:rPr>
        <w:t>；</w:t>
      </w:r>
    </w:p>
    <w:p>
      <w:pPr>
        <w:pStyle w:val="9"/>
        <w:ind w:left="210" w:leftChars="100" w:firstLine="480"/>
        <w:rPr>
          <w:rFonts w:hint="eastAsia" w:eastAsia="宋体"/>
          <w:color w:val="auto"/>
          <w:highlight w:val="none"/>
          <w:lang w:eastAsia="zh-CN"/>
        </w:rPr>
      </w:pPr>
      <w:r>
        <w:rPr>
          <w:rFonts w:hint="eastAsia" w:cs="宋体"/>
          <w:color w:val="auto"/>
          <w:sz w:val="24"/>
          <w:highlight w:val="none"/>
        </w:rPr>
        <w:t>(8)</w:t>
      </w:r>
      <w:r>
        <w:rPr>
          <w:rFonts w:hint="eastAsia" w:cs="Tahoma"/>
          <w:color w:val="auto"/>
          <w:sz w:val="24"/>
          <w:highlight w:val="none"/>
        </w:rPr>
        <w:t xml:space="preserve"> 具备法律、行政法规规定的其他条件（提供资格承诺函）</w:t>
      </w:r>
      <w:r>
        <w:rPr>
          <w:rFonts w:hint="eastAsia" w:cs="Tahoma"/>
          <w:color w:val="auto"/>
          <w:sz w:val="24"/>
          <w:highlight w:val="none"/>
          <w:lang w:eastAsia="zh-CN"/>
        </w:rPr>
        <w:t>；</w:t>
      </w:r>
    </w:p>
    <w:p>
      <w:pPr>
        <w:spacing w:line="360" w:lineRule="auto"/>
        <w:ind w:left="210" w:leftChars="100" w:firstLine="480" w:firstLineChars="200"/>
        <w:rPr>
          <w:rFonts w:hint="eastAsia" w:ascii="宋体" w:hAnsi="宋体" w:cs="宋体"/>
          <w:color w:val="auto"/>
          <w:sz w:val="24"/>
          <w:highlight w:val="none"/>
        </w:rPr>
      </w:pPr>
      <w:r>
        <w:rPr>
          <w:rFonts w:hint="eastAsia" w:ascii="宋体" w:hAnsi="宋体" w:cs="宋体"/>
          <w:color w:val="auto"/>
          <w:sz w:val="24"/>
          <w:highlight w:val="none"/>
        </w:rPr>
        <w:t>(9)须通过报名并购买磋商文件后，缴纳磋商保证金方可参加本项目的投标。</w:t>
      </w:r>
    </w:p>
    <w:p>
      <w:pPr>
        <w:pStyle w:val="4"/>
        <w:spacing w:line="240" w:lineRule="auto"/>
        <w:rPr>
          <w:rFonts w:hint="eastAsia" w:ascii="宋体" w:hAnsi="宋体" w:eastAsia="宋体" w:cs="宋体"/>
          <w:b w:val="0"/>
          <w:bCs w:val="0"/>
          <w:color w:val="auto"/>
          <w:sz w:val="24"/>
          <w:highlight w:val="none"/>
        </w:rPr>
      </w:pPr>
      <w:r>
        <w:rPr>
          <w:rFonts w:hint="eastAsia" w:ascii="宋体" w:hAnsi="宋体" w:eastAsia="宋体" w:cs="宋体"/>
          <w:color w:val="auto"/>
          <w:sz w:val="24"/>
          <w:highlight w:val="none"/>
        </w:rPr>
        <w:t>三、获取</w:t>
      </w:r>
      <w:bookmarkEnd w:id="11"/>
      <w:bookmarkEnd w:id="12"/>
      <w:bookmarkEnd w:id="13"/>
      <w:bookmarkEnd w:id="14"/>
      <w:r>
        <w:rPr>
          <w:rFonts w:hint="eastAsia" w:ascii="宋体" w:hAnsi="宋体" w:eastAsia="宋体" w:cs="宋体"/>
          <w:color w:val="auto"/>
          <w:sz w:val="24"/>
          <w:highlight w:val="none"/>
        </w:rPr>
        <w:t>磋商文件</w:t>
      </w:r>
    </w:p>
    <w:p>
      <w:pPr>
        <w:spacing w:line="360" w:lineRule="auto"/>
        <w:ind w:firstLine="540"/>
        <w:rPr>
          <w:rFonts w:ascii="宋体" w:hAnsi="宋体" w:cs="宋体"/>
          <w:color w:val="auto"/>
          <w:sz w:val="24"/>
          <w:highlight w:val="non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2022年07月13日</w:t>
      </w:r>
      <w:r>
        <w:rPr>
          <w:rFonts w:hint="eastAsia" w:ascii="宋体" w:hAnsi="宋体" w:cs="宋体"/>
          <w:color w:val="auto"/>
          <w:sz w:val="24"/>
          <w:highlight w:val="none"/>
        </w:rPr>
        <w:t>至</w:t>
      </w:r>
      <w:r>
        <w:rPr>
          <w:rFonts w:hint="eastAsia" w:ascii="宋体" w:hAnsi="宋体" w:cs="宋体"/>
          <w:color w:val="auto"/>
          <w:sz w:val="24"/>
          <w:highlight w:val="none"/>
          <w:u w:val="single"/>
        </w:rPr>
        <w:t>2022年07月20日</w:t>
      </w:r>
      <w:r>
        <w:rPr>
          <w:rFonts w:hint="eastAsia" w:ascii="宋体" w:hAnsi="宋体" w:cs="宋体"/>
          <w:color w:val="auto"/>
          <w:sz w:val="24"/>
          <w:highlight w:val="none"/>
        </w:rPr>
        <w:t>，每天上午 00:00 至 12:00 ， 下午 12:00 至 24:00（北京时间，法定节假日除外）</w:t>
      </w:r>
    </w:p>
    <w:p>
      <w:pPr>
        <w:spacing w:line="360" w:lineRule="auto"/>
        <w:ind w:firstLine="540"/>
        <w:rPr>
          <w:rFonts w:hint="eastAsia" w:ascii="宋体" w:hAnsi="宋体" w:cs="宋体"/>
          <w:color w:val="auto"/>
          <w:sz w:val="24"/>
          <w:highlight w:val="none"/>
        </w:rPr>
      </w:pPr>
      <w:r>
        <w:rPr>
          <w:rFonts w:hint="eastAsia" w:ascii="宋体" w:hAnsi="宋体" w:cs="宋体"/>
          <w:color w:val="auto"/>
          <w:sz w:val="24"/>
          <w:highlight w:val="none"/>
        </w:rPr>
        <w:t>地点：海南省政府采购网(www.ccgp-hainan.gov.cn)-海南省政府采购电子化交易管理系统(新)（在使用交易系统遇到问题可致电技术支持：0898-68546705）</w:t>
      </w:r>
      <w:r>
        <w:rPr>
          <w:rFonts w:hint="eastAsia" w:ascii="宋体" w:hAnsi="宋体" w:cs="宋体"/>
          <w:color w:val="auto"/>
          <w:sz w:val="24"/>
          <w:highlight w:val="none"/>
        </w:rPr>
        <w:tab/>
      </w:r>
    </w:p>
    <w:p>
      <w:pPr>
        <w:spacing w:line="360" w:lineRule="auto"/>
        <w:ind w:firstLine="540"/>
        <w:rPr>
          <w:rFonts w:hint="eastAsia" w:ascii="宋体" w:hAnsi="宋体" w:cs="宋体"/>
          <w:color w:val="auto"/>
          <w:sz w:val="24"/>
          <w:highlight w:val="none"/>
          <w:u w:val="single"/>
        </w:rPr>
      </w:pPr>
      <w:r>
        <w:rPr>
          <w:rFonts w:hint="eastAsia" w:ascii="宋体" w:hAnsi="宋体" w:cs="宋体"/>
          <w:color w:val="auto"/>
          <w:sz w:val="24"/>
          <w:highlight w:val="none"/>
        </w:rPr>
        <w:t>方式：网上下载。</w:t>
      </w:r>
    </w:p>
    <w:p>
      <w:pPr>
        <w:spacing w:line="360" w:lineRule="auto"/>
        <w:ind w:firstLine="540"/>
        <w:rPr>
          <w:rFonts w:hint="eastAsia" w:ascii="宋体" w:hAnsi="宋体" w:cs="宋体"/>
          <w:color w:val="auto"/>
          <w:sz w:val="24"/>
          <w:highlight w:val="none"/>
        </w:rPr>
      </w:pPr>
      <w:r>
        <w:rPr>
          <w:rFonts w:hint="eastAsia" w:ascii="宋体" w:hAnsi="宋体" w:cs="宋体"/>
          <w:color w:val="auto"/>
          <w:sz w:val="24"/>
          <w:highlight w:val="none"/>
        </w:rPr>
        <w:t>售价：</w:t>
      </w:r>
      <w:bookmarkStart w:id="15" w:name="_Toc35393801"/>
      <w:bookmarkStart w:id="16" w:name="_Toc28359092"/>
      <w:bookmarkStart w:id="17" w:name="_Toc28359015"/>
      <w:bookmarkStart w:id="18" w:name="_Toc35393632"/>
      <w:r>
        <w:rPr>
          <w:rFonts w:hint="eastAsia" w:ascii="宋体" w:hAnsi="宋体" w:cs="宋体"/>
          <w:color w:val="auto"/>
          <w:sz w:val="24"/>
          <w:highlight w:val="none"/>
        </w:rPr>
        <w:t>0元</w:t>
      </w:r>
    </w:p>
    <w:p>
      <w:pPr>
        <w:pStyle w:val="4"/>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四、响应文件提交</w:t>
      </w:r>
      <w:bookmarkEnd w:id="15"/>
      <w:bookmarkEnd w:id="16"/>
      <w:bookmarkEnd w:id="17"/>
      <w:bookmarkEnd w:id="18"/>
    </w:p>
    <w:p>
      <w:pPr>
        <w:spacing w:line="360" w:lineRule="auto"/>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截止时间：</w:t>
      </w:r>
      <w:r>
        <w:rPr>
          <w:rFonts w:hint="eastAsia" w:ascii="宋体" w:hAnsi="宋体" w:cs="宋体"/>
          <w:color w:val="auto"/>
          <w:sz w:val="24"/>
          <w:highlight w:val="none"/>
          <w:u w:val="single"/>
        </w:rPr>
        <w:t>2022</w:t>
      </w:r>
      <w:r>
        <w:rPr>
          <w:rFonts w:hint="eastAsia" w:ascii="宋体" w:hAnsi="宋体" w:cs="宋体"/>
          <w:bCs/>
          <w:color w:val="auto"/>
          <w:sz w:val="24"/>
          <w:highlight w:val="none"/>
          <w:u w:val="single"/>
        </w:rPr>
        <w:t>年07月25日9点00分</w:t>
      </w:r>
      <w:r>
        <w:rPr>
          <w:rFonts w:hint="eastAsia" w:ascii="宋体" w:hAnsi="宋体" w:cs="宋体"/>
          <w:bCs/>
          <w:color w:val="auto"/>
          <w:sz w:val="24"/>
          <w:highlight w:val="none"/>
        </w:rPr>
        <w:t>（北京时间）</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地点：</w:t>
      </w:r>
      <w:bookmarkStart w:id="19" w:name="_Toc35393633"/>
      <w:bookmarkStart w:id="20" w:name="_Toc35393802"/>
      <w:bookmarkStart w:id="21" w:name="_Toc28359016"/>
      <w:bookmarkStart w:id="22" w:name="_Toc28359093"/>
      <w:r>
        <w:rPr>
          <w:rFonts w:hint="eastAsia" w:ascii="宋体" w:hAnsi="宋体" w:cs="宋体"/>
          <w:color w:val="auto"/>
          <w:sz w:val="24"/>
          <w:highlight w:val="none"/>
        </w:rPr>
        <w:t>海口市海秀东路74号鸿泰大厦14层开标3室</w:t>
      </w:r>
    </w:p>
    <w:p>
      <w:pPr>
        <w:pStyle w:val="4"/>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五、开启</w:t>
      </w:r>
      <w:bookmarkEnd w:id="19"/>
      <w:bookmarkEnd w:id="20"/>
      <w:bookmarkEnd w:id="21"/>
      <w:bookmarkEnd w:id="22"/>
    </w:p>
    <w:p>
      <w:pPr>
        <w:spacing w:line="360" w:lineRule="auto"/>
        <w:ind w:firstLine="480" w:firstLineChars="200"/>
        <w:rPr>
          <w:rFonts w:ascii="宋体" w:hAnsi="宋体" w:cs="宋体"/>
          <w:bCs/>
          <w:color w:val="auto"/>
          <w:sz w:val="24"/>
          <w:highlight w:val="none"/>
          <w:u w:val="single"/>
        </w:rPr>
      </w:pPr>
      <w:r>
        <w:rPr>
          <w:rFonts w:hint="eastAsia" w:ascii="宋体" w:hAnsi="宋体" w:cs="宋体"/>
          <w:color w:val="auto"/>
          <w:sz w:val="24"/>
          <w:highlight w:val="none"/>
        </w:rPr>
        <w:t>时间：</w:t>
      </w:r>
      <w:r>
        <w:rPr>
          <w:rFonts w:hint="eastAsia" w:ascii="宋体" w:hAnsi="宋体" w:cs="宋体"/>
          <w:color w:val="auto"/>
          <w:sz w:val="24"/>
          <w:highlight w:val="none"/>
          <w:u w:val="single"/>
        </w:rPr>
        <w:t>2022</w:t>
      </w:r>
      <w:r>
        <w:rPr>
          <w:rFonts w:hint="eastAsia" w:ascii="宋体" w:hAnsi="宋体" w:cs="宋体"/>
          <w:bCs/>
          <w:color w:val="auto"/>
          <w:sz w:val="24"/>
          <w:highlight w:val="none"/>
          <w:u w:val="single"/>
        </w:rPr>
        <w:t>年07月25日9点00分</w:t>
      </w:r>
      <w:r>
        <w:rPr>
          <w:rFonts w:hint="eastAsia" w:ascii="宋体" w:hAnsi="宋体" w:cs="宋体"/>
          <w:bCs/>
          <w:color w:val="auto"/>
          <w:sz w:val="24"/>
          <w:highlight w:val="none"/>
        </w:rPr>
        <w:t>（北京时间）</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地点：</w:t>
      </w:r>
      <w:bookmarkStart w:id="23" w:name="_Toc28359017"/>
      <w:bookmarkStart w:id="24" w:name="_Toc35393803"/>
      <w:bookmarkStart w:id="25" w:name="_Toc35393634"/>
      <w:bookmarkStart w:id="26" w:name="_Toc28359094"/>
      <w:r>
        <w:rPr>
          <w:rFonts w:hint="eastAsia" w:ascii="宋体" w:hAnsi="宋体" w:cs="宋体"/>
          <w:color w:val="auto"/>
          <w:sz w:val="24"/>
          <w:highlight w:val="none"/>
        </w:rPr>
        <w:t>海口市海秀东路74号鸿泰大厦14层开标3室</w:t>
      </w:r>
    </w:p>
    <w:p>
      <w:pPr>
        <w:pStyle w:val="4"/>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六、公告期限</w:t>
      </w:r>
      <w:bookmarkEnd w:id="23"/>
      <w:bookmarkEnd w:id="24"/>
      <w:bookmarkEnd w:id="25"/>
      <w:bookmarkEnd w:id="26"/>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自本公告发布之日起3个工作日。</w:t>
      </w:r>
      <w:bookmarkStart w:id="27" w:name="_Toc35393635"/>
      <w:bookmarkStart w:id="28" w:name="_Toc35393804"/>
    </w:p>
    <w:p>
      <w:pPr>
        <w:pStyle w:val="4"/>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七、其他补充事宜</w:t>
      </w:r>
      <w:bookmarkEnd w:id="27"/>
      <w:bookmarkEnd w:id="28"/>
      <w:bookmarkStart w:id="29" w:name="_Toc28359018"/>
      <w:bookmarkStart w:id="30" w:name="_Toc35393636"/>
      <w:bookmarkStart w:id="31" w:name="_Toc35393805"/>
      <w:bookmarkStart w:id="32" w:name="_Toc28359095"/>
    </w:p>
    <w:p>
      <w:pPr>
        <w:spacing w:line="360" w:lineRule="auto"/>
        <w:jc w:val="left"/>
        <w:rPr>
          <w:rFonts w:hint="eastAsia" w:ascii="宋体" w:hAnsi="宋体" w:cs="宋体"/>
          <w:color w:val="auto"/>
          <w:kern w:val="0"/>
          <w:sz w:val="24"/>
          <w:highlight w:val="none"/>
        </w:rPr>
      </w:pPr>
      <w:r>
        <w:rPr>
          <w:rFonts w:hint="eastAsia" w:ascii="宋体" w:hAnsi="宋体" w:cs="宋体"/>
          <w:color w:val="auto"/>
          <w:kern w:val="0"/>
          <w:sz w:val="24"/>
          <w:highlight w:val="none"/>
        </w:rPr>
        <w:t>（1）网上注册报名：供应商须在海南省政府采购网(https://www.ccgp-hainan.gov.cn/zhuzhan/)中的海南省政府采购电子化交易管理系统平台进行注册通过。本项目采用电子辅助操作，供应商应详细阅读海南政府采购网的通知《关于实施政府采购电子化交易管理系统试点应用工作的通知》，供应商使用交易系统遇到问题可致电技术支持：0898-68546705）。</w:t>
      </w:r>
    </w:p>
    <w:p>
      <w:pPr>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公告发布媒介：《海南省政府采购网》，有关本项目竞争性磋商文件的补遗、澄清及变更信息以上述网站公告为准，采购代理机构不再另行通知，竞争性磋商文件与更正公告的内容相互矛盾时，以最后发出的更正公告内容为准。</w:t>
      </w:r>
    </w:p>
    <w:p>
      <w:pPr>
        <w:pStyle w:val="4"/>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八、凡对本次采购提出询问，请按以下方式联系</w:t>
      </w:r>
      <w:bookmarkEnd w:id="29"/>
      <w:bookmarkEnd w:id="30"/>
      <w:bookmarkEnd w:id="31"/>
      <w:bookmarkEnd w:id="32"/>
      <w:bookmarkStart w:id="33" w:name="_Toc35393637"/>
      <w:bookmarkStart w:id="34" w:name="_Toc28359096"/>
      <w:bookmarkStart w:id="35" w:name="_Toc35393806"/>
      <w:bookmarkStart w:id="36" w:name="_Toc28359019"/>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1.采购人信息</w:t>
      </w:r>
      <w:bookmarkEnd w:id="33"/>
      <w:bookmarkEnd w:id="34"/>
      <w:bookmarkEnd w:id="35"/>
      <w:bookmarkEnd w:id="36"/>
    </w:p>
    <w:p>
      <w:pPr>
        <w:spacing w:line="360" w:lineRule="auto"/>
        <w:ind w:left="1079" w:leftChars="371" w:hanging="300" w:hangingChars="125"/>
        <w:jc w:val="left"/>
        <w:rPr>
          <w:rFonts w:hint="eastAsia" w:ascii="宋体" w:hAnsi="宋体" w:cs="宋体"/>
          <w:color w:val="auto"/>
          <w:sz w:val="24"/>
          <w:highlight w:val="none"/>
        </w:rPr>
      </w:pPr>
      <w:r>
        <w:rPr>
          <w:rFonts w:hint="eastAsia" w:ascii="宋体" w:hAnsi="宋体" w:cs="宋体"/>
          <w:color w:val="auto"/>
          <w:sz w:val="24"/>
          <w:highlight w:val="none"/>
        </w:rPr>
        <w:t xml:space="preserve">名 称: 海口市秀英区水务局 </w:t>
      </w:r>
      <w:r>
        <w:rPr>
          <w:rFonts w:hint="eastAsia" w:ascii="宋体" w:hAnsi="宋体" w:cs="宋体"/>
          <w:color w:val="auto"/>
          <w:sz w:val="24"/>
          <w:highlight w:val="none"/>
        </w:rPr>
        <w:tab/>
      </w:r>
      <w:r>
        <w:rPr>
          <w:rFonts w:hint="eastAsia" w:ascii="宋体" w:hAnsi="宋体" w:cs="宋体"/>
          <w:color w:val="auto"/>
          <w:sz w:val="24"/>
          <w:highlight w:val="none"/>
        </w:rPr>
        <w:tab/>
      </w:r>
    </w:p>
    <w:p>
      <w:pPr>
        <w:spacing w:line="360" w:lineRule="auto"/>
        <w:ind w:left="1079" w:leftChars="371" w:hanging="300" w:hangingChars="125"/>
        <w:jc w:val="left"/>
        <w:rPr>
          <w:rFonts w:hint="eastAsia" w:ascii="宋体" w:hAnsi="宋体" w:cs="宋体"/>
          <w:color w:val="auto"/>
          <w:sz w:val="24"/>
          <w:highlight w:val="none"/>
        </w:rPr>
      </w:pPr>
      <w:r>
        <w:rPr>
          <w:rFonts w:hint="eastAsia" w:ascii="宋体" w:hAnsi="宋体" w:cs="宋体"/>
          <w:color w:val="auto"/>
          <w:sz w:val="24"/>
          <w:highlight w:val="none"/>
        </w:rPr>
        <w:t xml:space="preserve">地 址：海口市秀英区水务局 </w:t>
      </w:r>
    </w:p>
    <w:p>
      <w:pPr>
        <w:spacing w:line="360" w:lineRule="auto"/>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联系方式：</w:t>
      </w:r>
      <w:bookmarkStart w:id="37" w:name="_Toc28359097"/>
      <w:bookmarkStart w:id="38" w:name="_Toc35393807"/>
      <w:bookmarkStart w:id="39" w:name="_Toc28359020"/>
      <w:bookmarkStart w:id="40" w:name="_Toc35393638"/>
      <w:r>
        <w:rPr>
          <w:rFonts w:hint="eastAsia" w:ascii="宋体" w:hAnsi="宋体" w:cs="宋体"/>
          <w:color w:val="auto"/>
          <w:sz w:val="24"/>
          <w:highlight w:val="none"/>
        </w:rPr>
        <w:t>0898-68661578</w:t>
      </w:r>
    </w:p>
    <w:p>
      <w:pPr>
        <w:spacing w:line="360" w:lineRule="auto"/>
        <w:ind w:left="1079" w:leftChars="371" w:hanging="300" w:hangingChars="125"/>
        <w:jc w:val="left"/>
        <w:rPr>
          <w:rFonts w:ascii="宋体" w:hAnsi="宋体" w:cs="宋体"/>
          <w:color w:val="auto"/>
          <w:sz w:val="24"/>
          <w:highlight w:val="none"/>
        </w:rPr>
      </w:pPr>
      <w:r>
        <w:rPr>
          <w:rFonts w:hint="eastAsia" w:ascii="宋体" w:hAnsi="宋体" w:cs="宋体"/>
          <w:color w:val="auto"/>
          <w:sz w:val="24"/>
          <w:highlight w:val="none"/>
        </w:rPr>
        <w:t>2.采购代理机构信息</w:t>
      </w:r>
      <w:bookmarkEnd w:id="37"/>
      <w:bookmarkEnd w:id="38"/>
      <w:bookmarkEnd w:id="39"/>
      <w:bookmarkEnd w:id="40"/>
    </w:p>
    <w:p>
      <w:pPr>
        <w:spacing w:line="360" w:lineRule="auto"/>
        <w:ind w:firstLine="720" w:firstLineChars="300"/>
        <w:rPr>
          <w:rFonts w:hint="eastAsia" w:ascii="宋体" w:hAnsi="宋体" w:cs="宋体"/>
          <w:color w:val="auto"/>
          <w:sz w:val="24"/>
          <w:highlight w:val="none"/>
        </w:rPr>
      </w:pPr>
      <w:r>
        <w:rPr>
          <w:rFonts w:hint="eastAsia" w:ascii="宋体" w:hAnsi="宋体" w:cs="宋体"/>
          <w:color w:val="auto"/>
          <w:sz w:val="24"/>
          <w:highlight w:val="none"/>
        </w:rPr>
        <w:t>名    称：海南通尚工程管理有限公司</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地    址：海口市琼山区国兴大道海航豪庭南苑一区7栋1602室</w:t>
      </w:r>
    </w:p>
    <w:p>
      <w:pPr>
        <w:spacing w:line="360" w:lineRule="auto"/>
        <w:ind w:firstLine="720" w:firstLineChars="300"/>
        <w:rPr>
          <w:rFonts w:hint="eastAsia" w:ascii="宋体" w:hAnsi="宋体" w:cs="宋体"/>
          <w:color w:val="auto"/>
          <w:sz w:val="24"/>
          <w:highlight w:val="none"/>
        </w:rPr>
      </w:pPr>
      <w:r>
        <w:rPr>
          <w:rFonts w:hint="eastAsia" w:ascii="宋体" w:hAnsi="宋体" w:cs="宋体"/>
          <w:color w:val="auto"/>
          <w:sz w:val="24"/>
          <w:highlight w:val="none"/>
        </w:rPr>
        <w:t>联系方式：</w:t>
      </w:r>
      <w:bookmarkStart w:id="41" w:name="_Toc35393808"/>
      <w:bookmarkStart w:id="42" w:name="_Toc35393639"/>
      <w:bookmarkStart w:id="43" w:name="_Toc28359021"/>
      <w:bookmarkStart w:id="44" w:name="_Toc28359098"/>
      <w:r>
        <w:rPr>
          <w:rFonts w:hint="eastAsia" w:ascii="宋体" w:hAnsi="宋体" w:cs="宋体"/>
          <w:color w:val="auto"/>
          <w:sz w:val="24"/>
          <w:highlight w:val="none"/>
        </w:rPr>
        <w:t>0898-65881061</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3.项目联系方式</w:t>
      </w:r>
      <w:bookmarkEnd w:id="41"/>
      <w:bookmarkEnd w:id="42"/>
      <w:bookmarkEnd w:id="43"/>
      <w:bookmarkEnd w:id="44"/>
    </w:p>
    <w:p>
      <w:pPr>
        <w:spacing w:line="360" w:lineRule="auto"/>
        <w:ind w:firstLine="720" w:firstLineChars="300"/>
        <w:rPr>
          <w:rFonts w:hint="eastAsia" w:ascii="宋体" w:hAnsi="宋体" w:cs="宋体"/>
          <w:color w:val="auto"/>
          <w:sz w:val="24"/>
          <w:highlight w:val="none"/>
        </w:rPr>
      </w:pPr>
      <w:r>
        <w:rPr>
          <w:rFonts w:hint="eastAsia" w:ascii="宋体" w:hAnsi="宋体" w:cs="宋体"/>
          <w:color w:val="auto"/>
          <w:sz w:val="24"/>
          <w:highlight w:val="none"/>
        </w:rPr>
        <w:t>项目联系人：邹工</w:t>
      </w:r>
    </w:p>
    <w:p>
      <w:pPr>
        <w:spacing w:line="360" w:lineRule="auto"/>
        <w:ind w:firstLine="720" w:firstLineChars="300"/>
        <w:rPr>
          <w:rFonts w:ascii="宋体" w:hAnsi="宋体" w:cs="宋体"/>
          <w:color w:val="auto"/>
          <w:sz w:val="24"/>
          <w:highlight w:val="none"/>
        </w:rPr>
      </w:pPr>
      <w:r>
        <w:rPr>
          <w:rFonts w:hint="eastAsia" w:ascii="宋体" w:hAnsi="宋体" w:cs="宋体"/>
          <w:color w:val="auto"/>
          <w:sz w:val="24"/>
          <w:highlight w:val="none"/>
        </w:rPr>
        <w:t>电   话：0898-65881061</w:t>
      </w:r>
    </w:p>
    <w:p>
      <w:pPr>
        <w:widowControl/>
        <w:jc w:val="left"/>
        <w:rPr>
          <w:rFonts w:ascii="宋体" w:hAnsi="宋体" w:cs="宋体"/>
          <w:b/>
          <w:color w:val="auto"/>
          <w:sz w:val="44"/>
          <w:szCs w:val="44"/>
          <w:highlight w:val="none"/>
        </w:rPr>
      </w:pPr>
      <w:bookmarkStart w:id="45" w:name="_Toc9426"/>
    </w:p>
    <w:p>
      <w:pPr>
        <w:spacing w:before="160" w:beforeLines="50" w:after="160" w:afterLines="50" w:line="360" w:lineRule="auto"/>
        <w:jc w:val="center"/>
        <w:outlineLvl w:val="0"/>
        <w:rPr>
          <w:rFonts w:ascii="宋体" w:hAnsi="宋体" w:cs="宋体"/>
          <w:b/>
          <w:color w:val="auto"/>
          <w:sz w:val="30"/>
          <w:szCs w:val="30"/>
          <w:highlight w:val="none"/>
        </w:rPr>
      </w:pPr>
      <w:r>
        <w:rPr>
          <w:rFonts w:hint="eastAsia" w:ascii="宋体" w:hAnsi="宋体" w:cs="宋体"/>
          <w:b/>
          <w:color w:val="auto"/>
          <w:sz w:val="44"/>
          <w:szCs w:val="44"/>
          <w:highlight w:val="none"/>
        </w:rPr>
        <w:br w:type="page"/>
      </w:r>
      <w:r>
        <w:rPr>
          <w:rFonts w:hint="eastAsia" w:ascii="宋体" w:hAnsi="宋体" w:cs="宋体"/>
          <w:b/>
          <w:color w:val="auto"/>
          <w:sz w:val="44"/>
          <w:szCs w:val="44"/>
          <w:highlight w:val="none"/>
        </w:rPr>
        <w:t>第二部分  供应商须知</w:t>
      </w:r>
      <w:bookmarkEnd w:id="2"/>
      <w:bookmarkEnd w:id="45"/>
    </w:p>
    <w:p>
      <w:pPr>
        <w:spacing w:before="160" w:beforeLines="50" w:after="160" w:afterLines="50" w:line="440" w:lineRule="exact"/>
        <w:outlineLvl w:val="0"/>
        <w:rPr>
          <w:rFonts w:ascii="宋体" w:hAnsi="宋体" w:cs="宋体"/>
          <w:b/>
          <w:color w:val="auto"/>
          <w:sz w:val="28"/>
          <w:szCs w:val="28"/>
          <w:highlight w:val="none"/>
        </w:rPr>
      </w:pPr>
      <w:bookmarkStart w:id="46" w:name="_Toc433126983"/>
      <w:bookmarkStart w:id="47" w:name="_Toc3884"/>
      <w:r>
        <w:rPr>
          <w:rFonts w:hint="eastAsia" w:ascii="宋体" w:hAnsi="宋体" w:cs="宋体"/>
          <w:b/>
          <w:color w:val="auto"/>
          <w:sz w:val="28"/>
          <w:szCs w:val="28"/>
          <w:highlight w:val="none"/>
        </w:rPr>
        <w:t>（一）总则</w:t>
      </w:r>
      <w:bookmarkEnd w:id="46"/>
      <w:bookmarkEnd w:id="47"/>
    </w:p>
    <w:p>
      <w:pPr>
        <w:spacing w:line="440" w:lineRule="exact"/>
        <w:ind w:firstLine="482" w:firstLineChars="200"/>
        <w:outlineLvl w:val="1"/>
        <w:rPr>
          <w:rFonts w:ascii="宋体" w:hAnsi="宋体" w:cs="宋体"/>
          <w:b/>
          <w:bCs/>
          <w:color w:val="auto"/>
          <w:sz w:val="24"/>
          <w:highlight w:val="none"/>
        </w:rPr>
      </w:pPr>
      <w:bookmarkStart w:id="48" w:name="_Toc433126984"/>
      <w:r>
        <w:rPr>
          <w:rFonts w:hint="eastAsia" w:ascii="宋体" w:hAnsi="宋体" w:cs="宋体"/>
          <w:b/>
          <w:bCs/>
          <w:color w:val="auto"/>
          <w:sz w:val="24"/>
          <w:highlight w:val="none"/>
        </w:rPr>
        <w:t>1、适用范围</w:t>
      </w:r>
      <w:bookmarkEnd w:id="48"/>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文件仅适用于</w:t>
      </w:r>
      <w:r>
        <w:rPr>
          <w:rFonts w:hint="eastAsia" w:ascii="宋体" w:hAnsi="宋体" w:cs="宋体"/>
          <w:bCs/>
          <w:color w:val="auto"/>
          <w:kern w:val="0"/>
          <w:sz w:val="24"/>
          <w:highlight w:val="none"/>
          <w:lang w:val="en-GB"/>
        </w:rPr>
        <w:t>本次磋商邀请中所叙述项目的服务性</w:t>
      </w:r>
      <w:r>
        <w:rPr>
          <w:rFonts w:ascii="宋体" w:hAnsi="宋体" w:cs="宋体"/>
          <w:bCs/>
          <w:color w:val="auto"/>
          <w:kern w:val="0"/>
          <w:sz w:val="24"/>
          <w:highlight w:val="none"/>
          <w:lang w:val="en-GB"/>
        </w:rPr>
        <w:t>磋商</w:t>
      </w:r>
      <w:r>
        <w:rPr>
          <w:rFonts w:hint="eastAsia" w:ascii="宋体" w:hAnsi="宋体" w:cs="宋体"/>
          <w:bCs/>
          <w:color w:val="auto"/>
          <w:kern w:val="0"/>
          <w:sz w:val="24"/>
          <w:highlight w:val="none"/>
          <w:lang w:val="en-GB"/>
        </w:rPr>
        <w:t>。</w:t>
      </w:r>
    </w:p>
    <w:p>
      <w:pPr>
        <w:tabs>
          <w:tab w:val="left" w:pos="7665"/>
        </w:tabs>
        <w:spacing w:line="440" w:lineRule="exact"/>
        <w:ind w:firstLine="482" w:firstLineChars="200"/>
        <w:outlineLvl w:val="1"/>
        <w:rPr>
          <w:rFonts w:ascii="宋体" w:hAnsi="宋体" w:cs="宋体"/>
          <w:b/>
          <w:color w:val="auto"/>
          <w:sz w:val="24"/>
          <w:highlight w:val="none"/>
        </w:rPr>
      </w:pPr>
      <w:bookmarkStart w:id="49" w:name="_Toc433126985"/>
      <w:r>
        <w:rPr>
          <w:rFonts w:hint="eastAsia" w:ascii="宋体" w:hAnsi="宋体" w:cs="宋体"/>
          <w:b/>
          <w:color w:val="auto"/>
          <w:sz w:val="24"/>
          <w:highlight w:val="none"/>
        </w:rPr>
        <w:t>2、有关定义及相应职责</w:t>
      </w:r>
      <w:bookmarkEnd w:id="49"/>
    </w:p>
    <w:p>
      <w:pPr>
        <w:tabs>
          <w:tab w:val="left" w:pos="7665"/>
        </w:tabs>
        <w:spacing w:line="440" w:lineRule="exact"/>
        <w:ind w:firstLine="480" w:firstLineChars="200"/>
        <w:rPr>
          <w:rFonts w:ascii="宋体" w:hAnsi="宋体" w:cs="宋体"/>
          <w:color w:val="auto"/>
          <w:sz w:val="24"/>
          <w:highlight w:val="none"/>
        </w:rPr>
      </w:pPr>
      <w:bookmarkStart w:id="50" w:name="_Toc183682345"/>
      <w:bookmarkStart w:id="51" w:name="_Toc217446037"/>
      <w:bookmarkStart w:id="52" w:name="_Toc183582208"/>
      <w:r>
        <w:rPr>
          <w:rFonts w:hint="eastAsia" w:ascii="宋体" w:hAnsi="宋体" w:cs="宋体"/>
          <w:color w:val="auto"/>
          <w:sz w:val="24"/>
          <w:highlight w:val="none"/>
        </w:rPr>
        <w:t>2.1 “采购人”系指依法进行政府采购的国家机关、事业单位、团体组织。本次</w:t>
      </w:r>
      <w:r>
        <w:rPr>
          <w:rFonts w:hint="eastAsia" w:ascii="宋体" w:hAnsi="宋体" w:cs="宋体"/>
          <w:bCs/>
          <w:color w:val="auto"/>
          <w:kern w:val="0"/>
          <w:sz w:val="24"/>
          <w:highlight w:val="none"/>
          <w:lang w:val="en-GB"/>
        </w:rPr>
        <w:t>竞争性磋商的</w:t>
      </w:r>
      <w:r>
        <w:rPr>
          <w:rFonts w:hint="eastAsia" w:ascii="宋体" w:hAnsi="宋体" w:cs="宋体"/>
          <w:color w:val="auto"/>
          <w:sz w:val="24"/>
          <w:highlight w:val="none"/>
        </w:rPr>
        <w:t>采购人是</w:t>
      </w:r>
      <w:r>
        <w:rPr>
          <w:rFonts w:hint="eastAsia" w:ascii="宋体" w:hAnsi="宋体" w:cs="宋体"/>
          <w:b/>
          <w:color w:val="auto"/>
          <w:sz w:val="24"/>
          <w:highlight w:val="none"/>
          <w:u w:val="single"/>
          <w:lang w:val="en-GB"/>
        </w:rPr>
        <w:t>海口市秀英区水务局</w:t>
      </w:r>
      <w:r>
        <w:rPr>
          <w:rFonts w:hint="eastAsia" w:ascii="宋体" w:hAnsi="宋体" w:cs="宋体"/>
          <w:color w:val="auto"/>
          <w:sz w:val="24"/>
          <w:highlight w:val="none"/>
        </w:rPr>
        <w:t>。</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“采购代理机构”系指受采购人的委托依法办理</w:t>
      </w:r>
      <w:r>
        <w:rPr>
          <w:rFonts w:hint="eastAsia" w:ascii="宋体" w:hAnsi="宋体" w:cs="宋体"/>
          <w:bCs/>
          <w:color w:val="auto"/>
          <w:kern w:val="0"/>
          <w:sz w:val="24"/>
          <w:highlight w:val="none"/>
          <w:lang w:val="en-GB"/>
        </w:rPr>
        <w:t>采购</w:t>
      </w:r>
      <w:r>
        <w:rPr>
          <w:rFonts w:hint="eastAsia" w:ascii="宋体" w:hAnsi="宋体" w:cs="宋体"/>
          <w:color w:val="auto"/>
          <w:sz w:val="24"/>
          <w:highlight w:val="none"/>
        </w:rPr>
        <w:t>事宜的机构。本次</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的采购代理机构是</w:t>
      </w:r>
      <w:r>
        <w:rPr>
          <w:rFonts w:hint="eastAsia" w:ascii="宋体" w:hAnsi="宋体" w:cs="宋体"/>
          <w:b/>
          <w:bCs/>
          <w:color w:val="auto"/>
          <w:sz w:val="24"/>
          <w:highlight w:val="none"/>
          <w:u w:val="single"/>
        </w:rPr>
        <w:t>海南通尚工程管理有限公司</w:t>
      </w:r>
      <w:r>
        <w:rPr>
          <w:rFonts w:hint="eastAsia" w:ascii="宋体" w:hAnsi="宋体" w:cs="宋体"/>
          <w:color w:val="auto"/>
          <w:sz w:val="24"/>
          <w:highlight w:val="none"/>
        </w:rPr>
        <w:t>。</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 “供应商”系指实名购买</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文件拟参加竞争性磋商和拟向采购人提供货物或服务的供应商。其职责如下：</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对</w:t>
      </w:r>
      <w:r>
        <w:rPr>
          <w:rFonts w:hint="eastAsia" w:ascii="宋体" w:hAnsi="宋体" w:cs="宋体"/>
          <w:bCs/>
          <w:color w:val="auto"/>
          <w:kern w:val="0"/>
          <w:sz w:val="24"/>
          <w:highlight w:val="none"/>
          <w:lang w:val="en-GB"/>
        </w:rPr>
        <w:t>竞争性磋商</w:t>
      </w:r>
      <w:r>
        <w:rPr>
          <w:rFonts w:hint="eastAsia" w:ascii="宋体" w:hAnsi="宋体" w:cs="宋体"/>
          <w:color w:val="auto"/>
          <w:sz w:val="24"/>
          <w:highlight w:val="none"/>
        </w:rPr>
        <w:t>文件错、漏之处提出询问、质疑；</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 按要求缴纳投标保证金；</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2.3.3 按要求编制响应文件；</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2.3.4 派磋商代表递交响应文件，参加磋商活动，对磋商小组就响应文件提出的问题进行澄清；“磋商代表”系指在磋商过程中代表提交响应文件单位处理磋商事宜的人员，包括单位法定代表人或负责人及取得授权的单位人员；</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2.3.5 配合相关职能部门就</w:t>
      </w:r>
      <w:r>
        <w:rPr>
          <w:rFonts w:hint="eastAsia" w:ascii="宋体" w:hAnsi="宋体" w:cs="宋体"/>
          <w:bCs/>
          <w:color w:val="auto"/>
          <w:kern w:val="0"/>
          <w:sz w:val="24"/>
          <w:highlight w:val="none"/>
          <w:lang w:val="en-GB"/>
        </w:rPr>
        <w:t>竞争性磋商采购</w:t>
      </w:r>
      <w:r>
        <w:rPr>
          <w:rFonts w:hint="eastAsia" w:ascii="宋体" w:hAnsi="宋体" w:cs="宋体"/>
          <w:color w:val="auto"/>
          <w:sz w:val="24"/>
          <w:highlight w:val="none"/>
        </w:rPr>
        <w:t>项目的质疑、投诉和举报的处理工作；</w:t>
      </w:r>
    </w:p>
    <w:p>
      <w:pPr>
        <w:tabs>
          <w:tab w:val="left" w:pos="3060"/>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2.3.6 与采购人签订采购合同，按照合同规定向采购人提供服务；</w:t>
      </w:r>
    </w:p>
    <w:p>
      <w:pPr>
        <w:tabs>
          <w:tab w:val="left" w:pos="7665"/>
        </w:tabs>
        <w:spacing w:line="440" w:lineRule="exact"/>
        <w:ind w:firstLine="482" w:firstLineChars="200"/>
        <w:rPr>
          <w:rFonts w:ascii="宋体" w:hAnsi="宋体" w:cs="宋体"/>
          <w:b/>
          <w:color w:val="auto"/>
          <w:sz w:val="24"/>
          <w:highlight w:val="none"/>
        </w:rPr>
      </w:pPr>
      <w:r>
        <w:rPr>
          <w:rFonts w:hint="eastAsia" w:ascii="宋体" w:hAnsi="宋体" w:cs="宋体"/>
          <w:b/>
          <w:bCs/>
          <w:color w:val="auto"/>
          <w:sz w:val="24"/>
          <w:highlight w:val="none"/>
        </w:rPr>
        <w:t>2.3.7</w:t>
      </w:r>
      <w:r>
        <w:rPr>
          <w:rFonts w:hint="eastAsia" w:ascii="宋体" w:hAnsi="宋体" w:cs="宋体"/>
          <w:color w:val="auto"/>
          <w:sz w:val="24"/>
          <w:highlight w:val="none"/>
        </w:rPr>
        <w:t xml:space="preserve"> </w:t>
      </w:r>
      <w:bookmarkStart w:id="53" w:name="_Toc217446036"/>
      <w:bookmarkStart w:id="54" w:name="_Toc183582207"/>
      <w:bookmarkStart w:id="55" w:name="_Toc217390843"/>
      <w:bookmarkStart w:id="56" w:name="_Toc183682344"/>
      <w:r>
        <w:rPr>
          <w:rFonts w:hint="eastAsia" w:ascii="宋体" w:hAnsi="宋体" w:cs="宋体"/>
          <w:b/>
          <w:color w:val="auto"/>
          <w:sz w:val="24"/>
          <w:highlight w:val="none"/>
        </w:rPr>
        <w:t>单位负责人为同一人或者存在控股、管理关系的不同单位，不得参加同一标段投标或者未划分标段的同一招标项目投标。违反该规定的，相关投标均无效，由此产生的一切后果均由相关供应商承担；</w:t>
      </w:r>
    </w:p>
    <w:p>
      <w:pPr>
        <w:tabs>
          <w:tab w:val="left" w:pos="7665"/>
        </w:tabs>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2.3.8 除单一来源采购项目外，为采购项目提供整体设计、规范编制或者项目管理、监理、检测等服务的供应商，不得再参加该采购项目的其他采购活动；</w:t>
      </w:r>
    </w:p>
    <w:p>
      <w:pPr>
        <w:tabs>
          <w:tab w:val="left" w:pos="7665"/>
        </w:tabs>
        <w:spacing w:line="440" w:lineRule="exact"/>
        <w:ind w:firstLine="482" w:firstLineChars="200"/>
        <w:rPr>
          <w:color w:val="auto"/>
          <w:highlight w:val="none"/>
        </w:rPr>
      </w:pPr>
      <w:r>
        <w:rPr>
          <w:rFonts w:hint="eastAsia" w:ascii="宋体" w:hAnsi="宋体"/>
          <w:b/>
          <w:color w:val="auto"/>
          <w:sz w:val="24"/>
          <w:highlight w:val="none"/>
        </w:rPr>
        <w:t>2.3.9 供应商被列入失信被执行人、重大税收违法案件当事人名单、政府采购严重违法失信行为记录名单、或存在其他不符合《中华人民共和国政府采购法》第二十二条规定条件的情况的供应商不得参与投标。</w:t>
      </w:r>
    </w:p>
    <w:p>
      <w:pPr>
        <w:tabs>
          <w:tab w:val="left" w:pos="7665"/>
        </w:tabs>
        <w:spacing w:line="440" w:lineRule="exact"/>
        <w:ind w:firstLine="480" w:firstLineChars="200"/>
        <w:rPr>
          <w:color w:val="auto"/>
          <w:highlight w:val="none"/>
        </w:rPr>
      </w:pPr>
      <w:r>
        <w:rPr>
          <w:rFonts w:hint="eastAsia" w:ascii="宋体" w:hAnsi="宋体" w:cs="宋体"/>
          <w:color w:val="auto"/>
          <w:sz w:val="24"/>
          <w:highlight w:val="none"/>
        </w:rPr>
        <w:t>2.3.10 政府采购法律法规所规定的其他职责。</w:t>
      </w:r>
    </w:p>
    <w:p>
      <w:pPr>
        <w:tabs>
          <w:tab w:val="left" w:pos="7665"/>
        </w:tabs>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 合格的</w:t>
      </w:r>
      <w:bookmarkEnd w:id="53"/>
      <w:bookmarkEnd w:id="54"/>
      <w:bookmarkEnd w:id="55"/>
      <w:bookmarkEnd w:id="56"/>
      <w:r>
        <w:rPr>
          <w:rFonts w:hint="eastAsia" w:ascii="宋体" w:hAnsi="宋体" w:cs="宋体"/>
          <w:color w:val="auto"/>
          <w:sz w:val="24"/>
          <w:highlight w:val="none"/>
        </w:rPr>
        <w:t xml:space="preserve">供应商 </w:t>
      </w:r>
    </w:p>
    <w:p>
      <w:pPr>
        <w:tabs>
          <w:tab w:val="left" w:pos="7665"/>
        </w:tabs>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 xml:space="preserve">2.4.1 </w:t>
      </w:r>
      <w:r>
        <w:rPr>
          <w:rFonts w:hint="eastAsia" w:ascii="宋体" w:hAnsi="宋体" w:cs="宋体"/>
          <w:bCs/>
          <w:color w:val="auto"/>
          <w:kern w:val="0"/>
          <w:sz w:val="24"/>
          <w:highlight w:val="none"/>
          <w:lang w:val="en-GB"/>
        </w:rPr>
        <w:t>符合《中华人民共和国政府采购法》第二十二条规定的供应商。</w:t>
      </w:r>
    </w:p>
    <w:p>
      <w:pPr>
        <w:tabs>
          <w:tab w:val="left" w:pos="7665"/>
        </w:tabs>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 xml:space="preserve">2.4.2 </w:t>
      </w:r>
      <w:r>
        <w:rPr>
          <w:rFonts w:hint="eastAsia" w:ascii="宋体" w:hAnsi="宋体" w:cs="宋体"/>
          <w:bCs/>
          <w:color w:val="auto"/>
          <w:kern w:val="0"/>
          <w:sz w:val="24"/>
          <w:highlight w:val="none"/>
          <w:lang w:val="en-GB"/>
        </w:rPr>
        <w:t>符合竞争性磋商</w:t>
      </w:r>
      <w:r>
        <w:rPr>
          <w:rFonts w:hint="eastAsia" w:ascii="宋体" w:hAnsi="宋体" w:cs="宋体"/>
          <w:color w:val="auto"/>
          <w:sz w:val="24"/>
          <w:highlight w:val="none"/>
        </w:rPr>
        <w:t>文件</w:t>
      </w:r>
      <w:r>
        <w:rPr>
          <w:rFonts w:hint="eastAsia" w:ascii="宋体" w:hAnsi="宋体" w:cs="宋体"/>
          <w:bCs/>
          <w:color w:val="auto"/>
          <w:kern w:val="0"/>
          <w:sz w:val="24"/>
          <w:highlight w:val="none"/>
          <w:lang w:val="en-GB"/>
        </w:rPr>
        <w:t>规定的资格要求，有能力提供满足竞争性磋商</w:t>
      </w:r>
      <w:r>
        <w:rPr>
          <w:rFonts w:hint="eastAsia" w:ascii="宋体" w:hAnsi="宋体" w:cs="宋体"/>
          <w:color w:val="auto"/>
          <w:sz w:val="24"/>
          <w:highlight w:val="none"/>
        </w:rPr>
        <w:t>文件</w:t>
      </w:r>
      <w:r>
        <w:rPr>
          <w:rFonts w:hint="eastAsia" w:ascii="宋体" w:hAnsi="宋体" w:cs="宋体"/>
          <w:bCs/>
          <w:color w:val="auto"/>
          <w:kern w:val="0"/>
          <w:sz w:val="24"/>
          <w:highlight w:val="none"/>
          <w:lang w:val="en-GB"/>
        </w:rPr>
        <w:t>要求的相关服务的法人实体。</w:t>
      </w:r>
    </w:p>
    <w:p>
      <w:pPr>
        <w:tabs>
          <w:tab w:val="left" w:pos="7665"/>
        </w:tabs>
        <w:spacing w:line="440" w:lineRule="exact"/>
        <w:ind w:firstLine="480" w:firstLineChars="200"/>
        <w:rPr>
          <w:rFonts w:ascii="宋体" w:hAnsi="宋体" w:cs="宋体"/>
          <w:bCs/>
          <w:color w:val="auto"/>
          <w:kern w:val="0"/>
          <w:sz w:val="24"/>
          <w:highlight w:val="none"/>
          <w:lang w:val="en-GB"/>
        </w:rPr>
      </w:pPr>
      <w:r>
        <w:rPr>
          <w:rFonts w:hint="eastAsia" w:ascii="宋体" w:hAnsi="宋体" w:cs="宋体"/>
          <w:color w:val="auto"/>
          <w:sz w:val="24"/>
          <w:highlight w:val="none"/>
        </w:rPr>
        <w:t xml:space="preserve">2.5 </w:t>
      </w:r>
      <w:r>
        <w:rPr>
          <w:rFonts w:hint="eastAsia" w:ascii="宋体" w:hAnsi="宋体" w:cs="宋体"/>
          <w:bCs/>
          <w:color w:val="auto"/>
          <w:kern w:val="0"/>
          <w:sz w:val="24"/>
          <w:highlight w:val="none"/>
          <w:lang w:val="en-GB"/>
        </w:rPr>
        <w:t>“成交供应商”按照磋商文件确定的评审标准和方法，对响应文件进行评审，推荐合格的成交候选人，采购人根据磋商小组提出的书面评审报告和推荐的成交候选人确定成交供应商。</w:t>
      </w:r>
    </w:p>
    <w:p>
      <w:pPr>
        <w:pStyle w:val="10"/>
        <w:spacing w:line="440" w:lineRule="exact"/>
        <w:ind w:firstLine="482" w:firstLineChars="200"/>
        <w:outlineLvl w:val="1"/>
        <w:rPr>
          <w:rFonts w:hAnsi="宋体" w:cs="宋体"/>
          <w:bCs/>
          <w:color w:val="auto"/>
          <w:kern w:val="0"/>
          <w:sz w:val="24"/>
          <w:highlight w:val="none"/>
          <w:lang w:val="en-GB"/>
        </w:rPr>
      </w:pPr>
      <w:bookmarkStart w:id="57" w:name="_Toc433126986"/>
      <w:r>
        <w:rPr>
          <w:rFonts w:hint="eastAsia" w:hAnsi="宋体" w:cs="宋体"/>
          <w:b/>
          <w:color w:val="auto"/>
          <w:sz w:val="24"/>
          <w:highlight w:val="none"/>
        </w:rPr>
        <w:t>3</w:t>
      </w:r>
      <w:r>
        <w:rPr>
          <w:rFonts w:hint="eastAsia" w:hAnsi="宋体" w:cs="宋体"/>
          <w:b/>
          <w:color w:val="auto"/>
          <w:sz w:val="24"/>
          <w:highlight w:val="none"/>
          <w:lang w:val="en-GB"/>
        </w:rPr>
        <w:t>、合格的货物和服务</w:t>
      </w:r>
      <w:bookmarkEnd w:id="57"/>
    </w:p>
    <w:bookmarkEnd w:id="50"/>
    <w:bookmarkEnd w:id="51"/>
    <w:bookmarkEnd w:id="52"/>
    <w:p>
      <w:pPr>
        <w:adjustRightInd w:val="0"/>
        <w:snapToGrid w:val="0"/>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.1</w:t>
      </w:r>
      <w:r>
        <w:rPr>
          <w:rFonts w:hint="eastAsia" w:ascii="宋体" w:hAnsi="宋体" w:cs="宋体"/>
          <w:bCs/>
          <w:color w:val="auto"/>
          <w:kern w:val="0"/>
          <w:sz w:val="24"/>
          <w:highlight w:val="none"/>
        </w:rPr>
        <w:t xml:space="preserve"> </w:t>
      </w:r>
      <w:r>
        <w:rPr>
          <w:rFonts w:hint="eastAsia" w:ascii="宋体" w:hAnsi="宋体" w:cs="宋体"/>
          <w:bCs/>
          <w:color w:val="auto"/>
          <w:kern w:val="0"/>
          <w:sz w:val="24"/>
          <w:highlight w:val="none"/>
          <w:lang w:val="en-GB"/>
        </w:rPr>
        <w:t>“货物”系指供应商制造或组织符合磋商文件要求的货物等。所投货物必须是合法生产的合格货物，并能够按照货物合同规定的品牌、产地、质量、价格和有效期等。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color w:val="auto"/>
          <w:kern w:val="0"/>
          <w:sz w:val="24"/>
          <w:highlight w:val="none"/>
          <w:lang w:val="en-GB"/>
        </w:rPr>
      </w:pPr>
      <w:r>
        <w:rPr>
          <w:rFonts w:hint="eastAsia" w:ascii="宋体" w:hAnsi="宋体" w:cs="宋体"/>
          <w:bCs/>
          <w:color w:val="auto"/>
          <w:kern w:val="0"/>
          <w:sz w:val="24"/>
          <w:highlight w:val="none"/>
        </w:rPr>
        <w:t>3</w:t>
      </w:r>
      <w:r>
        <w:rPr>
          <w:rFonts w:hint="eastAsia" w:ascii="宋体" w:hAnsi="宋体" w:cs="宋体"/>
          <w:bCs/>
          <w:color w:val="auto"/>
          <w:kern w:val="0"/>
          <w:sz w:val="24"/>
          <w:highlight w:val="none"/>
          <w:lang w:val="en-GB"/>
        </w:rPr>
        <w:t>.2 “服务”系指除货物以外的其他政府采购对象，其中包括：卖方须承担的运输、安装、技术支持与升级、培训、验收以及其它类似附加服务的义务。</w:t>
      </w:r>
    </w:p>
    <w:p>
      <w:pPr>
        <w:tabs>
          <w:tab w:val="left" w:pos="7665"/>
        </w:tabs>
        <w:spacing w:line="440" w:lineRule="exact"/>
        <w:ind w:firstLine="482" w:firstLineChars="200"/>
        <w:rPr>
          <w:rFonts w:ascii="宋体" w:hAnsi="宋体" w:cs="宋体"/>
          <w:bCs/>
          <w:color w:val="auto"/>
          <w:kern w:val="0"/>
          <w:sz w:val="24"/>
          <w:highlight w:val="none"/>
          <w:lang w:val="en-GB"/>
        </w:rPr>
      </w:pPr>
      <w:r>
        <w:rPr>
          <w:rFonts w:hint="eastAsia" w:ascii="宋体" w:hAnsi="宋体" w:cs="宋体"/>
          <w:b/>
          <w:color w:val="auto"/>
          <w:sz w:val="24"/>
          <w:highlight w:val="none"/>
        </w:rPr>
        <w:t>4、</w:t>
      </w:r>
      <w:r>
        <w:rPr>
          <w:rFonts w:hint="eastAsia" w:ascii="宋体" w:hAnsi="宋体" w:cs="宋体"/>
          <w:b/>
          <w:bCs/>
          <w:color w:val="auto"/>
          <w:kern w:val="0"/>
          <w:sz w:val="24"/>
          <w:highlight w:val="none"/>
        </w:rPr>
        <w:t>本磋商文件由采购人及采购代理机构负责解释。</w:t>
      </w:r>
    </w:p>
    <w:p>
      <w:pPr>
        <w:tabs>
          <w:tab w:val="left" w:pos="7665"/>
        </w:tabs>
        <w:spacing w:line="440" w:lineRule="exact"/>
        <w:ind w:firstLine="482" w:firstLineChars="200"/>
        <w:outlineLvl w:val="1"/>
        <w:rPr>
          <w:rFonts w:ascii="宋体" w:hAnsi="宋体" w:cs="宋体"/>
          <w:b/>
          <w:color w:val="auto"/>
          <w:sz w:val="24"/>
          <w:highlight w:val="none"/>
        </w:rPr>
      </w:pPr>
      <w:bookmarkStart w:id="58" w:name="_Toc433126987"/>
      <w:r>
        <w:rPr>
          <w:rFonts w:hint="eastAsia" w:ascii="宋体" w:hAnsi="宋体" w:cs="宋体"/>
          <w:b/>
          <w:color w:val="auto"/>
          <w:sz w:val="24"/>
          <w:highlight w:val="none"/>
        </w:rPr>
        <w:t>5、投标费用</w:t>
      </w:r>
      <w:bookmarkEnd w:id="58"/>
    </w:p>
    <w:p>
      <w:pPr>
        <w:spacing w:line="440" w:lineRule="exact"/>
        <w:ind w:firstLine="480" w:firstLineChars="200"/>
        <w:rPr>
          <w:rFonts w:ascii="宋体" w:hAnsi="宋体" w:cs="宋体"/>
          <w:color w:val="auto"/>
          <w:sz w:val="24"/>
          <w:highlight w:val="none"/>
        </w:rPr>
      </w:pPr>
      <w:bookmarkStart w:id="59" w:name="_Toc217446039"/>
      <w:bookmarkStart w:id="60" w:name="_Toc183682347"/>
      <w:bookmarkStart w:id="61" w:name="_Toc183582210"/>
      <w:r>
        <w:rPr>
          <w:rFonts w:hint="eastAsia" w:ascii="宋体" w:hAnsi="宋体" w:cs="宋体"/>
          <w:color w:val="auto"/>
          <w:sz w:val="24"/>
          <w:highlight w:val="none"/>
        </w:rPr>
        <w:t>5.1 供应商应承担所有与准备和参加磋商有关的费用。不论磋商的结果如何，采购代理机构和采购人均无义务和责任承担这些费用。</w:t>
      </w:r>
    </w:p>
    <w:p>
      <w:pPr>
        <w:spacing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5.2 采购代理服务费按《关于降低部分招标代理服务收费标准的通知》(琼价费管【2011】225号)的规定向</w:t>
      </w:r>
      <w:r>
        <w:rPr>
          <w:rFonts w:hint="eastAsia" w:ascii="宋体" w:hAnsi="宋体" w:cs="宋体"/>
          <w:b/>
          <w:color w:val="auto"/>
          <w:sz w:val="24"/>
          <w:highlight w:val="none"/>
          <w:u w:val="single"/>
          <w:lang w:val="en-GB"/>
        </w:rPr>
        <w:t>海口市秀英区水务局</w:t>
      </w:r>
      <w:r>
        <w:rPr>
          <w:rFonts w:hint="eastAsia" w:ascii="宋体" w:hAnsi="宋体" w:cs="宋体"/>
          <w:b/>
          <w:bCs/>
          <w:color w:val="auto"/>
          <w:sz w:val="24"/>
          <w:highlight w:val="none"/>
        </w:rPr>
        <w:t>收取。</w:t>
      </w:r>
    </w:p>
    <w:p>
      <w:pPr>
        <w:tabs>
          <w:tab w:val="left" w:pos="7665"/>
        </w:tabs>
        <w:spacing w:before="160" w:beforeLines="50" w:after="160" w:afterLines="50" w:line="440" w:lineRule="exact"/>
        <w:outlineLvl w:val="0"/>
        <w:rPr>
          <w:rFonts w:ascii="宋体" w:hAnsi="宋体" w:cs="宋体"/>
          <w:b/>
          <w:color w:val="auto"/>
          <w:sz w:val="28"/>
          <w:szCs w:val="28"/>
          <w:highlight w:val="none"/>
        </w:rPr>
      </w:pPr>
      <w:bookmarkStart w:id="62" w:name="_Toc2075"/>
      <w:bookmarkStart w:id="63" w:name="_Toc433126989"/>
      <w:r>
        <w:rPr>
          <w:rFonts w:hint="eastAsia" w:ascii="宋体" w:hAnsi="宋体" w:cs="宋体"/>
          <w:b/>
          <w:color w:val="auto"/>
          <w:sz w:val="28"/>
          <w:szCs w:val="28"/>
          <w:highlight w:val="none"/>
        </w:rPr>
        <w:t>（二）</w:t>
      </w:r>
      <w:r>
        <w:rPr>
          <w:rFonts w:hint="eastAsia" w:ascii="宋体" w:hAnsi="宋体" w:cs="宋体"/>
          <w:b/>
          <w:bCs/>
          <w:color w:val="auto"/>
          <w:sz w:val="28"/>
          <w:szCs w:val="28"/>
          <w:highlight w:val="none"/>
          <w:lang w:val="en-GB"/>
        </w:rPr>
        <w:t>竞争性磋商</w:t>
      </w:r>
      <w:r>
        <w:rPr>
          <w:rFonts w:hint="eastAsia" w:ascii="宋体" w:hAnsi="宋体" w:cs="宋体"/>
          <w:b/>
          <w:color w:val="auto"/>
          <w:sz w:val="28"/>
          <w:szCs w:val="28"/>
          <w:highlight w:val="none"/>
        </w:rPr>
        <w:t>文件</w:t>
      </w:r>
      <w:bookmarkEnd w:id="62"/>
      <w:bookmarkEnd w:id="63"/>
    </w:p>
    <w:p>
      <w:pPr>
        <w:pStyle w:val="10"/>
        <w:spacing w:line="440" w:lineRule="exact"/>
        <w:ind w:firstLine="482" w:firstLineChars="200"/>
        <w:outlineLvl w:val="1"/>
        <w:rPr>
          <w:rFonts w:hAnsi="宋体" w:cs="宋体"/>
          <w:b/>
          <w:bCs/>
          <w:color w:val="auto"/>
          <w:sz w:val="24"/>
          <w:highlight w:val="none"/>
        </w:rPr>
      </w:pPr>
      <w:bookmarkStart w:id="64" w:name="_Toc433126990"/>
      <w:r>
        <w:rPr>
          <w:rFonts w:hint="eastAsia" w:hAnsi="宋体" w:cs="宋体"/>
          <w:b/>
          <w:bCs/>
          <w:color w:val="auto"/>
          <w:sz w:val="24"/>
          <w:highlight w:val="none"/>
        </w:rPr>
        <w:t>6、竞争性磋商文件的构成</w:t>
      </w:r>
      <w:bookmarkEnd w:id="64"/>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 xml:space="preserve">6.1 </w:t>
      </w:r>
      <w:r>
        <w:rPr>
          <w:rFonts w:hint="eastAsia" w:hAnsi="宋体"/>
          <w:color w:val="auto"/>
          <w:sz w:val="24"/>
          <w:highlight w:val="none"/>
        </w:rPr>
        <w:t>竞争性</w:t>
      </w:r>
      <w:r>
        <w:rPr>
          <w:rFonts w:hAnsi="宋体"/>
          <w:color w:val="auto"/>
          <w:sz w:val="24"/>
          <w:highlight w:val="none"/>
        </w:rPr>
        <w:t>磋商</w:t>
      </w:r>
      <w:r>
        <w:rPr>
          <w:rFonts w:hint="eastAsia" w:hAnsi="宋体"/>
          <w:color w:val="auto"/>
          <w:sz w:val="24"/>
          <w:highlight w:val="none"/>
        </w:rPr>
        <w:t>文件</w:t>
      </w:r>
      <w:r>
        <w:rPr>
          <w:rFonts w:hint="eastAsia" w:hAnsi="宋体" w:cs="宋体"/>
          <w:color w:val="auto"/>
          <w:sz w:val="24"/>
          <w:highlight w:val="none"/>
        </w:rPr>
        <w:t>由下列文件以及在磋商过程中发出的修正和补充文件组成：</w:t>
      </w:r>
    </w:p>
    <w:p>
      <w:pPr>
        <w:spacing w:line="360" w:lineRule="auto"/>
        <w:ind w:firstLine="960" w:firstLineChars="400"/>
        <w:rPr>
          <w:rFonts w:ascii="宋体" w:hAnsi="宋体"/>
          <w:color w:val="auto"/>
          <w:sz w:val="24"/>
          <w:highlight w:val="none"/>
        </w:rPr>
      </w:pPr>
      <w:r>
        <w:rPr>
          <w:rFonts w:hint="eastAsia" w:ascii="宋体" w:hAnsi="宋体"/>
          <w:color w:val="auto"/>
          <w:sz w:val="24"/>
          <w:highlight w:val="none"/>
        </w:rPr>
        <w:t>第一部分  竞争性磋商公告</w:t>
      </w:r>
    </w:p>
    <w:p>
      <w:pPr>
        <w:spacing w:line="360" w:lineRule="auto"/>
        <w:ind w:firstLine="960" w:firstLineChars="400"/>
        <w:rPr>
          <w:rFonts w:ascii="宋体" w:hAnsi="宋体"/>
          <w:color w:val="auto"/>
          <w:sz w:val="24"/>
          <w:highlight w:val="none"/>
        </w:rPr>
      </w:pPr>
      <w:r>
        <w:rPr>
          <w:rFonts w:hint="eastAsia" w:ascii="宋体" w:hAnsi="宋体"/>
          <w:color w:val="auto"/>
          <w:sz w:val="24"/>
          <w:highlight w:val="none"/>
        </w:rPr>
        <w:t>第二部分  供应商须知</w:t>
      </w:r>
    </w:p>
    <w:p>
      <w:pPr>
        <w:spacing w:line="360" w:lineRule="auto"/>
        <w:ind w:firstLine="960" w:firstLineChars="400"/>
        <w:rPr>
          <w:rFonts w:ascii="宋体" w:hAnsi="宋体"/>
          <w:color w:val="auto"/>
          <w:sz w:val="24"/>
          <w:highlight w:val="none"/>
        </w:rPr>
      </w:pPr>
      <w:r>
        <w:rPr>
          <w:rFonts w:hint="eastAsia" w:ascii="宋体" w:hAnsi="宋体"/>
          <w:color w:val="auto"/>
          <w:sz w:val="24"/>
          <w:highlight w:val="none"/>
        </w:rPr>
        <w:t>第三部分  合同文本</w:t>
      </w:r>
    </w:p>
    <w:p>
      <w:pPr>
        <w:spacing w:line="360" w:lineRule="auto"/>
        <w:ind w:firstLine="960" w:firstLineChars="400"/>
        <w:rPr>
          <w:rFonts w:ascii="宋体" w:hAnsi="宋体"/>
          <w:color w:val="auto"/>
          <w:sz w:val="24"/>
          <w:highlight w:val="none"/>
        </w:rPr>
      </w:pPr>
      <w:r>
        <w:rPr>
          <w:rFonts w:hint="eastAsia" w:ascii="宋体" w:hAnsi="宋体"/>
          <w:color w:val="auto"/>
          <w:sz w:val="24"/>
          <w:highlight w:val="none"/>
        </w:rPr>
        <w:t>第四部分  响应文件格式</w:t>
      </w:r>
    </w:p>
    <w:p>
      <w:pPr>
        <w:spacing w:line="360" w:lineRule="auto"/>
        <w:ind w:firstLine="960" w:firstLineChars="400"/>
        <w:rPr>
          <w:rFonts w:ascii="宋体" w:hAnsi="宋体"/>
          <w:color w:val="auto"/>
          <w:sz w:val="24"/>
          <w:highlight w:val="none"/>
        </w:rPr>
      </w:pPr>
      <w:r>
        <w:rPr>
          <w:rFonts w:hint="eastAsia" w:ascii="宋体" w:hAnsi="宋体"/>
          <w:color w:val="auto"/>
          <w:sz w:val="24"/>
          <w:highlight w:val="none"/>
        </w:rPr>
        <w:t>第五部分  采购需求</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注：请仔细检查竞争性</w:t>
      </w:r>
      <w:r>
        <w:rPr>
          <w:rFonts w:ascii="宋体" w:hAnsi="宋体"/>
          <w:b/>
          <w:color w:val="auto"/>
          <w:sz w:val="24"/>
          <w:highlight w:val="none"/>
        </w:rPr>
        <w:t>磋商</w:t>
      </w:r>
      <w:r>
        <w:rPr>
          <w:rFonts w:hint="eastAsia" w:ascii="宋体" w:hAnsi="宋体"/>
          <w:b/>
          <w:color w:val="auto"/>
          <w:sz w:val="24"/>
          <w:highlight w:val="none"/>
        </w:rPr>
        <w:t>文件是否齐全，如有缺漏，请立即与采购代理机构联系解决。</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6.2 供应商须认真阅读磋商文件中所有的事项、格式、条款和技术规范等。供应商没有按照磋商文件要求提交全部资料，或者供应商没有对磋商文件在各方面都做出实质性响应，可能导致其响应被拒绝或无效响应等风险均由供应商承担。</w:t>
      </w:r>
    </w:p>
    <w:p>
      <w:pPr>
        <w:pStyle w:val="10"/>
        <w:spacing w:line="440" w:lineRule="exact"/>
        <w:ind w:firstLine="482" w:firstLineChars="200"/>
        <w:outlineLvl w:val="1"/>
        <w:rPr>
          <w:rFonts w:hAnsi="宋体" w:cs="宋体"/>
          <w:b/>
          <w:bCs/>
          <w:color w:val="auto"/>
          <w:sz w:val="24"/>
          <w:highlight w:val="none"/>
        </w:rPr>
      </w:pPr>
      <w:bookmarkStart w:id="65" w:name="_Toc433126991"/>
      <w:r>
        <w:rPr>
          <w:rFonts w:hint="eastAsia" w:hAnsi="宋体" w:cs="宋体"/>
          <w:b/>
          <w:bCs/>
          <w:color w:val="auto"/>
          <w:sz w:val="24"/>
          <w:highlight w:val="none"/>
        </w:rPr>
        <w:t>7、竞争性磋商文件的澄清</w:t>
      </w:r>
      <w:bookmarkEnd w:id="65"/>
    </w:p>
    <w:p>
      <w:pPr>
        <w:pStyle w:val="10"/>
        <w:adjustRightInd w:val="0"/>
        <w:snapToGrid w:val="0"/>
        <w:spacing w:line="440" w:lineRule="exact"/>
        <w:ind w:firstLine="480" w:firstLineChars="200"/>
        <w:rPr>
          <w:rFonts w:hAnsi="宋体"/>
          <w:color w:val="auto"/>
          <w:sz w:val="24"/>
          <w:highlight w:val="none"/>
        </w:rPr>
      </w:pPr>
      <w:bookmarkStart w:id="66" w:name="_Toc433126992"/>
      <w:r>
        <w:rPr>
          <w:rFonts w:hint="eastAsia" w:hAnsi="宋体"/>
          <w:color w:val="auto"/>
          <w:sz w:val="24"/>
          <w:highlight w:val="none"/>
        </w:rPr>
        <w:t>应于递交响应文件截止时间前（逾期不受理）以书面形式向代理机构提出，采购代理机构将以书面形式进行答复，同时采购代理机构有权将答复内容分发给所有购买了本磋商文件的供应商。否则视为完全接受磋商文件所有条款及规定。</w:t>
      </w:r>
    </w:p>
    <w:p>
      <w:pPr>
        <w:pStyle w:val="10"/>
        <w:spacing w:line="440" w:lineRule="exact"/>
        <w:ind w:firstLine="482" w:firstLineChars="200"/>
        <w:outlineLvl w:val="1"/>
        <w:rPr>
          <w:rFonts w:hAnsi="宋体" w:cs="宋体"/>
          <w:b/>
          <w:bCs/>
          <w:color w:val="auto"/>
          <w:sz w:val="24"/>
          <w:highlight w:val="none"/>
        </w:rPr>
      </w:pPr>
      <w:r>
        <w:rPr>
          <w:rFonts w:hint="eastAsia" w:hAnsi="宋体" w:cs="宋体"/>
          <w:b/>
          <w:bCs/>
          <w:color w:val="auto"/>
          <w:sz w:val="24"/>
          <w:highlight w:val="none"/>
        </w:rPr>
        <w:t>8、竞争性磋商文件的修改</w:t>
      </w:r>
      <w:bookmarkEnd w:id="66"/>
    </w:p>
    <w:bookmarkEnd w:id="59"/>
    <w:bookmarkEnd w:id="60"/>
    <w:bookmarkEnd w:id="61"/>
    <w:p>
      <w:pPr>
        <w:pStyle w:val="10"/>
        <w:adjustRightInd w:val="0"/>
        <w:snapToGrid w:val="0"/>
        <w:spacing w:line="440" w:lineRule="exact"/>
        <w:ind w:firstLine="480" w:firstLineChars="200"/>
        <w:rPr>
          <w:rFonts w:hAnsi="宋体" w:cs="宋体"/>
          <w:color w:val="auto"/>
          <w:sz w:val="24"/>
          <w:highlight w:val="none"/>
        </w:rPr>
      </w:pPr>
      <w:bookmarkStart w:id="67" w:name="_Toc183682352"/>
      <w:bookmarkStart w:id="68" w:name="_Toc217446043"/>
      <w:bookmarkStart w:id="69" w:name="_Toc183582215"/>
      <w:r>
        <w:rPr>
          <w:rFonts w:hint="eastAsia" w:hAnsi="宋体" w:cs="宋体"/>
          <w:color w:val="auto"/>
          <w:sz w:val="24"/>
          <w:highlight w:val="none"/>
        </w:rPr>
        <w:t>8.l 在响应文件提交截止时间5天前，采购代理机构和采购人可主动或在解答供应商提出的澄清问题时对磋商文件进行修改。</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8.2 竞争性磋商文件的修改是竞争性磋商文件的组成部分，采购代理机构将以书面或网上公告的形式通知所有购买本竞争性磋商文件的供应商，并对供应商具有约束力。供应商在收到上述通知后，应立即以书面形式向采购代理机构和采购人确认。</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8.3 为使供应商准备响应文件时有充分的时间对磋商文件修改部分进行研究，采购代理机构和采购人可适当推迟响应文件提交截止时间。</w:t>
      </w:r>
    </w:p>
    <w:p>
      <w:pPr>
        <w:snapToGrid w:val="0"/>
        <w:spacing w:before="160" w:beforeLines="50" w:after="160" w:afterLines="50" w:line="440" w:lineRule="exact"/>
        <w:outlineLvl w:val="0"/>
        <w:rPr>
          <w:rFonts w:ascii="宋体" w:hAnsi="宋体" w:cs="宋体"/>
          <w:b/>
          <w:color w:val="auto"/>
          <w:sz w:val="28"/>
          <w:szCs w:val="28"/>
          <w:highlight w:val="none"/>
        </w:rPr>
      </w:pPr>
      <w:bookmarkStart w:id="70" w:name="_Toc8584"/>
      <w:bookmarkStart w:id="71" w:name="_Toc21494"/>
      <w:bookmarkStart w:id="72" w:name="_Toc433126993"/>
      <w:r>
        <w:rPr>
          <w:rFonts w:hint="eastAsia" w:ascii="宋体" w:hAnsi="宋体" w:cs="宋体"/>
          <w:b/>
          <w:color w:val="auto"/>
          <w:sz w:val="28"/>
          <w:szCs w:val="28"/>
          <w:highlight w:val="none"/>
        </w:rPr>
        <w:t>（三）竞争性磋商文件的编制和数量</w:t>
      </w:r>
      <w:bookmarkEnd w:id="70"/>
      <w:bookmarkEnd w:id="71"/>
      <w:bookmarkEnd w:id="72"/>
    </w:p>
    <w:p>
      <w:pPr>
        <w:pStyle w:val="10"/>
        <w:spacing w:line="440" w:lineRule="exact"/>
        <w:ind w:firstLine="482" w:firstLineChars="200"/>
        <w:outlineLvl w:val="1"/>
        <w:rPr>
          <w:rFonts w:hAnsi="宋体" w:cs="宋体"/>
          <w:b/>
          <w:bCs/>
          <w:color w:val="auto"/>
          <w:sz w:val="24"/>
          <w:highlight w:val="none"/>
        </w:rPr>
      </w:pPr>
      <w:bookmarkStart w:id="73" w:name="_Toc433126994"/>
      <w:r>
        <w:rPr>
          <w:rFonts w:hint="eastAsia" w:hAnsi="宋体" w:cs="宋体"/>
          <w:b/>
          <w:bCs/>
          <w:color w:val="auto"/>
          <w:sz w:val="24"/>
          <w:highlight w:val="none"/>
        </w:rPr>
        <w:t>9、响应文件的语言</w:t>
      </w:r>
      <w:bookmarkEnd w:id="73"/>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供应商提交的响应文件以及供应商与采购代理机构和采购人就有关磋商的所有来往函电均应使用中文。供应商提交的支持文件和印刷的文献可以用另一种语言，但相应内容应附有中文翻译本，在解释响应文件时以翻译本为准。</w:t>
      </w:r>
    </w:p>
    <w:p>
      <w:pPr>
        <w:pStyle w:val="10"/>
        <w:spacing w:line="440" w:lineRule="exact"/>
        <w:ind w:firstLine="482" w:firstLineChars="200"/>
        <w:outlineLvl w:val="1"/>
        <w:rPr>
          <w:rFonts w:hAnsi="宋体" w:cs="宋体"/>
          <w:color w:val="auto"/>
          <w:sz w:val="24"/>
          <w:highlight w:val="none"/>
        </w:rPr>
      </w:pPr>
      <w:bookmarkStart w:id="74" w:name="_Toc433126995"/>
      <w:r>
        <w:rPr>
          <w:rFonts w:hint="eastAsia" w:hAnsi="宋体" w:cs="宋体"/>
          <w:b/>
          <w:bCs/>
          <w:color w:val="auto"/>
          <w:sz w:val="24"/>
          <w:highlight w:val="none"/>
        </w:rPr>
        <w:t>10、响应文件的构成</w:t>
      </w:r>
      <w:bookmarkEnd w:id="74"/>
    </w:p>
    <w:p>
      <w:pPr>
        <w:spacing w:line="360" w:lineRule="auto"/>
        <w:ind w:firstLine="420"/>
        <w:rPr>
          <w:rFonts w:ascii="宋体" w:hAnsi="宋体"/>
          <w:color w:val="auto"/>
          <w:sz w:val="24"/>
          <w:highlight w:val="none"/>
        </w:rPr>
      </w:pPr>
      <w:r>
        <w:rPr>
          <w:rFonts w:hint="eastAsia" w:ascii="宋体" w:hAnsi="宋体"/>
          <w:color w:val="auto"/>
          <w:sz w:val="24"/>
          <w:highlight w:val="none"/>
        </w:rPr>
        <w:t xml:space="preserve">10.1 </w:t>
      </w:r>
      <w:r>
        <w:rPr>
          <w:rFonts w:hint="eastAsia" w:ascii="宋体" w:hAnsi="宋体"/>
          <w:b/>
          <w:color w:val="auto"/>
          <w:sz w:val="24"/>
          <w:highlight w:val="none"/>
        </w:rPr>
        <w:t>凡有具体格式要求详见竞争性磋商文件“第四部分 响应文件格式”，本竞争性</w:t>
      </w:r>
      <w:r>
        <w:rPr>
          <w:rFonts w:ascii="宋体" w:hAnsi="宋体"/>
          <w:b/>
          <w:color w:val="auto"/>
          <w:sz w:val="24"/>
          <w:highlight w:val="none"/>
        </w:rPr>
        <w:t>磋商</w:t>
      </w:r>
      <w:r>
        <w:rPr>
          <w:rFonts w:hint="eastAsia" w:ascii="宋体" w:hAnsi="宋体"/>
          <w:b/>
          <w:color w:val="auto"/>
          <w:sz w:val="24"/>
          <w:highlight w:val="none"/>
        </w:rPr>
        <w:t>文件没有具体规定和要求的内容格式不限，由供应商自拟</w:t>
      </w:r>
      <w:r>
        <w:rPr>
          <w:rFonts w:hint="eastAsia" w:ascii="宋体" w:hAnsi="宋体"/>
          <w:color w:val="auto"/>
          <w:sz w:val="24"/>
          <w:highlight w:val="none"/>
        </w:rPr>
        <w:t>。</w:t>
      </w:r>
    </w:p>
    <w:p>
      <w:pPr>
        <w:spacing w:line="360" w:lineRule="auto"/>
        <w:ind w:firstLine="420"/>
        <w:rPr>
          <w:rFonts w:ascii="宋体" w:hAnsi="宋体"/>
          <w:color w:val="auto"/>
          <w:sz w:val="24"/>
          <w:highlight w:val="none"/>
        </w:rPr>
      </w:pPr>
      <w:r>
        <w:rPr>
          <w:rFonts w:hint="eastAsia" w:ascii="宋体" w:hAnsi="宋体"/>
          <w:color w:val="auto"/>
          <w:sz w:val="24"/>
          <w:highlight w:val="none"/>
        </w:rPr>
        <w:t>10.2 若供应商未按竞争性磋商文件的要求提供资料，或未对竞争性磋商文件做出实质性响应，将作为无效响应文件。</w:t>
      </w:r>
    </w:p>
    <w:p>
      <w:pPr>
        <w:spacing w:line="360" w:lineRule="auto"/>
        <w:ind w:firstLine="420"/>
        <w:rPr>
          <w:rFonts w:ascii="宋体" w:hAnsi="宋体"/>
          <w:color w:val="auto"/>
          <w:sz w:val="24"/>
          <w:highlight w:val="none"/>
        </w:rPr>
      </w:pPr>
      <w:r>
        <w:rPr>
          <w:rFonts w:hint="eastAsia" w:ascii="宋体" w:hAnsi="宋体"/>
          <w:color w:val="auto"/>
          <w:sz w:val="24"/>
          <w:highlight w:val="none"/>
        </w:rPr>
        <w:t>10.3 资格的证明文件</w:t>
      </w:r>
    </w:p>
    <w:p>
      <w:pPr>
        <w:spacing w:line="360" w:lineRule="auto"/>
        <w:ind w:firstLine="480" w:firstLineChars="200"/>
        <w:rPr>
          <w:color w:val="auto"/>
          <w:sz w:val="24"/>
          <w:highlight w:val="none"/>
        </w:rPr>
      </w:pPr>
      <w:r>
        <w:rPr>
          <w:rFonts w:hint="eastAsia" w:ascii="宋体" w:hAnsi="宋体"/>
          <w:color w:val="auto"/>
          <w:sz w:val="24"/>
          <w:highlight w:val="none"/>
        </w:rPr>
        <w:t>响应</w:t>
      </w:r>
      <w:r>
        <w:rPr>
          <w:rFonts w:hint="eastAsia"/>
          <w:color w:val="auto"/>
          <w:sz w:val="24"/>
          <w:highlight w:val="none"/>
        </w:rPr>
        <w:t>文件由供应商的法定代表人或其授权代表（以下统称磋商申请人代表）递交，并出示本人有效身份证（或港澳台通行证、护照，下同）的原件，和授权书原件（或说明磋商授权书原件装订在响应文件内），以证明授权代表的身份和被授权范围，并由采购人验证确认。</w:t>
      </w:r>
    </w:p>
    <w:p>
      <w:pPr>
        <w:spacing w:line="360" w:lineRule="auto"/>
        <w:ind w:firstLine="482" w:firstLineChars="200"/>
        <w:rPr>
          <w:b/>
          <w:color w:val="auto"/>
          <w:sz w:val="24"/>
          <w:highlight w:val="none"/>
        </w:rPr>
      </w:pPr>
      <w:r>
        <w:rPr>
          <w:rFonts w:hint="eastAsia" w:ascii="宋体" w:hAnsi="宋体" w:cs="宋体"/>
          <w:b/>
          <w:color w:val="auto"/>
          <w:sz w:val="24"/>
          <w:highlight w:val="none"/>
        </w:rPr>
        <w:t>10.4 编制在</w:t>
      </w:r>
      <w:r>
        <w:rPr>
          <w:rFonts w:hint="eastAsia"/>
          <w:b/>
          <w:color w:val="auto"/>
          <w:sz w:val="24"/>
          <w:highlight w:val="none"/>
        </w:rPr>
        <w:t>响应文件中的</w:t>
      </w:r>
      <w:r>
        <w:rPr>
          <w:b/>
          <w:color w:val="auto"/>
          <w:sz w:val="24"/>
          <w:highlight w:val="none"/>
        </w:rPr>
        <w:t>以上所需的各种证书、证件、证明等若系复印件，须在复印件上加盖</w:t>
      </w:r>
      <w:r>
        <w:rPr>
          <w:rFonts w:hint="eastAsia"/>
          <w:b/>
          <w:color w:val="auto"/>
          <w:sz w:val="24"/>
          <w:highlight w:val="none"/>
        </w:rPr>
        <w:t>供应商</w:t>
      </w:r>
      <w:r>
        <w:rPr>
          <w:b/>
          <w:color w:val="auto"/>
          <w:sz w:val="24"/>
          <w:highlight w:val="none"/>
        </w:rPr>
        <w:t>单位公章</w:t>
      </w:r>
      <w:r>
        <w:rPr>
          <w:rFonts w:hint="eastAsia"/>
          <w:b/>
          <w:color w:val="auto"/>
          <w:sz w:val="24"/>
          <w:highlight w:val="none"/>
        </w:rPr>
        <w:t>。</w:t>
      </w:r>
    </w:p>
    <w:p>
      <w:pPr>
        <w:pStyle w:val="10"/>
        <w:adjustRightInd w:val="0"/>
        <w:snapToGrid w:val="0"/>
        <w:spacing w:line="440" w:lineRule="exact"/>
        <w:ind w:firstLine="482" w:firstLineChars="200"/>
        <w:outlineLvl w:val="1"/>
        <w:rPr>
          <w:rFonts w:hAnsi="宋体" w:cs="宋体"/>
          <w:b/>
          <w:color w:val="auto"/>
          <w:sz w:val="24"/>
          <w:highlight w:val="none"/>
          <w:lang w:val="en-GB"/>
        </w:rPr>
      </w:pPr>
      <w:bookmarkStart w:id="75" w:name="_Toc433126996"/>
      <w:r>
        <w:rPr>
          <w:rFonts w:hint="eastAsia" w:hAnsi="宋体" w:cs="宋体"/>
          <w:b/>
          <w:color w:val="auto"/>
          <w:sz w:val="24"/>
          <w:highlight w:val="none"/>
          <w:lang w:val="en-GB"/>
        </w:rPr>
        <w:t>11、响应文件编制</w:t>
      </w:r>
      <w:bookmarkEnd w:id="75"/>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11.</w:t>
      </w:r>
      <w:r>
        <w:rPr>
          <w:rFonts w:ascii="宋体" w:hAnsi="宋体" w:cs="宋体"/>
          <w:bCs/>
          <w:color w:val="auto"/>
          <w:sz w:val="24"/>
          <w:highlight w:val="none"/>
          <w:lang w:val="en-GB"/>
        </w:rPr>
        <w:t>1</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供应商应完整地填写磋商文件中提供的《响应承诺函》、《报价一览表》等磋商文件中规定的所有内容。</w:t>
      </w:r>
    </w:p>
    <w:p>
      <w:pPr>
        <w:pStyle w:val="10"/>
        <w:adjustRightInd w:val="0"/>
        <w:snapToGrid w:val="0"/>
        <w:spacing w:line="440" w:lineRule="exact"/>
        <w:ind w:firstLine="480" w:firstLineChars="200"/>
        <w:rPr>
          <w:rFonts w:hAnsi="宋体" w:cs="宋体"/>
          <w:bCs/>
          <w:color w:val="auto"/>
          <w:sz w:val="24"/>
          <w:highlight w:val="none"/>
          <w:lang w:val="en-GB"/>
        </w:rPr>
      </w:pPr>
      <w:r>
        <w:rPr>
          <w:rFonts w:hint="eastAsia" w:hAnsi="宋体" w:cs="宋体"/>
          <w:bCs/>
          <w:color w:val="auto"/>
          <w:sz w:val="24"/>
          <w:highlight w:val="none"/>
          <w:lang w:val="en-GB"/>
        </w:rPr>
        <w:t>11.</w:t>
      </w:r>
      <w:r>
        <w:rPr>
          <w:rFonts w:hAnsi="宋体" w:cs="宋体"/>
          <w:bCs/>
          <w:color w:val="auto"/>
          <w:sz w:val="24"/>
          <w:highlight w:val="none"/>
          <w:lang w:val="en-GB"/>
        </w:rPr>
        <w:t>2</w:t>
      </w:r>
      <w:r>
        <w:rPr>
          <w:rFonts w:hint="eastAsia" w:hAnsi="宋体" w:cs="宋体"/>
          <w:bCs/>
          <w:color w:val="auto"/>
          <w:sz w:val="24"/>
          <w:highlight w:val="none"/>
        </w:rPr>
        <w:t xml:space="preserve"> </w:t>
      </w:r>
      <w:r>
        <w:rPr>
          <w:rFonts w:hint="eastAsia" w:hAnsi="宋体" w:cs="宋体"/>
          <w:bCs/>
          <w:color w:val="auto"/>
          <w:sz w:val="24"/>
          <w:highlight w:val="none"/>
          <w:lang w:val="en-GB"/>
        </w:rPr>
        <w:t>供应商必须保证响应文件所提供的全部资料真实可靠，并接受采购代理机构对其中任何资料进一步审查的要求。</w:t>
      </w:r>
    </w:p>
    <w:p>
      <w:pPr>
        <w:pStyle w:val="10"/>
        <w:adjustRightInd w:val="0"/>
        <w:snapToGrid w:val="0"/>
        <w:spacing w:line="440" w:lineRule="exact"/>
        <w:ind w:firstLine="480" w:firstLineChars="200"/>
        <w:rPr>
          <w:rFonts w:hAnsi="宋体" w:cs="宋体"/>
          <w:bCs/>
          <w:color w:val="auto"/>
          <w:sz w:val="24"/>
          <w:highlight w:val="none"/>
          <w:lang w:val="en-GB"/>
        </w:rPr>
      </w:pPr>
      <w:r>
        <w:rPr>
          <w:rFonts w:hint="eastAsia" w:hAnsi="宋体" w:cs="宋体"/>
          <w:bCs/>
          <w:color w:val="auto"/>
          <w:sz w:val="24"/>
          <w:highlight w:val="none"/>
          <w:lang w:val="en-GB"/>
        </w:rPr>
        <w:t>11.</w:t>
      </w:r>
      <w:r>
        <w:rPr>
          <w:rFonts w:hAnsi="宋体" w:cs="宋体"/>
          <w:bCs/>
          <w:color w:val="auto"/>
          <w:sz w:val="24"/>
          <w:highlight w:val="none"/>
          <w:lang w:val="en-GB"/>
        </w:rPr>
        <w:t>3</w:t>
      </w:r>
      <w:r>
        <w:rPr>
          <w:rFonts w:hint="eastAsia" w:hAnsi="宋体" w:cs="宋体"/>
          <w:bCs/>
          <w:color w:val="auto"/>
          <w:sz w:val="24"/>
          <w:highlight w:val="none"/>
        </w:rPr>
        <w:t xml:space="preserve"> </w:t>
      </w:r>
      <w:r>
        <w:rPr>
          <w:rFonts w:hint="eastAsia" w:hAnsi="宋体" w:cs="宋体"/>
          <w:bCs/>
          <w:color w:val="auto"/>
          <w:sz w:val="24"/>
          <w:highlight w:val="none"/>
          <w:lang w:val="en-GB"/>
        </w:rPr>
        <w:t>如果响应文件填报的内容不详，或没有提供磋商文件中所要求的全部资料及数据，使磋商小组无法正常评审的，由此产生的结果由供应商承担。</w:t>
      </w:r>
    </w:p>
    <w:p>
      <w:pPr>
        <w:pStyle w:val="58"/>
        <w:spacing w:before="0" w:after="0" w:line="440" w:lineRule="exact"/>
        <w:ind w:firstLine="480" w:firstLineChars="200"/>
        <w:jc w:val="both"/>
        <w:rPr>
          <w:rFonts w:ascii="宋体" w:hAnsi="宋体" w:cs="宋体"/>
          <w:bCs w:val="0"/>
          <w:color w:val="auto"/>
          <w:spacing w:val="0"/>
          <w:szCs w:val="24"/>
          <w:highlight w:val="none"/>
          <w:lang w:val="en-GB"/>
        </w:rPr>
      </w:pPr>
      <w:r>
        <w:rPr>
          <w:rFonts w:hint="eastAsia" w:ascii="宋体" w:hAnsi="宋体" w:cs="宋体"/>
          <w:color w:val="auto"/>
          <w:spacing w:val="0"/>
          <w:kern w:val="2"/>
          <w:szCs w:val="24"/>
          <w:highlight w:val="none"/>
          <w:lang w:val="en-GB"/>
        </w:rPr>
        <w:t>11.</w:t>
      </w:r>
      <w:r>
        <w:rPr>
          <w:rFonts w:ascii="宋体" w:hAnsi="宋体" w:cs="宋体"/>
          <w:color w:val="auto"/>
          <w:spacing w:val="0"/>
          <w:kern w:val="2"/>
          <w:szCs w:val="24"/>
          <w:highlight w:val="none"/>
          <w:lang w:val="en-GB"/>
        </w:rPr>
        <w:t>4</w:t>
      </w:r>
      <w:r>
        <w:rPr>
          <w:rFonts w:hint="eastAsia" w:ascii="宋体" w:hAnsi="宋体" w:cs="宋体"/>
          <w:color w:val="auto"/>
          <w:spacing w:val="0"/>
          <w:kern w:val="2"/>
          <w:szCs w:val="24"/>
          <w:highlight w:val="none"/>
        </w:rPr>
        <w:t xml:space="preserve"> </w:t>
      </w:r>
      <w:r>
        <w:rPr>
          <w:rFonts w:hint="eastAsia" w:ascii="宋体" w:hAnsi="宋体" w:cs="宋体"/>
          <w:color w:val="auto"/>
          <w:spacing w:val="0"/>
          <w:kern w:val="2"/>
          <w:szCs w:val="24"/>
          <w:highlight w:val="none"/>
          <w:lang w:val="en-GB"/>
        </w:rPr>
        <w:t>响应文件外形尺寸应统一为A4纸规格，</w:t>
      </w:r>
      <w:r>
        <w:rPr>
          <w:rFonts w:hint="eastAsia" w:ascii="宋体" w:hAnsi="宋体" w:cs="宋体"/>
          <w:bCs w:val="0"/>
          <w:color w:val="auto"/>
          <w:spacing w:val="0"/>
          <w:szCs w:val="24"/>
          <w:highlight w:val="none"/>
          <w:lang w:val="en-GB"/>
        </w:rPr>
        <w:t>文件所使用的印章必须为企业公章，且与供应商名称完全一致，不能以其它业务章或附属机构印章代替。需签名之处必须由当事人亲笔签署。</w:t>
      </w:r>
    </w:p>
    <w:p>
      <w:pPr>
        <w:pStyle w:val="58"/>
        <w:spacing w:before="0" w:after="0" w:line="440" w:lineRule="exact"/>
        <w:ind w:firstLine="480" w:firstLineChars="200"/>
        <w:jc w:val="both"/>
        <w:rPr>
          <w:rFonts w:ascii="宋体" w:hAnsi="宋体" w:cs="宋体"/>
          <w:bCs w:val="0"/>
          <w:color w:val="auto"/>
          <w:spacing w:val="0"/>
          <w:szCs w:val="24"/>
          <w:highlight w:val="none"/>
          <w:lang w:val="en-GB"/>
        </w:rPr>
      </w:pPr>
      <w:r>
        <w:rPr>
          <w:rFonts w:hint="eastAsia" w:ascii="宋体" w:hAnsi="宋体" w:cs="宋体"/>
          <w:bCs w:val="0"/>
          <w:color w:val="auto"/>
          <w:spacing w:val="0"/>
          <w:szCs w:val="24"/>
          <w:highlight w:val="none"/>
        </w:rPr>
        <w:t>11</w:t>
      </w:r>
      <w:r>
        <w:rPr>
          <w:rFonts w:hint="eastAsia" w:ascii="宋体" w:hAnsi="宋体" w:cs="宋体"/>
          <w:bCs w:val="0"/>
          <w:color w:val="auto"/>
          <w:spacing w:val="0"/>
          <w:szCs w:val="24"/>
          <w:highlight w:val="none"/>
          <w:lang w:val="en-GB"/>
        </w:rPr>
        <w:t>.</w:t>
      </w:r>
      <w:r>
        <w:rPr>
          <w:rFonts w:ascii="宋体" w:hAnsi="宋体" w:cs="宋体"/>
          <w:bCs w:val="0"/>
          <w:color w:val="auto"/>
          <w:spacing w:val="0"/>
          <w:szCs w:val="24"/>
          <w:highlight w:val="none"/>
        </w:rPr>
        <w:t>5</w:t>
      </w:r>
      <w:r>
        <w:rPr>
          <w:rFonts w:hint="eastAsia" w:ascii="宋体" w:hAnsi="宋体" w:cs="宋体"/>
          <w:bCs w:val="0"/>
          <w:color w:val="auto"/>
          <w:spacing w:val="0"/>
          <w:szCs w:val="24"/>
          <w:highlight w:val="none"/>
        </w:rPr>
        <w:t xml:space="preserve"> </w:t>
      </w:r>
      <w:r>
        <w:rPr>
          <w:rFonts w:hint="eastAsia" w:ascii="宋体" w:hAnsi="宋体" w:cs="宋体"/>
          <w:bCs w:val="0"/>
          <w:color w:val="auto"/>
          <w:spacing w:val="0"/>
          <w:szCs w:val="24"/>
          <w:highlight w:val="none"/>
          <w:lang w:val="en-GB"/>
        </w:rPr>
        <w:t>响应文件自制部分必须打印，每页须按顺序加注页码，装订牢固且不会轻易脱落</w:t>
      </w:r>
      <w:r>
        <w:rPr>
          <w:rFonts w:hint="eastAsia" w:ascii="宋体" w:hAnsi="宋体" w:cs="宋体"/>
          <w:b/>
          <w:color w:val="auto"/>
          <w:spacing w:val="0"/>
          <w:szCs w:val="24"/>
          <w:highlight w:val="none"/>
          <w:lang w:val="en-GB"/>
        </w:rPr>
        <w:t>（注：如胶装）</w:t>
      </w:r>
      <w:r>
        <w:rPr>
          <w:rFonts w:hint="eastAsia" w:ascii="宋体" w:hAnsi="宋体" w:cs="宋体"/>
          <w:bCs w:val="0"/>
          <w:color w:val="auto"/>
          <w:spacing w:val="0"/>
          <w:szCs w:val="24"/>
          <w:highlight w:val="none"/>
          <w:lang w:val="en-GB"/>
        </w:rPr>
        <w:t>。如因装订问题而出现漏页或缺页，由此产生的一切后果由供应商自行承担。</w:t>
      </w:r>
    </w:p>
    <w:p>
      <w:pPr>
        <w:pStyle w:val="58"/>
        <w:spacing w:before="0" w:after="0" w:line="440" w:lineRule="exact"/>
        <w:ind w:firstLine="480" w:firstLineChars="200"/>
        <w:jc w:val="both"/>
        <w:rPr>
          <w:rFonts w:ascii="宋体" w:hAnsi="宋体" w:cs="宋体"/>
          <w:bCs w:val="0"/>
          <w:color w:val="auto"/>
          <w:spacing w:val="0"/>
          <w:szCs w:val="24"/>
          <w:highlight w:val="none"/>
          <w:lang w:val="en-GB"/>
        </w:rPr>
      </w:pPr>
      <w:r>
        <w:rPr>
          <w:rFonts w:hint="eastAsia" w:ascii="宋体" w:hAnsi="宋体" w:cs="宋体"/>
          <w:bCs w:val="0"/>
          <w:color w:val="auto"/>
          <w:spacing w:val="0"/>
          <w:szCs w:val="24"/>
          <w:highlight w:val="none"/>
        </w:rPr>
        <w:t>11</w:t>
      </w:r>
      <w:r>
        <w:rPr>
          <w:rFonts w:hint="eastAsia" w:ascii="宋体" w:hAnsi="宋体" w:cs="宋体"/>
          <w:bCs w:val="0"/>
          <w:color w:val="auto"/>
          <w:spacing w:val="0"/>
          <w:szCs w:val="24"/>
          <w:highlight w:val="none"/>
          <w:lang w:val="en-GB"/>
        </w:rPr>
        <w:t>.</w:t>
      </w:r>
      <w:r>
        <w:rPr>
          <w:rFonts w:ascii="宋体" w:hAnsi="宋体" w:cs="宋体"/>
          <w:bCs w:val="0"/>
          <w:color w:val="auto"/>
          <w:spacing w:val="0"/>
          <w:szCs w:val="24"/>
          <w:highlight w:val="none"/>
        </w:rPr>
        <w:t>6</w:t>
      </w:r>
      <w:r>
        <w:rPr>
          <w:rFonts w:hint="eastAsia" w:ascii="宋体" w:hAnsi="宋体" w:cs="宋体"/>
          <w:bCs w:val="0"/>
          <w:color w:val="auto"/>
          <w:spacing w:val="0"/>
          <w:szCs w:val="24"/>
          <w:highlight w:val="none"/>
        </w:rPr>
        <w:t xml:space="preserve"> </w:t>
      </w:r>
      <w:r>
        <w:rPr>
          <w:rFonts w:hint="eastAsia" w:ascii="宋体" w:hAnsi="宋体" w:cs="宋体"/>
          <w:bCs w:val="0"/>
          <w:color w:val="auto"/>
          <w:spacing w:val="0"/>
          <w:szCs w:val="24"/>
          <w:highlight w:val="none"/>
          <w:lang w:val="en-GB"/>
        </w:rPr>
        <w:t>任何行间插字、涂改和增删，必须由供应商授权代表在旁边签字或盖章后方可有效。</w:t>
      </w:r>
    </w:p>
    <w:p>
      <w:pPr>
        <w:pStyle w:val="10"/>
        <w:adjustRightInd w:val="0"/>
        <w:snapToGrid w:val="0"/>
        <w:spacing w:line="440" w:lineRule="exact"/>
        <w:ind w:firstLine="482" w:firstLineChars="200"/>
        <w:outlineLvl w:val="1"/>
        <w:rPr>
          <w:rFonts w:hAnsi="宋体" w:cs="宋体"/>
          <w:b/>
          <w:color w:val="auto"/>
          <w:sz w:val="24"/>
          <w:highlight w:val="none"/>
          <w:lang w:val="en-GB"/>
        </w:rPr>
      </w:pPr>
      <w:bookmarkStart w:id="76" w:name="_Toc433126997"/>
      <w:r>
        <w:rPr>
          <w:rFonts w:hint="eastAsia" w:hAnsi="宋体" w:cs="宋体"/>
          <w:b/>
          <w:color w:val="auto"/>
          <w:sz w:val="24"/>
          <w:highlight w:val="none"/>
          <w:lang w:val="en-GB"/>
        </w:rPr>
        <w:t>12、报价</w:t>
      </w:r>
      <w:bookmarkEnd w:id="76"/>
    </w:p>
    <w:p>
      <w:pPr>
        <w:spacing w:line="360" w:lineRule="auto"/>
        <w:ind w:firstLine="480" w:firstLineChars="200"/>
        <w:rPr>
          <w:rFonts w:ascii="宋体" w:hAnsi="宋体" w:cs="宋体"/>
          <w:color w:val="auto"/>
          <w:sz w:val="24"/>
          <w:highlight w:val="none"/>
        </w:rPr>
      </w:pPr>
      <w:bookmarkStart w:id="77" w:name="_Toc433126998"/>
      <w:r>
        <w:rPr>
          <w:rFonts w:hint="eastAsia" w:ascii="宋体" w:hAnsi="宋体" w:cs="宋体"/>
          <w:bCs/>
          <w:color w:val="auto"/>
          <w:sz w:val="24"/>
          <w:highlight w:val="none"/>
          <w:lang w:val="en-GB"/>
        </w:rPr>
        <w:t>本项目</w:t>
      </w:r>
      <w:r>
        <w:rPr>
          <w:rFonts w:hint="eastAsia" w:ascii="宋体" w:hAnsi="宋体" w:cs="宋体"/>
          <w:color w:val="auto"/>
          <w:sz w:val="24"/>
          <w:highlight w:val="none"/>
        </w:rPr>
        <w:t>预算金额：233万元。</w:t>
      </w:r>
    </w:p>
    <w:p>
      <w:pPr>
        <w:spacing w:line="360" w:lineRule="auto"/>
        <w:ind w:firstLine="480" w:firstLineChars="200"/>
        <w:rPr>
          <w:rFonts w:ascii="宋体" w:hAnsi="宋体" w:cs="宋体"/>
          <w:b/>
          <w:color w:val="auto"/>
          <w:sz w:val="24"/>
          <w:highlight w:val="none"/>
          <w:lang w:val="en-GB"/>
        </w:rPr>
      </w:pPr>
      <w:r>
        <w:rPr>
          <w:rFonts w:hint="eastAsia" w:ascii="宋体" w:hAnsi="宋体" w:cs="宋体"/>
          <w:bCs/>
          <w:color w:val="auto"/>
          <w:sz w:val="24"/>
          <w:highlight w:val="none"/>
          <w:lang w:val="en-GB"/>
        </w:rPr>
        <w:t>本项目</w:t>
      </w:r>
      <w:r>
        <w:rPr>
          <w:rFonts w:hint="eastAsia" w:ascii="宋体" w:hAnsi="宋体" w:cs="宋体"/>
          <w:color w:val="auto"/>
          <w:sz w:val="24"/>
          <w:highlight w:val="none"/>
        </w:rPr>
        <w:t>最高限价：233万元。</w:t>
      </w:r>
    </w:p>
    <w:p>
      <w:pPr>
        <w:adjustRightInd w:val="0"/>
        <w:snapToGrid w:val="0"/>
        <w:spacing w:line="440" w:lineRule="exact"/>
        <w:ind w:firstLine="482" w:firstLineChars="200"/>
        <w:outlineLvl w:val="1"/>
        <w:rPr>
          <w:rFonts w:ascii="宋体" w:hAnsi="宋体" w:cs="宋体"/>
          <w:b/>
          <w:color w:val="auto"/>
          <w:sz w:val="24"/>
          <w:highlight w:val="none"/>
          <w:lang w:val="en-GB"/>
        </w:rPr>
      </w:pPr>
      <w:r>
        <w:rPr>
          <w:rFonts w:hint="eastAsia" w:ascii="宋体" w:hAnsi="宋体" w:cs="宋体"/>
          <w:b/>
          <w:color w:val="auto"/>
          <w:sz w:val="24"/>
          <w:highlight w:val="none"/>
          <w:lang w:val="en-GB"/>
        </w:rPr>
        <w:t>13、备选方案</w:t>
      </w:r>
      <w:bookmarkEnd w:id="77"/>
    </w:p>
    <w:p>
      <w:pPr>
        <w:pStyle w:val="10"/>
        <w:adjustRightInd w:val="0"/>
        <w:snapToGrid w:val="0"/>
        <w:spacing w:line="440" w:lineRule="exact"/>
        <w:ind w:firstLine="480" w:firstLineChars="200"/>
        <w:rPr>
          <w:rFonts w:hAnsi="宋体" w:cs="宋体"/>
          <w:bCs/>
          <w:color w:val="auto"/>
          <w:sz w:val="24"/>
          <w:highlight w:val="none"/>
          <w:lang w:val="en-GB"/>
        </w:rPr>
      </w:pPr>
      <w:r>
        <w:rPr>
          <w:rFonts w:hint="eastAsia" w:hAnsi="宋体" w:cs="宋体"/>
          <w:bCs/>
          <w:color w:val="auto"/>
          <w:sz w:val="24"/>
          <w:highlight w:val="none"/>
          <w:lang w:val="en-GB"/>
        </w:rPr>
        <w:t>本次竞争性磋商只允许供应商有一个响应方案，否则视其响应文件无效。</w:t>
      </w:r>
    </w:p>
    <w:p>
      <w:pPr>
        <w:adjustRightInd w:val="0"/>
        <w:snapToGrid w:val="0"/>
        <w:spacing w:line="440" w:lineRule="exact"/>
        <w:ind w:firstLine="482" w:firstLineChars="200"/>
        <w:outlineLvl w:val="1"/>
        <w:rPr>
          <w:rFonts w:ascii="宋体" w:hAnsi="宋体" w:cs="宋体"/>
          <w:b/>
          <w:color w:val="auto"/>
          <w:sz w:val="24"/>
          <w:highlight w:val="none"/>
          <w:lang w:val="en-GB"/>
        </w:rPr>
      </w:pPr>
      <w:bookmarkStart w:id="78" w:name="_Toc433126999"/>
      <w:r>
        <w:rPr>
          <w:rFonts w:hint="eastAsia" w:ascii="宋体" w:hAnsi="宋体" w:cs="宋体"/>
          <w:b/>
          <w:color w:val="auto"/>
          <w:sz w:val="24"/>
          <w:highlight w:val="none"/>
        </w:rPr>
        <w:t>14、</w:t>
      </w:r>
      <w:bookmarkEnd w:id="78"/>
      <w:r>
        <w:rPr>
          <w:rFonts w:hint="eastAsia" w:ascii="宋体" w:hAnsi="宋体" w:cs="宋体"/>
          <w:b/>
          <w:color w:val="auto"/>
          <w:sz w:val="24"/>
          <w:highlight w:val="none"/>
          <w:lang w:val="en-GB"/>
        </w:rPr>
        <w:t>保证金</w:t>
      </w:r>
    </w:p>
    <w:p>
      <w:pPr>
        <w:widowControl/>
        <w:shd w:val="clear" w:color="auto" w:fill="FFFFFF"/>
        <w:wordWrap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14.1 保证金是参加本项目磋商的必要条件，每个参与响应</w:t>
      </w:r>
      <w:r>
        <w:rPr>
          <w:rFonts w:ascii="宋体" w:hAnsi="宋体" w:cs="宋体"/>
          <w:color w:val="auto"/>
          <w:sz w:val="24"/>
          <w:highlight w:val="none"/>
        </w:rPr>
        <w:t>的供应商</w:t>
      </w:r>
      <w:r>
        <w:rPr>
          <w:rFonts w:hint="eastAsia" w:ascii="宋体" w:hAnsi="宋体" w:cs="宋体"/>
          <w:color w:val="auto"/>
          <w:sz w:val="24"/>
          <w:highlight w:val="none"/>
        </w:rPr>
        <w:t>须缴纳</w:t>
      </w:r>
      <w:r>
        <w:rPr>
          <w:rFonts w:ascii="宋体" w:hAnsi="宋体" w:cs="宋体"/>
          <w:b/>
          <w:bCs/>
          <w:color w:val="auto"/>
          <w:sz w:val="24"/>
          <w:highlight w:val="none"/>
        </w:rPr>
        <w:t>¥</w:t>
      </w:r>
      <w:r>
        <w:rPr>
          <w:rFonts w:hint="eastAsia" w:ascii="宋体" w:hAnsi="宋体" w:cs="宋体"/>
          <w:b/>
          <w:bCs/>
          <w:color w:val="auto"/>
          <w:sz w:val="24"/>
          <w:highlight w:val="none"/>
        </w:rPr>
        <w:t>10000.00元。</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14.2 保证金</w:t>
      </w:r>
      <w:r>
        <w:rPr>
          <w:rFonts w:hint="eastAsia" w:ascii="宋体" w:hAnsi="宋体" w:cs="宋体"/>
          <w:color w:val="auto"/>
          <w:sz w:val="24"/>
          <w:highlight w:val="none"/>
          <w:lang w:val="en-GB"/>
        </w:rPr>
        <w:t>应在</w:t>
      </w:r>
      <w:r>
        <w:rPr>
          <w:rFonts w:hint="eastAsia" w:ascii="宋体" w:hAnsi="宋体" w:cs="宋体"/>
          <w:color w:val="auto"/>
          <w:sz w:val="24"/>
          <w:highlight w:val="none"/>
          <w:u w:val="single"/>
        </w:rPr>
        <w:t>2022</w:t>
      </w:r>
      <w:r>
        <w:rPr>
          <w:rFonts w:hint="eastAsia" w:ascii="宋体" w:hAnsi="宋体" w:cs="宋体"/>
          <w:bCs/>
          <w:color w:val="auto"/>
          <w:sz w:val="24"/>
          <w:highlight w:val="none"/>
          <w:u w:val="single"/>
        </w:rPr>
        <w:t>年07月25日09点00分</w:t>
      </w:r>
      <w:r>
        <w:rPr>
          <w:rFonts w:hint="eastAsia" w:ascii="宋体" w:hAnsi="宋体" w:cs="宋体"/>
          <w:bCs/>
          <w:color w:val="auto"/>
          <w:sz w:val="24"/>
          <w:highlight w:val="none"/>
        </w:rPr>
        <w:t>前</w:t>
      </w:r>
      <w:r>
        <w:rPr>
          <w:rFonts w:hint="eastAsia" w:ascii="宋体" w:hAnsi="宋体" w:cs="宋体"/>
          <w:color w:val="auto"/>
          <w:sz w:val="24"/>
          <w:highlight w:val="none"/>
          <w:lang w:val="en-GB"/>
        </w:rPr>
        <w:t>划入或存入采购代理机构指定的账户</w:t>
      </w:r>
      <w:r>
        <w:rPr>
          <w:rFonts w:hint="eastAsia" w:ascii="宋体" w:hAnsi="宋体" w:cs="宋体"/>
          <w:color w:val="auto"/>
          <w:sz w:val="24"/>
          <w:highlight w:val="none"/>
        </w:rPr>
        <w:t>并注</w:t>
      </w:r>
      <w:r>
        <w:rPr>
          <w:rFonts w:hint="eastAsia" w:ascii="宋体" w:hAnsi="宋体" w:cs="宋体"/>
          <w:color w:val="auto"/>
          <w:sz w:val="24"/>
          <w:highlight w:val="none"/>
          <w:lang w:val="en-GB"/>
        </w:rPr>
        <w:t>明</w:t>
      </w:r>
      <w:r>
        <w:rPr>
          <w:rFonts w:hint="eastAsia" w:ascii="宋体" w:hAnsi="宋体" w:cs="宋体"/>
          <w:b/>
          <w:bCs/>
          <w:color w:val="auto"/>
          <w:sz w:val="24"/>
          <w:highlight w:val="none"/>
          <w:lang w:val="en-GB"/>
        </w:rPr>
        <w:t>HNTS-2022-052磋商保证金</w:t>
      </w:r>
      <w:r>
        <w:rPr>
          <w:rFonts w:hint="eastAsia" w:ascii="宋体" w:hAnsi="宋体" w:cs="宋体"/>
          <w:color w:val="auto"/>
          <w:sz w:val="24"/>
          <w:highlight w:val="none"/>
          <w:lang w:val="en-GB"/>
        </w:rPr>
        <w:t>。</w:t>
      </w:r>
      <w:r>
        <w:rPr>
          <w:rFonts w:hint="eastAsia" w:ascii="宋体" w:hAnsi="宋体" w:cs="宋体"/>
          <w:color w:val="auto"/>
          <w:sz w:val="24"/>
          <w:highlight w:val="none"/>
        </w:rPr>
        <w:t>保证金应当以转账、支票、汇票、本票或者金融机构、担保机构出具的保函等非现金形式从其公户提交。任何以个人账户或个人名义汇入（自然人投标的情形除外）的保证金，</w:t>
      </w:r>
      <w:r>
        <w:rPr>
          <w:rFonts w:hint="eastAsia" w:ascii="宋体" w:hAnsi="宋体" w:cs="宋体"/>
          <w:color w:val="auto"/>
          <w:sz w:val="24"/>
          <w:highlight w:val="none"/>
          <w:lang w:val="en-GB"/>
        </w:rPr>
        <w:t>视为提交无效</w:t>
      </w:r>
      <w:r>
        <w:rPr>
          <w:rFonts w:hint="eastAsia" w:ascii="宋体" w:hAnsi="宋体" w:cs="宋体"/>
          <w:b/>
          <w:bCs/>
          <w:color w:val="auto"/>
          <w:sz w:val="24"/>
          <w:highlight w:val="none"/>
          <w:lang w:val="en-GB"/>
        </w:rPr>
        <w:t>。</w:t>
      </w:r>
    </w:p>
    <w:p>
      <w:pPr>
        <w:spacing w:line="440" w:lineRule="exact"/>
        <w:ind w:firstLine="2590" w:firstLineChars="1075"/>
        <w:outlineLvl w:val="0"/>
        <w:rPr>
          <w:rFonts w:hint="eastAsia" w:ascii="宋体" w:hAnsi="宋体" w:cs="宋体"/>
          <w:color w:val="auto"/>
          <w:sz w:val="24"/>
          <w:highlight w:val="none"/>
          <w:lang w:val="en-GB"/>
        </w:rPr>
      </w:pPr>
      <w:r>
        <w:rPr>
          <w:rFonts w:hint="eastAsia" w:ascii="宋体" w:hAnsi="宋体" w:cs="宋体"/>
          <w:b/>
          <w:bCs/>
          <w:color w:val="auto"/>
          <w:sz w:val="24"/>
          <w:highlight w:val="none"/>
        </w:rPr>
        <w:t xml:space="preserve">  </w:t>
      </w:r>
      <w:bookmarkStart w:id="79" w:name="_Toc1031"/>
      <w:r>
        <w:rPr>
          <w:rFonts w:hint="eastAsia" w:ascii="宋体" w:hAnsi="宋体" w:cs="宋体"/>
          <w:color w:val="auto"/>
          <w:sz w:val="24"/>
          <w:highlight w:val="none"/>
          <w:lang w:val="en-GB"/>
        </w:rPr>
        <w:t>单位名称：</w:t>
      </w:r>
      <w:bookmarkEnd w:id="79"/>
      <w:r>
        <w:rPr>
          <w:rFonts w:hint="eastAsia" w:ascii="宋体" w:hAnsi="宋体" w:cs="宋体"/>
          <w:color w:val="auto"/>
          <w:sz w:val="24"/>
          <w:highlight w:val="none"/>
          <w:lang w:val="en-GB"/>
        </w:rPr>
        <w:t>海南通尚工程管理有限公司</w:t>
      </w:r>
    </w:p>
    <w:p>
      <w:pPr>
        <w:spacing w:line="440" w:lineRule="exact"/>
        <w:ind w:firstLine="2820" w:firstLineChars="1175"/>
        <w:outlineLvl w:val="0"/>
        <w:rPr>
          <w:rFonts w:ascii="宋体" w:hAnsi="宋体" w:cs="宋体"/>
          <w:color w:val="auto"/>
          <w:sz w:val="24"/>
          <w:highlight w:val="none"/>
          <w:lang w:val="en-GB"/>
        </w:rPr>
      </w:pPr>
      <w:bookmarkStart w:id="80" w:name="_Toc24037"/>
      <w:r>
        <w:rPr>
          <w:rFonts w:hint="eastAsia" w:ascii="宋体" w:hAnsi="宋体" w:cs="宋体"/>
          <w:color w:val="auto"/>
          <w:sz w:val="24"/>
          <w:highlight w:val="none"/>
          <w:lang w:val="en-GB"/>
        </w:rPr>
        <w:t>开 户 行：</w:t>
      </w:r>
      <w:bookmarkEnd w:id="80"/>
      <w:r>
        <w:rPr>
          <w:rFonts w:hint="eastAsia" w:ascii="宋体" w:hAnsi="宋体" w:cs="宋体"/>
          <w:color w:val="auto"/>
          <w:sz w:val="24"/>
          <w:highlight w:val="none"/>
          <w:lang w:val="en-GB"/>
        </w:rPr>
        <w:t>中国建设银行股份有限公司海口国兴大道支行</w:t>
      </w:r>
    </w:p>
    <w:p>
      <w:pPr>
        <w:spacing w:line="440" w:lineRule="exact"/>
        <w:ind w:firstLine="2820" w:firstLineChars="1175"/>
        <w:outlineLvl w:val="0"/>
        <w:rPr>
          <w:rFonts w:ascii="宋体" w:hAnsi="宋体" w:cs="宋体"/>
          <w:color w:val="auto"/>
          <w:sz w:val="24"/>
          <w:highlight w:val="none"/>
          <w:lang w:val="en-GB"/>
        </w:rPr>
      </w:pPr>
      <w:bookmarkStart w:id="81" w:name="_Toc25391"/>
      <w:r>
        <w:rPr>
          <w:rFonts w:hint="eastAsia" w:ascii="宋体" w:hAnsi="宋体" w:cs="宋体"/>
          <w:color w:val="auto"/>
          <w:sz w:val="24"/>
          <w:highlight w:val="none"/>
          <w:lang w:val="en-GB"/>
        </w:rPr>
        <w:t>账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号：</w:t>
      </w:r>
      <w:bookmarkEnd w:id="81"/>
      <w:r>
        <w:rPr>
          <w:rFonts w:hint="eastAsia" w:ascii="宋体" w:hAnsi="宋体" w:cs="宋体"/>
          <w:color w:val="auto"/>
          <w:sz w:val="24"/>
          <w:highlight w:val="none"/>
          <w:lang w:val="en-GB"/>
        </w:rPr>
        <w:t>4605 0100 2537 0000 0096</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GB"/>
        </w:rPr>
        <w:t>如供应商的保证金未按要求到账的，视为无效投标并不接收响应文件。</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14.3 投标保证金的退还</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14.3.l 成交供应商的投标保证金在其与采购人签订合同后5个工作日内无息退还。</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14.3.2 落选的供应商的投标保证金将在采购代理机构发出成交通知书后5个工作日内无息退还。</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14.4 发生下列情况之一者，保证金将不予退还：</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（1）供应商在有效期内撤回其响应文件的；</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（2）供应商不按磋商文件规定签订合同的；</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（3）供应商提供虚假材料谋取中标、成交的；</w:t>
      </w:r>
    </w:p>
    <w:p>
      <w:pPr>
        <w:pStyle w:val="10"/>
        <w:adjustRightInd w:val="0"/>
        <w:snapToGrid w:val="0"/>
        <w:spacing w:line="440" w:lineRule="exact"/>
        <w:ind w:firstLine="480" w:firstLineChars="200"/>
        <w:rPr>
          <w:rFonts w:hAnsi="宋体" w:cs="宋体"/>
          <w:color w:val="auto"/>
          <w:sz w:val="24"/>
          <w:highlight w:val="none"/>
        </w:rPr>
      </w:pPr>
      <w:r>
        <w:rPr>
          <w:rFonts w:hint="eastAsia" w:hAnsi="宋体" w:cs="宋体"/>
          <w:color w:val="auto"/>
          <w:sz w:val="24"/>
          <w:highlight w:val="none"/>
        </w:rPr>
        <w:t>（4）与采购人、其它供应商或者采购代理机构恶意串通的；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（5）向采购人、采购代理机构、磋商小组成员行贿或提供其他不正当利益的；</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w:t>
      </w:r>
      <w:r>
        <w:rPr>
          <w:rFonts w:hint="eastAsia" w:ascii="宋体" w:hAnsi="宋体" w:cs="宋体"/>
          <w:color w:val="auto"/>
          <w:kern w:val="0"/>
          <w:sz w:val="24"/>
          <w:highlight w:val="none"/>
        </w:rPr>
        <w:t>采取不正当手段诋毁、排挤其他供应商的；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（7）逾期未支付招标代理服务费的。</w:t>
      </w:r>
    </w:p>
    <w:p>
      <w:pPr>
        <w:spacing w:line="440" w:lineRule="exact"/>
        <w:ind w:firstLine="482" w:firstLineChars="200"/>
        <w:rPr>
          <w:rFonts w:ascii="宋体" w:hAnsi="宋体" w:cs="宋体"/>
          <w:b/>
          <w:color w:val="auto"/>
          <w:sz w:val="24"/>
          <w:highlight w:val="none"/>
          <w:lang w:val="en-GB"/>
        </w:rPr>
      </w:pPr>
      <w:bookmarkStart w:id="82" w:name="_Toc433127000"/>
      <w:r>
        <w:rPr>
          <w:rFonts w:hint="eastAsia" w:ascii="宋体" w:hAnsi="宋体" w:cs="宋体"/>
          <w:b/>
          <w:color w:val="auto"/>
          <w:sz w:val="24"/>
          <w:highlight w:val="none"/>
          <w:lang w:val="en-GB"/>
        </w:rPr>
        <w:t>1</w:t>
      </w:r>
      <w:r>
        <w:rPr>
          <w:rFonts w:hint="eastAsia" w:ascii="宋体" w:hAnsi="宋体" w:cs="宋体"/>
          <w:b/>
          <w:color w:val="auto"/>
          <w:sz w:val="24"/>
          <w:highlight w:val="none"/>
        </w:rPr>
        <w:t>5</w:t>
      </w:r>
      <w:r>
        <w:rPr>
          <w:rFonts w:hint="eastAsia" w:ascii="宋体" w:hAnsi="宋体" w:cs="宋体"/>
          <w:b/>
          <w:color w:val="auto"/>
          <w:sz w:val="24"/>
          <w:highlight w:val="none"/>
          <w:lang w:val="en-GB"/>
        </w:rPr>
        <w:t>、响应文件的有效期</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rPr>
        <w:t>15</w:t>
      </w:r>
      <w:r>
        <w:rPr>
          <w:rFonts w:hint="eastAsia" w:ascii="宋体" w:hAnsi="宋体" w:cs="宋体"/>
          <w:bCs/>
          <w:color w:val="auto"/>
          <w:sz w:val="24"/>
          <w:highlight w:val="none"/>
          <w:lang w:val="en-GB"/>
        </w:rPr>
        <w:t>.1 响应文件应自开标之日起</w:t>
      </w:r>
      <w:r>
        <w:rPr>
          <w:rFonts w:hint="eastAsia" w:ascii="宋体" w:hAnsi="宋体" w:cs="宋体"/>
          <w:b/>
          <w:color w:val="auto"/>
          <w:sz w:val="24"/>
          <w:highlight w:val="none"/>
          <w:u w:val="single"/>
        </w:rPr>
        <w:t>6</w:t>
      </w:r>
      <w:r>
        <w:rPr>
          <w:rFonts w:hint="eastAsia" w:ascii="宋体" w:hAnsi="宋体" w:cs="宋体"/>
          <w:b/>
          <w:color w:val="auto"/>
          <w:sz w:val="24"/>
          <w:highlight w:val="none"/>
          <w:u w:val="single"/>
          <w:lang w:val="en-GB"/>
        </w:rPr>
        <w:t>0</w:t>
      </w:r>
      <w:r>
        <w:rPr>
          <w:rFonts w:hint="eastAsia" w:ascii="宋体" w:hAnsi="宋体" w:cs="宋体"/>
          <w:bCs/>
          <w:color w:val="auto"/>
          <w:sz w:val="24"/>
          <w:highlight w:val="none"/>
          <w:lang w:val="en-GB"/>
        </w:rPr>
        <w:t>日历日内保持有效。</w:t>
      </w:r>
      <w:r>
        <w:rPr>
          <w:rFonts w:hint="eastAsia" w:ascii="宋体" w:hAnsi="宋体" w:cs="宋体"/>
          <w:bCs/>
          <w:color w:val="auto"/>
          <w:sz w:val="24"/>
          <w:highlight w:val="none"/>
        </w:rPr>
        <w:t>响应文件中载明的响应文件有效期可以长于磋商文件规定的期限，但不得短于磋商文件规定的期限。否则，其响应文件将作为无效响应处理。</w:t>
      </w:r>
    </w:p>
    <w:p>
      <w:pPr>
        <w:autoSpaceDE w:val="0"/>
        <w:autoSpaceDN w:val="0"/>
        <w:adjustRightInd w:val="0"/>
        <w:snapToGrid w:val="0"/>
        <w:spacing w:line="440" w:lineRule="exact"/>
        <w:ind w:right="34" w:firstLine="540" w:firstLineChars="225"/>
        <w:outlineLvl w:val="1"/>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5</w:t>
      </w:r>
      <w:r>
        <w:rPr>
          <w:rFonts w:hint="eastAsia" w:ascii="宋体" w:hAnsi="宋体" w:cs="宋体"/>
          <w:bCs/>
          <w:color w:val="auto"/>
          <w:sz w:val="24"/>
          <w:highlight w:val="none"/>
          <w:lang w:val="en-GB"/>
        </w:rPr>
        <w:t>.2</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特殊情况下，在原响应有效期截止之前，采购代理机构和采购人可要求供应商延长响应有效期。这种要求与答复均应以书面形式提交。供应商可拒绝采购代理机构和采购人的这种要求，但其响应文件在原响应有效期满后将不再有效。同意延长响应有效期的供应商将不会被要求和允许修正其响应。</w:t>
      </w:r>
    </w:p>
    <w:p>
      <w:pPr>
        <w:autoSpaceDE w:val="0"/>
        <w:autoSpaceDN w:val="0"/>
        <w:adjustRightInd w:val="0"/>
        <w:snapToGrid w:val="0"/>
        <w:spacing w:line="440" w:lineRule="exact"/>
        <w:ind w:left="-420" w:leftChars="-200" w:right="34" w:firstLine="964" w:firstLineChars="400"/>
        <w:outlineLvl w:val="1"/>
        <w:rPr>
          <w:rFonts w:ascii="宋体" w:hAnsi="宋体" w:cs="宋体"/>
          <w:bCs/>
          <w:color w:val="auto"/>
          <w:sz w:val="24"/>
          <w:highlight w:val="none"/>
          <w:lang w:val="en-GB"/>
        </w:rPr>
      </w:pPr>
      <w:r>
        <w:rPr>
          <w:rFonts w:hint="eastAsia" w:ascii="宋体" w:hAnsi="宋体" w:cs="宋体"/>
          <w:b/>
          <w:color w:val="auto"/>
          <w:sz w:val="24"/>
          <w:highlight w:val="none"/>
        </w:rPr>
        <w:t>16、</w:t>
      </w:r>
      <w:r>
        <w:rPr>
          <w:rFonts w:hint="eastAsia" w:ascii="宋体" w:hAnsi="宋体" w:cs="宋体"/>
          <w:b/>
          <w:color w:val="auto"/>
          <w:sz w:val="24"/>
          <w:highlight w:val="none"/>
          <w:lang w:val="en-GB"/>
        </w:rPr>
        <w:t>响应文件的数量和签署</w:t>
      </w:r>
      <w:bookmarkEnd w:id="82"/>
    </w:p>
    <w:p>
      <w:pPr>
        <w:spacing w:line="440" w:lineRule="exact"/>
        <w:ind w:firstLine="480" w:firstLineChars="200"/>
        <w:rPr>
          <w:rFonts w:ascii="宋体" w:hAnsi="宋体" w:cs="宋体"/>
          <w:b/>
          <w:color w:val="auto"/>
          <w:sz w:val="24"/>
          <w:highlight w:val="none"/>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6</w:t>
      </w:r>
      <w:r>
        <w:rPr>
          <w:rFonts w:hint="eastAsia" w:ascii="宋体" w:hAnsi="宋体" w:cs="宋体"/>
          <w:bCs/>
          <w:color w:val="auto"/>
          <w:sz w:val="24"/>
          <w:highlight w:val="none"/>
          <w:lang w:val="en-GB"/>
        </w:rPr>
        <w:t>.1 响应文件</w:t>
      </w:r>
      <w:r>
        <w:rPr>
          <w:rFonts w:hint="eastAsia" w:ascii="宋体" w:hAnsi="宋体" w:cs="宋体"/>
          <w:color w:val="auto"/>
          <w:sz w:val="24"/>
          <w:highlight w:val="none"/>
          <w:lang w:val="en-GB"/>
        </w:rPr>
        <w:t>纸质版</w:t>
      </w:r>
      <w:r>
        <w:rPr>
          <w:rFonts w:hint="eastAsia" w:ascii="宋体" w:hAnsi="宋体" w:cs="宋体"/>
          <w:bCs/>
          <w:color w:val="auto"/>
          <w:sz w:val="24"/>
          <w:highlight w:val="none"/>
        </w:rPr>
        <w:t>一式叁份（正本壹份，副本贰份），固定装订（注：如胶装）。报价一览表一份，独立信封密封,</w:t>
      </w:r>
      <w:r>
        <w:rPr>
          <w:rFonts w:hint="eastAsia" w:ascii="宋体" w:hAnsi="宋体" w:cs="宋体"/>
          <w:color w:val="auto"/>
          <w:sz w:val="24"/>
          <w:highlight w:val="none"/>
        </w:rPr>
        <w:t>信封外注明“报价一览表”。</w:t>
      </w:r>
      <w:r>
        <w:rPr>
          <w:rFonts w:hint="eastAsia" w:ascii="宋体" w:hAnsi="宋体" w:cs="宋体"/>
          <w:b/>
          <w:bCs/>
          <w:color w:val="auto"/>
          <w:sz w:val="24"/>
          <w:highlight w:val="none"/>
        </w:rPr>
        <w:t>提供响应文件电子版PDF文档1份（响应文件正本扫描件），并将U盘（标注公司名称）密封在“报价一览表”中，电子介质的响应文件与纸质响应文件具有同等的法律效力,如电子介质响应文件与纸质响应文件正本不一致时以纸质版响应文件正本为准。</w:t>
      </w:r>
    </w:p>
    <w:p>
      <w:pPr>
        <w:spacing w:line="440" w:lineRule="exact"/>
        <w:ind w:firstLine="480" w:firstLineChars="200"/>
        <w:rPr>
          <w:rFonts w:hint="eastAsia" w:ascii="宋体" w:hAnsi="宋体" w:cs="宋体"/>
          <w:b/>
          <w:color w:val="auto"/>
          <w:sz w:val="24"/>
          <w:highlight w:val="none"/>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6</w:t>
      </w:r>
      <w:r>
        <w:rPr>
          <w:rFonts w:hint="eastAsia" w:ascii="宋体" w:hAnsi="宋体" w:cs="宋体"/>
          <w:bCs/>
          <w:color w:val="auto"/>
          <w:sz w:val="24"/>
          <w:highlight w:val="none"/>
          <w:lang w:val="en-GB"/>
        </w:rPr>
        <w:t>.2</w:t>
      </w:r>
      <w:r>
        <w:rPr>
          <w:rFonts w:hint="eastAsia" w:ascii="宋体" w:hAnsi="宋体" w:cs="宋体"/>
          <w:b/>
          <w:color w:val="auto"/>
          <w:sz w:val="24"/>
          <w:highlight w:val="none"/>
          <w:lang w:val="en-GB"/>
        </w:rPr>
        <w:t xml:space="preserve"> </w:t>
      </w:r>
      <w:r>
        <w:rPr>
          <w:rFonts w:hint="eastAsia" w:ascii="宋体" w:hAnsi="宋体" w:cs="宋体"/>
          <w:bCs/>
          <w:color w:val="auto"/>
          <w:sz w:val="24"/>
          <w:highlight w:val="none"/>
          <w:lang w:val="en-GB"/>
        </w:rPr>
        <w:t>响应文件须按磋商文件的要求执行，每份响应文件均须在封面上清楚标明“正本”或“副本”字样，“正本”和“副本”具有同等的法律效力；“正本”和“副本”之间如有差异，以“正本”为准。</w:t>
      </w:r>
      <w:r>
        <w:rPr>
          <w:rFonts w:hint="eastAsia" w:ascii="宋体" w:hAnsi="宋体" w:cs="宋体"/>
          <w:b/>
          <w:color w:val="auto"/>
          <w:sz w:val="24"/>
          <w:highlight w:val="none"/>
          <w:lang w:val="en-GB"/>
        </w:rPr>
        <w:t>每份响应文件均须在书脊上清楚标明本项目的项目名称和包号。</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6</w:t>
      </w:r>
      <w:r>
        <w:rPr>
          <w:rFonts w:hint="eastAsia" w:ascii="宋体" w:hAnsi="宋体" w:cs="宋体"/>
          <w:bCs/>
          <w:color w:val="auto"/>
          <w:sz w:val="24"/>
          <w:highlight w:val="none"/>
          <w:lang w:val="en-GB"/>
        </w:rPr>
        <w:t xml:space="preserve">.3 </w:t>
      </w:r>
      <w:r>
        <w:rPr>
          <w:rFonts w:hint="eastAsia" w:ascii="宋体" w:hAnsi="宋体" w:cs="宋体"/>
          <w:b/>
          <w:color w:val="auto"/>
          <w:sz w:val="24"/>
          <w:highlight w:val="none"/>
          <w:lang w:val="en-GB"/>
        </w:rPr>
        <w:t>响应文件正本中，文字材料需打印或用不褪色墨水书写。字迹易于辨认，并由</w:t>
      </w:r>
      <w:r>
        <w:rPr>
          <w:rFonts w:hint="eastAsia" w:ascii="宋体" w:hAnsi="宋体" w:cs="宋体"/>
          <w:b/>
          <w:color w:val="auto"/>
          <w:sz w:val="24"/>
          <w:highlight w:val="none"/>
        </w:rPr>
        <w:t>投标</w:t>
      </w:r>
      <w:r>
        <w:rPr>
          <w:rFonts w:hint="eastAsia" w:ascii="宋体" w:hAnsi="宋体" w:cs="宋体"/>
          <w:b/>
          <w:color w:val="auto"/>
          <w:sz w:val="24"/>
          <w:highlight w:val="none"/>
          <w:lang w:val="en-GB"/>
        </w:rPr>
        <w:t>供应商的法定代表人或其委托代理人，在响应文件要求签字和盖章的地方必须签字和盖章（公章），在响应文件正本必须盖上骑缝章并由</w:t>
      </w:r>
      <w:r>
        <w:rPr>
          <w:rFonts w:hint="eastAsia" w:ascii="宋体" w:hAnsi="宋体" w:cs="宋体"/>
          <w:b/>
          <w:color w:val="auto"/>
          <w:sz w:val="24"/>
          <w:highlight w:val="none"/>
        </w:rPr>
        <w:t>投标</w:t>
      </w:r>
      <w:r>
        <w:rPr>
          <w:rFonts w:hint="eastAsia" w:ascii="宋体" w:hAnsi="宋体" w:cs="宋体"/>
          <w:b/>
          <w:color w:val="auto"/>
          <w:sz w:val="24"/>
          <w:highlight w:val="none"/>
          <w:lang w:val="en-GB"/>
        </w:rPr>
        <w:t>供应商的法定代表人或其委托代理人</w:t>
      </w:r>
      <w:r>
        <w:rPr>
          <w:rFonts w:hint="eastAsia" w:ascii="宋体" w:hAnsi="宋体" w:cs="宋体"/>
          <w:b/>
          <w:color w:val="auto"/>
          <w:sz w:val="24"/>
          <w:highlight w:val="none"/>
        </w:rPr>
        <w:t>在骑缝处签字</w:t>
      </w:r>
      <w:r>
        <w:rPr>
          <w:rFonts w:hint="eastAsia" w:ascii="宋体" w:hAnsi="宋体" w:cs="宋体"/>
          <w:b/>
          <w:color w:val="auto"/>
          <w:sz w:val="24"/>
          <w:highlight w:val="none"/>
          <w:lang w:val="en-GB"/>
        </w:rPr>
        <w:t>，副本可以复印，正本没有签字和盖章的文件将无法通过资格审查。</w:t>
      </w:r>
    </w:p>
    <w:p>
      <w:pPr>
        <w:snapToGrid w:val="0"/>
        <w:spacing w:before="160" w:beforeLines="50" w:after="160" w:afterLines="50" w:line="440" w:lineRule="exact"/>
        <w:outlineLvl w:val="0"/>
        <w:rPr>
          <w:rFonts w:ascii="宋体" w:hAnsi="宋体" w:cs="宋体"/>
          <w:b/>
          <w:color w:val="auto"/>
          <w:sz w:val="28"/>
          <w:szCs w:val="28"/>
          <w:highlight w:val="none"/>
        </w:rPr>
      </w:pPr>
      <w:bookmarkStart w:id="83" w:name="_Toc433127001"/>
      <w:bookmarkStart w:id="84" w:name="_Toc5587"/>
      <w:r>
        <w:rPr>
          <w:rFonts w:hint="eastAsia" w:ascii="宋体" w:hAnsi="宋体" w:cs="宋体"/>
          <w:b/>
          <w:color w:val="auto"/>
          <w:sz w:val="28"/>
          <w:szCs w:val="28"/>
          <w:highlight w:val="none"/>
        </w:rPr>
        <w:t>（四）响应文件的递交</w:t>
      </w:r>
      <w:bookmarkEnd w:id="83"/>
      <w:bookmarkEnd w:id="84"/>
    </w:p>
    <w:p>
      <w:pPr>
        <w:spacing w:line="440" w:lineRule="exact"/>
        <w:ind w:firstLine="482" w:firstLineChars="200"/>
        <w:outlineLvl w:val="1"/>
        <w:rPr>
          <w:rFonts w:ascii="宋体" w:hAnsi="宋体" w:cs="宋体"/>
          <w:b/>
          <w:color w:val="auto"/>
          <w:sz w:val="24"/>
          <w:highlight w:val="none"/>
        </w:rPr>
      </w:pPr>
      <w:bookmarkStart w:id="85" w:name="_Toc433127002"/>
      <w:r>
        <w:rPr>
          <w:rFonts w:hint="eastAsia" w:ascii="宋体" w:hAnsi="宋体" w:cs="宋体"/>
          <w:b/>
          <w:color w:val="auto"/>
          <w:sz w:val="24"/>
          <w:highlight w:val="none"/>
        </w:rPr>
        <w:t>17、响应文件的密封及标记</w:t>
      </w:r>
      <w:bookmarkEnd w:id="85"/>
    </w:p>
    <w:p>
      <w:pPr>
        <w:spacing w:line="440" w:lineRule="exact"/>
        <w:ind w:firstLine="480" w:firstLineChars="200"/>
        <w:rPr>
          <w:rFonts w:ascii="宋体" w:hAnsi="宋体" w:cs="宋体"/>
          <w:bCs/>
          <w:color w:val="auto"/>
          <w:sz w:val="24"/>
          <w:highlight w:val="none"/>
          <w:lang w:val="en-GB"/>
        </w:rPr>
      </w:pPr>
      <w:r>
        <w:rPr>
          <w:rFonts w:ascii="宋体" w:hAnsi="宋体" w:cs="宋体"/>
          <w:bCs/>
          <w:color w:val="auto"/>
          <w:sz w:val="24"/>
          <w:highlight w:val="none"/>
          <w:lang w:val="en-GB"/>
        </w:rPr>
        <w:t>1</w:t>
      </w:r>
      <w:r>
        <w:rPr>
          <w:rFonts w:hint="eastAsia" w:ascii="宋体" w:hAnsi="宋体" w:cs="宋体"/>
          <w:bCs/>
          <w:color w:val="auto"/>
          <w:sz w:val="24"/>
          <w:highlight w:val="none"/>
        </w:rPr>
        <w:t>7</w:t>
      </w:r>
      <w:r>
        <w:rPr>
          <w:rFonts w:hint="eastAsia" w:ascii="宋体" w:hAnsi="宋体" w:cs="宋体"/>
          <w:bCs/>
          <w:color w:val="auto"/>
          <w:sz w:val="24"/>
          <w:highlight w:val="none"/>
          <w:lang w:val="en-GB"/>
        </w:rPr>
        <w:t>.l 供应商应将响应文件正本和所有副本分别密封在两个专用袋（箱）中</w:t>
      </w:r>
      <w:r>
        <w:rPr>
          <w:rFonts w:hint="eastAsia" w:ascii="宋体" w:hAnsi="宋体" w:cs="宋体"/>
          <w:b/>
          <w:color w:val="auto"/>
          <w:sz w:val="24"/>
          <w:highlight w:val="none"/>
          <w:lang w:val="en-GB"/>
        </w:rPr>
        <w:t>（正本壹份共一袋，副本贰份共一袋）</w:t>
      </w:r>
      <w:r>
        <w:rPr>
          <w:rFonts w:hint="eastAsia" w:ascii="宋体" w:hAnsi="宋体" w:cs="宋体"/>
          <w:bCs/>
          <w:color w:val="auto"/>
          <w:sz w:val="24"/>
          <w:highlight w:val="none"/>
          <w:lang w:val="en-GB"/>
        </w:rPr>
        <w:t>及</w:t>
      </w:r>
      <w:r>
        <w:rPr>
          <w:rFonts w:hint="eastAsia" w:ascii="宋体" w:hAnsi="宋体" w:cs="宋体"/>
          <w:b/>
          <w:color w:val="auto"/>
          <w:sz w:val="24"/>
          <w:highlight w:val="none"/>
          <w:lang w:val="en-GB"/>
        </w:rPr>
        <w:t>报价一览表（独立信封密封一份）</w:t>
      </w:r>
      <w:r>
        <w:rPr>
          <w:rFonts w:hint="eastAsia" w:ascii="宋体" w:hAnsi="宋体" w:cs="宋体"/>
          <w:bCs/>
          <w:color w:val="auto"/>
          <w:sz w:val="24"/>
          <w:highlight w:val="none"/>
          <w:lang w:val="en-GB"/>
        </w:rPr>
        <w:t>，并在专用袋（箱）上标明“</w:t>
      </w:r>
      <w:r>
        <w:rPr>
          <w:rFonts w:hint="eastAsia" w:ascii="宋体" w:hAnsi="宋体" w:cs="宋体"/>
          <w:b/>
          <w:color w:val="auto"/>
          <w:sz w:val="24"/>
          <w:highlight w:val="none"/>
          <w:lang w:val="en-GB"/>
        </w:rPr>
        <w:t>正本</w:t>
      </w:r>
      <w:r>
        <w:rPr>
          <w:rFonts w:hint="eastAsia" w:ascii="宋体" w:hAnsi="宋体" w:cs="宋体"/>
          <w:bCs/>
          <w:color w:val="auto"/>
          <w:sz w:val="24"/>
          <w:highlight w:val="none"/>
          <w:lang w:val="en-GB"/>
        </w:rPr>
        <w:t>”、“</w:t>
      </w:r>
      <w:r>
        <w:rPr>
          <w:rFonts w:hint="eastAsia" w:ascii="宋体" w:hAnsi="宋体" w:cs="宋体"/>
          <w:b/>
          <w:color w:val="auto"/>
          <w:sz w:val="24"/>
          <w:highlight w:val="none"/>
          <w:lang w:val="en-GB"/>
        </w:rPr>
        <w:t>副本</w:t>
      </w:r>
      <w:r>
        <w:rPr>
          <w:rFonts w:hint="eastAsia" w:ascii="宋体" w:hAnsi="宋体" w:cs="宋体"/>
          <w:bCs/>
          <w:color w:val="auto"/>
          <w:sz w:val="24"/>
          <w:highlight w:val="none"/>
          <w:lang w:val="en-GB"/>
        </w:rPr>
        <w:t>”、“</w:t>
      </w:r>
      <w:r>
        <w:rPr>
          <w:rFonts w:hint="eastAsia" w:ascii="宋体" w:hAnsi="宋体" w:cs="宋体"/>
          <w:b/>
          <w:color w:val="auto"/>
          <w:sz w:val="24"/>
          <w:highlight w:val="none"/>
          <w:lang w:val="en-GB"/>
        </w:rPr>
        <w:t>报价一览表</w:t>
      </w:r>
      <w:r>
        <w:rPr>
          <w:rFonts w:hint="eastAsia" w:ascii="宋体" w:hAnsi="宋体" w:cs="宋体"/>
          <w:bCs/>
          <w:color w:val="auto"/>
          <w:sz w:val="24"/>
          <w:highlight w:val="none"/>
          <w:lang w:val="en-GB"/>
        </w:rPr>
        <w:t>”字样，封口处应加盖骑缝章。封皮上均应写明：</w:t>
      </w:r>
    </w:p>
    <w:p>
      <w:pPr>
        <w:spacing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致：海南通尚工程管理有限公司</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项目名称：</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项目编号：</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注明：“请勿在递交响应文件截止时间之前启封”</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供应商名称、联系人姓名和电话</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7</w:t>
      </w:r>
      <w:r>
        <w:rPr>
          <w:rFonts w:hint="eastAsia" w:ascii="宋体" w:hAnsi="宋体" w:cs="宋体"/>
          <w:bCs/>
          <w:color w:val="auto"/>
          <w:sz w:val="24"/>
          <w:highlight w:val="none"/>
          <w:lang w:val="en-GB"/>
        </w:rPr>
        <w:t>.2 投标专用袋（箱）封皮未按上述规定书写、标记和密封的供应商，采购代理机构或采购人有权拒收其响应文件。</w:t>
      </w:r>
    </w:p>
    <w:bookmarkEnd w:id="67"/>
    <w:bookmarkEnd w:id="68"/>
    <w:bookmarkEnd w:id="69"/>
    <w:p>
      <w:pPr>
        <w:spacing w:line="440" w:lineRule="exact"/>
        <w:ind w:firstLine="482" w:firstLineChars="200"/>
        <w:outlineLvl w:val="1"/>
        <w:rPr>
          <w:rFonts w:ascii="宋体" w:hAnsi="宋体" w:cs="宋体"/>
          <w:b/>
          <w:color w:val="auto"/>
          <w:sz w:val="24"/>
          <w:highlight w:val="none"/>
        </w:rPr>
      </w:pPr>
      <w:bookmarkStart w:id="86" w:name="_Toc433127003"/>
      <w:r>
        <w:rPr>
          <w:rFonts w:hint="eastAsia" w:ascii="宋体" w:hAnsi="宋体" w:cs="宋体"/>
          <w:b/>
          <w:color w:val="auto"/>
          <w:sz w:val="24"/>
          <w:highlight w:val="none"/>
        </w:rPr>
        <w:t>18、响应文件</w:t>
      </w:r>
      <w:r>
        <w:rPr>
          <w:rFonts w:ascii="宋体" w:hAnsi="宋体" w:cs="宋体"/>
          <w:b/>
          <w:color w:val="auto"/>
          <w:sz w:val="24"/>
          <w:highlight w:val="none"/>
        </w:rPr>
        <w:t>提交</w:t>
      </w:r>
      <w:r>
        <w:rPr>
          <w:rFonts w:hint="eastAsia" w:ascii="宋体" w:hAnsi="宋体" w:cs="宋体"/>
          <w:b/>
          <w:color w:val="auto"/>
          <w:sz w:val="24"/>
          <w:highlight w:val="none"/>
        </w:rPr>
        <w:t>截止时间</w:t>
      </w:r>
      <w:bookmarkEnd w:id="86"/>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.l 供应商须在响应文件提交截止时间前将响应文件送达采购代理机构规定的地点。</w:t>
      </w:r>
    </w:p>
    <w:p>
      <w:pPr>
        <w:spacing w:line="440" w:lineRule="exact"/>
        <w:ind w:firstLine="482" w:firstLineChars="200"/>
        <w:rPr>
          <w:rFonts w:ascii="宋体" w:hAnsi="宋体" w:cs="宋体"/>
          <w:b/>
          <w:color w:val="auto"/>
          <w:sz w:val="24"/>
          <w:highlight w:val="none"/>
          <w:lang w:val="en-GB"/>
        </w:rPr>
      </w:pPr>
      <w:r>
        <w:rPr>
          <w:rFonts w:ascii="宋体" w:hAnsi="宋体" w:cs="宋体"/>
          <w:b/>
          <w:color w:val="auto"/>
          <w:sz w:val="24"/>
          <w:highlight w:val="none"/>
          <w:lang w:val="en-GB"/>
        </w:rPr>
        <w:t>1</w:t>
      </w:r>
      <w:r>
        <w:rPr>
          <w:rFonts w:hint="eastAsia" w:ascii="宋体" w:hAnsi="宋体" w:cs="宋体"/>
          <w:b/>
          <w:color w:val="auto"/>
          <w:sz w:val="24"/>
          <w:highlight w:val="none"/>
        </w:rPr>
        <w:t>8</w:t>
      </w:r>
      <w:r>
        <w:rPr>
          <w:rFonts w:ascii="宋体" w:hAnsi="宋体" w:cs="宋体"/>
          <w:b/>
          <w:color w:val="auto"/>
          <w:sz w:val="24"/>
          <w:highlight w:val="none"/>
          <w:lang w:val="en-GB"/>
        </w:rPr>
        <w:t xml:space="preserve">.2 </w:t>
      </w:r>
      <w:r>
        <w:rPr>
          <w:rFonts w:hint="eastAsia" w:ascii="宋体" w:hAnsi="宋体" w:cs="宋体"/>
          <w:b/>
          <w:color w:val="auto"/>
          <w:sz w:val="24"/>
          <w:highlight w:val="none"/>
          <w:lang w:val="en-GB"/>
        </w:rPr>
        <w:t>供应商</w:t>
      </w:r>
      <w:r>
        <w:rPr>
          <w:rFonts w:ascii="宋体" w:hAnsi="宋体" w:cs="宋体"/>
          <w:b/>
          <w:color w:val="auto"/>
          <w:sz w:val="24"/>
          <w:highlight w:val="none"/>
          <w:lang w:val="en-GB"/>
        </w:rPr>
        <w:t>的授权</w:t>
      </w:r>
      <w:r>
        <w:rPr>
          <w:rFonts w:hint="eastAsia" w:ascii="宋体" w:hAnsi="宋体" w:cs="宋体"/>
          <w:b/>
          <w:color w:val="auto"/>
          <w:sz w:val="24"/>
          <w:highlight w:val="none"/>
          <w:lang w:val="en-GB"/>
        </w:rPr>
        <w:t>代表</w:t>
      </w:r>
      <w:r>
        <w:rPr>
          <w:rFonts w:ascii="宋体" w:hAnsi="宋体" w:cs="宋体"/>
          <w:b/>
          <w:color w:val="auto"/>
          <w:sz w:val="24"/>
          <w:highlight w:val="none"/>
          <w:lang w:val="en-GB"/>
        </w:rPr>
        <w:t>须携带《法定代表人授权书》</w:t>
      </w:r>
      <w:r>
        <w:rPr>
          <w:rFonts w:hint="eastAsia" w:ascii="宋体" w:hAnsi="宋体" w:cs="宋体"/>
          <w:b/>
          <w:color w:val="auto"/>
          <w:sz w:val="24"/>
          <w:highlight w:val="none"/>
          <w:lang w:val="en-GB"/>
        </w:rPr>
        <w:t>、法人身份证复印件</w:t>
      </w:r>
      <w:r>
        <w:rPr>
          <w:rFonts w:ascii="宋体" w:hAnsi="宋体" w:cs="宋体"/>
          <w:b/>
          <w:color w:val="auto"/>
          <w:sz w:val="24"/>
          <w:highlight w:val="none"/>
          <w:lang w:val="en-GB"/>
        </w:rPr>
        <w:t>及保证金转</w:t>
      </w:r>
      <w:r>
        <w:rPr>
          <w:rFonts w:hint="eastAsia" w:ascii="宋体" w:hAnsi="宋体" w:cs="宋体"/>
          <w:b/>
          <w:color w:val="auto"/>
          <w:sz w:val="24"/>
          <w:highlight w:val="none"/>
          <w:lang w:val="en-GB"/>
        </w:rPr>
        <w:t>账或</w:t>
      </w:r>
      <w:r>
        <w:rPr>
          <w:rFonts w:ascii="宋体" w:hAnsi="宋体" w:cs="宋体"/>
          <w:b/>
          <w:color w:val="auto"/>
          <w:sz w:val="24"/>
          <w:highlight w:val="none"/>
          <w:lang w:val="en-GB"/>
        </w:rPr>
        <w:t>汇款的银行回单（均要求复印件</w:t>
      </w:r>
      <w:r>
        <w:rPr>
          <w:rFonts w:hint="eastAsia" w:ascii="宋体" w:hAnsi="宋体" w:cs="宋体"/>
          <w:b/>
          <w:color w:val="auto"/>
          <w:sz w:val="24"/>
          <w:highlight w:val="none"/>
          <w:lang w:val="en-GB"/>
        </w:rPr>
        <w:t>加盖公章</w:t>
      </w:r>
      <w:r>
        <w:rPr>
          <w:rFonts w:ascii="宋体" w:hAnsi="宋体" w:cs="宋体"/>
          <w:b/>
          <w:color w:val="auto"/>
          <w:sz w:val="24"/>
          <w:highlight w:val="none"/>
          <w:lang w:val="en-GB"/>
        </w:rPr>
        <w:t>）及个人身份证</w:t>
      </w:r>
      <w:r>
        <w:rPr>
          <w:rFonts w:hint="eastAsia" w:ascii="宋体" w:hAnsi="宋体" w:cs="宋体"/>
          <w:b/>
          <w:color w:val="auto"/>
          <w:sz w:val="24"/>
          <w:highlight w:val="none"/>
          <w:lang w:val="en-GB"/>
        </w:rPr>
        <w:t>原件</w:t>
      </w:r>
      <w:r>
        <w:rPr>
          <w:rFonts w:ascii="宋体" w:hAnsi="宋体" w:cs="宋体"/>
          <w:b/>
          <w:color w:val="auto"/>
          <w:sz w:val="24"/>
          <w:highlight w:val="none"/>
          <w:lang w:val="en-GB"/>
        </w:rPr>
        <w:t>亲临</w:t>
      </w:r>
      <w:r>
        <w:rPr>
          <w:rFonts w:hint="eastAsia" w:ascii="宋体" w:hAnsi="宋体" w:cs="宋体"/>
          <w:b/>
          <w:color w:val="auto"/>
          <w:sz w:val="24"/>
          <w:highlight w:val="none"/>
          <w:lang w:val="en-GB"/>
        </w:rPr>
        <w:t>响应文件开启会议</w:t>
      </w:r>
      <w:r>
        <w:rPr>
          <w:rFonts w:ascii="宋体" w:hAnsi="宋体" w:cs="宋体"/>
          <w:b/>
          <w:color w:val="auto"/>
          <w:sz w:val="24"/>
          <w:highlight w:val="none"/>
          <w:lang w:val="en-GB"/>
        </w:rPr>
        <w:t>现场</w:t>
      </w:r>
      <w:r>
        <w:rPr>
          <w:rFonts w:hint="eastAsia" w:ascii="宋体" w:hAnsi="宋体" w:cs="宋体"/>
          <w:b/>
          <w:color w:val="auto"/>
          <w:sz w:val="24"/>
          <w:highlight w:val="none"/>
          <w:lang w:val="en-GB"/>
        </w:rPr>
        <w:t>核</w:t>
      </w:r>
      <w:r>
        <w:rPr>
          <w:rFonts w:ascii="宋体" w:hAnsi="宋体" w:cs="宋体"/>
          <w:b/>
          <w:color w:val="auto"/>
          <w:sz w:val="24"/>
          <w:highlight w:val="none"/>
          <w:lang w:val="en-GB"/>
        </w:rPr>
        <w:t>验。其现场所签署确认的文件均代表</w:t>
      </w:r>
      <w:r>
        <w:rPr>
          <w:rFonts w:hint="eastAsia" w:ascii="宋体" w:hAnsi="宋体" w:cs="宋体"/>
          <w:b/>
          <w:color w:val="auto"/>
          <w:sz w:val="24"/>
          <w:highlight w:val="none"/>
          <w:lang w:val="en-GB"/>
        </w:rPr>
        <w:t>供应商</w:t>
      </w:r>
      <w:r>
        <w:rPr>
          <w:rFonts w:ascii="宋体" w:hAnsi="宋体" w:cs="宋体"/>
          <w:b/>
          <w:color w:val="auto"/>
          <w:sz w:val="24"/>
          <w:highlight w:val="none"/>
          <w:lang w:val="en-GB"/>
        </w:rPr>
        <w:t>的决定，并作为响应文件的补充内容，具有同等法律效力。</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w:t>
      </w:r>
      <w:r>
        <w:rPr>
          <w:rFonts w:hint="eastAsia" w:ascii="宋体" w:hAnsi="宋体" w:cs="宋体"/>
          <w:bCs/>
          <w:color w:val="auto"/>
          <w:sz w:val="24"/>
          <w:highlight w:val="none"/>
        </w:rPr>
        <w:t>3</w:t>
      </w:r>
      <w:r>
        <w:rPr>
          <w:rFonts w:hint="eastAsia" w:ascii="宋体" w:hAnsi="宋体" w:cs="宋体"/>
          <w:bCs/>
          <w:color w:val="auto"/>
          <w:sz w:val="24"/>
          <w:highlight w:val="none"/>
          <w:lang w:val="en-GB"/>
        </w:rPr>
        <w:t xml:space="preserve"> 若采购代理机构推迟了响应文件提交截止时间，应以公告的形式通知所有供应商。在这种情况下，采购代理机构、采购人和供应商的权利和义务均应以新的响应文件提交截止时间为准。</w:t>
      </w:r>
    </w:p>
    <w:p>
      <w:pPr>
        <w:spacing w:line="440" w:lineRule="exact"/>
        <w:ind w:firstLine="480" w:firstLineChars="200"/>
        <w:rPr>
          <w:rFonts w:ascii="宋体" w:hAnsi="宋体" w:cs="宋体"/>
          <w:b/>
          <w:color w:val="auto"/>
          <w:sz w:val="28"/>
          <w:szCs w:val="28"/>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8</w:t>
      </w:r>
      <w:r>
        <w:rPr>
          <w:rFonts w:hint="eastAsia" w:ascii="宋体" w:hAnsi="宋体" w:cs="宋体"/>
          <w:bCs/>
          <w:color w:val="auto"/>
          <w:sz w:val="24"/>
          <w:highlight w:val="none"/>
          <w:lang w:val="en-GB"/>
        </w:rPr>
        <w:t>.</w:t>
      </w:r>
      <w:r>
        <w:rPr>
          <w:rFonts w:hint="eastAsia" w:ascii="宋体" w:hAnsi="宋体" w:cs="宋体"/>
          <w:bCs/>
          <w:color w:val="auto"/>
          <w:sz w:val="24"/>
          <w:highlight w:val="none"/>
        </w:rPr>
        <w:t>4</w:t>
      </w:r>
      <w:r>
        <w:rPr>
          <w:rFonts w:hint="eastAsia" w:ascii="宋体" w:hAnsi="宋体" w:cs="宋体"/>
          <w:bCs/>
          <w:color w:val="auto"/>
          <w:sz w:val="24"/>
          <w:highlight w:val="none"/>
          <w:lang w:val="en-GB"/>
        </w:rPr>
        <w:t xml:space="preserve"> 在响应文件提交截止时间后递交的响应文件，采购代理机构将拒绝接收。</w:t>
      </w:r>
    </w:p>
    <w:p>
      <w:pPr>
        <w:spacing w:before="160" w:beforeLines="50" w:after="160" w:afterLines="50" w:line="440" w:lineRule="exact"/>
        <w:rPr>
          <w:rFonts w:ascii="宋体" w:hAnsi="宋体" w:cs="宋体"/>
          <w:bCs/>
          <w:color w:val="auto"/>
          <w:sz w:val="28"/>
          <w:szCs w:val="28"/>
          <w:highlight w:val="none"/>
          <w:lang w:val="en-GB"/>
        </w:rPr>
      </w:pPr>
      <w:r>
        <w:rPr>
          <w:rFonts w:hint="eastAsia" w:ascii="宋体" w:hAnsi="宋体" w:cs="宋体"/>
          <w:b/>
          <w:color w:val="auto"/>
          <w:sz w:val="28"/>
          <w:szCs w:val="28"/>
          <w:highlight w:val="none"/>
          <w:lang w:val="en-GB"/>
        </w:rPr>
        <w:t>（五）响应文件的开启</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19、</w:t>
      </w:r>
      <w:r>
        <w:rPr>
          <w:rFonts w:hint="eastAsia" w:ascii="宋体" w:hAnsi="宋体" w:cs="宋体"/>
          <w:b/>
          <w:color w:val="auto"/>
          <w:sz w:val="24"/>
          <w:highlight w:val="none"/>
          <w:lang w:val="en-GB"/>
        </w:rPr>
        <w:t>响应文件的开启</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9</w:t>
      </w:r>
      <w:r>
        <w:rPr>
          <w:rFonts w:hint="eastAsia" w:ascii="宋体" w:hAnsi="宋体" w:cs="宋体"/>
          <w:bCs/>
          <w:color w:val="auto"/>
          <w:sz w:val="24"/>
          <w:highlight w:val="none"/>
          <w:lang w:val="en-GB"/>
        </w:rPr>
        <w:t>.l 采购代理机构按“竞争性磋商公告”中规定的时间和地点组织开标，采购人代表、采购代理机构有关工作人员参加。供应商应委派授权代表参加开标活动，参加开标的代表须持本人身份证及相关授权证明材料签名报到以证明其出席。</w:t>
      </w:r>
      <w:r>
        <w:rPr>
          <w:rFonts w:hint="eastAsia" w:ascii="宋体" w:hAnsi="宋体" w:cs="宋体"/>
          <w:b/>
          <w:color w:val="auto"/>
          <w:sz w:val="24"/>
          <w:highlight w:val="none"/>
          <w:lang w:val="en-GB"/>
        </w:rPr>
        <w:t>未派授权代表或不能证明其授权代表身份的，采购代理机构将拒收其响应文件。</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9</w:t>
      </w:r>
      <w:r>
        <w:rPr>
          <w:rFonts w:hint="eastAsia" w:ascii="宋体" w:hAnsi="宋体" w:cs="宋体"/>
          <w:bCs/>
          <w:color w:val="auto"/>
          <w:sz w:val="24"/>
          <w:highlight w:val="none"/>
          <w:lang w:val="en-GB"/>
        </w:rPr>
        <w:t>.2</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lang w:val="en-GB"/>
        </w:rPr>
        <w:t>1</w:t>
      </w:r>
      <w:r>
        <w:rPr>
          <w:rFonts w:hint="eastAsia" w:ascii="宋体" w:hAnsi="宋体" w:cs="宋体"/>
          <w:bCs/>
          <w:color w:val="auto"/>
          <w:sz w:val="24"/>
          <w:highlight w:val="none"/>
        </w:rPr>
        <w:t>9</w:t>
      </w:r>
      <w:r>
        <w:rPr>
          <w:rFonts w:hint="eastAsia" w:ascii="宋体" w:hAnsi="宋体" w:cs="宋体"/>
          <w:bCs/>
          <w:color w:val="auto"/>
          <w:sz w:val="24"/>
          <w:highlight w:val="none"/>
          <w:lang w:val="en-GB"/>
        </w:rPr>
        <w:t>.3 开标时，供应商授权代表将查验响应文件的密封情况，以及采购代理机构认为合适的其他内容，采购代理机构将作开标记录。</w:t>
      </w:r>
    </w:p>
    <w:p>
      <w:pPr>
        <w:snapToGrid w:val="0"/>
        <w:spacing w:before="160" w:beforeLines="50" w:after="160" w:afterLines="50" w:line="440" w:lineRule="exact"/>
        <w:outlineLvl w:val="0"/>
        <w:rPr>
          <w:rFonts w:ascii="宋体" w:hAnsi="宋体" w:cs="宋体"/>
          <w:b/>
          <w:color w:val="auto"/>
          <w:sz w:val="28"/>
          <w:szCs w:val="28"/>
          <w:highlight w:val="none"/>
          <w:lang w:val="en-GB"/>
        </w:rPr>
      </w:pPr>
      <w:bookmarkStart w:id="87" w:name="_Toc433127004"/>
      <w:bookmarkStart w:id="88" w:name="_Toc1236"/>
      <w:r>
        <w:rPr>
          <w:rFonts w:hint="eastAsia" w:ascii="宋体" w:hAnsi="宋体" w:cs="宋体"/>
          <w:b/>
          <w:color w:val="auto"/>
          <w:sz w:val="28"/>
          <w:szCs w:val="28"/>
          <w:highlight w:val="none"/>
        </w:rPr>
        <w:t>（六）</w:t>
      </w:r>
      <w:r>
        <w:rPr>
          <w:rFonts w:hint="eastAsia" w:ascii="宋体" w:hAnsi="宋体" w:cs="宋体"/>
          <w:b/>
          <w:color w:val="auto"/>
          <w:sz w:val="28"/>
          <w:szCs w:val="28"/>
          <w:highlight w:val="none"/>
          <w:lang w:val="en-GB"/>
        </w:rPr>
        <w:t>磋商、评审</w:t>
      </w:r>
      <w:bookmarkEnd w:id="87"/>
      <w:r>
        <w:rPr>
          <w:rFonts w:hint="eastAsia" w:ascii="宋体" w:hAnsi="宋体" w:cs="宋体"/>
          <w:b/>
          <w:color w:val="auto"/>
          <w:sz w:val="28"/>
          <w:szCs w:val="28"/>
          <w:highlight w:val="none"/>
          <w:lang w:val="en-GB"/>
        </w:rPr>
        <w:t>及成交</w:t>
      </w:r>
      <w:bookmarkEnd w:id="88"/>
    </w:p>
    <w:p>
      <w:pPr>
        <w:spacing w:line="440" w:lineRule="exact"/>
        <w:ind w:firstLine="482" w:firstLineChars="200"/>
        <w:outlineLvl w:val="1"/>
        <w:rPr>
          <w:rFonts w:ascii="宋体" w:hAnsi="宋体" w:cs="宋体"/>
          <w:b/>
          <w:color w:val="auto"/>
          <w:sz w:val="24"/>
          <w:highlight w:val="none"/>
        </w:rPr>
      </w:pPr>
      <w:bookmarkStart w:id="89" w:name="_Toc433127005"/>
      <w:r>
        <w:rPr>
          <w:rFonts w:hint="eastAsia" w:ascii="宋体" w:hAnsi="宋体" w:cs="宋体"/>
          <w:b/>
          <w:color w:val="auto"/>
          <w:sz w:val="24"/>
          <w:highlight w:val="none"/>
        </w:rPr>
        <w:t>20、</w:t>
      </w:r>
      <w:r>
        <w:rPr>
          <w:rFonts w:hint="eastAsia" w:ascii="宋体" w:hAnsi="宋体" w:cs="宋体"/>
          <w:b/>
          <w:color w:val="auto"/>
          <w:sz w:val="24"/>
          <w:highlight w:val="none"/>
          <w:lang w:val="en-GB"/>
        </w:rPr>
        <w:t>磋商小组的组成</w:t>
      </w:r>
      <w:bookmarkEnd w:id="89"/>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磋商小组由海南省综合评标专家库中随机抽取的相关专家共3人以上单数组成，其中，技术、经济等方面的专家人数不得少于成员总数的2/3。</w:t>
      </w:r>
      <w:r>
        <w:rPr>
          <w:rFonts w:ascii="宋体" w:hAnsi="宋体"/>
          <w:color w:val="auto"/>
          <w:sz w:val="24"/>
          <w:highlight w:val="none"/>
        </w:rPr>
        <w:t>磋商小组成员</w:t>
      </w:r>
      <w:r>
        <w:rPr>
          <w:rFonts w:hint="eastAsia" w:ascii="宋体" w:hAnsi="宋体"/>
          <w:color w:val="auto"/>
          <w:sz w:val="24"/>
          <w:highlight w:val="none"/>
        </w:rPr>
        <w:t>将</w:t>
      </w:r>
      <w:r>
        <w:rPr>
          <w:rFonts w:ascii="宋体" w:hAnsi="宋体"/>
          <w:color w:val="auto"/>
          <w:sz w:val="24"/>
          <w:highlight w:val="none"/>
        </w:rPr>
        <w:t>按照客观、公正、审慎的原则，根据磋商文件规定的评审程序、评审方法和评审标准进行独立评审。</w:t>
      </w:r>
    </w:p>
    <w:p>
      <w:pPr>
        <w:spacing w:line="440" w:lineRule="exact"/>
        <w:ind w:firstLine="482" w:firstLineChars="200"/>
        <w:outlineLvl w:val="1"/>
        <w:rPr>
          <w:rFonts w:ascii="宋体" w:hAnsi="宋体" w:cs="宋体"/>
          <w:b/>
          <w:color w:val="auto"/>
          <w:sz w:val="24"/>
          <w:highlight w:val="none"/>
        </w:rPr>
      </w:pPr>
      <w:bookmarkStart w:id="90" w:name="_Toc433127006"/>
      <w:r>
        <w:rPr>
          <w:rFonts w:hint="eastAsia" w:ascii="宋体" w:hAnsi="宋体" w:cs="宋体"/>
          <w:b/>
          <w:color w:val="auto"/>
          <w:sz w:val="24"/>
          <w:highlight w:val="none"/>
        </w:rPr>
        <w:t>21、</w:t>
      </w:r>
      <w:r>
        <w:rPr>
          <w:rFonts w:ascii="宋体" w:hAnsi="宋体" w:cs="宋体"/>
          <w:b/>
          <w:color w:val="auto"/>
          <w:sz w:val="24"/>
          <w:highlight w:val="none"/>
        </w:rPr>
        <w:t>评审方法</w:t>
      </w:r>
      <w:r>
        <w:rPr>
          <w:rFonts w:hint="eastAsia" w:ascii="宋体" w:hAnsi="宋体" w:cs="宋体"/>
          <w:b/>
          <w:color w:val="auto"/>
          <w:sz w:val="24"/>
          <w:highlight w:val="none"/>
        </w:rPr>
        <w:t>及</w:t>
      </w:r>
      <w:r>
        <w:rPr>
          <w:rFonts w:ascii="宋体" w:hAnsi="宋体" w:cs="宋体"/>
          <w:b/>
          <w:color w:val="auto"/>
          <w:sz w:val="24"/>
          <w:highlight w:val="none"/>
        </w:rPr>
        <w:t>评审程序</w:t>
      </w:r>
      <w:bookmarkEnd w:id="90"/>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olor w:val="auto"/>
          <w:sz w:val="24"/>
          <w:highlight w:val="none"/>
        </w:rPr>
        <w:t xml:space="preserve">21.1 </w:t>
      </w:r>
      <w:r>
        <w:rPr>
          <w:rFonts w:hint="eastAsia" w:ascii="宋体" w:hAnsi="宋体" w:cs="宋体"/>
          <w:color w:val="auto"/>
          <w:kern w:val="0"/>
          <w:sz w:val="24"/>
          <w:highlight w:val="none"/>
        </w:rPr>
        <w:t>关于政策性加分</w:t>
      </w:r>
      <w:bookmarkStart w:id="135" w:name="_GoBack"/>
      <w:bookmarkEnd w:id="135"/>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21.1.1.1、</w:t>
      </w:r>
      <w:r>
        <w:rPr>
          <w:rFonts w:hint="eastAsia" w:ascii="宋体" w:hAnsi="宋体" w:cs="宋体"/>
          <w:color w:val="auto"/>
          <w:kern w:val="0"/>
          <w:sz w:val="24"/>
          <w:highlight w:val="none"/>
          <w:lang w:bidi="ar"/>
        </w:rPr>
        <w:t>所投分包(如不分包则指本项目)的所有投标产品进入当期节能清单的，其评标价=投标报价*（1-2%）；投标人所投产品满足此规定的，必须提供声明函并提供相关证明文件。</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21.1.1.</w:t>
      </w:r>
      <w:r>
        <w:rPr>
          <w:rFonts w:hint="eastAsia" w:ascii="宋体" w:hAnsi="宋体" w:cs="宋体"/>
          <w:color w:val="auto"/>
          <w:kern w:val="0"/>
          <w:sz w:val="24"/>
          <w:highlight w:val="none"/>
          <w:lang w:bidi="ar"/>
        </w:rPr>
        <w:t>2、所投分包(如不分包则指本项目)的所有投标产品进入当期环保清单的，其评标价=投标报价*（1-1%）；投标人所投产品满足此规定的，必须提供声明函并提供相关证明文件。</w:t>
      </w:r>
    </w:p>
    <w:p>
      <w:pPr>
        <w:widowControl/>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lang w:bidi="ar"/>
        </w:rPr>
        <w:t>21.1.1.3、所投分包</w:t>
      </w:r>
      <w:r>
        <w:rPr>
          <w:rFonts w:ascii="宋体" w:hAnsi="宋体" w:cs="宋体"/>
          <w:color w:val="auto"/>
          <w:kern w:val="0"/>
          <w:sz w:val="24"/>
          <w:highlight w:val="none"/>
          <w:lang w:bidi="ar"/>
        </w:rPr>
        <w:t>(</w:t>
      </w:r>
      <w:r>
        <w:rPr>
          <w:rFonts w:hint="eastAsia" w:ascii="宋体" w:hAnsi="宋体" w:cs="宋体"/>
          <w:color w:val="auto"/>
          <w:kern w:val="0"/>
          <w:sz w:val="24"/>
          <w:highlight w:val="none"/>
          <w:lang w:bidi="ar"/>
        </w:rPr>
        <w:t>如不分包则指本项目</w:t>
      </w:r>
      <w:r>
        <w:rPr>
          <w:rFonts w:ascii="宋体" w:hAnsi="宋体" w:cs="宋体"/>
          <w:color w:val="auto"/>
          <w:kern w:val="0"/>
          <w:sz w:val="24"/>
          <w:highlight w:val="none"/>
          <w:lang w:bidi="ar"/>
        </w:rPr>
        <w:t>)</w:t>
      </w:r>
      <w:r>
        <w:rPr>
          <w:rFonts w:hint="eastAsia" w:ascii="宋体" w:hAnsi="宋体" w:cs="宋体"/>
          <w:color w:val="auto"/>
          <w:kern w:val="0"/>
          <w:sz w:val="24"/>
          <w:highlight w:val="none"/>
          <w:lang w:bidi="ar"/>
        </w:rPr>
        <w:t>的所有投标产品均为绿色产品的，评审时评审总分值加</w:t>
      </w:r>
      <w:r>
        <w:rPr>
          <w:rFonts w:ascii="宋体" w:hAnsi="宋体" w:cs="宋体"/>
          <w:color w:val="auto"/>
          <w:kern w:val="0"/>
          <w:sz w:val="24"/>
          <w:highlight w:val="none"/>
          <w:lang w:bidi="ar"/>
        </w:rPr>
        <w:t>2</w:t>
      </w:r>
      <w:r>
        <w:rPr>
          <w:rFonts w:hint="eastAsia" w:ascii="宋体" w:hAnsi="宋体" w:cs="宋体"/>
          <w:color w:val="auto"/>
          <w:kern w:val="0"/>
          <w:sz w:val="24"/>
          <w:highlight w:val="none"/>
          <w:lang w:bidi="ar"/>
        </w:rPr>
        <w:t>分；超过一半产品为绿色产品的，评审时评审总分值加</w:t>
      </w:r>
      <w:r>
        <w:rPr>
          <w:rFonts w:ascii="宋体" w:hAnsi="宋体" w:cs="宋体"/>
          <w:color w:val="auto"/>
          <w:kern w:val="0"/>
          <w:sz w:val="24"/>
          <w:highlight w:val="none"/>
          <w:lang w:bidi="ar"/>
        </w:rPr>
        <w:t>1</w:t>
      </w:r>
      <w:r>
        <w:rPr>
          <w:rFonts w:hint="eastAsia" w:ascii="宋体" w:hAnsi="宋体" w:cs="宋体"/>
          <w:color w:val="auto"/>
          <w:kern w:val="0"/>
          <w:sz w:val="24"/>
          <w:highlight w:val="none"/>
          <w:lang w:bidi="ar"/>
        </w:rPr>
        <w:t>分；个别产品为绿色产品的，评审时评审总分值加</w:t>
      </w:r>
      <w:r>
        <w:rPr>
          <w:rFonts w:ascii="宋体" w:hAnsi="宋体" w:cs="宋体"/>
          <w:color w:val="auto"/>
          <w:kern w:val="0"/>
          <w:sz w:val="24"/>
          <w:highlight w:val="none"/>
          <w:lang w:bidi="ar"/>
        </w:rPr>
        <w:t>0.5</w:t>
      </w:r>
      <w:r>
        <w:rPr>
          <w:rFonts w:hint="eastAsia" w:ascii="宋体" w:hAnsi="宋体" w:cs="宋体"/>
          <w:color w:val="auto"/>
          <w:kern w:val="0"/>
          <w:sz w:val="24"/>
          <w:highlight w:val="none"/>
          <w:lang w:bidi="ar"/>
        </w:rPr>
        <w:t>分。投标人所投产品满足此规定的，必须提供声明函并提供相关证明文件。</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rPr>
        <w:t>21.1.2、</w:t>
      </w:r>
      <w:r>
        <w:rPr>
          <w:rFonts w:hint="eastAsia" w:ascii="宋体" w:hAnsi="宋体" w:cs="宋体"/>
          <w:color w:val="auto"/>
          <w:kern w:val="0"/>
          <w:sz w:val="24"/>
          <w:highlight w:val="none"/>
          <w:lang w:bidi="ar"/>
        </w:rPr>
        <w:t>纳入财政部公布的《政府采购自主创新产品目录》的货物和服务：</w:t>
      </w:r>
    </w:p>
    <w:p>
      <w:pPr>
        <w:widowControl/>
        <w:spacing w:line="360" w:lineRule="auto"/>
        <w:ind w:firstLine="480" w:firstLineChars="200"/>
        <w:jc w:val="left"/>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w:t>
      </w:r>
      <w:r>
        <w:rPr>
          <w:rFonts w:ascii="宋体" w:hAnsi="宋体" w:cs="宋体"/>
          <w:color w:val="auto"/>
          <w:kern w:val="0"/>
          <w:sz w:val="24"/>
          <w:highlight w:val="none"/>
          <w:lang w:bidi="ar"/>
        </w:rPr>
        <w:t>1</w:t>
      </w:r>
      <w:r>
        <w:rPr>
          <w:rFonts w:hint="eastAsia" w:ascii="宋体" w:hAnsi="宋体" w:cs="宋体"/>
          <w:color w:val="auto"/>
          <w:kern w:val="0"/>
          <w:sz w:val="24"/>
          <w:highlight w:val="none"/>
          <w:lang w:bidi="ar"/>
        </w:rPr>
        <w:t>）采用最低评标价法评标的项目，对自主创新产品在评审时对其投标价格给予</w:t>
      </w:r>
      <w:r>
        <w:rPr>
          <w:rFonts w:ascii="宋体" w:hAnsi="宋体" w:cs="宋体"/>
          <w:color w:val="auto"/>
          <w:kern w:val="0"/>
          <w:sz w:val="24"/>
          <w:highlight w:val="none"/>
          <w:lang w:bidi="ar"/>
        </w:rPr>
        <w:t>5</w:t>
      </w:r>
      <w:r>
        <w:rPr>
          <w:rFonts w:hint="eastAsia" w:ascii="宋体" w:hAnsi="宋体" w:cs="宋体"/>
          <w:color w:val="auto"/>
          <w:kern w:val="0"/>
          <w:sz w:val="24"/>
          <w:highlight w:val="none"/>
          <w:lang w:bidi="ar"/>
        </w:rPr>
        <w:t>％的价格扣除。</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bidi="ar"/>
        </w:rPr>
        <w:t>（</w:t>
      </w:r>
      <w:r>
        <w:rPr>
          <w:rFonts w:ascii="宋体" w:hAnsi="宋体" w:cs="宋体"/>
          <w:color w:val="auto"/>
          <w:kern w:val="0"/>
          <w:sz w:val="24"/>
          <w:highlight w:val="none"/>
          <w:lang w:bidi="ar"/>
        </w:rPr>
        <w:t>2</w:t>
      </w:r>
      <w:r>
        <w:rPr>
          <w:rFonts w:hint="eastAsia" w:ascii="宋体" w:hAnsi="宋体" w:cs="宋体"/>
          <w:color w:val="auto"/>
          <w:kern w:val="0"/>
          <w:sz w:val="24"/>
          <w:highlight w:val="none"/>
          <w:lang w:bidi="ar"/>
        </w:rPr>
        <w:t>）采用综合评分法评标的项目，对自主创新产品在价格评标项中，对自主创新产品给予价格评标总分值的</w:t>
      </w:r>
      <w:r>
        <w:rPr>
          <w:rFonts w:ascii="宋体" w:hAnsi="宋体" w:cs="宋体"/>
          <w:color w:val="auto"/>
          <w:kern w:val="0"/>
          <w:sz w:val="24"/>
          <w:highlight w:val="none"/>
          <w:lang w:bidi="ar"/>
        </w:rPr>
        <w:t>5</w:t>
      </w:r>
      <w:r>
        <w:rPr>
          <w:rFonts w:hint="eastAsia" w:ascii="宋体" w:hAnsi="宋体" w:cs="宋体"/>
          <w:color w:val="auto"/>
          <w:kern w:val="0"/>
          <w:sz w:val="24"/>
          <w:highlight w:val="none"/>
          <w:lang w:bidi="ar"/>
        </w:rPr>
        <w:t>％的加分。</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21.1.3、投标人为小型和微型企业（含联合体）的情况</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 xml:space="preserve">21.1.3.1 中小企业的认定标准： </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 xml:space="preserve">（1）提供本企业制造的货物、承担的工程或者服务，或者提供其他中小企业制造的货物，不包括提供或使用大型企业注册商标的货物； </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（2）本规定所称中小企业划分标准，是指国务院有关部门根据企业从业人员、 营业收入、资产总额等指标制定的中小企业划型标准（工信部联企业〔2011〕300号）；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 xml:space="preserve">（3）小型、微型企业提供有中型企业制造的货物的，视同为中型企业；小型、 微型、中型企业提供有大型企业制造的货物的，视同为大型企业。 </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 xml:space="preserve">21.1.3.2 具体评审价说明： </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 xml:space="preserve">（1）投标人为小型或微型企业，其评审价=投标报价*（1-10%）； </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 xml:space="preserve">（2）投标人为联合体投标，联合体中有小型或微型企业且联合协议中约定小型、微型企业的协议合同金额占到联合体协议合同总金额30％以上的，其评审价=投标报价*（1-1%）。 </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21.1.3.3 </w:t>
      </w:r>
      <w:r>
        <w:rPr>
          <w:rFonts w:hint="eastAsia" w:ascii="宋体" w:hAnsi="宋体" w:cs="宋体"/>
          <w:color w:val="auto"/>
          <w:kern w:val="0"/>
          <w:sz w:val="24"/>
          <w:highlight w:val="none"/>
          <w:lang w:bidi="ar"/>
        </w:rPr>
        <w:t>投标人为财政部、工业和信息化部2020年12月18日颁布的《政府采购促进中小企业发展管理办法》（财库﹝2020﹞46号）第九条规定的中小企业，须如实填写“中小企业声明函”（政府采购促进中小企业发展管理办法），否则无效。如有虚假骗取政策性加分，将依法承担相应责任。</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21.1.4、投标人为残疾人福利性单位的情况</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21.1.4.1 残疾人福利性单位的认定标准：</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（1）安置的残疾人占本单位在职职工人数的比例不低于25%（含25%），并且安置的残疾人人数不少于10人（含10人）；</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（2）依法与安置的每位残疾人签订了一年以上（含一年）的劳动合同或服务协议；</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（3）为安置的每位残疾人按月足额缴纳了养老保险、基本医疗保险、失业保险、工伤保险和生育保险等社会保险费；</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（4）通过银行等金融机构向安置的每位残疾人，按月支付了不低于单位所在区县适用的经省级人民政府批准的月最低工资标准的工资；</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（5）提供本单位制造的货物、承担的工程或者服务（以下简称产品），或者提供其他残疾人福利性单位制造的货物（不包括使用非残疾人福利性单位注册商标的货物）。</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上述所称残疾人是指法定劳动年龄内，持有《中华人民共和国残疾人证》或者《中华人民共和国残疾军人证（1-8级）》的自然人，包括具有劳动条件和劳动意向的精神残疾人。在职职工人数是指与残疾人福利性单位建立劳动关系并依法签订劳动合同或者服务协议的雇员人数。</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21.1.4.2 具体评审价说明：</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1）投标人为残疾人福利性单位且提供《残疾人福利性单位声明函》，其评审价=投标报价*（1-10%）。参加政府采购活动的残疾人福利性单位应当提供《残疾人福利性单位声明函》，未提供的，视为放弃享受小微企业价格扣除优惠政策。</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21.1.5、投标人为监狱企业的情况</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21.1.5.1 监狱企业的认定情况：</w:t>
      </w:r>
    </w:p>
    <w:p>
      <w:pPr>
        <w:pStyle w:val="20"/>
        <w:spacing w:line="360" w:lineRule="auto"/>
        <w:ind w:firstLine="480"/>
        <w:rPr>
          <w:rFonts w:cs="宋体"/>
          <w:color w:val="auto"/>
          <w:kern w:val="0"/>
          <w:sz w:val="24"/>
          <w:highlight w:val="none"/>
        </w:rPr>
      </w:pPr>
      <w:r>
        <w:rPr>
          <w:rFonts w:hint="eastAsia" w:cs="宋体"/>
          <w:color w:val="auto"/>
          <w:kern w:val="0"/>
          <w:sz w:val="24"/>
          <w:highlight w:val="none"/>
        </w:rPr>
        <w:t>（1）监狱企业是指由司法部认定的为犯罪、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s="宋体"/>
          <w:color w:val="auto"/>
          <w:kern w:val="0"/>
          <w:sz w:val="24"/>
          <w:highlight w:val="none"/>
        </w:rPr>
        <w:t>21.1.5.2 具体评审价说明：投标人为监狱企业，其评审价=投标报价*（1-10%）。</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s="宋体"/>
          <w:color w:val="auto"/>
          <w:kern w:val="0"/>
          <w:sz w:val="24"/>
          <w:highlight w:val="none"/>
          <w:lang w:bidi="ar"/>
        </w:rPr>
        <w:t>投标人为财政部、工业和信息化部2020年12月18日颁布的《政府采购促进中小企业发展管理办法》（财库﹝2020﹞46号）第九条规定，对小、微企业予以价格评分适当优惠。其参与评分的响应报价取值按响应报价的90%计算（即按响应报价扣除10%后计算）</w:t>
      </w:r>
      <w:r>
        <w:rPr>
          <w:rFonts w:hint="eastAsia" w:ascii="宋体" w:hAnsi="宋体"/>
          <w:color w:val="auto"/>
          <w:sz w:val="24"/>
          <w:highlight w:val="none"/>
        </w:rPr>
        <w:t>。</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供应商同时为小型和微型企业、监狱企业或残疾人福利性单位的，评审中只享受一次价格扣除，不重复进行价格扣除。</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21.1.6 支持不发达、少数民族地区的企业，支持脱贫攻坚等政府采购政策。</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21</w:t>
      </w:r>
      <w:r>
        <w:rPr>
          <w:rFonts w:ascii="宋体" w:hAnsi="宋体" w:cs="宋体"/>
          <w:bCs/>
          <w:color w:val="auto"/>
          <w:sz w:val="24"/>
          <w:highlight w:val="none"/>
        </w:rPr>
        <w:t>.</w:t>
      </w:r>
      <w:r>
        <w:rPr>
          <w:rFonts w:hint="eastAsia" w:ascii="宋体" w:hAnsi="宋体" w:cs="宋体"/>
          <w:bCs/>
          <w:color w:val="auto"/>
          <w:sz w:val="24"/>
          <w:highlight w:val="none"/>
        </w:rPr>
        <w:t xml:space="preserve">2 </w:t>
      </w:r>
      <w:r>
        <w:rPr>
          <w:rFonts w:hint="eastAsia" w:ascii="宋体" w:hAnsi="宋体" w:cs="宋体"/>
          <w:bCs/>
          <w:color w:val="auto"/>
          <w:sz w:val="24"/>
          <w:highlight w:val="none"/>
          <w:lang w:val="en-GB"/>
        </w:rPr>
        <w:t>本次评审采用综合评分法。</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rPr>
        <w:t>21</w:t>
      </w:r>
      <w:r>
        <w:rPr>
          <w:rFonts w:hint="eastAsia" w:ascii="宋体" w:hAnsi="宋体" w:cs="宋体"/>
          <w:bCs/>
          <w:color w:val="auto"/>
          <w:sz w:val="24"/>
          <w:highlight w:val="none"/>
          <w:lang w:val="en-GB"/>
        </w:rPr>
        <w:t>.</w:t>
      </w:r>
      <w:r>
        <w:rPr>
          <w:rFonts w:hint="eastAsia" w:ascii="宋体" w:hAnsi="宋体" w:cs="宋体"/>
          <w:bCs/>
          <w:color w:val="auto"/>
          <w:sz w:val="24"/>
          <w:highlight w:val="none"/>
        </w:rPr>
        <w:t xml:space="preserve">3 </w:t>
      </w:r>
      <w:r>
        <w:rPr>
          <w:rFonts w:ascii="宋体" w:hAnsi="宋体" w:cs="宋体"/>
          <w:bCs/>
          <w:color w:val="auto"/>
          <w:sz w:val="24"/>
          <w:highlight w:val="none"/>
        </w:rPr>
        <w:t>综合评分法，是指响应文件满足磋商文件全部实质性要求且按评审因素的量化指标评审得分最高的供应商为</w:t>
      </w:r>
      <w:r>
        <w:rPr>
          <w:rFonts w:hint="eastAsia" w:ascii="宋体" w:hAnsi="宋体" w:cs="宋体"/>
          <w:bCs/>
          <w:color w:val="auto"/>
          <w:sz w:val="24"/>
          <w:highlight w:val="none"/>
        </w:rPr>
        <w:t>成交</w:t>
      </w:r>
      <w:r>
        <w:rPr>
          <w:rFonts w:ascii="宋体" w:hAnsi="宋体" w:cs="宋体"/>
          <w:bCs/>
          <w:color w:val="auto"/>
          <w:sz w:val="24"/>
          <w:highlight w:val="none"/>
        </w:rPr>
        <w:t>候选供应商的评审方法。综合评分法评审标准中的分值设置与评审因素的量化指标相对应。</w:t>
      </w:r>
    </w:p>
    <w:p>
      <w:pPr>
        <w:spacing w:line="440" w:lineRule="exact"/>
        <w:ind w:firstLine="480" w:firstLineChars="200"/>
        <w:rPr>
          <w:rFonts w:ascii="宋体" w:hAnsi="宋体" w:cs="宋体"/>
          <w:bCs/>
          <w:color w:val="auto"/>
          <w:sz w:val="24"/>
          <w:highlight w:val="none"/>
          <w:lang w:val="en-GB"/>
        </w:rPr>
      </w:pPr>
      <w:r>
        <w:rPr>
          <w:rFonts w:hint="eastAsia" w:ascii="宋体" w:hAnsi="宋体" w:cs="宋体"/>
          <w:bCs/>
          <w:color w:val="auto"/>
          <w:sz w:val="24"/>
          <w:highlight w:val="none"/>
        </w:rPr>
        <w:t xml:space="preserve">21.4 </w:t>
      </w:r>
      <w:r>
        <w:rPr>
          <w:rFonts w:ascii="宋体" w:hAnsi="宋体" w:cs="宋体"/>
          <w:bCs/>
          <w:color w:val="auto"/>
          <w:sz w:val="24"/>
          <w:highlight w:val="none"/>
        </w:rPr>
        <w:t>评审时，磋商小组各成员独立对每个有效响应的文件进行评价、打分，然后汇总每个供应商每项评分因素的得分。</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21.5 </w:t>
      </w:r>
      <w:r>
        <w:rPr>
          <w:rFonts w:ascii="宋体" w:hAnsi="宋体" w:cs="宋体"/>
          <w:bCs/>
          <w:color w:val="auto"/>
          <w:sz w:val="24"/>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21</w:t>
      </w:r>
      <w:r>
        <w:rPr>
          <w:rFonts w:ascii="宋体" w:hAnsi="宋体" w:cs="宋体"/>
          <w:bCs/>
          <w:color w:val="auto"/>
          <w:sz w:val="24"/>
          <w:highlight w:val="none"/>
        </w:rPr>
        <w:t>.</w:t>
      </w:r>
      <w:r>
        <w:rPr>
          <w:rFonts w:hint="eastAsia" w:ascii="宋体" w:hAnsi="宋体" w:cs="宋体"/>
          <w:bCs/>
          <w:color w:val="auto"/>
          <w:sz w:val="24"/>
          <w:highlight w:val="none"/>
        </w:rPr>
        <w:t xml:space="preserve">6 </w:t>
      </w:r>
      <w:r>
        <w:rPr>
          <w:rFonts w:ascii="宋体" w:hAnsi="宋体" w:cs="宋体"/>
          <w:bCs/>
          <w:color w:val="auto"/>
          <w:sz w:val="24"/>
          <w:highlight w:val="none"/>
        </w:rPr>
        <w:t>磋商小组要求供应商澄清、说明或者更正响应文件应当以书面形式作出。供应商的澄清、说明或者更正应当由法定代表人或其授权代表签字或者加盖公章。</w:t>
      </w:r>
    </w:p>
    <w:p>
      <w:pPr>
        <w:spacing w:line="440" w:lineRule="exact"/>
        <w:ind w:firstLine="480" w:firstLineChars="200"/>
        <w:rPr>
          <w:rFonts w:ascii="宋体" w:hAnsi="宋体" w:cs="宋体"/>
          <w:color w:val="auto"/>
          <w:sz w:val="24"/>
          <w:highlight w:val="none"/>
          <w:lang w:val="en-GB"/>
        </w:rPr>
      </w:pPr>
      <w:r>
        <w:rPr>
          <w:rFonts w:hint="eastAsia" w:ascii="宋体" w:hAnsi="宋体" w:cs="宋体"/>
          <w:bCs/>
          <w:color w:val="auto"/>
          <w:sz w:val="24"/>
          <w:highlight w:val="none"/>
          <w:lang w:val="en-GB"/>
        </w:rPr>
        <w:t>2</w:t>
      </w:r>
      <w:r>
        <w:rPr>
          <w:rFonts w:hint="eastAsia" w:ascii="宋体" w:hAnsi="宋体" w:cs="宋体"/>
          <w:bCs/>
          <w:color w:val="auto"/>
          <w:sz w:val="24"/>
          <w:highlight w:val="none"/>
        </w:rPr>
        <w:t>1</w:t>
      </w:r>
      <w:r>
        <w:rPr>
          <w:rFonts w:hint="eastAsia" w:ascii="宋体" w:hAnsi="宋体" w:cs="宋体"/>
          <w:color w:val="auto"/>
          <w:sz w:val="24"/>
          <w:highlight w:val="none"/>
        </w:rPr>
        <w:t xml:space="preserve">.7 </w:t>
      </w:r>
      <w:r>
        <w:rPr>
          <w:rFonts w:hint="eastAsia" w:ascii="宋体" w:hAnsi="宋体" w:cs="宋体"/>
          <w:color w:val="auto"/>
          <w:sz w:val="24"/>
          <w:highlight w:val="none"/>
          <w:lang w:val="en-GB"/>
        </w:rPr>
        <w:t>资格审查：</w:t>
      </w:r>
      <w:r>
        <w:rPr>
          <w:rFonts w:hint="eastAsia" w:ascii="宋体" w:hAnsi="宋体" w:cs="宋体"/>
          <w:color w:val="auto"/>
          <w:sz w:val="24"/>
          <w:highlight w:val="none"/>
        </w:rPr>
        <w:t>评审小组</w:t>
      </w:r>
      <w:r>
        <w:rPr>
          <w:rFonts w:hint="eastAsia" w:ascii="宋体" w:hAnsi="宋体" w:cs="宋体"/>
          <w:color w:val="auto"/>
          <w:sz w:val="24"/>
          <w:highlight w:val="none"/>
          <w:lang w:val="en-GB"/>
        </w:rPr>
        <w:t>根据国家相关法律法规和</w:t>
      </w:r>
      <w:r>
        <w:rPr>
          <w:rFonts w:hint="eastAsia" w:ascii="宋体" w:hAnsi="宋体" w:cs="宋体"/>
          <w:color w:val="auto"/>
          <w:sz w:val="24"/>
          <w:highlight w:val="none"/>
        </w:rPr>
        <w:t>磋商</w:t>
      </w:r>
      <w:r>
        <w:rPr>
          <w:rFonts w:hint="eastAsia" w:ascii="宋体" w:hAnsi="宋体" w:cs="宋体"/>
          <w:color w:val="auto"/>
          <w:sz w:val="24"/>
          <w:highlight w:val="none"/>
          <w:lang w:val="en-GB"/>
        </w:rPr>
        <w:t>文件的规定，对供应商的资格证明文件进行资格性和符合性审查，如供应商不具备磋商资格，</w:t>
      </w:r>
      <w:r>
        <w:rPr>
          <w:rFonts w:hint="eastAsia" w:ascii="宋体" w:hAnsi="宋体" w:cs="宋体"/>
          <w:color w:val="auto"/>
          <w:sz w:val="24"/>
          <w:highlight w:val="none"/>
        </w:rPr>
        <w:t>评审小组</w:t>
      </w:r>
      <w:r>
        <w:rPr>
          <w:rFonts w:hint="eastAsia" w:ascii="宋体" w:hAnsi="宋体" w:cs="宋体"/>
          <w:color w:val="auto"/>
          <w:sz w:val="24"/>
          <w:highlight w:val="none"/>
          <w:lang w:val="en-GB"/>
        </w:rPr>
        <w:t>可按投票方式决定是否作无效响应处理（详见</w:t>
      </w:r>
      <w:r>
        <w:rPr>
          <w:rFonts w:hint="eastAsia" w:ascii="宋体" w:hAnsi="宋体" w:cs="宋体"/>
          <w:color w:val="auto"/>
          <w:sz w:val="24"/>
          <w:highlight w:val="none"/>
        </w:rPr>
        <w:t>附表1</w:t>
      </w:r>
      <w:r>
        <w:rPr>
          <w:rFonts w:hint="eastAsia" w:ascii="宋体" w:hAnsi="宋体" w:cs="宋体"/>
          <w:color w:val="auto"/>
          <w:sz w:val="24"/>
          <w:highlight w:val="none"/>
          <w:lang w:val="en-GB"/>
        </w:rPr>
        <w:t>）。</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21.7.1 磋商小组根据《资格审查表》对响应文件的资格性和符合性进行审查，只有对《资格审查表》所列各项作出实质性响应的响应文件才能通过初步评审。如有分包通过资格审查不足3家供应商，则该分包本次招标失败。对是否实质性响应磋商文件的要求有争议的内容，磋商小组将以记名方式表决，得票超过半数的供应商有资格进入下一阶段的评审，否则将被淘汰。有以下情况的将不能通过初步评审：</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（1）供应商未能满足供应商资格要求的；</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（2）供应商未提交法人授权委托书的； </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（3）供应商未按磋商文件要求的金额提交投标保证金的；</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）响应文件未按磋商文件规定要求填写响应内容及签名盖章的；</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）报价不是固定价或者报价不是唯一的；</w:t>
      </w:r>
    </w:p>
    <w:p>
      <w:pPr>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6</w:t>
      </w:r>
      <w:r>
        <w:rPr>
          <w:rFonts w:hint="eastAsia" w:ascii="宋体" w:hAnsi="宋体"/>
          <w:color w:val="auto"/>
          <w:sz w:val="24"/>
          <w:highlight w:val="none"/>
        </w:rPr>
        <w:t>）不符合磋商文件规定的其它条件。</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olor w:val="auto"/>
          <w:sz w:val="24"/>
          <w:highlight w:val="none"/>
        </w:rPr>
        <w:t>21.7.2提供相同品牌产品且通过资格审查、符合性审查的不同供应商参加同一合同项下报价的，按一家供应商计算；</w:t>
      </w:r>
      <w:r>
        <w:rPr>
          <w:rFonts w:hint="eastAsia" w:ascii="宋体" w:hAnsi="宋体" w:cs="宋体"/>
          <w:color w:val="auto"/>
          <w:sz w:val="24"/>
          <w:highlight w:val="none"/>
        </w:rPr>
        <w:t>非单一产品采购项目，根据采购项目技术构成、产品价格比重等合理确定核心产品，并在磋商文件中载明。多家供应商提供的核心产品品牌相同的，按前上述规定处理。</w:t>
      </w:r>
    </w:p>
    <w:p>
      <w:pPr>
        <w:spacing w:line="440" w:lineRule="exact"/>
        <w:ind w:firstLine="480" w:firstLineChars="200"/>
        <w:rPr>
          <w:rFonts w:ascii="宋体" w:hAnsi="宋体" w:cs="宋体"/>
          <w:bCs/>
          <w:color w:val="auto"/>
          <w:sz w:val="24"/>
          <w:highlight w:val="none"/>
        </w:rPr>
      </w:pPr>
      <w:r>
        <w:rPr>
          <w:rFonts w:hint="eastAsia" w:ascii="宋体" w:hAnsi="宋体"/>
          <w:color w:val="auto"/>
          <w:sz w:val="24"/>
          <w:highlight w:val="none"/>
        </w:rPr>
        <w:t>21.7.3 磋商小组在初审中</w:t>
      </w:r>
      <w:r>
        <w:rPr>
          <w:rFonts w:hint="eastAsia" w:ascii="宋体" w:hAnsi="宋体" w:cs="宋体"/>
          <w:bCs/>
          <w:color w:val="auto"/>
          <w:sz w:val="24"/>
          <w:highlight w:val="none"/>
        </w:rPr>
        <w:t>响应文件报价出现前后不一致的，除磋商文件另有规定外，按照下列规定修正：</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（1）响应文件中报价一览表内容与响应文件中相应内容不一致的，以报价一览表为准；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（3）单价金额小数点或者百分比有明显错位的，以报价一览表的总价为准，并修改单价；</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（5）若供应商不同意以上修正，其响应文件将视为无效。</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21.8 磋商小组成员对需要共同认定的事项存在争议的，应当按照少数服从多数的原则作出结论。持不同意见的磋商小组成员应当在评审报告上签署不同意见及理由，否则视为同意评审报告。</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w:t>
      </w:r>
      <w:r>
        <w:rPr>
          <w:rFonts w:hint="eastAsia" w:ascii="宋体" w:hAnsi="宋体" w:cs="宋体"/>
          <w:color w:val="auto"/>
          <w:sz w:val="24"/>
          <w:highlight w:val="none"/>
        </w:rPr>
        <w:t>9 磋商小组对响应文件进行审核后，进行下一步评审。</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21.10</w:t>
      </w:r>
      <w:r>
        <w:rPr>
          <w:rFonts w:hint="eastAsia" w:ascii="宋体" w:hAnsi="宋体" w:cs="宋体"/>
          <w:bCs/>
          <w:color w:val="auto"/>
          <w:sz w:val="24"/>
          <w:highlight w:val="none"/>
          <w:lang w:val="en-GB"/>
        </w:rPr>
        <w:t>量化评审</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21.10.1 磋商小组根据评审办法对通过初步评审的响应文件进行详细评审，并进行技术和商务的评审打分。</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21.10.2 技术、商务评分：具体评审的内容详见（附表2）。</w:t>
      </w:r>
    </w:p>
    <w:p>
      <w:pPr>
        <w:spacing w:line="440" w:lineRule="exact"/>
        <w:ind w:firstLine="480" w:firstLineChars="200"/>
        <w:rPr>
          <w:rFonts w:ascii="宋体" w:hAnsi="宋体" w:cs="宋体"/>
          <w:bCs/>
          <w:color w:val="auto"/>
          <w:sz w:val="24"/>
          <w:highlight w:val="none"/>
        </w:rPr>
      </w:pPr>
      <w:r>
        <w:rPr>
          <w:rFonts w:hint="eastAsia" w:ascii="宋体" w:hAnsi="宋体"/>
          <w:color w:val="auto"/>
          <w:sz w:val="24"/>
          <w:highlight w:val="none"/>
        </w:rPr>
        <w:t>21</w:t>
      </w:r>
      <w:r>
        <w:rPr>
          <w:rFonts w:hint="eastAsia" w:ascii="宋体" w:hAnsi="宋体" w:cs="宋体"/>
          <w:bCs/>
          <w:color w:val="auto"/>
          <w:sz w:val="24"/>
          <w:highlight w:val="none"/>
        </w:rPr>
        <w:t>.10.</w:t>
      </w:r>
      <w:r>
        <w:rPr>
          <w:rFonts w:ascii="宋体" w:hAnsi="宋体" w:cs="宋体"/>
          <w:bCs/>
          <w:color w:val="auto"/>
          <w:sz w:val="24"/>
          <w:highlight w:val="none"/>
        </w:rPr>
        <w:t>3</w:t>
      </w:r>
      <w:r>
        <w:rPr>
          <w:rFonts w:hint="eastAsia" w:ascii="宋体" w:hAnsi="宋体" w:cs="宋体"/>
          <w:bCs/>
          <w:color w:val="auto"/>
          <w:sz w:val="24"/>
          <w:highlight w:val="none"/>
        </w:rPr>
        <w:t xml:space="preserve"> 价格分统一采用低价优先法计算，即满足磋商文件要求且最后报价最低的供应商的价格为磋商基准价，其价格分为满分。其他供应商的价格分统一按照下列公式计算（小数点保留二位）：</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磋商报价得分=（磋商基准价/最后磋商报价）×价格权值×100。</w:t>
      </w:r>
    </w:p>
    <w:p>
      <w:pPr>
        <w:spacing w:after="160" w:afterLines="50"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21.10.</w:t>
      </w:r>
      <w:r>
        <w:rPr>
          <w:rFonts w:ascii="宋体" w:hAnsi="宋体" w:cs="宋体"/>
          <w:bCs/>
          <w:color w:val="auto"/>
          <w:sz w:val="24"/>
          <w:highlight w:val="none"/>
        </w:rPr>
        <w:t>4</w:t>
      </w:r>
      <w:r>
        <w:rPr>
          <w:rFonts w:hint="eastAsia" w:ascii="宋体" w:hAnsi="宋体" w:cs="宋体"/>
          <w:bCs/>
          <w:color w:val="auto"/>
          <w:sz w:val="24"/>
          <w:highlight w:val="none"/>
        </w:rPr>
        <w:t xml:space="preserve"> 技术、商务及价格权重分配</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80"/>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49" w:type="dxa"/>
            <w:shd w:val="clear" w:color="auto" w:fill="D9D9D9"/>
            <w:vAlign w:val="center"/>
          </w:tcPr>
          <w:p>
            <w:pPr>
              <w:spacing w:before="96" w:beforeLines="30" w:after="96"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评分项目</w:t>
            </w:r>
          </w:p>
        </w:tc>
        <w:tc>
          <w:tcPr>
            <w:tcW w:w="2180" w:type="dxa"/>
            <w:shd w:val="clear" w:color="auto" w:fill="D9D9D9"/>
            <w:vAlign w:val="center"/>
          </w:tcPr>
          <w:p>
            <w:pPr>
              <w:spacing w:before="96" w:beforeLines="30" w:after="96"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技术、商务项</w:t>
            </w:r>
          </w:p>
        </w:tc>
        <w:tc>
          <w:tcPr>
            <w:tcW w:w="1961" w:type="dxa"/>
            <w:shd w:val="clear" w:color="auto" w:fill="D9D9D9"/>
            <w:vAlign w:val="center"/>
          </w:tcPr>
          <w:p>
            <w:pPr>
              <w:spacing w:before="96" w:beforeLines="30" w:after="96"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49" w:type="dxa"/>
            <w:vAlign w:val="center"/>
          </w:tcPr>
          <w:p>
            <w:pPr>
              <w:spacing w:before="96" w:beforeLines="30" w:after="96" w:afterLines="30" w:line="440" w:lineRule="exact"/>
              <w:jc w:val="center"/>
              <w:rPr>
                <w:rFonts w:hint="eastAsia" w:ascii="宋体" w:hAnsi="宋体" w:cs="宋体"/>
                <w:b/>
                <w:bCs/>
                <w:color w:val="auto"/>
                <w:sz w:val="24"/>
                <w:highlight w:val="none"/>
                <w:lang w:val="en-GB"/>
              </w:rPr>
            </w:pPr>
            <w:r>
              <w:rPr>
                <w:rFonts w:hint="eastAsia" w:ascii="宋体" w:hAnsi="宋体" w:cs="宋体"/>
                <w:b/>
                <w:bCs/>
                <w:color w:val="auto"/>
                <w:sz w:val="24"/>
                <w:highlight w:val="none"/>
              </w:rPr>
              <w:t>权重</w:t>
            </w:r>
          </w:p>
        </w:tc>
        <w:tc>
          <w:tcPr>
            <w:tcW w:w="2180" w:type="dxa"/>
            <w:vAlign w:val="center"/>
          </w:tcPr>
          <w:p>
            <w:pPr>
              <w:spacing w:before="96" w:beforeLines="30" w:after="96" w:afterLines="30" w:line="440" w:lineRule="exact"/>
              <w:jc w:val="center"/>
              <w:rPr>
                <w:rFonts w:ascii="宋体" w:hAnsi="宋体" w:cs="宋体"/>
                <w:b/>
                <w:color w:val="auto"/>
                <w:sz w:val="22"/>
                <w:szCs w:val="22"/>
                <w:highlight w:val="none"/>
                <w:lang w:val="en-GB"/>
              </w:rPr>
            </w:pPr>
            <w:r>
              <w:rPr>
                <w:rFonts w:hint="eastAsia" w:ascii="宋体" w:hAnsi="宋体" w:cs="宋体"/>
                <w:b/>
                <w:color w:val="auto"/>
                <w:sz w:val="22"/>
                <w:szCs w:val="22"/>
                <w:highlight w:val="none"/>
              </w:rPr>
              <w:t>70</w:t>
            </w:r>
            <w:r>
              <w:rPr>
                <w:rFonts w:hint="eastAsia" w:ascii="宋体" w:hAnsi="宋体" w:cs="宋体"/>
                <w:b/>
                <w:color w:val="auto"/>
                <w:sz w:val="22"/>
                <w:szCs w:val="22"/>
                <w:highlight w:val="none"/>
                <w:lang w:val="en-GB"/>
              </w:rPr>
              <w:t>%</w:t>
            </w:r>
          </w:p>
        </w:tc>
        <w:tc>
          <w:tcPr>
            <w:tcW w:w="1961" w:type="dxa"/>
            <w:vAlign w:val="center"/>
          </w:tcPr>
          <w:p>
            <w:pPr>
              <w:spacing w:before="96" w:beforeLines="30" w:after="96" w:afterLines="30" w:line="44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30%</w:t>
            </w:r>
          </w:p>
        </w:tc>
      </w:tr>
    </w:tbl>
    <w:p>
      <w:pPr>
        <w:spacing w:before="160" w:beforeLines="50"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21.11 </w:t>
      </w:r>
      <w:r>
        <w:rPr>
          <w:rFonts w:ascii="宋体" w:hAnsi="宋体" w:cs="宋体"/>
          <w:color w:val="auto"/>
          <w:sz w:val="24"/>
          <w:highlight w:val="none"/>
        </w:rPr>
        <w:t>磋商小组根据综合评分情况，按照评审</w:t>
      </w:r>
      <w:r>
        <w:rPr>
          <w:rFonts w:hint="eastAsia" w:ascii="宋体" w:hAnsi="宋体" w:cs="宋体"/>
          <w:color w:val="auto"/>
          <w:sz w:val="24"/>
          <w:highlight w:val="none"/>
        </w:rPr>
        <w:t>综合</w:t>
      </w:r>
      <w:r>
        <w:rPr>
          <w:rFonts w:ascii="宋体" w:hAnsi="宋体" w:cs="宋体"/>
          <w:color w:val="auto"/>
          <w:sz w:val="24"/>
          <w:highlight w:val="none"/>
        </w:rPr>
        <w:t>得分由高到低顺序推荐</w:t>
      </w:r>
      <w:r>
        <w:rPr>
          <w:rFonts w:hint="eastAsia" w:ascii="宋体" w:hAnsi="宋体" w:cs="宋体"/>
          <w:color w:val="auto"/>
          <w:sz w:val="24"/>
          <w:highlight w:val="none"/>
        </w:rPr>
        <w:t>3名以上成交</w:t>
      </w:r>
      <w:r>
        <w:rPr>
          <w:rFonts w:ascii="宋体" w:hAnsi="宋体" w:cs="宋体"/>
          <w:color w:val="auto"/>
          <w:sz w:val="24"/>
          <w:highlight w:val="none"/>
        </w:rPr>
        <w:t>候选供应商，评审得分相同的，按照</w:t>
      </w:r>
      <w:r>
        <w:rPr>
          <w:rFonts w:hint="eastAsia" w:ascii="宋体" w:hAnsi="宋体" w:cs="宋体"/>
          <w:color w:val="auto"/>
          <w:sz w:val="24"/>
          <w:highlight w:val="none"/>
        </w:rPr>
        <w:t>技术及商务</w:t>
      </w:r>
      <w:r>
        <w:rPr>
          <w:rFonts w:ascii="宋体" w:hAnsi="宋体" w:cs="宋体"/>
          <w:color w:val="auto"/>
          <w:sz w:val="24"/>
          <w:highlight w:val="none"/>
        </w:rPr>
        <w:t>指标优劣顺序推荐。</w:t>
      </w:r>
    </w:p>
    <w:p>
      <w:pPr>
        <w:spacing w:before="160" w:beforeLines="50" w:after="160" w:afterLines="50"/>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注：</w:t>
      </w:r>
    </w:p>
    <w:p>
      <w:pPr>
        <w:spacing w:before="160" w:beforeLines="50" w:after="160" w:afterLines="50"/>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1、技术项得分=（∑各评委所审技术参数得分）/（评委人数）；</w:t>
      </w:r>
    </w:p>
    <w:p>
      <w:pPr>
        <w:spacing w:before="160" w:beforeLines="50" w:after="160" w:afterLines="50"/>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2、商务项得分=（∑各评委所审商务参数得分）/（评委人数）；</w:t>
      </w:r>
    </w:p>
    <w:p>
      <w:pPr>
        <w:spacing w:before="160" w:beforeLines="50" w:after="160" w:afterLines="50"/>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3、价格项得分=</w:t>
      </w:r>
      <w:r>
        <w:rPr>
          <w:rFonts w:hint="eastAsia" w:ascii="宋体" w:hAnsi="宋体" w:cs="宋体"/>
          <w:bCs/>
          <w:color w:val="auto"/>
          <w:sz w:val="24"/>
          <w:highlight w:val="none"/>
        </w:rPr>
        <w:t>（磋商基准价/最后磋商报价）</w:t>
      </w:r>
      <w:r>
        <w:rPr>
          <w:rFonts w:hint="eastAsia" w:ascii="宋体" w:hAnsi="宋体" w:cs="宋体"/>
          <w:color w:val="auto"/>
          <w:sz w:val="24"/>
          <w:highlight w:val="none"/>
          <w:lang w:val="en-GB"/>
        </w:rPr>
        <w:t>×价格权值×100；</w:t>
      </w:r>
    </w:p>
    <w:p>
      <w:pPr>
        <w:spacing w:before="160" w:beforeLines="50" w:after="160" w:afterLines="50"/>
        <w:ind w:firstLine="480" w:firstLineChars="200"/>
        <w:rPr>
          <w:rFonts w:ascii="宋体" w:hAnsi="宋体" w:cs="宋体"/>
          <w:b/>
          <w:bCs/>
          <w:color w:val="auto"/>
          <w:sz w:val="24"/>
          <w:highlight w:val="none"/>
          <w:lang w:val="en-GB"/>
        </w:rPr>
      </w:pPr>
      <w:r>
        <w:rPr>
          <w:rFonts w:hint="eastAsia" w:ascii="宋体" w:hAnsi="宋体" w:cs="宋体"/>
          <w:color w:val="auto"/>
          <w:sz w:val="24"/>
          <w:highlight w:val="none"/>
          <w:lang w:val="en-GB"/>
        </w:rPr>
        <w:t>4、供应商综合得分=技术项得分+商务项得分+价格项得分（保留二位小数）。</w:t>
      </w:r>
    </w:p>
    <w:p>
      <w:pPr>
        <w:spacing w:before="160" w:beforeLines="50" w:after="160" w:afterLines="50"/>
        <w:rPr>
          <w:rFonts w:ascii="宋体" w:hAnsi="宋体" w:cs="宋体"/>
          <w:b/>
          <w:bCs/>
          <w:color w:val="auto"/>
          <w:sz w:val="24"/>
          <w:highlight w:val="none"/>
          <w:lang w:val="en-GB"/>
        </w:rPr>
      </w:pPr>
    </w:p>
    <w:p>
      <w:pPr>
        <w:spacing w:before="160" w:beforeLines="50" w:after="160" w:afterLines="50"/>
        <w:rPr>
          <w:rFonts w:ascii="宋体" w:hAnsi="宋体" w:cs="宋体"/>
          <w:b/>
          <w:bCs/>
          <w:color w:val="auto"/>
          <w:sz w:val="24"/>
          <w:highlight w:val="none"/>
          <w:lang w:val="en-GB"/>
        </w:rPr>
      </w:pPr>
      <w:r>
        <w:rPr>
          <w:rFonts w:hint="eastAsia" w:ascii="宋体" w:hAnsi="宋体" w:cs="宋体"/>
          <w:b/>
          <w:bCs/>
          <w:color w:val="auto"/>
          <w:sz w:val="24"/>
          <w:highlight w:val="none"/>
          <w:lang w:val="en-GB"/>
        </w:rPr>
        <w:br w:type="page"/>
      </w:r>
      <w:r>
        <w:rPr>
          <w:rFonts w:hint="eastAsia" w:ascii="宋体" w:hAnsi="宋体" w:cs="宋体"/>
          <w:b/>
          <w:bCs/>
          <w:color w:val="auto"/>
          <w:sz w:val="24"/>
          <w:highlight w:val="none"/>
          <w:lang w:val="en-GB"/>
        </w:rPr>
        <w:t>（附表</w:t>
      </w:r>
      <w:r>
        <w:rPr>
          <w:rFonts w:hint="eastAsia" w:ascii="宋体" w:hAnsi="宋体" w:cs="宋体"/>
          <w:b/>
          <w:bCs/>
          <w:color w:val="auto"/>
          <w:sz w:val="24"/>
          <w:highlight w:val="none"/>
        </w:rPr>
        <w:t>1</w:t>
      </w:r>
      <w:r>
        <w:rPr>
          <w:rFonts w:hint="eastAsia" w:ascii="宋体" w:hAnsi="宋体" w:cs="宋体"/>
          <w:b/>
          <w:bCs/>
          <w:color w:val="auto"/>
          <w:sz w:val="24"/>
          <w:highlight w:val="none"/>
          <w:lang w:val="en-GB"/>
        </w:rPr>
        <w:t>）</w:t>
      </w:r>
    </w:p>
    <w:p>
      <w:pPr>
        <w:spacing w:before="160" w:beforeLines="50" w:after="160" w:afterLines="50" w:line="440" w:lineRule="exact"/>
        <w:jc w:val="center"/>
        <w:rPr>
          <w:rFonts w:ascii="宋体" w:hAnsi="宋体" w:cs="宋体"/>
          <w:b/>
          <w:color w:val="auto"/>
          <w:sz w:val="24"/>
          <w:highlight w:val="none"/>
        </w:rPr>
      </w:pPr>
      <w:r>
        <w:rPr>
          <w:rFonts w:hint="eastAsia" w:ascii="宋体" w:hAnsi="宋体" w:cs="宋体"/>
          <w:b/>
          <w:bCs/>
          <w:color w:val="auto"/>
          <w:sz w:val="36"/>
          <w:szCs w:val="36"/>
          <w:highlight w:val="none"/>
          <w:lang w:val="en-GB"/>
        </w:rPr>
        <w:t>资格审查表</w:t>
      </w:r>
    </w:p>
    <w:p>
      <w:pPr>
        <w:spacing w:before="160" w:beforeLines="50" w:after="319" w:afterLines="100"/>
        <w:rPr>
          <w:rFonts w:hint="eastAsia" w:ascii="宋体" w:hAnsi="宋体" w:cs="宋体"/>
          <w:b/>
          <w:color w:val="auto"/>
          <w:sz w:val="24"/>
          <w:highlight w:val="none"/>
        </w:rPr>
      </w:pPr>
      <w:r>
        <w:rPr>
          <w:rFonts w:hint="eastAsia" w:ascii="宋体" w:hAnsi="宋体" w:cs="宋体"/>
          <w:b/>
          <w:color w:val="auto"/>
          <w:sz w:val="24"/>
          <w:highlight w:val="none"/>
        </w:rPr>
        <w:t>项目名称：荣山河水体2022年第三方达标运维服务项目</w:t>
      </w:r>
    </w:p>
    <w:p>
      <w:pPr>
        <w:spacing w:before="160" w:beforeLines="50" w:after="319" w:afterLines="100"/>
        <w:rPr>
          <w:rFonts w:hint="eastAsia" w:ascii="宋体" w:hAnsi="宋体" w:cs="宋体"/>
          <w:b/>
          <w:color w:val="auto"/>
          <w:sz w:val="24"/>
          <w:highlight w:val="none"/>
        </w:rPr>
      </w:pPr>
      <w:r>
        <w:rPr>
          <w:rFonts w:hint="eastAsia" w:ascii="宋体" w:hAnsi="宋体" w:cs="宋体"/>
          <w:b/>
          <w:color w:val="auto"/>
          <w:sz w:val="24"/>
          <w:highlight w:val="none"/>
        </w:rPr>
        <w:t>项目编号：HNTS-2022-052</w:t>
      </w:r>
    </w:p>
    <w:tbl>
      <w:tblPr>
        <w:tblStyle w:val="2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043"/>
        <w:gridCol w:w="1073"/>
        <w:gridCol w:w="10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jc w:val="center"/>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6" w:beforeLines="30" w:after="96"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6" w:beforeLines="30" w:after="96"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6" w:beforeLines="30" w:after="96" w:afterLines="3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评议内容</w:t>
            </w:r>
          </w:p>
          <w:p>
            <w:pPr>
              <w:autoSpaceDE w:val="0"/>
              <w:autoSpaceDN w:val="0"/>
              <w:adjustRightInd w:val="0"/>
              <w:spacing w:before="96" w:beforeLines="30" w:after="96"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（无效响应认定条件）</w:t>
            </w:r>
          </w:p>
        </w:tc>
        <w:tc>
          <w:tcPr>
            <w:tcW w:w="1043"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6" w:beforeLines="30" w:after="96"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1#</w:t>
            </w:r>
          </w:p>
        </w:tc>
        <w:tc>
          <w:tcPr>
            <w:tcW w:w="1073"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6" w:beforeLines="30" w:after="96"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2#</w:t>
            </w:r>
          </w:p>
        </w:tc>
        <w:tc>
          <w:tcPr>
            <w:tcW w:w="108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6" w:beforeLines="30" w:after="96" w:afterLines="30" w:line="440" w:lineRule="exact"/>
              <w:jc w:val="center"/>
              <w:rPr>
                <w:rFonts w:ascii="宋体" w:hAnsi="宋体" w:cs="宋体"/>
                <w:b/>
                <w:color w:val="auto"/>
                <w:sz w:val="24"/>
                <w:highlight w:val="none"/>
              </w:rPr>
            </w:pPr>
            <w:r>
              <w:rPr>
                <w:rFonts w:hint="eastAsia" w:ascii="宋体" w:hAnsi="宋体" w:cs="宋体"/>
                <w:b/>
                <w:color w:val="auto"/>
                <w:sz w:val="24"/>
                <w:highlight w:val="none"/>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center"/>
              <w:rPr>
                <w:rFonts w:ascii="宋体" w:hAnsi="宋体"/>
                <w:b/>
                <w:bCs/>
                <w:color w:val="auto"/>
                <w:sz w:val="24"/>
                <w:highlight w:val="none"/>
              </w:rPr>
            </w:pPr>
            <w:r>
              <w:rPr>
                <w:rFonts w:hint="eastAsia" w:ascii="宋体" w:hAnsi="宋体"/>
                <w:b/>
                <w:bCs/>
                <w:color w:val="auto"/>
                <w:sz w:val="24"/>
                <w:highlight w:val="none"/>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供应商的资格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是否符合供应商资格要求</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center"/>
              <w:rPr>
                <w:rFonts w:ascii="宋体" w:hAnsi="宋体"/>
                <w:b/>
                <w:bCs/>
                <w:color w:val="auto"/>
                <w:sz w:val="24"/>
                <w:highlight w:val="none"/>
              </w:rPr>
            </w:pPr>
            <w:r>
              <w:rPr>
                <w:rFonts w:hint="eastAsia" w:ascii="宋体" w:hAnsi="宋体"/>
                <w:b/>
                <w:bCs/>
                <w:color w:val="auto"/>
                <w:sz w:val="24"/>
                <w:highlight w:val="none"/>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响应文件的有效性、完整性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是否符合磋商文件的样式和签署要求且内容完整无缺漏</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center"/>
              <w:rPr>
                <w:rFonts w:ascii="宋体" w:hAnsi="宋体"/>
                <w:b/>
                <w:bCs/>
                <w:color w:val="auto"/>
                <w:sz w:val="24"/>
                <w:highlight w:val="none"/>
              </w:rPr>
            </w:pPr>
            <w:r>
              <w:rPr>
                <w:rFonts w:hint="eastAsia" w:ascii="宋体" w:hAnsi="宋体"/>
                <w:b/>
                <w:bCs/>
                <w:color w:val="auto"/>
                <w:sz w:val="24"/>
                <w:highlight w:val="none"/>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是否对本项目内所有的内容进行投标，漏报其投标将被拒绝</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center"/>
              <w:rPr>
                <w:rFonts w:ascii="宋体" w:hAnsi="宋体"/>
                <w:b/>
                <w:bCs/>
                <w:color w:val="auto"/>
                <w:sz w:val="24"/>
                <w:highlight w:val="none"/>
              </w:rPr>
            </w:pPr>
            <w:r>
              <w:rPr>
                <w:rFonts w:hint="eastAsia" w:ascii="宋体" w:hAnsi="宋体"/>
                <w:b/>
                <w:bCs/>
                <w:color w:val="auto"/>
                <w:sz w:val="24"/>
                <w:highlight w:val="none"/>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响应有效期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是否满足磋商文件要求</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center"/>
              <w:rPr>
                <w:rFonts w:ascii="宋体" w:hAnsi="宋体"/>
                <w:b/>
                <w:bCs/>
                <w:color w:val="auto"/>
                <w:sz w:val="24"/>
                <w:highlight w:val="none"/>
              </w:rPr>
            </w:pPr>
            <w:r>
              <w:rPr>
                <w:rFonts w:hint="eastAsia" w:ascii="宋体" w:hAnsi="宋体"/>
                <w:b/>
                <w:bCs/>
                <w:color w:val="auto"/>
                <w:sz w:val="24"/>
                <w:highlight w:val="none"/>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服务期限</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是否满足磋商文件要求</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center"/>
              <w:rPr>
                <w:rFonts w:ascii="宋体" w:hAnsi="宋体"/>
                <w:b/>
                <w:bCs/>
                <w:color w:val="auto"/>
                <w:sz w:val="24"/>
                <w:highlight w:val="none"/>
              </w:rPr>
            </w:pPr>
            <w:r>
              <w:rPr>
                <w:rFonts w:hint="eastAsia" w:ascii="宋体" w:hAnsi="宋体"/>
                <w:b/>
                <w:bCs/>
                <w:color w:val="auto"/>
                <w:sz w:val="24"/>
                <w:highlight w:val="none"/>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响应文件数量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是否满足磋商文件要求</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center"/>
              <w:rPr>
                <w:rFonts w:ascii="宋体" w:hAnsi="宋体"/>
                <w:b/>
                <w:bCs/>
                <w:color w:val="auto"/>
                <w:sz w:val="24"/>
                <w:highlight w:val="none"/>
              </w:rPr>
            </w:pPr>
            <w:r>
              <w:rPr>
                <w:rFonts w:hint="eastAsia" w:ascii="宋体" w:hAnsi="宋体"/>
                <w:b/>
                <w:bCs/>
                <w:color w:val="auto"/>
                <w:sz w:val="24"/>
                <w:highlight w:val="none"/>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保证金</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是否满足磋商文件要求</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jc w:val="center"/>
              <w:rPr>
                <w:rFonts w:ascii="宋体" w:hAnsi="宋体"/>
                <w:b/>
                <w:bCs/>
                <w:color w:val="auto"/>
                <w:sz w:val="24"/>
                <w:highlight w:val="none"/>
              </w:rPr>
            </w:pPr>
            <w:r>
              <w:rPr>
                <w:rFonts w:hint="eastAsia" w:ascii="宋体" w:hAnsi="宋体"/>
                <w:b/>
                <w:bCs/>
                <w:color w:val="auto"/>
                <w:sz w:val="24"/>
                <w:highlight w:val="none"/>
              </w:rPr>
              <w:t>8</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是否有其它无效响应认定条件</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before="96" w:beforeLines="30" w:after="96" w:afterLines="30" w:line="440" w:lineRule="exact"/>
              <w:rPr>
                <w:rFonts w:ascii="宋体" w:hAnsi="宋体"/>
                <w:color w:val="auto"/>
                <w:sz w:val="24"/>
                <w:highlight w:val="none"/>
              </w:rPr>
            </w:pPr>
            <w:r>
              <w:rPr>
                <w:rFonts w:hint="eastAsia" w:ascii="宋体" w:hAnsi="宋体"/>
                <w:color w:val="auto"/>
                <w:sz w:val="24"/>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160" w:beforeLines="50" w:after="160" w:afterLines="50" w:line="440" w:lineRule="exact"/>
              <w:jc w:val="center"/>
              <w:rPr>
                <w:rFonts w:ascii="宋体" w:hAnsi="宋体"/>
                <w:color w:val="auto"/>
                <w:sz w:val="24"/>
                <w:highlight w:val="none"/>
              </w:rPr>
            </w:pPr>
            <w:r>
              <w:rPr>
                <w:rFonts w:hint="eastAsia" w:ascii="宋体" w:hAnsi="宋体"/>
                <w:b/>
                <w:bCs/>
                <w:color w:val="auto"/>
                <w:sz w:val="24"/>
                <w:highlight w:val="none"/>
              </w:rPr>
              <w:t>结    论</w:t>
            </w:r>
          </w:p>
        </w:tc>
        <w:tc>
          <w:tcPr>
            <w:tcW w:w="1043" w:type="dxa"/>
            <w:tcBorders>
              <w:top w:val="single" w:color="auto" w:sz="4" w:space="0"/>
              <w:left w:val="single" w:color="auto" w:sz="4" w:space="0"/>
              <w:bottom w:val="single" w:color="auto" w:sz="4" w:space="0"/>
              <w:right w:val="single" w:color="auto" w:sz="4" w:space="0"/>
            </w:tcBorders>
            <w:vAlign w:val="center"/>
          </w:tcPr>
          <w:p>
            <w:pPr>
              <w:widowControl/>
              <w:spacing w:before="160" w:beforeLines="50" w:after="160" w:afterLines="50" w:line="440" w:lineRule="exact"/>
              <w:rPr>
                <w:rFonts w:ascii="宋体" w:hAnsi="宋体"/>
                <w:color w:val="auto"/>
                <w:sz w:val="24"/>
                <w:highlight w:val="none"/>
              </w:rPr>
            </w:pPr>
            <w:r>
              <w:rPr>
                <w:rFonts w:hint="eastAsia" w:ascii="宋体" w:hAnsi="宋体"/>
                <w:color w:val="auto"/>
                <w:sz w:val="24"/>
                <w:highlight w:val="none"/>
              </w:rPr>
              <w:t> </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spacing w:before="160" w:beforeLines="50" w:after="160" w:afterLines="50" w:line="440" w:lineRule="exact"/>
              <w:rPr>
                <w:rFonts w:ascii="宋体" w:hAnsi="宋体"/>
                <w:color w:val="auto"/>
                <w:sz w:val="24"/>
                <w:highlight w:val="none"/>
              </w:rPr>
            </w:pPr>
            <w:r>
              <w:rPr>
                <w:rFonts w:hint="eastAsia" w:ascii="宋体" w:hAnsi="宋体"/>
                <w:color w:val="auto"/>
                <w:sz w:val="24"/>
                <w:highlight w:val="none"/>
              </w:rPr>
              <w:t> </w:t>
            </w:r>
          </w:p>
        </w:tc>
        <w:tc>
          <w:tcPr>
            <w:tcW w:w="1085" w:type="dxa"/>
            <w:tcBorders>
              <w:top w:val="single" w:color="auto" w:sz="4" w:space="0"/>
              <w:left w:val="single" w:color="auto" w:sz="4" w:space="0"/>
              <w:bottom w:val="single" w:color="auto" w:sz="4" w:space="0"/>
              <w:right w:val="single" w:color="auto" w:sz="4" w:space="0"/>
            </w:tcBorders>
            <w:vAlign w:val="center"/>
          </w:tcPr>
          <w:p>
            <w:pPr>
              <w:widowControl/>
              <w:spacing w:before="160" w:beforeLines="50" w:after="160" w:afterLines="50" w:line="440" w:lineRule="exact"/>
              <w:rPr>
                <w:rFonts w:ascii="宋体" w:hAnsi="宋体"/>
                <w:color w:val="auto"/>
                <w:sz w:val="24"/>
                <w:highlight w:val="none"/>
              </w:rPr>
            </w:pPr>
            <w:r>
              <w:rPr>
                <w:rFonts w:hint="eastAsia" w:ascii="宋体" w:hAnsi="宋体"/>
                <w:color w:val="auto"/>
                <w:sz w:val="24"/>
                <w:highlight w:val="none"/>
              </w:rPr>
              <w:t> </w:t>
            </w:r>
          </w:p>
        </w:tc>
      </w:tr>
    </w:tbl>
    <w:p>
      <w:pPr>
        <w:spacing w:before="160" w:beforeLines="50" w:after="160" w:afterLines="50" w:line="440" w:lineRule="exact"/>
        <w:rPr>
          <w:rFonts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1、表中只需填写“√”通过或“×”不通过；</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2、在结论中按“一项否决”的原则，只有全部是“√”通过的，填写“合格”；只要其中有一项是“×”不通过的，填写“不合格”；</w:t>
      </w:r>
    </w:p>
    <w:p>
      <w:pPr>
        <w:spacing w:line="44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3、结论是合格的，才能进入下一轮，不合格的被淘汰。</w:t>
      </w:r>
    </w:p>
    <w:p>
      <w:pPr>
        <w:spacing w:before="160" w:beforeLines="50" w:after="160" w:afterLines="50" w:line="440" w:lineRule="exact"/>
        <w:rPr>
          <w:rFonts w:ascii="宋体" w:hAnsi="宋体" w:cs="宋体"/>
          <w:b/>
          <w:bCs/>
          <w:color w:val="auto"/>
          <w:sz w:val="24"/>
          <w:highlight w:val="none"/>
        </w:rPr>
      </w:pPr>
      <w:r>
        <w:rPr>
          <w:rFonts w:hint="eastAsia" w:ascii="宋体" w:hAnsi="宋体" w:cs="宋体"/>
          <w:b/>
          <w:color w:val="auto"/>
          <w:sz w:val="24"/>
          <w:highlight w:val="none"/>
        </w:rPr>
        <w:br w:type="page"/>
      </w:r>
      <w:r>
        <w:rPr>
          <w:rFonts w:hint="eastAsia" w:ascii="宋体" w:hAnsi="宋体" w:cs="宋体"/>
          <w:b/>
          <w:color w:val="auto"/>
          <w:sz w:val="24"/>
          <w:highlight w:val="none"/>
        </w:rPr>
        <w:t>(附表2)</w:t>
      </w:r>
    </w:p>
    <w:p>
      <w:pPr>
        <w:spacing w:before="160" w:beforeLines="50" w:after="160" w:afterLines="50" w:line="440" w:lineRule="exact"/>
        <w:jc w:val="center"/>
        <w:rPr>
          <w:rFonts w:hint="eastAsia" w:ascii="宋体" w:hAnsi="宋体" w:cs="宋体"/>
          <w:b/>
          <w:bCs/>
          <w:color w:val="auto"/>
          <w:sz w:val="28"/>
          <w:szCs w:val="28"/>
          <w:highlight w:val="none"/>
          <w:lang w:val="en-GB"/>
        </w:rPr>
      </w:pPr>
      <w:r>
        <w:rPr>
          <w:rFonts w:hint="eastAsia" w:ascii="宋体" w:hAnsi="宋体" w:cs="宋体"/>
          <w:b/>
          <w:bCs/>
          <w:color w:val="auto"/>
          <w:sz w:val="28"/>
          <w:szCs w:val="28"/>
          <w:highlight w:val="none"/>
          <w:lang w:val="en-GB"/>
        </w:rPr>
        <w:t>评分细则表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427"/>
        <w:gridCol w:w="8544"/>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0" w:type="auto"/>
            <w:vAlign w:val="center"/>
          </w:tcPr>
          <w:p>
            <w:pPr>
              <w:jc w:val="center"/>
              <w:rPr>
                <w:b/>
                <w:bCs/>
                <w:color w:val="auto"/>
                <w:highlight w:val="none"/>
              </w:rPr>
            </w:pPr>
            <w:r>
              <w:rPr>
                <w:rFonts w:hint="eastAsia"/>
                <w:b/>
                <w:bCs/>
                <w:color w:val="auto"/>
                <w:highlight w:val="none"/>
              </w:rPr>
              <w:t>序号</w:t>
            </w:r>
          </w:p>
        </w:tc>
        <w:tc>
          <w:tcPr>
            <w:tcW w:w="0" w:type="auto"/>
            <w:vAlign w:val="center"/>
          </w:tcPr>
          <w:p>
            <w:pPr>
              <w:jc w:val="center"/>
              <w:rPr>
                <w:b/>
                <w:bCs/>
                <w:color w:val="auto"/>
                <w:highlight w:val="none"/>
              </w:rPr>
            </w:pPr>
            <w:r>
              <w:rPr>
                <w:rFonts w:hint="eastAsia"/>
                <w:b/>
                <w:bCs/>
                <w:color w:val="auto"/>
                <w:highlight w:val="none"/>
              </w:rPr>
              <w:t>评审项目</w:t>
            </w:r>
          </w:p>
        </w:tc>
        <w:tc>
          <w:tcPr>
            <w:tcW w:w="0" w:type="auto"/>
            <w:vAlign w:val="center"/>
          </w:tcPr>
          <w:p>
            <w:pPr>
              <w:jc w:val="center"/>
              <w:rPr>
                <w:b/>
                <w:bCs/>
                <w:color w:val="auto"/>
                <w:highlight w:val="none"/>
              </w:rPr>
            </w:pPr>
            <w:r>
              <w:rPr>
                <w:rFonts w:hint="eastAsia"/>
                <w:b/>
                <w:bCs/>
                <w:color w:val="auto"/>
                <w:highlight w:val="none"/>
              </w:rPr>
              <w:t>评分细则</w:t>
            </w:r>
          </w:p>
        </w:tc>
        <w:tc>
          <w:tcPr>
            <w:tcW w:w="0" w:type="auto"/>
            <w:vAlign w:val="center"/>
          </w:tcPr>
          <w:p>
            <w:pPr>
              <w:jc w:val="center"/>
              <w:rPr>
                <w:b/>
                <w:bCs/>
                <w:color w:val="auto"/>
                <w:highlight w:val="none"/>
              </w:rPr>
            </w:pPr>
            <w:r>
              <w:rPr>
                <w:rFonts w:hint="eastAsia"/>
                <w:b/>
                <w:bCs/>
                <w:color w:val="auto"/>
                <w:highlight w:val="none"/>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0" w:type="auto"/>
            <w:vAlign w:val="center"/>
          </w:tcPr>
          <w:p>
            <w:pPr>
              <w:jc w:val="center"/>
              <w:rPr>
                <w:rFonts w:hint="eastAsia"/>
                <w:color w:val="auto"/>
                <w:szCs w:val="21"/>
                <w:highlight w:val="none"/>
              </w:rPr>
            </w:pPr>
            <w:r>
              <w:rPr>
                <w:rFonts w:hint="eastAsia"/>
                <w:color w:val="auto"/>
                <w:szCs w:val="21"/>
                <w:highlight w:val="none"/>
              </w:rPr>
              <w:t>1</w:t>
            </w:r>
          </w:p>
        </w:tc>
        <w:tc>
          <w:tcPr>
            <w:tcW w:w="0" w:type="auto"/>
            <w:vMerge w:val="restart"/>
            <w:vAlign w:val="center"/>
          </w:tcPr>
          <w:p>
            <w:pPr>
              <w:jc w:val="center"/>
              <w:rPr>
                <w:rFonts w:hint="eastAsia" w:ascii="宋体" w:hAnsi="宋体" w:cs="宋体"/>
                <w:color w:val="auto"/>
                <w:szCs w:val="21"/>
                <w:highlight w:val="none"/>
                <w:lang w:bidi="ar"/>
              </w:rPr>
            </w:pPr>
            <w:r>
              <w:rPr>
                <w:rFonts w:hint="eastAsia" w:ascii="宋体" w:hAnsi="宋体" w:cs="宋体"/>
                <w:color w:val="auto"/>
                <w:szCs w:val="21"/>
                <w:highlight w:val="none"/>
                <w:lang w:bidi="ar"/>
              </w:rPr>
              <w:t>商务部分</w:t>
            </w:r>
          </w:p>
        </w:tc>
        <w:tc>
          <w:tcPr>
            <w:tcW w:w="0" w:type="auto"/>
            <w:vAlign w:val="center"/>
          </w:tcPr>
          <w:p>
            <w:pPr>
              <w:jc w:val="left"/>
              <w:rPr>
                <w:color w:val="auto"/>
                <w:highlight w:val="none"/>
              </w:rPr>
            </w:pPr>
            <w:r>
              <w:rPr>
                <w:rFonts w:hint="eastAsia"/>
                <w:color w:val="auto"/>
                <w:highlight w:val="none"/>
              </w:rPr>
              <w:t>提供承担类似项目业绩，每提供一项得3分，本项满分6分。（须提供合同及省或市级水体监管部门的检测报告，未提供不得分）</w:t>
            </w:r>
          </w:p>
        </w:tc>
        <w:tc>
          <w:tcPr>
            <w:tcW w:w="0" w:type="auto"/>
            <w:vAlign w:val="center"/>
          </w:tcPr>
          <w:p>
            <w:pPr>
              <w:jc w:val="center"/>
              <w:rPr>
                <w:color w:val="auto"/>
                <w:highlight w:val="none"/>
              </w:rPr>
            </w:pPr>
            <w:r>
              <w:rPr>
                <w:rFonts w:hint="eastAsia"/>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0" w:type="auto"/>
            <w:vAlign w:val="center"/>
          </w:tcPr>
          <w:p>
            <w:pPr>
              <w:jc w:val="center"/>
              <w:rPr>
                <w:rFonts w:hint="eastAsia"/>
                <w:color w:val="auto"/>
                <w:highlight w:val="none"/>
              </w:rPr>
            </w:pPr>
            <w:r>
              <w:rPr>
                <w:rFonts w:hint="eastAsia"/>
                <w:color w:val="auto"/>
                <w:highlight w:val="none"/>
              </w:rPr>
              <w:t>2</w:t>
            </w:r>
          </w:p>
        </w:tc>
        <w:tc>
          <w:tcPr>
            <w:tcW w:w="0" w:type="auto"/>
            <w:vMerge w:val="continue"/>
            <w:vAlign w:val="center"/>
          </w:tcPr>
          <w:p>
            <w:pPr>
              <w:jc w:val="center"/>
              <w:rPr>
                <w:color w:val="auto"/>
                <w:highlight w:val="none"/>
              </w:rPr>
            </w:pPr>
          </w:p>
        </w:tc>
        <w:tc>
          <w:tcPr>
            <w:tcW w:w="0" w:type="auto"/>
            <w:vAlign w:val="center"/>
          </w:tcPr>
          <w:p>
            <w:pPr>
              <w:jc w:val="left"/>
              <w:rPr>
                <w:color w:val="auto"/>
                <w:highlight w:val="none"/>
              </w:rPr>
            </w:pPr>
            <w:r>
              <w:rPr>
                <w:rFonts w:hint="eastAsia"/>
                <w:color w:val="auto"/>
                <w:highlight w:val="none"/>
              </w:rPr>
              <w:t>投标供应商运维团队项目负责人具有环境工程高级工程师职称的，得5分，本项满分5分。（证明材料：提供相关证书复印件并加盖公章，且持证人员必须是投标人的在职员工，须提供2022年1月1日至今任意连续三个月在本单位的社保证明材料，未按要求提供证明材料不得分）</w:t>
            </w:r>
          </w:p>
        </w:tc>
        <w:tc>
          <w:tcPr>
            <w:tcW w:w="0" w:type="auto"/>
            <w:vAlign w:val="center"/>
          </w:tcPr>
          <w:p>
            <w:pPr>
              <w:jc w:val="center"/>
              <w:rPr>
                <w:rFonts w:hint="eastAsia"/>
                <w:color w:val="auto"/>
                <w:highlight w:val="none"/>
              </w:rPr>
            </w:pPr>
            <w:r>
              <w:rPr>
                <w:rFonts w:hint="eastAsia"/>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exact"/>
          <w:jc w:val="center"/>
        </w:trPr>
        <w:tc>
          <w:tcPr>
            <w:tcW w:w="0" w:type="auto"/>
            <w:vAlign w:val="center"/>
          </w:tcPr>
          <w:p>
            <w:pPr>
              <w:jc w:val="center"/>
              <w:rPr>
                <w:rFonts w:hint="eastAsia"/>
                <w:color w:val="auto"/>
                <w:highlight w:val="none"/>
              </w:rPr>
            </w:pPr>
            <w:r>
              <w:rPr>
                <w:rFonts w:hint="eastAsia"/>
                <w:color w:val="auto"/>
                <w:highlight w:val="none"/>
              </w:rPr>
              <w:t>3</w:t>
            </w:r>
          </w:p>
        </w:tc>
        <w:tc>
          <w:tcPr>
            <w:tcW w:w="0" w:type="auto"/>
            <w:vMerge w:val="restart"/>
            <w:vAlign w:val="center"/>
          </w:tcPr>
          <w:p>
            <w:pPr>
              <w:jc w:val="center"/>
              <w:rPr>
                <w:rFonts w:hint="eastAsia"/>
                <w:color w:val="auto"/>
                <w:highlight w:val="none"/>
              </w:rPr>
            </w:pPr>
            <w:r>
              <w:rPr>
                <w:rFonts w:hint="eastAsia"/>
                <w:color w:val="auto"/>
                <w:highlight w:val="none"/>
              </w:rPr>
              <w:t>技术部分</w:t>
            </w:r>
          </w:p>
        </w:tc>
        <w:tc>
          <w:tcPr>
            <w:tcW w:w="8261" w:type="dxa"/>
            <w:vAlign w:val="center"/>
          </w:tcPr>
          <w:p>
            <w:pPr>
              <w:jc w:val="left"/>
              <w:rPr>
                <w:color w:val="auto"/>
                <w:highlight w:val="none"/>
              </w:rPr>
            </w:pPr>
            <w:r>
              <w:rPr>
                <w:rFonts w:hint="eastAsia"/>
                <w:color w:val="auto"/>
                <w:highlight w:val="none"/>
              </w:rPr>
              <w:t>根据投标供应商提供的项目整体运营方案是否全面详细、科学合理，可操作性等方面进行</w:t>
            </w:r>
            <w:r>
              <w:rPr>
                <w:rFonts w:hint="eastAsia" w:ascii="宋体" w:hAnsi="宋体" w:cs="宋体"/>
                <w:color w:val="auto"/>
                <w:kern w:val="0"/>
                <w:szCs w:val="21"/>
                <w:highlight w:val="none"/>
                <w:u w:color="000000"/>
                <w:lang w:val="en-GB" w:bidi="ar"/>
              </w:rPr>
              <w:t>综合评审</w:t>
            </w:r>
            <w:r>
              <w:rPr>
                <w:rFonts w:hint="eastAsia"/>
                <w:color w:val="auto"/>
                <w:highlight w:val="none"/>
              </w:rPr>
              <w:t>；运营方案优得11.1—15分，良得7.1—11分，一般得4.1—7分，差得0.1—4分，未提供得0分。</w:t>
            </w:r>
          </w:p>
        </w:tc>
        <w:tc>
          <w:tcPr>
            <w:tcW w:w="490" w:type="dxa"/>
            <w:vAlign w:val="center"/>
          </w:tcPr>
          <w:p>
            <w:pPr>
              <w:jc w:val="center"/>
              <w:rPr>
                <w:color w:val="auto"/>
                <w:highlight w:val="none"/>
              </w:rPr>
            </w:pPr>
            <w:r>
              <w:rPr>
                <w:rFonts w:hint="eastAsia"/>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exact"/>
          <w:jc w:val="center"/>
        </w:trPr>
        <w:tc>
          <w:tcPr>
            <w:tcW w:w="0" w:type="auto"/>
            <w:vAlign w:val="center"/>
          </w:tcPr>
          <w:p>
            <w:pPr>
              <w:jc w:val="center"/>
              <w:rPr>
                <w:rFonts w:hint="eastAsia" w:ascii="宋体" w:hAnsi="宋体" w:cs="宋体"/>
                <w:color w:val="auto"/>
                <w:szCs w:val="21"/>
                <w:highlight w:val="none"/>
                <w:lang w:bidi="ar"/>
              </w:rPr>
            </w:pPr>
            <w:r>
              <w:rPr>
                <w:rFonts w:hint="eastAsia" w:ascii="宋体" w:hAnsi="宋体" w:cs="宋体"/>
                <w:color w:val="auto"/>
                <w:szCs w:val="21"/>
                <w:highlight w:val="none"/>
                <w:lang w:bidi="ar"/>
              </w:rPr>
              <w:t>4</w:t>
            </w:r>
          </w:p>
        </w:tc>
        <w:tc>
          <w:tcPr>
            <w:tcW w:w="0" w:type="auto"/>
            <w:vMerge w:val="continue"/>
            <w:vAlign w:val="center"/>
          </w:tcPr>
          <w:p>
            <w:pPr>
              <w:jc w:val="center"/>
              <w:rPr>
                <w:rFonts w:ascii="宋体" w:hAnsi="宋体" w:cs="宋体"/>
                <w:color w:val="auto"/>
                <w:kern w:val="0"/>
                <w:szCs w:val="21"/>
                <w:highlight w:val="none"/>
                <w:u w:color="000000"/>
                <w:lang w:bidi="ar"/>
              </w:rPr>
            </w:pPr>
          </w:p>
        </w:tc>
        <w:tc>
          <w:tcPr>
            <w:tcW w:w="8261" w:type="dxa"/>
            <w:vAlign w:val="center"/>
          </w:tcPr>
          <w:p>
            <w:pPr>
              <w:rPr>
                <w:rFonts w:ascii="宋体" w:hAnsi="宋体" w:cs="宋体"/>
                <w:color w:val="auto"/>
                <w:kern w:val="0"/>
                <w:szCs w:val="21"/>
                <w:highlight w:val="none"/>
                <w:u w:color="000000"/>
                <w:lang w:bidi="ar"/>
              </w:rPr>
            </w:pPr>
            <w:r>
              <w:rPr>
                <w:rFonts w:hint="eastAsia" w:ascii="宋体" w:hAnsi="宋体" w:cs="宋体"/>
                <w:color w:val="auto"/>
                <w:kern w:val="0"/>
                <w:szCs w:val="21"/>
                <w:highlight w:val="none"/>
                <w:u w:color="000000"/>
                <w:lang w:bidi="ar"/>
              </w:rPr>
              <w:t>根据投标供应商提供的应急预案（</w:t>
            </w:r>
            <w:r>
              <w:rPr>
                <w:rFonts w:hint="eastAsia" w:ascii="宋体" w:hAnsi="宋体" w:cs="宋体"/>
                <w:color w:val="auto"/>
                <w:highlight w:val="none"/>
                <w:lang w:val="en-GB"/>
              </w:rPr>
              <w:t>包括但不限于突发事件分析及应对</w:t>
            </w:r>
            <w:r>
              <w:rPr>
                <w:rFonts w:hint="eastAsia" w:ascii="宋体" w:hAnsi="宋体" w:cs="宋体"/>
                <w:color w:val="auto"/>
                <w:highlight w:val="none"/>
              </w:rPr>
              <w:t>措施、应急人员安排、</w:t>
            </w:r>
            <w:r>
              <w:rPr>
                <w:rFonts w:hint="eastAsia" w:ascii="宋体" w:hAnsi="宋体" w:cs="宋体"/>
                <w:color w:val="auto"/>
                <w:highlight w:val="none"/>
                <w:lang w:val="en-GB"/>
              </w:rPr>
              <w:t>疫情防控等内容</w:t>
            </w:r>
            <w:r>
              <w:rPr>
                <w:rFonts w:hint="eastAsia" w:ascii="宋体" w:hAnsi="宋体" w:cs="宋体"/>
                <w:color w:val="auto"/>
                <w:kern w:val="0"/>
                <w:szCs w:val="21"/>
                <w:highlight w:val="none"/>
                <w:u w:color="000000"/>
                <w:lang w:bidi="ar"/>
              </w:rPr>
              <w:t>）是否科学合理，进行综合评审；应急预案</w:t>
            </w:r>
            <w:r>
              <w:rPr>
                <w:rFonts w:hint="eastAsia"/>
                <w:color w:val="auto"/>
                <w:highlight w:val="none"/>
              </w:rPr>
              <w:t>优得11.1—15分，良得7.1—11分，一般得4.1—7分，差得0.1—4分，未提供得0分。</w:t>
            </w:r>
          </w:p>
        </w:tc>
        <w:tc>
          <w:tcPr>
            <w:tcW w:w="490" w:type="dxa"/>
            <w:vAlign w:val="center"/>
          </w:tcPr>
          <w:p>
            <w:pPr>
              <w:jc w:val="center"/>
              <w:rPr>
                <w:color w:val="auto"/>
                <w:highlight w:val="none"/>
              </w:rPr>
            </w:pPr>
            <w:r>
              <w:rPr>
                <w:rFonts w:hint="eastAsia"/>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0" w:type="auto"/>
            <w:vAlign w:val="center"/>
          </w:tcPr>
          <w:p>
            <w:pPr>
              <w:jc w:val="center"/>
              <w:rPr>
                <w:rFonts w:hint="eastAsia" w:ascii="宋体" w:hAnsi="宋体" w:cs="宋体"/>
                <w:color w:val="auto"/>
                <w:szCs w:val="21"/>
                <w:highlight w:val="none"/>
                <w:lang w:bidi="ar"/>
              </w:rPr>
            </w:pPr>
            <w:r>
              <w:rPr>
                <w:rFonts w:hint="eastAsia" w:ascii="宋体" w:hAnsi="宋体" w:cs="宋体"/>
                <w:color w:val="auto"/>
                <w:szCs w:val="21"/>
                <w:highlight w:val="none"/>
                <w:lang w:bidi="ar"/>
              </w:rPr>
              <w:t>5</w:t>
            </w:r>
          </w:p>
        </w:tc>
        <w:tc>
          <w:tcPr>
            <w:tcW w:w="0" w:type="auto"/>
            <w:vMerge w:val="continue"/>
            <w:vAlign w:val="center"/>
          </w:tcPr>
          <w:p>
            <w:pPr>
              <w:jc w:val="center"/>
              <w:rPr>
                <w:rFonts w:ascii="宋体" w:hAnsi="宋体" w:cs="宋体"/>
                <w:color w:val="auto"/>
                <w:szCs w:val="21"/>
                <w:highlight w:val="none"/>
                <w:lang w:bidi="ar"/>
              </w:rPr>
            </w:pPr>
          </w:p>
        </w:tc>
        <w:tc>
          <w:tcPr>
            <w:tcW w:w="8261" w:type="dxa"/>
            <w:vAlign w:val="center"/>
          </w:tcPr>
          <w:p>
            <w:pPr>
              <w:rPr>
                <w:color w:val="auto"/>
                <w:highlight w:val="none"/>
              </w:rPr>
            </w:pPr>
            <w:r>
              <w:rPr>
                <w:rFonts w:hint="eastAsia" w:ascii="宋体" w:hAnsi="宋体" w:cs="宋体"/>
                <w:color w:val="auto"/>
                <w:szCs w:val="21"/>
                <w:highlight w:val="none"/>
                <w:lang w:bidi="ar"/>
              </w:rPr>
              <w:t>根据投标供应商提供的服务承诺是否内容全面，满足项目及采购人的需要等方面进行</w:t>
            </w:r>
            <w:r>
              <w:rPr>
                <w:rFonts w:hint="eastAsia" w:ascii="宋体" w:hAnsi="宋体" w:cs="宋体"/>
                <w:color w:val="auto"/>
                <w:kern w:val="0"/>
                <w:szCs w:val="21"/>
                <w:highlight w:val="none"/>
                <w:u w:color="000000"/>
                <w:lang w:val="en-GB" w:bidi="ar"/>
              </w:rPr>
              <w:t>综合评审</w:t>
            </w:r>
            <w:r>
              <w:rPr>
                <w:rFonts w:hint="eastAsia" w:ascii="宋体" w:hAnsi="宋体" w:cs="宋体"/>
                <w:color w:val="auto"/>
                <w:szCs w:val="21"/>
                <w:highlight w:val="none"/>
                <w:lang w:bidi="ar"/>
              </w:rPr>
              <w:t>；服务承诺</w:t>
            </w:r>
            <w:r>
              <w:rPr>
                <w:rFonts w:hint="eastAsia"/>
                <w:color w:val="auto"/>
                <w:highlight w:val="none"/>
              </w:rPr>
              <w:t>优得7.1—10分，良得4.1—7分，一般得2.1—4分，差得0.1—2分，未提供得0分。</w:t>
            </w:r>
          </w:p>
        </w:tc>
        <w:tc>
          <w:tcPr>
            <w:tcW w:w="490" w:type="dxa"/>
            <w:vAlign w:val="center"/>
          </w:tcPr>
          <w:p>
            <w:pPr>
              <w:jc w:val="center"/>
              <w:rPr>
                <w:color w:val="auto"/>
                <w:highlight w:val="none"/>
              </w:rPr>
            </w:pPr>
            <w:r>
              <w:rPr>
                <w:rFonts w:hint="eastAsia"/>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jc w:val="center"/>
        </w:trPr>
        <w:tc>
          <w:tcPr>
            <w:tcW w:w="0" w:type="auto"/>
            <w:vAlign w:val="center"/>
          </w:tcPr>
          <w:p>
            <w:pPr>
              <w:jc w:val="center"/>
              <w:rPr>
                <w:rFonts w:hint="eastAsia" w:ascii="宋体" w:hAnsi="宋体" w:cs="宋体"/>
                <w:color w:val="auto"/>
                <w:szCs w:val="21"/>
                <w:highlight w:val="none"/>
                <w:lang w:bidi="ar"/>
              </w:rPr>
            </w:pPr>
            <w:r>
              <w:rPr>
                <w:rFonts w:hint="eastAsia" w:ascii="宋体" w:hAnsi="宋体" w:cs="宋体"/>
                <w:color w:val="auto"/>
                <w:szCs w:val="21"/>
                <w:highlight w:val="none"/>
                <w:lang w:bidi="ar"/>
              </w:rPr>
              <w:t>6</w:t>
            </w:r>
          </w:p>
        </w:tc>
        <w:tc>
          <w:tcPr>
            <w:tcW w:w="0" w:type="auto"/>
            <w:vMerge w:val="continue"/>
            <w:vAlign w:val="center"/>
          </w:tcPr>
          <w:p>
            <w:pPr>
              <w:jc w:val="center"/>
              <w:rPr>
                <w:rFonts w:ascii="宋体" w:hAnsi="宋体" w:cs="宋体"/>
                <w:color w:val="auto"/>
                <w:szCs w:val="21"/>
                <w:highlight w:val="none"/>
                <w:lang w:bidi="ar"/>
              </w:rPr>
            </w:pPr>
          </w:p>
        </w:tc>
        <w:tc>
          <w:tcPr>
            <w:tcW w:w="8261" w:type="dxa"/>
            <w:vAlign w:val="center"/>
          </w:tcPr>
          <w:p>
            <w:pPr>
              <w:rPr>
                <w:rFonts w:ascii="宋体" w:hAnsi="宋体" w:cs="宋体"/>
                <w:color w:val="auto"/>
                <w:szCs w:val="21"/>
                <w:highlight w:val="none"/>
                <w:lang w:bidi="ar"/>
              </w:rPr>
            </w:pPr>
            <w:r>
              <w:rPr>
                <w:rFonts w:hint="eastAsia" w:ascii="宋体" w:hAnsi="宋体" w:cs="宋体"/>
                <w:color w:val="auto"/>
                <w:szCs w:val="21"/>
                <w:highlight w:val="none"/>
                <w:lang w:bidi="ar"/>
              </w:rPr>
              <w:t>根据投标供应商提供的对应人员岗位分配是否全面合理，满足项目及采购人的需要等方面进行</w:t>
            </w:r>
            <w:r>
              <w:rPr>
                <w:rFonts w:hint="eastAsia" w:ascii="宋体" w:hAnsi="宋体" w:cs="宋体"/>
                <w:color w:val="auto"/>
                <w:kern w:val="0"/>
                <w:szCs w:val="21"/>
                <w:highlight w:val="none"/>
                <w:u w:color="000000"/>
                <w:lang w:val="en-GB" w:bidi="ar"/>
              </w:rPr>
              <w:t>综合评审</w:t>
            </w:r>
            <w:r>
              <w:rPr>
                <w:rFonts w:hint="eastAsia" w:ascii="宋体" w:hAnsi="宋体" w:cs="宋体"/>
                <w:color w:val="auto"/>
                <w:szCs w:val="21"/>
                <w:highlight w:val="none"/>
                <w:lang w:bidi="ar"/>
              </w:rPr>
              <w:t>；岗位分配优</w:t>
            </w:r>
            <w:r>
              <w:rPr>
                <w:rFonts w:hint="eastAsia"/>
                <w:color w:val="auto"/>
                <w:highlight w:val="none"/>
              </w:rPr>
              <w:t>得得7.1—10分，良得4.1—7分，一般得2.1—4分，差得0.1—2分，未提供得0分。</w:t>
            </w:r>
          </w:p>
        </w:tc>
        <w:tc>
          <w:tcPr>
            <w:tcW w:w="490" w:type="dxa"/>
            <w:vAlign w:val="center"/>
          </w:tcPr>
          <w:p>
            <w:pPr>
              <w:jc w:val="center"/>
              <w:rPr>
                <w:color w:val="auto"/>
                <w:highlight w:val="none"/>
              </w:rPr>
            </w:pPr>
            <w:r>
              <w:rPr>
                <w:rFonts w:hint="eastAsia"/>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exact"/>
          <w:jc w:val="center"/>
        </w:trPr>
        <w:tc>
          <w:tcPr>
            <w:tcW w:w="0" w:type="auto"/>
            <w:vAlign w:val="center"/>
          </w:tcPr>
          <w:p>
            <w:pPr>
              <w:jc w:val="center"/>
              <w:rPr>
                <w:rFonts w:hint="eastAsia" w:ascii="宋体" w:hAnsi="宋体" w:cs="宋体"/>
                <w:color w:val="auto"/>
                <w:szCs w:val="21"/>
                <w:highlight w:val="none"/>
                <w:lang w:bidi="ar"/>
              </w:rPr>
            </w:pPr>
            <w:r>
              <w:rPr>
                <w:rFonts w:hint="eastAsia" w:ascii="宋体" w:hAnsi="宋体" w:cs="宋体"/>
                <w:color w:val="auto"/>
                <w:szCs w:val="21"/>
                <w:highlight w:val="none"/>
                <w:lang w:bidi="ar"/>
              </w:rPr>
              <w:t>7</w:t>
            </w:r>
          </w:p>
        </w:tc>
        <w:tc>
          <w:tcPr>
            <w:tcW w:w="0" w:type="auto"/>
            <w:vMerge w:val="continue"/>
            <w:vAlign w:val="center"/>
          </w:tcPr>
          <w:p>
            <w:pPr>
              <w:jc w:val="center"/>
              <w:rPr>
                <w:rFonts w:ascii="宋体" w:hAnsi="宋体" w:cs="宋体"/>
                <w:color w:val="auto"/>
                <w:szCs w:val="21"/>
                <w:highlight w:val="none"/>
                <w:lang w:bidi="ar"/>
              </w:rPr>
            </w:pPr>
          </w:p>
        </w:tc>
        <w:tc>
          <w:tcPr>
            <w:tcW w:w="8261" w:type="dxa"/>
            <w:vAlign w:val="center"/>
          </w:tcPr>
          <w:p>
            <w:pPr>
              <w:rPr>
                <w:rFonts w:hint="eastAsia" w:ascii="宋体" w:hAnsi="宋体" w:cs="宋体"/>
                <w:color w:val="auto"/>
                <w:szCs w:val="21"/>
                <w:highlight w:val="none"/>
                <w:lang w:bidi="ar"/>
              </w:rPr>
            </w:pPr>
            <w:r>
              <w:rPr>
                <w:rFonts w:hint="eastAsia" w:ascii="宋体" w:hAnsi="宋体" w:cs="宋体"/>
                <w:color w:val="auto"/>
                <w:kern w:val="0"/>
                <w:szCs w:val="21"/>
                <w:highlight w:val="none"/>
                <w:u w:color="000000"/>
                <w:lang w:bidi="ar"/>
              </w:rPr>
              <w:t>根据投标供应商提供的岗位人员培训计划（包括但不限于</w:t>
            </w:r>
            <w:r>
              <w:rPr>
                <w:rFonts w:hint="eastAsia" w:ascii="宋体" w:hAnsi="宋体" w:cs="宋体"/>
                <w:color w:val="auto"/>
                <w:kern w:val="0"/>
                <w:szCs w:val="21"/>
                <w:highlight w:val="none"/>
                <w:u w:color="000000"/>
                <w:lang w:val="en-GB" w:bidi="ar"/>
              </w:rPr>
              <w:t>培训时间、培训地点、培训方式、培训内容、培训资料</w:t>
            </w:r>
            <w:r>
              <w:rPr>
                <w:rFonts w:hint="eastAsia" w:ascii="宋体" w:hAnsi="宋体" w:cs="宋体"/>
                <w:color w:val="auto"/>
                <w:kern w:val="0"/>
                <w:szCs w:val="21"/>
                <w:highlight w:val="none"/>
                <w:u w:color="000000"/>
                <w:lang w:bidi="ar"/>
              </w:rPr>
              <w:t>等）的</w:t>
            </w:r>
            <w:r>
              <w:rPr>
                <w:rFonts w:hint="eastAsia" w:ascii="宋体" w:hAnsi="宋体" w:cs="宋体"/>
                <w:color w:val="auto"/>
                <w:kern w:val="0"/>
                <w:szCs w:val="21"/>
                <w:highlight w:val="none"/>
                <w:u w:color="000000"/>
                <w:lang w:val="en-GB" w:bidi="ar"/>
              </w:rPr>
              <w:t>内容合理性、科学性、针对性进行综合评审：</w:t>
            </w:r>
            <w:r>
              <w:rPr>
                <w:rFonts w:hint="eastAsia" w:ascii="宋体" w:hAnsi="宋体" w:cs="宋体"/>
                <w:color w:val="auto"/>
                <w:kern w:val="0"/>
                <w:szCs w:val="21"/>
                <w:highlight w:val="none"/>
                <w:u w:color="000000"/>
                <w:lang w:bidi="ar"/>
              </w:rPr>
              <w:t>培训计划优</w:t>
            </w:r>
            <w:r>
              <w:rPr>
                <w:rFonts w:hint="eastAsia"/>
                <w:color w:val="auto"/>
                <w:highlight w:val="none"/>
              </w:rPr>
              <w:t>得6.1—9分，良得3.1—6分，一般得2.1—3分分，差得0.1—2分，未提供得0分。</w:t>
            </w:r>
          </w:p>
        </w:tc>
        <w:tc>
          <w:tcPr>
            <w:tcW w:w="490" w:type="dxa"/>
            <w:vAlign w:val="center"/>
          </w:tcPr>
          <w:p>
            <w:pPr>
              <w:jc w:val="center"/>
              <w:rPr>
                <w:color w:val="auto"/>
                <w:highlight w:val="none"/>
              </w:rPr>
            </w:pPr>
            <w:r>
              <w:rPr>
                <w:rFonts w:hint="eastAsia"/>
                <w:color w:val="auto"/>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0" w:type="auto"/>
            <w:vAlign w:val="center"/>
          </w:tcPr>
          <w:p>
            <w:pPr>
              <w:jc w:val="center"/>
              <w:rPr>
                <w:rFonts w:hint="eastAsia" w:ascii="宋体" w:hAnsi="宋体" w:cs="宋体"/>
                <w:color w:val="auto"/>
                <w:szCs w:val="21"/>
                <w:highlight w:val="none"/>
                <w:lang w:bidi="ar"/>
              </w:rPr>
            </w:pPr>
            <w:r>
              <w:rPr>
                <w:rFonts w:hint="eastAsia" w:ascii="宋体" w:hAnsi="宋体" w:cs="宋体"/>
                <w:color w:val="auto"/>
                <w:kern w:val="0"/>
                <w:szCs w:val="21"/>
                <w:highlight w:val="none"/>
                <w:u w:color="000000"/>
                <w:lang w:bidi="ar"/>
              </w:rPr>
              <w:t>8</w:t>
            </w:r>
          </w:p>
        </w:tc>
        <w:tc>
          <w:tcPr>
            <w:tcW w:w="0" w:type="auto"/>
            <w:vAlign w:val="center"/>
          </w:tcPr>
          <w:p>
            <w:pPr>
              <w:jc w:val="center"/>
              <w:rPr>
                <w:rFonts w:ascii="宋体" w:hAnsi="宋体" w:cs="宋体"/>
                <w:color w:val="auto"/>
                <w:szCs w:val="21"/>
                <w:highlight w:val="none"/>
                <w:lang w:bidi="ar"/>
              </w:rPr>
            </w:pPr>
            <w:r>
              <w:rPr>
                <w:rFonts w:hint="eastAsia" w:ascii="宋体" w:hAnsi="宋体" w:cs="宋体"/>
                <w:color w:val="auto"/>
                <w:kern w:val="0"/>
                <w:szCs w:val="21"/>
                <w:highlight w:val="none"/>
                <w:u w:color="000000"/>
                <w:lang w:bidi="ar"/>
              </w:rPr>
              <w:t>报价</w:t>
            </w:r>
          </w:p>
        </w:tc>
        <w:tc>
          <w:tcPr>
            <w:tcW w:w="0" w:type="auto"/>
            <w:vAlign w:val="center"/>
          </w:tcPr>
          <w:p>
            <w:pPr>
              <w:rPr>
                <w:rFonts w:ascii="宋体" w:hAnsi="宋体" w:cs="宋体"/>
                <w:color w:val="auto"/>
                <w:szCs w:val="21"/>
                <w:highlight w:val="none"/>
                <w:lang w:bidi="ar"/>
              </w:rPr>
            </w:pPr>
            <w:r>
              <w:rPr>
                <w:rFonts w:hint="eastAsia" w:ascii="宋体" w:hAnsi="宋体" w:cs="宋体"/>
                <w:color w:val="auto"/>
                <w:kern w:val="0"/>
                <w:szCs w:val="21"/>
                <w:highlight w:val="none"/>
                <w:u w:color="000000"/>
                <w:lang w:bidi="ar"/>
              </w:rPr>
              <w:t>满足磋商文件要求且投标报价最低的投标报价为评标基准价，其价格分为满分。其他投标人的价格分统一按照下列公式计算：投标报价得分=（评标基准价／投标报价）×价格权值×100</w:t>
            </w:r>
          </w:p>
        </w:tc>
        <w:tc>
          <w:tcPr>
            <w:tcW w:w="0" w:type="auto"/>
            <w:vAlign w:val="center"/>
          </w:tcPr>
          <w:p>
            <w:pPr>
              <w:jc w:val="center"/>
              <w:rPr>
                <w:color w:val="auto"/>
                <w:highlight w:val="none"/>
              </w:rPr>
            </w:pPr>
            <w:r>
              <w:rPr>
                <w:rFonts w:hint="eastAsia"/>
                <w:color w:val="auto"/>
                <w:highlight w:val="none"/>
              </w:rPr>
              <w:t>30</w:t>
            </w:r>
          </w:p>
        </w:tc>
      </w:tr>
    </w:tbl>
    <w:p>
      <w:pPr>
        <w:rPr>
          <w:color w:val="auto"/>
          <w:highlight w:val="none"/>
        </w:rPr>
      </w:pPr>
    </w:p>
    <w:p>
      <w:pPr>
        <w:pStyle w:val="10"/>
        <w:adjustRightInd w:val="0"/>
        <w:snapToGrid w:val="0"/>
        <w:spacing w:before="160" w:beforeLines="50" w:after="160" w:afterLines="50" w:line="440" w:lineRule="exact"/>
        <w:rPr>
          <w:rFonts w:hint="eastAsia" w:hAnsi="宋体" w:cs="宋体"/>
          <w:b/>
          <w:color w:val="auto"/>
          <w:sz w:val="28"/>
          <w:szCs w:val="28"/>
          <w:highlight w:val="none"/>
          <w:lang w:val="en-GB"/>
        </w:rPr>
      </w:pPr>
    </w:p>
    <w:p>
      <w:pPr>
        <w:pStyle w:val="10"/>
        <w:adjustRightInd w:val="0"/>
        <w:snapToGrid w:val="0"/>
        <w:spacing w:before="160" w:beforeLines="50" w:after="160" w:afterLines="50" w:line="440" w:lineRule="exact"/>
        <w:rPr>
          <w:rFonts w:hAnsi="宋体" w:cs="宋体"/>
          <w:b/>
          <w:color w:val="auto"/>
          <w:sz w:val="28"/>
          <w:szCs w:val="28"/>
          <w:highlight w:val="none"/>
          <w:lang w:val="en-GB"/>
        </w:rPr>
      </w:pPr>
      <w:r>
        <w:rPr>
          <w:rFonts w:hint="eastAsia" w:hAnsi="宋体" w:cs="宋体"/>
          <w:b/>
          <w:color w:val="auto"/>
          <w:sz w:val="28"/>
          <w:szCs w:val="28"/>
          <w:highlight w:val="none"/>
          <w:lang w:val="en-GB"/>
        </w:rPr>
        <w:t>（七）定标</w:t>
      </w:r>
    </w:p>
    <w:p>
      <w:pPr>
        <w:tabs>
          <w:tab w:val="left" w:pos="0"/>
        </w:tabs>
        <w:adjustRightInd w:val="0"/>
        <w:snapToGrid w:val="0"/>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22、</w:t>
      </w:r>
      <w:r>
        <w:rPr>
          <w:rFonts w:hint="eastAsia" w:ascii="宋体" w:hAnsi="宋体" w:cs="宋体"/>
          <w:b/>
          <w:color w:val="auto"/>
          <w:sz w:val="24"/>
          <w:highlight w:val="none"/>
          <w:lang w:val="en-GB"/>
        </w:rPr>
        <w:t>确定成交供应商的标准</w:t>
      </w:r>
    </w:p>
    <w:p>
      <w:pPr>
        <w:tabs>
          <w:tab w:val="left" w:pos="0"/>
        </w:tabs>
        <w:adjustRightInd w:val="0"/>
        <w:snapToGrid w:val="0"/>
        <w:spacing w:line="440" w:lineRule="exact"/>
        <w:ind w:firstLine="480" w:firstLineChars="200"/>
        <w:rPr>
          <w:rFonts w:ascii="宋体" w:hAnsi="宋体" w:cs="宋体"/>
          <w:b/>
          <w:bCs/>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磋商小组依据对各响应文件的评审结果，提出书面评审报告，并根据磋商文件的规定，在</w:t>
      </w:r>
      <w:r>
        <w:rPr>
          <w:rFonts w:hint="eastAsia" w:ascii="宋体" w:hAnsi="宋体" w:cs="宋体"/>
          <w:color w:val="auto"/>
          <w:kern w:val="0"/>
          <w:sz w:val="24"/>
          <w:highlight w:val="none"/>
        </w:rPr>
        <w:t>通过资格性和符合性审查</w:t>
      </w:r>
      <w:r>
        <w:rPr>
          <w:rFonts w:hint="eastAsia" w:ascii="宋体" w:hAnsi="宋体" w:cs="宋体"/>
          <w:color w:val="auto"/>
          <w:kern w:val="0"/>
          <w:sz w:val="24"/>
          <w:highlight w:val="none"/>
          <w:lang w:val="en-GB"/>
        </w:rPr>
        <w:t>的情况下，</w:t>
      </w:r>
      <w:r>
        <w:rPr>
          <w:rFonts w:hint="eastAsia" w:ascii="宋体" w:hAnsi="宋体" w:cs="宋体"/>
          <w:color w:val="auto"/>
          <w:kern w:val="0"/>
          <w:sz w:val="24"/>
          <w:highlight w:val="none"/>
        </w:rPr>
        <w:t>按照评审综合得分</w:t>
      </w:r>
      <w:r>
        <w:rPr>
          <w:rFonts w:hint="eastAsia" w:ascii="宋体" w:hAnsi="宋体" w:cs="宋体"/>
          <w:color w:val="auto"/>
          <w:kern w:val="0"/>
          <w:sz w:val="24"/>
          <w:highlight w:val="none"/>
          <w:lang w:val="en-GB"/>
        </w:rPr>
        <w:t>由高至低的顺序向采购人推荐前三名为成交候选人，排名第一的为第一成交候选人，排名靠后的前</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en-GB"/>
        </w:rPr>
        <w:t>名为第二、第三成交候选人</w:t>
      </w:r>
      <w:r>
        <w:rPr>
          <w:rFonts w:hint="eastAsia" w:ascii="宋体" w:hAnsi="宋体"/>
          <w:color w:val="auto"/>
          <w:kern w:val="0"/>
          <w:sz w:val="24"/>
          <w:highlight w:val="none"/>
          <w:lang w:val="en-GB"/>
        </w:rPr>
        <w:t>。</w:t>
      </w:r>
    </w:p>
    <w:p>
      <w:pPr>
        <w:tabs>
          <w:tab w:val="left" w:pos="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成交</w:t>
      </w:r>
      <w:r>
        <w:rPr>
          <w:rFonts w:hint="eastAsia" w:ascii="宋体" w:hAnsi="宋体" w:cs="宋体"/>
          <w:color w:val="auto"/>
          <w:kern w:val="0"/>
          <w:sz w:val="24"/>
          <w:highlight w:val="none"/>
          <w:lang w:val="en-GB"/>
        </w:rPr>
        <w:t>候选供应商因特殊原因放弃成交或因不可抗力提出不能履行合同，才可依评标排名次序的备选中标候选供应商依次递补为成交供应商</w:t>
      </w:r>
      <w:r>
        <w:rPr>
          <w:rFonts w:hint="eastAsia" w:ascii="宋体" w:hAnsi="宋体"/>
          <w:color w:val="auto"/>
          <w:kern w:val="0"/>
          <w:sz w:val="24"/>
          <w:highlight w:val="none"/>
          <w:lang w:val="en-GB"/>
        </w:rPr>
        <w:t>。</w:t>
      </w:r>
    </w:p>
    <w:p>
      <w:pPr>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en-GB"/>
        </w:rPr>
        <w:t>.3</w:t>
      </w:r>
      <w:r>
        <w:rPr>
          <w:rFonts w:hint="eastAsia" w:ascii="宋体" w:hAnsi="宋体" w:cs="宋体"/>
          <w:color w:val="auto"/>
          <w:kern w:val="0"/>
          <w:sz w:val="24"/>
          <w:highlight w:val="none"/>
        </w:rPr>
        <w:t xml:space="preserve"> 成交</w:t>
      </w:r>
      <w:r>
        <w:rPr>
          <w:rFonts w:hint="eastAsia" w:ascii="宋体" w:hAnsi="宋体" w:cs="宋体"/>
          <w:color w:val="auto"/>
          <w:kern w:val="0"/>
          <w:sz w:val="24"/>
          <w:highlight w:val="none"/>
          <w:lang w:val="en-GB"/>
        </w:rPr>
        <w:t>供应商确定后，采购代理机构将在政府采购指定媒体上公示</w:t>
      </w:r>
      <w:r>
        <w:rPr>
          <w:rFonts w:hint="eastAsia" w:ascii="宋体" w:hAnsi="宋体" w:cs="宋体"/>
          <w:color w:val="auto"/>
          <w:kern w:val="0"/>
          <w:sz w:val="24"/>
          <w:highlight w:val="none"/>
        </w:rPr>
        <w:t>成交</w:t>
      </w:r>
      <w:r>
        <w:rPr>
          <w:rFonts w:hint="eastAsia" w:ascii="宋体" w:hAnsi="宋体" w:cs="宋体"/>
          <w:color w:val="auto"/>
          <w:kern w:val="0"/>
          <w:sz w:val="24"/>
          <w:highlight w:val="none"/>
          <w:lang w:val="en-GB"/>
        </w:rPr>
        <w:t>结果</w:t>
      </w:r>
      <w:r>
        <w:rPr>
          <w:rFonts w:hint="eastAsia" w:ascii="宋体" w:hAnsi="宋体"/>
          <w:color w:val="auto"/>
          <w:kern w:val="0"/>
          <w:sz w:val="24"/>
          <w:highlight w:val="none"/>
          <w:lang w:val="en-GB"/>
        </w:rPr>
        <w:t>。</w:t>
      </w:r>
    </w:p>
    <w:p>
      <w:pPr>
        <w:pStyle w:val="10"/>
        <w:adjustRightInd w:val="0"/>
        <w:snapToGrid w:val="0"/>
        <w:spacing w:line="440" w:lineRule="exact"/>
        <w:ind w:firstLine="480" w:firstLineChars="200"/>
        <w:rPr>
          <w:rFonts w:hAnsi="宋体" w:cs="宋体"/>
          <w:color w:val="auto"/>
          <w:kern w:val="0"/>
          <w:sz w:val="24"/>
          <w:highlight w:val="none"/>
          <w:lang w:val="en-GB"/>
        </w:rPr>
      </w:pPr>
      <w:r>
        <w:rPr>
          <w:rFonts w:hint="eastAsia" w:hAnsi="宋体" w:cs="宋体"/>
          <w:color w:val="auto"/>
          <w:kern w:val="0"/>
          <w:sz w:val="24"/>
          <w:highlight w:val="none"/>
          <w:lang w:val="en-GB"/>
        </w:rPr>
        <w:t>2</w:t>
      </w:r>
      <w:r>
        <w:rPr>
          <w:rFonts w:hint="eastAsia" w:hAnsi="宋体" w:cs="宋体"/>
          <w:color w:val="auto"/>
          <w:kern w:val="0"/>
          <w:sz w:val="24"/>
          <w:highlight w:val="none"/>
        </w:rPr>
        <w:t>2</w:t>
      </w:r>
      <w:r>
        <w:rPr>
          <w:rFonts w:hint="eastAsia" w:hAnsi="宋体" w:cs="宋体"/>
          <w:color w:val="auto"/>
          <w:kern w:val="0"/>
          <w:sz w:val="24"/>
          <w:highlight w:val="none"/>
          <w:lang w:val="en-GB"/>
        </w:rPr>
        <w:t>.4</w:t>
      </w:r>
      <w:r>
        <w:rPr>
          <w:rFonts w:hint="eastAsia" w:hAnsi="宋体" w:cs="宋体"/>
          <w:color w:val="auto"/>
          <w:kern w:val="0"/>
          <w:sz w:val="24"/>
          <w:highlight w:val="none"/>
        </w:rPr>
        <w:t xml:space="preserve"> </w:t>
      </w:r>
      <w:r>
        <w:rPr>
          <w:rFonts w:hint="eastAsia" w:hAnsi="宋体" w:cs="宋体"/>
          <w:color w:val="auto"/>
          <w:kern w:val="0"/>
          <w:sz w:val="24"/>
          <w:highlight w:val="none"/>
          <w:lang w:val="en-GB"/>
        </w:rPr>
        <w:t>凡是属于审查、澄清、评价和比较报价的有关资料以及</w:t>
      </w:r>
      <w:r>
        <w:rPr>
          <w:rFonts w:hint="eastAsia" w:hAnsi="宋体" w:cs="宋体"/>
          <w:color w:val="auto"/>
          <w:kern w:val="0"/>
          <w:sz w:val="24"/>
          <w:highlight w:val="none"/>
        </w:rPr>
        <w:t>成交</w:t>
      </w:r>
      <w:r>
        <w:rPr>
          <w:rFonts w:hint="eastAsia" w:hAnsi="宋体" w:cs="宋体"/>
          <w:color w:val="auto"/>
          <w:kern w:val="0"/>
          <w:sz w:val="24"/>
          <w:highlight w:val="none"/>
          <w:lang w:val="en-GB"/>
        </w:rPr>
        <w:t>意向等，磋商小组及有关工作人员自始至终均不得向供应商或其它无关的人员透露</w:t>
      </w:r>
      <w:r>
        <w:rPr>
          <w:rFonts w:hint="eastAsia" w:hAnsi="宋体"/>
          <w:color w:val="auto"/>
          <w:kern w:val="0"/>
          <w:sz w:val="24"/>
          <w:highlight w:val="none"/>
          <w:lang w:val="en-GB"/>
        </w:rPr>
        <w:t>。</w:t>
      </w:r>
    </w:p>
    <w:p>
      <w:pPr>
        <w:tabs>
          <w:tab w:val="left" w:pos="360"/>
          <w:tab w:val="left" w:pos="96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en-GB"/>
        </w:rPr>
        <w:t>.5</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在评审期间，供应商企图影响采购人、采购代理机构和磋商小组而获得评审信息的任何活动，都将导致其响应文件被拒绝，并承担相应的法律责任</w:t>
      </w:r>
      <w:r>
        <w:rPr>
          <w:rFonts w:hint="eastAsia" w:ascii="宋体" w:hAnsi="宋体"/>
          <w:color w:val="auto"/>
          <w:kern w:val="0"/>
          <w:sz w:val="24"/>
          <w:highlight w:val="none"/>
          <w:lang w:val="en-GB"/>
        </w:rPr>
        <w:t>。</w:t>
      </w:r>
    </w:p>
    <w:p>
      <w:pPr>
        <w:tabs>
          <w:tab w:val="left" w:pos="0"/>
        </w:tabs>
        <w:adjustRightInd w:val="0"/>
        <w:snapToGrid w:val="0"/>
        <w:spacing w:line="440" w:lineRule="exact"/>
        <w:ind w:firstLine="482" w:firstLineChars="200"/>
        <w:rPr>
          <w:rFonts w:ascii="宋体" w:hAnsi="宋体" w:cs="宋体"/>
          <w:b/>
          <w:bCs/>
          <w:color w:val="auto"/>
          <w:kern w:val="0"/>
          <w:sz w:val="24"/>
          <w:highlight w:val="none"/>
          <w:lang w:val="en-GB"/>
        </w:rPr>
      </w:pPr>
      <w:r>
        <w:rPr>
          <w:rFonts w:hint="eastAsia" w:ascii="宋体" w:hAnsi="宋体" w:cs="宋体"/>
          <w:b/>
          <w:bCs/>
          <w:color w:val="auto"/>
          <w:kern w:val="0"/>
          <w:sz w:val="24"/>
          <w:highlight w:val="none"/>
          <w:lang w:val="en-GB"/>
        </w:rPr>
        <w:t>2</w:t>
      </w:r>
      <w:r>
        <w:rPr>
          <w:rFonts w:hint="eastAsia" w:ascii="宋体" w:hAnsi="宋体" w:cs="宋体"/>
          <w:b/>
          <w:bCs/>
          <w:color w:val="auto"/>
          <w:kern w:val="0"/>
          <w:sz w:val="24"/>
          <w:highlight w:val="none"/>
        </w:rPr>
        <w:t>3、</w:t>
      </w:r>
      <w:r>
        <w:rPr>
          <w:rFonts w:hint="eastAsia" w:ascii="宋体" w:hAnsi="宋体" w:cs="宋体"/>
          <w:b/>
          <w:bCs/>
          <w:color w:val="auto"/>
          <w:kern w:val="0"/>
          <w:sz w:val="24"/>
          <w:highlight w:val="none"/>
          <w:lang w:val="en-GB"/>
        </w:rPr>
        <w:t>公告</w:t>
      </w:r>
    </w:p>
    <w:p>
      <w:pPr>
        <w:tabs>
          <w:tab w:val="left" w:pos="360"/>
          <w:tab w:val="left" w:pos="96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rPr>
        <w:t>采购</w:t>
      </w:r>
      <w:r>
        <w:rPr>
          <w:rFonts w:hint="eastAsia" w:ascii="宋体" w:hAnsi="宋体" w:cs="宋体"/>
          <w:color w:val="auto"/>
          <w:kern w:val="0"/>
          <w:sz w:val="24"/>
          <w:highlight w:val="none"/>
          <w:lang w:val="en-GB"/>
        </w:rPr>
        <w:t>代理机构将在指定的网站</w:t>
      </w:r>
      <w:r>
        <w:rPr>
          <w:rFonts w:hint="eastAsia" w:ascii="宋体" w:hAnsi="宋体" w:cs="宋体"/>
          <w:color w:val="auto"/>
          <w:kern w:val="0"/>
          <w:sz w:val="24"/>
          <w:highlight w:val="none"/>
          <w:u w:val="single"/>
          <w:lang w:val="en-GB"/>
        </w:rPr>
        <w:t>海南省政府采购网</w:t>
      </w:r>
      <w:r>
        <w:rPr>
          <w:rFonts w:hint="eastAsia" w:ascii="宋体" w:hAnsi="宋体" w:cs="宋体"/>
          <w:color w:val="auto"/>
          <w:kern w:val="0"/>
          <w:sz w:val="24"/>
          <w:highlight w:val="none"/>
          <w:lang w:val="en-GB"/>
        </w:rPr>
        <w:t>发布竞争性磋商公告、更正公告、成交公告、合同公告等竞争性磋商采购过程中的所有信息，请务必关注网上公告。成交结果公示期为</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en-GB"/>
        </w:rPr>
        <w:t>个工作日。</w:t>
      </w:r>
    </w:p>
    <w:p>
      <w:pPr>
        <w:tabs>
          <w:tab w:val="left" w:pos="0"/>
        </w:tabs>
        <w:adjustRightInd w:val="0"/>
        <w:snapToGrid w:val="0"/>
        <w:spacing w:line="440" w:lineRule="exact"/>
        <w:ind w:firstLine="482" w:firstLineChars="200"/>
        <w:rPr>
          <w:rFonts w:ascii="宋体" w:hAnsi="宋体" w:cs="宋体"/>
          <w:b/>
          <w:bCs/>
          <w:color w:val="auto"/>
          <w:kern w:val="0"/>
          <w:sz w:val="24"/>
          <w:highlight w:val="none"/>
          <w:lang w:val="en-GB"/>
        </w:rPr>
      </w:pPr>
      <w:r>
        <w:rPr>
          <w:rFonts w:hint="eastAsia" w:ascii="宋体" w:hAnsi="宋体" w:cs="宋体"/>
          <w:b/>
          <w:bCs/>
          <w:color w:val="auto"/>
          <w:kern w:val="0"/>
          <w:sz w:val="24"/>
          <w:highlight w:val="none"/>
        </w:rPr>
        <w:t>24、</w:t>
      </w:r>
      <w:r>
        <w:rPr>
          <w:rFonts w:hint="eastAsia" w:ascii="宋体" w:hAnsi="宋体" w:cs="宋体"/>
          <w:b/>
          <w:bCs/>
          <w:color w:val="auto"/>
          <w:kern w:val="0"/>
          <w:sz w:val="24"/>
          <w:highlight w:val="none"/>
          <w:lang w:val="en-GB"/>
        </w:rPr>
        <w:t>质疑和投诉</w:t>
      </w:r>
    </w:p>
    <w:p>
      <w:pPr>
        <w:tabs>
          <w:tab w:val="left" w:pos="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rPr>
        <w:t>24</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如果供应商对本次磋商活动有疑问，可依据《中华人民共和国政府采购法》和相关规定，向采购代理机构提出质疑。</w:t>
      </w:r>
    </w:p>
    <w:p>
      <w:pPr>
        <w:tabs>
          <w:tab w:val="left" w:pos="0"/>
        </w:tabs>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rPr>
        <w:t>24</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采购代理机构在《中华人民共和国政府采购法》规定的时间内没有对供应商的质疑进行回复，或供应商对采购代理机构的回复不满意时，可向政府采购监管部门投诉。</w:t>
      </w:r>
    </w:p>
    <w:p>
      <w:pPr>
        <w:tabs>
          <w:tab w:val="left" w:pos="0"/>
        </w:tabs>
        <w:adjustRightInd w:val="0"/>
        <w:snapToGrid w:val="0"/>
        <w:spacing w:line="440" w:lineRule="exact"/>
        <w:ind w:firstLine="480"/>
        <w:rPr>
          <w:rFonts w:ascii="宋体" w:hAnsi="宋体"/>
          <w:color w:val="auto"/>
          <w:sz w:val="24"/>
          <w:highlight w:val="none"/>
        </w:rPr>
      </w:pPr>
      <w:r>
        <w:rPr>
          <w:rFonts w:hint="eastAsia" w:ascii="宋体" w:hAnsi="宋体"/>
          <w:color w:val="auto"/>
          <w:sz w:val="24"/>
          <w:highlight w:val="none"/>
        </w:rPr>
        <w:t>24.3</w:t>
      </w:r>
      <w:r>
        <w:rPr>
          <w:rFonts w:hint="eastAsia" w:ascii="宋体" w:hAnsi="宋体" w:cs="宋体"/>
          <w:color w:val="auto"/>
          <w:sz w:val="24"/>
          <w:highlight w:val="none"/>
        </w:rPr>
        <w:t xml:space="preserve"> 供应商如认为磋商文件、磋商过程和成交结果使自己的权益受到损害的，应在知道或应知道其权益受到损害之日起7个工作日内，以书面形式向采购代理机构提出质疑。匿名、非书面形式、7个工作日之外的质疑均不予受理</w:t>
      </w:r>
      <w:r>
        <w:rPr>
          <w:rFonts w:hint="eastAsia" w:ascii="宋体" w:hAnsi="宋体"/>
          <w:color w:val="auto"/>
          <w:sz w:val="24"/>
          <w:highlight w:val="none"/>
        </w:rPr>
        <w:t>。</w:t>
      </w:r>
    </w:p>
    <w:p>
      <w:pPr>
        <w:tabs>
          <w:tab w:val="left" w:pos="0"/>
        </w:tabs>
        <w:adjustRightInd w:val="0"/>
        <w:snapToGrid w:val="0"/>
        <w:spacing w:line="440" w:lineRule="exact"/>
        <w:rPr>
          <w:rFonts w:hAnsi="宋体" w:cs="宋体"/>
          <w:b/>
          <w:color w:val="auto"/>
          <w:sz w:val="28"/>
          <w:szCs w:val="28"/>
          <w:highlight w:val="none"/>
          <w:lang w:val="en-GB"/>
        </w:rPr>
      </w:pPr>
      <w:r>
        <w:rPr>
          <w:rFonts w:hint="eastAsia" w:hAnsi="宋体" w:cs="宋体"/>
          <w:b/>
          <w:color w:val="auto"/>
          <w:sz w:val="28"/>
          <w:szCs w:val="28"/>
          <w:highlight w:val="none"/>
          <w:lang w:val="en-GB"/>
        </w:rPr>
        <w:t>（八）合同</w:t>
      </w:r>
    </w:p>
    <w:p>
      <w:pPr>
        <w:autoSpaceDE w:val="0"/>
        <w:autoSpaceDN w:val="0"/>
        <w:adjustRightInd w:val="0"/>
        <w:snapToGrid w:val="0"/>
        <w:spacing w:line="440" w:lineRule="exact"/>
        <w:ind w:firstLine="482" w:firstLineChars="200"/>
        <w:rPr>
          <w:rFonts w:ascii="宋体" w:hAnsi="宋体" w:cs="宋体"/>
          <w:b/>
          <w:bCs/>
          <w:color w:val="auto"/>
          <w:kern w:val="0"/>
          <w:sz w:val="24"/>
          <w:highlight w:val="none"/>
          <w:lang w:val="en-GB"/>
        </w:rPr>
      </w:pPr>
      <w:r>
        <w:rPr>
          <w:rFonts w:hint="eastAsia" w:ascii="宋体" w:hAnsi="宋体" w:cs="宋体"/>
          <w:b/>
          <w:bCs/>
          <w:color w:val="auto"/>
          <w:kern w:val="0"/>
          <w:sz w:val="24"/>
          <w:highlight w:val="none"/>
        </w:rPr>
        <w:t>25、</w:t>
      </w:r>
      <w:r>
        <w:rPr>
          <w:rFonts w:hint="eastAsia" w:ascii="宋体" w:hAnsi="宋体" w:cs="宋体"/>
          <w:b/>
          <w:bCs/>
          <w:color w:val="auto"/>
          <w:kern w:val="0"/>
          <w:sz w:val="24"/>
          <w:highlight w:val="none"/>
          <w:lang w:val="en-GB"/>
        </w:rPr>
        <w:t>合同授予标准</w:t>
      </w:r>
    </w:p>
    <w:p>
      <w:pPr>
        <w:autoSpaceDE w:val="0"/>
        <w:autoSpaceDN w:val="0"/>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除本须知第</w:t>
      </w:r>
      <w:r>
        <w:rPr>
          <w:rFonts w:hint="eastAsia" w:ascii="宋体" w:hAnsi="宋体" w:cs="宋体"/>
          <w:color w:val="auto"/>
          <w:kern w:val="0"/>
          <w:sz w:val="24"/>
          <w:highlight w:val="none"/>
        </w:rPr>
        <w:t>14.4</w:t>
      </w:r>
      <w:r>
        <w:rPr>
          <w:rFonts w:hint="eastAsia" w:ascii="宋体" w:hAnsi="宋体" w:cs="宋体"/>
          <w:color w:val="auto"/>
          <w:kern w:val="0"/>
          <w:sz w:val="24"/>
          <w:highlight w:val="none"/>
          <w:lang w:val="en-GB"/>
        </w:rPr>
        <w:t>条的规定之外，采购人将与成交供应商签订供货合同。</w:t>
      </w:r>
    </w:p>
    <w:p>
      <w:pPr>
        <w:autoSpaceDE w:val="0"/>
        <w:autoSpaceDN w:val="0"/>
        <w:adjustRightInd w:val="0"/>
        <w:snapToGrid w:val="0"/>
        <w:spacing w:line="440" w:lineRule="exact"/>
        <w:ind w:firstLine="482" w:firstLineChars="200"/>
        <w:rPr>
          <w:rFonts w:ascii="宋体" w:hAnsi="宋体" w:cs="宋体"/>
          <w:b/>
          <w:bCs/>
          <w:color w:val="auto"/>
          <w:kern w:val="0"/>
          <w:sz w:val="24"/>
          <w:highlight w:val="none"/>
          <w:lang w:val="en-GB"/>
        </w:rPr>
      </w:pPr>
      <w:r>
        <w:rPr>
          <w:rFonts w:hint="eastAsia" w:ascii="宋体" w:hAnsi="宋体" w:cs="宋体"/>
          <w:b/>
          <w:bCs/>
          <w:color w:val="auto"/>
          <w:kern w:val="0"/>
          <w:sz w:val="24"/>
          <w:highlight w:val="none"/>
        </w:rPr>
        <w:t>26、</w:t>
      </w:r>
      <w:r>
        <w:rPr>
          <w:rFonts w:hint="eastAsia" w:ascii="宋体" w:hAnsi="宋体" w:cs="宋体"/>
          <w:b/>
          <w:bCs/>
          <w:color w:val="auto"/>
          <w:kern w:val="0"/>
          <w:sz w:val="24"/>
          <w:highlight w:val="none"/>
          <w:lang w:val="en-GB"/>
        </w:rPr>
        <w:t>接受和拒绝任何或所有响应文件的权力</w:t>
      </w:r>
    </w:p>
    <w:p>
      <w:pPr>
        <w:autoSpaceDE w:val="0"/>
        <w:autoSpaceDN w:val="0"/>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在特殊情况下，磋商小组、采购代理机构和采购人在报经监管部门同意后，保留在授予合同之前拒绝任何报价以及宣布磋商程序无效或拒绝所有响应的权力。</w:t>
      </w:r>
    </w:p>
    <w:p>
      <w:pPr>
        <w:adjustRightInd w:val="0"/>
        <w:snapToGrid w:val="0"/>
        <w:spacing w:line="440" w:lineRule="exact"/>
        <w:ind w:firstLine="482" w:firstLineChars="200"/>
        <w:rPr>
          <w:rFonts w:ascii="宋体" w:hAnsi="宋体" w:cs="宋体"/>
          <w:b/>
          <w:bCs/>
          <w:color w:val="auto"/>
          <w:kern w:val="0"/>
          <w:sz w:val="24"/>
          <w:highlight w:val="none"/>
          <w:lang w:val="en-GB"/>
        </w:rPr>
      </w:pPr>
      <w:r>
        <w:rPr>
          <w:rFonts w:hint="eastAsia" w:ascii="宋体" w:hAnsi="宋体" w:cs="宋体"/>
          <w:b/>
          <w:bCs/>
          <w:color w:val="auto"/>
          <w:kern w:val="0"/>
          <w:sz w:val="24"/>
          <w:highlight w:val="none"/>
        </w:rPr>
        <w:t>27、</w:t>
      </w:r>
      <w:r>
        <w:rPr>
          <w:rFonts w:hint="eastAsia" w:ascii="宋体" w:hAnsi="宋体" w:cs="宋体"/>
          <w:b/>
          <w:bCs/>
          <w:color w:val="auto"/>
          <w:kern w:val="0"/>
          <w:sz w:val="24"/>
          <w:highlight w:val="none"/>
          <w:lang w:val="en-GB"/>
        </w:rPr>
        <w:t>签订合同</w:t>
      </w:r>
    </w:p>
    <w:p>
      <w:pPr>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rPr>
        <w:t>27</w:t>
      </w:r>
      <w:r>
        <w:rPr>
          <w:rFonts w:hint="eastAsia" w:ascii="宋体" w:hAnsi="宋体" w:cs="宋体"/>
          <w:color w:val="auto"/>
          <w:kern w:val="0"/>
          <w:sz w:val="24"/>
          <w:highlight w:val="none"/>
          <w:lang w:val="en-GB"/>
        </w:rPr>
        <w:t>.1</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采购人应按磋商文件和成交供应商的响应文件订立书面合同，不得超出磋商文件和成交供应商响应文件的范围，也不得另行订立背离合同实质性内容的其他协议。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rPr>
        <w:t>27</w:t>
      </w:r>
      <w:r>
        <w:rPr>
          <w:rFonts w:hint="eastAsia" w:ascii="宋体" w:hAnsi="宋体" w:cs="宋体"/>
          <w:color w:val="auto"/>
          <w:kern w:val="0"/>
          <w:sz w:val="24"/>
          <w:highlight w:val="none"/>
          <w:lang w:val="en-GB"/>
        </w:rPr>
        <w:t>.2</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GB"/>
        </w:rPr>
        <w:t>采购人应在成交通知书发出之日起</w:t>
      </w:r>
      <w:r>
        <w:rPr>
          <w:rFonts w:hint="eastAsia" w:ascii="宋体" w:hAnsi="宋体" w:cs="宋体"/>
          <w:b/>
          <w:bCs/>
          <w:color w:val="auto"/>
          <w:kern w:val="0"/>
          <w:sz w:val="24"/>
          <w:highlight w:val="none"/>
          <w:u w:val="single"/>
          <w:lang w:val="en-GB"/>
        </w:rPr>
        <w:t>30天内</w:t>
      </w:r>
      <w:r>
        <w:rPr>
          <w:rFonts w:hint="eastAsia" w:ascii="宋体" w:hAnsi="宋体" w:cs="宋体"/>
          <w:color w:val="auto"/>
          <w:kern w:val="0"/>
          <w:sz w:val="24"/>
          <w:highlight w:val="none"/>
          <w:lang w:val="en-GB"/>
        </w:rPr>
        <w:t>与成交供应商签订政府采购合同。</w:t>
      </w:r>
    </w:p>
    <w:p>
      <w:pPr>
        <w:autoSpaceDE w:val="0"/>
        <w:autoSpaceDN w:val="0"/>
        <w:adjustRightInd w:val="0"/>
        <w:snapToGrid w:val="0"/>
        <w:spacing w:line="440" w:lineRule="exact"/>
        <w:ind w:firstLine="482" w:firstLineChars="200"/>
        <w:rPr>
          <w:rFonts w:ascii="宋体" w:hAnsi="宋体" w:cs="宋体"/>
          <w:b/>
          <w:bCs/>
          <w:color w:val="auto"/>
          <w:kern w:val="0"/>
          <w:sz w:val="24"/>
          <w:highlight w:val="none"/>
          <w:lang w:val="en-GB"/>
        </w:rPr>
      </w:pPr>
      <w:r>
        <w:rPr>
          <w:rFonts w:hint="eastAsia" w:ascii="宋体" w:hAnsi="宋体" w:cs="宋体"/>
          <w:b/>
          <w:bCs/>
          <w:color w:val="auto"/>
          <w:kern w:val="0"/>
          <w:sz w:val="24"/>
          <w:highlight w:val="none"/>
        </w:rPr>
        <w:t>28</w:t>
      </w:r>
      <w:r>
        <w:rPr>
          <w:rFonts w:hint="eastAsia" w:ascii="宋体" w:hAnsi="宋体" w:cs="宋体"/>
          <w:b/>
          <w:bCs/>
          <w:color w:val="auto"/>
          <w:kern w:val="0"/>
          <w:sz w:val="24"/>
          <w:highlight w:val="none"/>
          <w:lang w:val="en-GB"/>
        </w:rPr>
        <w:t>、付款</w:t>
      </w:r>
    </w:p>
    <w:p>
      <w:pPr>
        <w:autoSpaceDE w:val="0"/>
        <w:autoSpaceDN w:val="0"/>
        <w:adjustRightInd w:val="0"/>
        <w:snapToGrid w:val="0"/>
        <w:spacing w:line="440" w:lineRule="exact"/>
        <w:ind w:firstLine="480" w:firstLineChars="200"/>
        <w:rPr>
          <w:rFonts w:ascii="宋体" w:hAnsi="宋体" w:cs="宋体"/>
          <w:color w:val="auto"/>
          <w:kern w:val="0"/>
          <w:sz w:val="24"/>
          <w:highlight w:val="none"/>
          <w:lang w:val="en-GB"/>
        </w:rPr>
      </w:pPr>
      <w:r>
        <w:rPr>
          <w:rFonts w:hint="eastAsia" w:ascii="宋体" w:hAnsi="宋体" w:cs="宋体"/>
          <w:color w:val="auto"/>
          <w:kern w:val="0"/>
          <w:sz w:val="24"/>
          <w:highlight w:val="none"/>
          <w:lang w:val="en-GB"/>
        </w:rPr>
        <w:t>按</w:t>
      </w:r>
      <w:r>
        <w:rPr>
          <w:rFonts w:hint="eastAsia" w:ascii="宋体" w:hAnsi="宋体" w:cs="宋体"/>
          <w:color w:val="auto"/>
          <w:sz w:val="24"/>
          <w:highlight w:val="none"/>
        </w:rPr>
        <w:t>采购双方签订合同时另行约定</w:t>
      </w:r>
      <w:r>
        <w:rPr>
          <w:rFonts w:hint="eastAsia" w:ascii="宋体" w:hAnsi="宋体" w:cs="宋体"/>
          <w:color w:val="auto"/>
          <w:kern w:val="0"/>
          <w:sz w:val="24"/>
          <w:highlight w:val="none"/>
          <w:lang w:val="en-GB"/>
        </w:rPr>
        <w:t>。</w:t>
      </w:r>
    </w:p>
    <w:p>
      <w:pPr>
        <w:autoSpaceDE w:val="0"/>
        <w:autoSpaceDN w:val="0"/>
        <w:adjustRightInd w:val="0"/>
        <w:snapToGrid w:val="0"/>
        <w:spacing w:line="440" w:lineRule="exact"/>
        <w:ind w:firstLine="482" w:firstLineChars="200"/>
        <w:rPr>
          <w:rFonts w:ascii="宋体" w:hAnsi="宋体" w:cs="宋体"/>
          <w:color w:val="auto"/>
          <w:kern w:val="0"/>
          <w:sz w:val="24"/>
          <w:highlight w:val="none"/>
          <w:lang w:val="en-GB"/>
        </w:rPr>
      </w:pPr>
      <w:r>
        <w:rPr>
          <w:rFonts w:hint="eastAsia" w:ascii="宋体" w:hAnsi="宋体" w:cs="宋体"/>
          <w:b/>
          <w:bCs/>
          <w:color w:val="auto"/>
          <w:kern w:val="0"/>
          <w:sz w:val="24"/>
          <w:highlight w:val="none"/>
        </w:rPr>
        <w:t>29</w:t>
      </w:r>
      <w:r>
        <w:rPr>
          <w:rFonts w:hint="eastAsia" w:ascii="宋体" w:hAnsi="宋体" w:cs="宋体"/>
          <w:b/>
          <w:bCs/>
          <w:color w:val="auto"/>
          <w:kern w:val="0"/>
          <w:sz w:val="24"/>
          <w:highlight w:val="none"/>
          <w:lang w:val="en-GB"/>
        </w:rPr>
        <w:t>、适用法律</w:t>
      </w:r>
    </w:p>
    <w:p>
      <w:pPr>
        <w:autoSpaceDE w:val="0"/>
        <w:autoSpaceDN w:val="0"/>
        <w:adjustRightInd w:val="0"/>
        <w:snapToGrid w:val="0"/>
        <w:spacing w:line="440" w:lineRule="exact"/>
        <w:ind w:firstLine="480" w:firstLineChars="200"/>
        <w:rPr>
          <w:rFonts w:ascii="宋体" w:hAnsi="宋体" w:cs="宋体"/>
          <w:b/>
          <w:color w:val="auto"/>
          <w:sz w:val="44"/>
          <w:szCs w:val="44"/>
          <w:highlight w:val="none"/>
        </w:rPr>
      </w:pPr>
      <w:r>
        <w:rPr>
          <w:rFonts w:hint="eastAsia" w:ascii="宋体" w:hAnsi="宋体" w:cs="宋体"/>
          <w:color w:val="auto"/>
          <w:kern w:val="0"/>
          <w:sz w:val="24"/>
          <w:highlight w:val="none"/>
          <w:lang w:val="en-GB"/>
        </w:rPr>
        <w:t>采购人、采购代理机构及供应商的一切磋商活动均适用于《中华人民共和国政府采购法》及相关规定。</w:t>
      </w:r>
      <w:bookmarkStart w:id="91" w:name="_Toc433127012"/>
    </w:p>
    <w:p>
      <w:pPr>
        <w:spacing w:before="160" w:beforeLines="50" w:after="160" w:afterLines="50" w:line="360" w:lineRule="auto"/>
        <w:jc w:val="center"/>
        <w:outlineLvl w:val="0"/>
        <w:rPr>
          <w:rFonts w:ascii="宋体" w:hAnsi="宋体"/>
          <w:b/>
          <w:color w:val="auto"/>
          <w:sz w:val="36"/>
          <w:szCs w:val="36"/>
          <w:highlight w:val="none"/>
        </w:rPr>
      </w:pPr>
      <w:bookmarkStart w:id="92" w:name="_Toc30648"/>
      <w:r>
        <w:rPr>
          <w:rFonts w:hint="eastAsia" w:ascii="宋体" w:hAnsi="宋体" w:cs="宋体"/>
          <w:b/>
          <w:color w:val="auto"/>
          <w:sz w:val="44"/>
          <w:szCs w:val="44"/>
          <w:highlight w:val="none"/>
        </w:rPr>
        <w:br w:type="page"/>
      </w:r>
      <w:r>
        <w:rPr>
          <w:rFonts w:hint="eastAsia" w:ascii="宋体" w:hAnsi="宋体" w:cs="宋体"/>
          <w:b/>
          <w:color w:val="auto"/>
          <w:sz w:val="44"/>
          <w:szCs w:val="44"/>
          <w:highlight w:val="none"/>
        </w:rPr>
        <w:t>第三部分  合同</w:t>
      </w:r>
      <w:bookmarkEnd w:id="92"/>
      <w:r>
        <w:rPr>
          <w:rFonts w:hint="eastAsia" w:ascii="宋体" w:hAnsi="宋体" w:cs="宋体"/>
          <w:b/>
          <w:color w:val="auto"/>
          <w:sz w:val="44"/>
          <w:szCs w:val="44"/>
          <w:highlight w:val="none"/>
        </w:rPr>
        <w:t>文本</w:t>
      </w:r>
    </w:p>
    <w:bookmarkEnd w:id="91"/>
    <w:p>
      <w:pPr>
        <w:jc w:val="center"/>
        <w:rPr>
          <w:rFonts w:hint="eastAsia" w:ascii="宋体" w:hAnsi="宋体" w:cs="宋体"/>
          <w:b/>
          <w:color w:val="auto"/>
          <w:sz w:val="36"/>
          <w:szCs w:val="36"/>
          <w:highlight w:val="none"/>
        </w:rPr>
      </w:pPr>
      <w:bookmarkStart w:id="93" w:name="_Toc10838"/>
      <w:r>
        <w:rPr>
          <w:rFonts w:hint="eastAsia" w:ascii="宋体" w:hAnsi="宋体" w:cs="宋体"/>
          <w:b/>
          <w:color w:val="auto"/>
          <w:sz w:val="36"/>
          <w:szCs w:val="36"/>
          <w:highlight w:val="none"/>
        </w:rPr>
        <w:t>合同主要条款</w:t>
      </w:r>
    </w:p>
    <w:p>
      <w:pPr>
        <w:jc w:val="center"/>
        <w:rPr>
          <w:rFonts w:hint="eastAsia" w:cs="宋体"/>
          <w:color w:val="auto"/>
          <w:highlight w:val="none"/>
        </w:rPr>
      </w:pPr>
      <w:r>
        <w:rPr>
          <w:rFonts w:hint="eastAsia" w:ascii="宋体" w:hAnsi="宋体" w:cs="宋体"/>
          <w:b/>
          <w:color w:val="auto"/>
          <w:sz w:val="36"/>
          <w:szCs w:val="36"/>
          <w:highlight w:val="none"/>
        </w:rPr>
        <w:t>（参考文本）</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分组包号：</w:t>
      </w:r>
      <w:r>
        <w:rPr>
          <w:rFonts w:hint="eastAsia" w:ascii="宋体" w:hAnsi="宋体" w:cs="宋体"/>
          <w:color w:val="auto"/>
          <w:sz w:val="24"/>
          <w:highlight w:val="none"/>
          <w:u w:val="singl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签订地点：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采购人（甲方）：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供应商（乙方）：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签订时间：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spacing w:line="5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根据《中华人民共和国政府采购法》、《中华人民共和国政府采购法实施条例》、《中华人民共和国民法典》及海南通尚工程管理有限公司代理</w:t>
      </w:r>
      <w:r>
        <w:rPr>
          <w:rFonts w:hint="eastAsia" w:ascii="宋体" w:hAnsi="宋体" w:cs="宋体"/>
          <w:color w:val="auto"/>
          <w:sz w:val="24"/>
          <w:highlight w:val="none"/>
          <w:u w:val="single"/>
        </w:rPr>
        <w:t>荣山河水体2022年第三方达标运维服务项目</w:t>
      </w:r>
      <w:r>
        <w:rPr>
          <w:rFonts w:hint="eastAsia" w:ascii="宋体" w:hAnsi="宋体" w:cs="宋体"/>
          <w:color w:val="auto"/>
          <w:sz w:val="24"/>
          <w:highlight w:val="none"/>
        </w:rPr>
        <w:t>（项目编号：/）包的《竞争性磋商文件》、乙方的《响应文件》及《成交通知书》，甲、乙双方同意签订本合同。双方同意共同遵守如下条款：</w:t>
      </w:r>
    </w:p>
    <w:p>
      <w:pPr>
        <w:spacing w:before="160" w:beforeLines="50" w:line="360" w:lineRule="auto"/>
        <w:jc w:val="left"/>
        <w:outlineLvl w:val="0"/>
        <w:rPr>
          <w:rFonts w:hint="eastAsia" w:ascii="宋体" w:hAnsi="宋体" w:cs="宋体"/>
          <w:b/>
          <w:color w:val="auto"/>
          <w:sz w:val="28"/>
          <w:szCs w:val="28"/>
          <w:highlight w:val="none"/>
        </w:rPr>
      </w:pPr>
      <w:r>
        <w:rPr>
          <w:rFonts w:hint="eastAsia" w:ascii="宋体" w:hAnsi="宋体" w:cs="宋体"/>
          <w:b/>
          <w:color w:val="auto"/>
          <w:sz w:val="28"/>
          <w:szCs w:val="28"/>
          <w:highlight w:val="none"/>
        </w:rPr>
        <w:t>一、</w:t>
      </w:r>
      <w:r>
        <w:rPr>
          <w:rFonts w:hint="eastAsia" w:ascii="宋体" w:hAnsi="宋体" w:cs="宋体"/>
          <w:b/>
          <w:color w:val="auto"/>
          <w:sz w:val="24"/>
          <w:highlight w:val="none"/>
        </w:rPr>
        <w:t>政府采购合同文件</w:t>
      </w:r>
    </w:p>
    <w:p>
      <w:pPr>
        <w:spacing w:line="5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本政府采购合同所附下列文件是构成本政府采购合同不可分割的部分：</w:t>
      </w:r>
    </w:p>
    <w:p>
      <w:pPr>
        <w:spacing w:line="5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1.磋商文件；</w:t>
      </w:r>
    </w:p>
    <w:p>
      <w:pPr>
        <w:spacing w:line="5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2.磋商文件的更正公告、变更公告；</w:t>
      </w:r>
    </w:p>
    <w:p>
      <w:pPr>
        <w:spacing w:line="5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3.供应商提交的响应文件；</w:t>
      </w:r>
    </w:p>
    <w:p>
      <w:pPr>
        <w:spacing w:line="5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4.成交公告；</w:t>
      </w:r>
    </w:p>
    <w:p>
      <w:pPr>
        <w:spacing w:line="5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5.成交通知书；</w:t>
      </w:r>
    </w:p>
    <w:p>
      <w:pPr>
        <w:spacing w:line="5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6.报价明细表。</w:t>
      </w:r>
    </w:p>
    <w:p>
      <w:pPr>
        <w:spacing w:line="52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7.政府采购合同的其它附件。</w:t>
      </w:r>
    </w:p>
    <w:p>
      <w:pPr>
        <w:numPr>
          <w:ilvl w:val="0"/>
          <w:numId w:val="1"/>
        </w:numPr>
        <w:snapToGrid w:val="0"/>
        <w:spacing w:before="160" w:beforeLines="50" w:after="160"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合同总价</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合同总价为人民币大写：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元，即 RMB￥</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元。本合同执行期间合同总价不变，甲方无须另向乙方支付本合同规定之外的其他任何费用。</w:t>
      </w:r>
    </w:p>
    <w:p>
      <w:pPr>
        <w:pStyle w:val="20"/>
        <w:ind w:firstLine="560"/>
        <w:rPr>
          <w:rFonts w:hint="eastAsia"/>
          <w:color w:val="auto"/>
          <w:highlight w:val="none"/>
        </w:rPr>
      </w:pPr>
    </w:p>
    <w:tbl>
      <w:tblPr>
        <w:tblStyle w:val="21"/>
        <w:tblW w:w="0" w:type="auto"/>
        <w:tblInd w:w="397" w:type="dxa"/>
        <w:tblLayout w:type="fixed"/>
        <w:tblCellMar>
          <w:top w:w="0" w:type="dxa"/>
          <w:left w:w="108" w:type="dxa"/>
          <w:bottom w:w="0" w:type="dxa"/>
          <w:right w:w="108" w:type="dxa"/>
        </w:tblCellMar>
      </w:tblPr>
      <w:tblGrid>
        <w:gridCol w:w="4389"/>
        <w:gridCol w:w="5812"/>
      </w:tblGrid>
      <w:tr>
        <w:tblPrEx>
          <w:tblCellMar>
            <w:top w:w="0" w:type="dxa"/>
            <w:left w:w="108" w:type="dxa"/>
            <w:bottom w:w="0" w:type="dxa"/>
            <w:right w:w="108" w:type="dxa"/>
          </w:tblCellMar>
        </w:tblPrEx>
        <w:tc>
          <w:tcPr>
            <w:tcW w:w="4389" w:type="dxa"/>
            <w:vMerge w:val="restart"/>
          </w:tcPr>
          <w:p>
            <w:pPr>
              <w:snapToGrid w:val="0"/>
              <w:spacing w:before="19" w:line="500" w:lineRule="exact"/>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户名： </w:t>
            </w:r>
          </w:p>
        </w:tc>
        <w:tc>
          <w:tcPr>
            <w:tcW w:w="5812" w:type="dxa"/>
          </w:tcPr>
          <w:p>
            <w:pPr>
              <w:spacing w:line="360" w:lineRule="auto"/>
              <w:rPr>
                <w:rFonts w:hint="eastAsia" w:ascii="宋体" w:hAnsi="宋体" w:cs="宋体"/>
                <w:color w:val="auto"/>
                <w:sz w:val="28"/>
                <w:szCs w:val="28"/>
                <w:highlight w:val="none"/>
              </w:rPr>
            </w:pPr>
            <w:r>
              <w:rPr>
                <w:rFonts w:hint="eastAsia" w:ascii="宋体" w:hAnsi="宋体" w:cs="宋体"/>
                <w:color w:val="auto"/>
                <w:sz w:val="28"/>
                <w:szCs w:val="28"/>
                <w:highlight w:val="none"/>
              </w:rPr>
              <w:t>开户银行：</w:t>
            </w:r>
          </w:p>
        </w:tc>
      </w:tr>
      <w:tr>
        <w:tblPrEx>
          <w:tblCellMar>
            <w:top w:w="0" w:type="dxa"/>
            <w:left w:w="108" w:type="dxa"/>
            <w:bottom w:w="0" w:type="dxa"/>
            <w:right w:w="108" w:type="dxa"/>
          </w:tblCellMar>
        </w:tblPrEx>
        <w:tc>
          <w:tcPr>
            <w:tcW w:w="4389" w:type="dxa"/>
            <w:vMerge w:val="continue"/>
          </w:tcPr>
          <w:p>
            <w:pPr>
              <w:spacing w:line="360" w:lineRule="auto"/>
              <w:rPr>
                <w:rFonts w:hint="eastAsia" w:ascii="宋体" w:hAnsi="宋体" w:cs="宋体"/>
                <w:color w:val="auto"/>
                <w:sz w:val="28"/>
                <w:szCs w:val="28"/>
                <w:highlight w:val="none"/>
              </w:rPr>
            </w:pPr>
          </w:p>
        </w:tc>
        <w:tc>
          <w:tcPr>
            <w:tcW w:w="5812" w:type="dxa"/>
          </w:tcPr>
          <w:p>
            <w:pPr>
              <w:spacing w:line="360" w:lineRule="auto"/>
              <w:rPr>
                <w:rFonts w:hint="eastAsia" w:ascii="宋体" w:hAnsi="宋体" w:cs="宋体"/>
                <w:color w:val="auto"/>
                <w:sz w:val="28"/>
                <w:szCs w:val="28"/>
                <w:highlight w:val="none"/>
              </w:rPr>
            </w:pPr>
            <w:r>
              <w:rPr>
                <w:rFonts w:hint="eastAsia" w:ascii="宋体" w:hAnsi="宋体" w:cs="宋体"/>
                <w:color w:val="auto"/>
                <w:sz w:val="28"/>
                <w:szCs w:val="28"/>
                <w:highlight w:val="none"/>
              </w:rPr>
              <w:t>银行帐号：</w:t>
            </w:r>
          </w:p>
        </w:tc>
      </w:tr>
    </w:tbl>
    <w:p>
      <w:pPr>
        <w:snapToGrid w:val="0"/>
        <w:spacing w:line="440" w:lineRule="exact"/>
        <w:rPr>
          <w:rFonts w:hint="eastAsia" w:ascii="宋体" w:hAnsi="宋体" w:cs="宋体"/>
          <w:color w:val="auto"/>
          <w:highlight w:val="none"/>
        </w:rPr>
      </w:pPr>
    </w:p>
    <w:p>
      <w:pPr>
        <w:numPr>
          <w:ilvl w:val="0"/>
          <w:numId w:val="1"/>
        </w:numPr>
        <w:snapToGrid w:val="0"/>
        <w:spacing w:before="160" w:beforeLines="50" w:after="160"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付款方式</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（一）本合同签订后，甲方凭乙方开具的正式有效发票向乙方支付合同金额的</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 xml:space="preserve">%，小写 ¥ </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元（大写：人民币</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元整）；</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（二）乙方提交符合甲方要求的项目成果经甲方确认合格后，甲方凭乙方开具的正式有效发票向乙方支付合同金额的余款</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%，小写 ¥</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元（大写：人民币</w:t>
      </w:r>
      <w:r>
        <w:rPr>
          <w:rFonts w:hint="eastAsia" w:ascii="宋体" w:hAnsi="宋体" w:cs="宋体"/>
          <w:bCs/>
          <w:color w:val="auto"/>
          <w:sz w:val="24"/>
          <w:highlight w:val="none"/>
          <w:u w:val="single"/>
        </w:rPr>
        <w:t xml:space="preserve">    </w:t>
      </w:r>
      <w:r>
        <w:rPr>
          <w:rFonts w:hint="eastAsia" w:ascii="宋体" w:hAnsi="宋体" w:cs="宋体"/>
          <w:bCs/>
          <w:color w:val="auto"/>
          <w:sz w:val="24"/>
          <w:highlight w:val="none"/>
        </w:rPr>
        <w:t xml:space="preserve">      元整）。</w:t>
      </w:r>
    </w:p>
    <w:p>
      <w:pPr>
        <w:numPr>
          <w:ilvl w:val="0"/>
          <w:numId w:val="1"/>
        </w:numPr>
        <w:snapToGrid w:val="0"/>
        <w:spacing w:before="160" w:beforeLines="50" w:after="160"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违约责任与赔偿损失</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1.乙方的服务不符合竞争性磋商文件、响应文件或本合同规定的，甲方向乙方收取本合同总价</w:t>
      </w:r>
      <w:r>
        <w:rPr>
          <w:rFonts w:hint="eastAsia" w:ascii="宋体" w:hAnsi="宋体" w:cs="宋体"/>
          <w:bCs/>
          <w:color w:val="auto"/>
          <w:sz w:val="24"/>
          <w:highlight w:val="none"/>
          <w:u w:val="single"/>
        </w:rPr>
        <w:t xml:space="preserve"> 5% </w:t>
      </w:r>
      <w:r>
        <w:rPr>
          <w:rFonts w:hint="eastAsia" w:ascii="宋体" w:hAnsi="宋体" w:cs="宋体"/>
          <w:bCs/>
          <w:color w:val="auto"/>
          <w:sz w:val="24"/>
          <w:highlight w:val="none"/>
        </w:rPr>
        <w:t xml:space="preserve">的违约金。 </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 xml:space="preserve">2.乙方未能按本合同规定的服务，从逾期之日起每日按本合同总价 3‰的数额向甲方支付违约金；逾期半个月以上的，甲方有权终止合同，由此造成的甲方经济损失由乙方承担。 </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3.其它违约责任按《中华人民共和国民法典》处理。</w:t>
      </w:r>
    </w:p>
    <w:p>
      <w:pPr>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五、争议的解决</w:t>
      </w:r>
    </w:p>
    <w:p>
      <w:pPr>
        <w:snapToGrid w:val="0"/>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合同执行过程中发生的任何争议，如双方不能通过友好协商解决，按相关法律法规处理。</w:t>
      </w:r>
    </w:p>
    <w:p>
      <w:pPr>
        <w:pStyle w:val="20"/>
        <w:ind w:firstLine="0" w:firstLineChars="0"/>
        <w:rPr>
          <w:rFonts w:hint="eastAsia" w:cs="宋体"/>
          <w:b/>
          <w:color w:val="auto"/>
          <w:sz w:val="24"/>
          <w:highlight w:val="none"/>
        </w:rPr>
      </w:pPr>
      <w:r>
        <w:rPr>
          <w:rFonts w:hint="eastAsia" w:cs="宋体"/>
          <w:b/>
          <w:color w:val="auto"/>
          <w:sz w:val="24"/>
          <w:highlight w:val="none"/>
        </w:rPr>
        <w:t>六、不可抗力</w:t>
      </w:r>
    </w:p>
    <w:p>
      <w:pPr>
        <w:pStyle w:val="20"/>
        <w:adjustRightInd/>
        <w:snapToGrid/>
        <w:spacing w:line="360" w:lineRule="auto"/>
        <w:ind w:firstLine="480"/>
        <w:rPr>
          <w:rFonts w:hint="eastAsia" w:cs="宋体"/>
          <w:bCs/>
          <w:color w:val="auto"/>
          <w:sz w:val="24"/>
          <w:highlight w:val="none"/>
        </w:rPr>
      </w:pPr>
      <w:r>
        <w:rPr>
          <w:rFonts w:hint="eastAsia" w:cs="宋体"/>
          <w:bCs/>
          <w:color w:val="auto"/>
          <w:sz w:val="24"/>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widowControl/>
        <w:spacing w:line="360" w:lineRule="auto"/>
        <w:jc w:val="left"/>
        <w:rPr>
          <w:rFonts w:hint="eastAsia" w:ascii="宋体" w:hAnsi="宋体" w:cs="宋体"/>
          <w:b/>
          <w:color w:val="auto"/>
          <w:sz w:val="24"/>
          <w:highlight w:val="none"/>
        </w:rPr>
      </w:pPr>
      <w:r>
        <w:rPr>
          <w:rFonts w:hint="eastAsia" w:ascii="宋体" w:hAnsi="宋体" w:cs="宋体"/>
          <w:b/>
          <w:color w:val="auto"/>
          <w:sz w:val="24"/>
          <w:highlight w:val="none"/>
        </w:rPr>
        <w:t>七、税费</w:t>
      </w:r>
    </w:p>
    <w:p>
      <w:pPr>
        <w:widowControl/>
        <w:spacing w:line="360" w:lineRule="auto"/>
        <w:ind w:firstLine="480" w:firstLineChars="200"/>
        <w:jc w:val="left"/>
        <w:rPr>
          <w:rFonts w:hint="eastAsia" w:ascii="宋体" w:hAnsi="宋体" w:cs="宋体"/>
          <w:b/>
          <w:color w:val="auto"/>
          <w:sz w:val="24"/>
          <w:highlight w:val="none"/>
        </w:rPr>
      </w:pPr>
      <w:r>
        <w:rPr>
          <w:rFonts w:hint="eastAsia" w:ascii="宋体" w:hAnsi="宋体" w:cs="宋体"/>
          <w:color w:val="auto"/>
          <w:kern w:val="0"/>
          <w:sz w:val="24"/>
          <w:highlight w:val="none"/>
          <w:lang w:bidi="ar"/>
        </w:rPr>
        <w:t>在中国境内、外发生的与本合同执行有关的一切税费均由乙方负担。</w:t>
      </w:r>
    </w:p>
    <w:p>
      <w:pPr>
        <w:widowControl/>
        <w:spacing w:line="360" w:lineRule="auto"/>
        <w:jc w:val="left"/>
        <w:rPr>
          <w:rFonts w:hint="eastAsia" w:ascii="宋体" w:hAnsi="宋体" w:cs="宋体"/>
          <w:b/>
          <w:color w:val="auto"/>
          <w:sz w:val="24"/>
          <w:highlight w:val="none"/>
        </w:rPr>
      </w:pPr>
      <w:r>
        <w:rPr>
          <w:rFonts w:hint="eastAsia" w:ascii="宋体" w:hAnsi="宋体" w:cs="宋体"/>
          <w:b/>
          <w:color w:val="auto"/>
          <w:sz w:val="24"/>
          <w:highlight w:val="none"/>
        </w:rPr>
        <w:t>八、其他</w:t>
      </w:r>
    </w:p>
    <w:p>
      <w:pPr>
        <w:widowControl/>
        <w:spacing w:line="360" w:lineRule="auto"/>
        <w:ind w:firstLine="480" w:firstLineChars="200"/>
        <w:jc w:val="left"/>
        <w:rPr>
          <w:rFonts w:hint="eastAsia" w:ascii="宋体" w:hAnsi="宋体" w:cs="宋体"/>
          <w:bCs/>
          <w:color w:val="auto"/>
          <w:sz w:val="24"/>
          <w:highlight w:val="none"/>
        </w:rPr>
      </w:pPr>
      <w:r>
        <w:rPr>
          <w:rFonts w:hint="eastAsia" w:ascii="宋体" w:hAnsi="宋体" w:cs="宋体"/>
          <w:bCs/>
          <w:color w:val="auto"/>
          <w:sz w:val="24"/>
          <w:highlight w:val="none"/>
        </w:rPr>
        <w:t xml:space="preserve">1.本合同所有附件、竞争性磋商文件、响应文件、成交通知书通知书均为合同的有效组成部分，与本合同具有同等法律效力。 </w:t>
      </w:r>
    </w:p>
    <w:p>
      <w:pPr>
        <w:widowControl/>
        <w:spacing w:line="360" w:lineRule="auto"/>
        <w:ind w:firstLine="480" w:firstLineChars="200"/>
        <w:jc w:val="left"/>
        <w:rPr>
          <w:rFonts w:hint="eastAsia" w:ascii="宋体" w:hAnsi="宋体" w:cs="宋体"/>
          <w:bCs/>
          <w:color w:val="auto"/>
          <w:sz w:val="24"/>
          <w:highlight w:val="none"/>
        </w:rPr>
      </w:pPr>
      <w:r>
        <w:rPr>
          <w:rFonts w:hint="eastAsia" w:ascii="宋体" w:hAnsi="宋体" w:cs="宋体"/>
          <w:bCs/>
          <w:color w:val="auto"/>
          <w:sz w:val="24"/>
          <w:highlight w:val="none"/>
        </w:rPr>
        <w:t xml:space="preserve">2.在执行本合同的过程中，所有经双方签署确认的文件（包括会议纪要、补充协议、往来信函）即成为本合同的有效组成部分。 </w:t>
      </w:r>
    </w:p>
    <w:p>
      <w:pPr>
        <w:widowControl/>
        <w:spacing w:line="360" w:lineRule="auto"/>
        <w:ind w:firstLine="480" w:firstLineChars="200"/>
        <w:jc w:val="left"/>
        <w:rPr>
          <w:rFonts w:hint="eastAsia" w:ascii="宋体" w:hAnsi="宋体" w:cs="宋体"/>
          <w:bCs/>
          <w:color w:val="auto"/>
          <w:sz w:val="24"/>
          <w:highlight w:val="none"/>
        </w:rPr>
      </w:pPr>
      <w:r>
        <w:rPr>
          <w:rFonts w:hint="eastAsia" w:ascii="宋体" w:hAnsi="宋体" w:cs="宋体"/>
          <w:bCs/>
          <w:color w:val="auto"/>
          <w:sz w:val="24"/>
          <w:highlight w:val="none"/>
        </w:rPr>
        <w:t xml:space="preserve">3.如一方地址、电话、传真号码有变更，应在变更当日内书面通知对方，否则，应承担相应责任。 </w:t>
      </w:r>
    </w:p>
    <w:p>
      <w:pPr>
        <w:widowControl/>
        <w:spacing w:line="360" w:lineRule="auto"/>
        <w:ind w:firstLine="480" w:firstLineChars="200"/>
        <w:jc w:val="left"/>
        <w:rPr>
          <w:rFonts w:hint="eastAsia" w:ascii="宋体" w:hAnsi="宋体" w:cs="宋体"/>
          <w:bCs/>
          <w:color w:val="auto"/>
          <w:sz w:val="24"/>
          <w:highlight w:val="none"/>
        </w:rPr>
      </w:pPr>
      <w:r>
        <w:rPr>
          <w:rFonts w:hint="eastAsia" w:ascii="宋体" w:hAnsi="宋体" w:cs="宋体"/>
          <w:bCs/>
          <w:color w:val="auto"/>
          <w:sz w:val="24"/>
          <w:highlight w:val="none"/>
        </w:rPr>
        <w:t>4.除甲方事先书面同意外，乙方不得部分或全部转让其应履行的合同项下的义务。</w:t>
      </w:r>
    </w:p>
    <w:p>
      <w:pPr>
        <w:snapToGrid w:val="0"/>
        <w:spacing w:before="160" w:beforeLines="50" w:after="160"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九、合同生效</w:t>
      </w:r>
    </w:p>
    <w:p>
      <w:pPr>
        <w:widowControl/>
        <w:spacing w:line="360" w:lineRule="auto"/>
        <w:ind w:firstLine="480" w:firstLineChars="200"/>
        <w:jc w:val="left"/>
        <w:rPr>
          <w:rFonts w:hint="eastAsia" w:ascii="宋体" w:hAnsi="宋体" w:cs="宋体"/>
          <w:color w:val="auto"/>
          <w:sz w:val="24"/>
          <w:highlight w:val="none"/>
        </w:rPr>
      </w:pPr>
      <w:r>
        <w:rPr>
          <w:rFonts w:hint="eastAsia" w:ascii="宋体" w:hAnsi="宋体" w:cs="宋体"/>
          <w:color w:val="auto"/>
          <w:kern w:val="0"/>
          <w:sz w:val="24"/>
          <w:highlight w:val="none"/>
          <w:lang w:bidi="ar"/>
        </w:rPr>
        <w:t xml:space="preserve">1.本合同在甲乙双方法人代表或其授权代表签字盖章后生效。 </w:t>
      </w:r>
    </w:p>
    <w:p>
      <w:pPr>
        <w:widowControl/>
        <w:spacing w:line="360" w:lineRule="auto"/>
        <w:ind w:firstLine="480" w:firstLineChars="200"/>
        <w:jc w:val="left"/>
        <w:rPr>
          <w:rFonts w:hint="eastAsia" w:cs="宋体"/>
          <w:b/>
          <w:color w:val="auto"/>
          <w:sz w:val="24"/>
          <w:highlight w:val="none"/>
        </w:rPr>
      </w:pPr>
      <w:r>
        <w:rPr>
          <w:rFonts w:hint="eastAsia" w:ascii="宋体" w:hAnsi="宋体" w:cs="宋体"/>
          <w:color w:val="auto"/>
          <w:kern w:val="0"/>
          <w:sz w:val="24"/>
          <w:highlight w:val="none"/>
          <w:lang w:bidi="ar"/>
        </w:rPr>
        <w:t xml:space="preserve">2.合同一式伍份。甲、乙方双方各执贰份，采购代理机构壹份。 </w:t>
      </w:r>
    </w:p>
    <w:p>
      <w:pPr>
        <w:snapToGrid w:val="0"/>
        <w:spacing w:before="160" w:beforeLines="50" w:after="160" w:afterLines="50" w:line="440" w:lineRule="exact"/>
        <w:ind w:firstLine="482" w:firstLineChars="200"/>
        <w:rPr>
          <w:rFonts w:hint="eastAsia" w:ascii="宋体" w:hAnsi="宋体" w:cs="宋体"/>
          <w:b/>
          <w:color w:val="auto"/>
          <w:sz w:val="24"/>
          <w:highlight w:val="none"/>
          <w:u w:val="single"/>
        </w:rPr>
      </w:pPr>
      <w:r>
        <w:rPr>
          <w:rFonts w:hint="eastAsia" w:ascii="宋体" w:hAnsi="宋体" w:cs="宋体"/>
          <w:b/>
          <w:color w:val="auto"/>
          <w:sz w:val="24"/>
          <w:highlight w:val="none"/>
        </w:rPr>
        <w:t>甲  方（盖章）：</w:t>
      </w:r>
      <w:r>
        <w:rPr>
          <w:rFonts w:hint="eastAsia" w:ascii="宋体" w:hAnsi="宋体" w:cs="宋体"/>
          <w:b/>
          <w:color w:val="auto"/>
          <w:sz w:val="24"/>
          <w:highlight w:val="none"/>
          <w:u w:val="single"/>
        </w:rPr>
        <w:t xml:space="preserve">                        </w:t>
      </w:r>
    </w:p>
    <w:p>
      <w:pPr>
        <w:snapToGrid w:val="0"/>
        <w:spacing w:before="160" w:beforeLines="50" w:after="160" w:afterLines="50" w:line="440" w:lineRule="exact"/>
        <w:ind w:firstLine="480" w:firstLineChars="200"/>
        <w:rPr>
          <w:rFonts w:hint="eastAsia" w:ascii="宋体" w:hAnsi="宋体" w:cs="宋体"/>
          <w:b/>
          <w:color w:val="auto"/>
          <w:sz w:val="24"/>
          <w:highlight w:val="none"/>
          <w:u w:val="single"/>
        </w:rPr>
      </w:pPr>
      <w:r>
        <w:rPr>
          <w:rFonts w:hint="eastAsia" w:ascii="宋体" w:hAnsi="宋体" w:cs="宋体"/>
          <w:bCs/>
          <w:color w:val="auto"/>
          <w:sz w:val="24"/>
          <w:highlight w:val="none"/>
        </w:rPr>
        <w:t>地  址：</w:t>
      </w:r>
      <w:r>
        <w:rPr>
          <w:rFonts w:hint="eastAsia" w:ascii="宋体" w:hAnsi="宋体" w:cs="宋体"/>
          <w:b/>
          <w:color w:val="auto"/>
          <w:sz w:val="24"/>
          <w:highlight w:val="none"/>
          <w:u w:val="single"/>
        </w:rPr>
        <w:t xml:space="preserve">                                </w:t>
      </w:r>
    </w:p>
    <w:p>
      <w:pPr>
        <w:snapToGrid w:val="0"/>
        <w:spacing w:before="160" w:beforeLines="50" w:after="160" w:afterLines="50"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电  话：</w:t>
      </w:r>
      <w:r>
        <w:rPr>
          <w:rFonts w:hint="eastAsia" w:ascii="宋体" w:hAnsi="宋体" w:cs="宋体"/>
          <w:color w:val="auto"/>
          <w:sz w:val="24"/>
          <w:highlight w:val="none"/>
          <w:u w:val="single"/>
        </w:rPr>
        <w:t xml:space="preserve">                                </w:t>
      </w:r>
    </w:p>
    <w:p>
      <w:pPr>
        <w:snapToGrid w:val="0"/>
        <w:spacing w:before="160" w:beforeLines="50" w:after="16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法定（授权）代表人（签章）：</w:t>
      </w:r>
      <w:r>
        <w:rPr>
          <w:rFonts w:hint="eastAsia" w:ascii="宋体" w:hAnsi="宋体" w:cs="宋体"/>
          <w:bCs/>
          <w:color w:val="auto"/>
          <w:sz w:val="24"/>
          <w:highlight w:val="none"/>
          <w:u w:val="single"/>
        </w:rPr>
        <w:t xml:space="preserve">            </w:t>
      </w:r>
    </w:p>
    <w:p>
      <w:pPr>
        <w:snapToGrid w:val="0"/>
        <w:spacing w:before="160" w:beforeLines="50" w:after="319" w:afterLines="100" w:line="440" w:lineRule="exact"/>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snapToGrid w:val="0"/>
        <w:spacing w:before="319" w:beforeLines="100" w:after="160" w:afterLines="50" w:line="440" w:lineRule="exact"/>
        <w:ind w:firstLine="482" w:firstLineChars="200"/>
        <w:rPr>
          <w:rFonts w:hint="eastAsia" w:ascii="宋体" w:hAnsi="宋体" w:cs="宋体"/>
          <w:bCs/>
          <w:color w:val="auto"/>
          <w:sz w:val="24"/>
          <w:highlight w:val="none"/>
          <w:u w:val="single"/>
        </w:rPr>
      </w:pPr>
      <w:r>
        <w:rPr>
          <w:rFonts w:hint="eastAsia" w:ascii="宋体" w:hAnsi="宋体" w:cs="宋体"/>
          <w:b/>
          <w:color w:val="auto"/>
          <w:sz w:val="24"/>
          <w:highlight w:val="none"/>
        </w:rPr>
        <w:t>乙  方（盖章）：</w:t>
      </w:r>
      <w:r>
        <w:rPr>
          <w:rFonts w:hint="eastAsia" w:ascii="宋体" w:hAnsi="宋体" w:cs="宋体"/>
          <w:b/>
          <w:color w:val="auto"/>
          <w:sz w:val="24"/>
          <w:highlight w:val="none"/>
          <w:u w:val="single"/>
        </w:rPr>
        <w:t xml:space="preserve">                        </w:t>
      </w:r>
    </w:p>
    <w:p>
      <w:pPr>
        <w:snapToGrid w:val="0"/>
        <w:spacing w:before="160" w:beforeLines="50" w:after="160" w:afterLines="50" w:line="440" w:lineRule="exact"/>
        <w:ind w:firstLine="480" w:firstLineChars="200"/>
        <w:rPr>
          <w:rFonts w:hint="eastAsia" w:ascii="宋体" w:hAnsi="宋体" w:cs="宋体"/>
          <w:b/>
          <w:color w:val="auto"/>
          <w:sz w:val="24"/>
          <w:highlight w:val="none"/>
          <w:u w:val="single"/>
        </w:rPr>
      </w:pPr>
      <w:r>
        <w:rPr>
          <w:rFonts w:hint="eastAsia" w:ascii="宋体" w:hAnsi="宋体" w:cs="宋体"/>
          <w:bCs/>
          <w:color w:val="auto"/>
          <w:sz w:val="24"/>
          <w:highlight w:val="none"/>
        </w:rPr>
        <w:t>地  址：</w:t>
      </w:r>
      <w:r>
        <w:rPr>
          <w:rFonts w:hint="eastAsia" w:ascii="宋体" w:hAnsi="宋体" w:cs="宋体"/>
          <w:b/>
          <w:color w:val="auto"/>
          <w:sz w:val="24"/>
          <w:highlight w:val="none"/>
          <w:u w:val="single"/>
        </w:rPr>
        <w:t xml:space="preserve">                                </w:t>
      </w:r>
    </w:p>
    <w:p>
      <w:pPr>
        <w:snapToGrid w:val="0"/>
        <w:spacing w:before="160" w:beforeLines="50" w:after="16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电  话：</w:t>
      </w:r>
      <w:r>
        <w:rPr>
          <w:rFonts w:hint="eastAsia" w:ascii="宋体" w:hAnsi="宋体" w:cs="宋体"/>
          <w:color w:val="auto"/>
          <w:sz w:val="24"/>
          <w:highlight w:val="none"/>
          <w:u w:val="single"/>
        </w:rPr>
        <w:t xml:space="preserve">                                </w:t>
      </w:r>
    </w:p>
    <w:p>
      <w:pPr>
        <w:snapToGrid w:val="0"/>
        <w:spacing w:before="160" w:beforeLines="50" w:after="16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法定（授权）代表人（签章）：</w:t>
      </w:r>
      <w:r>
        <w:rPr>
          <w:rFonts w:hint="eastAsia" w:ascii="宋体" w:hAnsi="宋体" w:cs="宋体"/>
          <w:bCs/>
          <w:color w:val="auto"/>
          <w:sz w:val="24"/>
          <w:highlight w:val="none"/>
          <w:u w:val="single"/>
        </w:rPr>
        <w:t xml:space="preserve">            </w:t>
      </w:r>
    </w:p>
    <w:p>
      <w:pPr>
        <w:snapToGrid w:val="0"/>
        <w:spacing w:before="160" w:beforeLines="50" w:after="16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开户银行：</w:t>
      </w:r>
      <w:r>
        <w:rPr>
          <w:rFonts w:hint="eastAsia" w:ascii="宋体" w:hAnsi="宋体" w:cs="宋体"/>
          <w:b/>
          <w:color w:val="auto"/>
          <w:sz w:val="24"/>
          <w:highlight w:val="none"/>
          <w:u w:val="single"/>
        </w:rPr>
        <w:t xml:space="preserve">                              </w:t>
      </w:r>
    </w:p>
    <w:p>
      <w:pPr>
        <w:snapToGrid w:val="0"/>
        <w:spacing w:before="160" w:beforeLines="50" w:after="160" w:afterLines="50"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银行账号：</w:t>
      </w:r>
      <w:r>
        <w:rPr>
          <w:rFonts w:hint="eastAsia" w:ascii="宋体" w:hAnsi="宋体" w:cs="宋体"/>
          <w:b/>
          <w:color w:val="auto"/>
          <w:sz w:val="24"/>
          <w:highlight w:val="none"/>
          <w:u w:val="single"/>
        </w:rPr>
        <w:t xml:space="preserve">                              </w:t>
      </w:r>
    </w:p>
    <w:p>
      <w:pPr>
        <w:snapToGrid w:val="0"/>
        <w:spacing w:before="160" w:beforeLines="50" w:after="319" w:afterLines="100" w:line="440" w:lineRule="exact"/>
        <w:ind w:firstLine="480" w:firstLineChars="200"/>
        <w:rPr>
          <w:rFonts w:hint="eastAsia" w:cs="宋体"/>
          <w:b/>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pStyle w:val="20"/>
        <w:ind w:firstLine="482"/>
        <w:rPr>
          <w:rFonts w:hint="eastAsia" w:cs="宋体"/>
          <w:b/>
          <w:color w:val="auto"/>
          <w:sz w:val="24"/>
          <w:highlight w:val="none"/>
        </w:rPr>
      </w:pPr>
    </w:p>
    <w:p>
      <w:pPr>
        <w:snapToGrid w:val="0"/>
        <w:spacing w:before="160" w:beforeLines="50" w:after="16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采购代理机构（盖章）：</w:t>
      </w:r>
      <w:r>
        <w:rPr>
          <w:rFonts w:hint="eastAsia" w:ascii="宋体" w:hAnsi="宋体" w:cs="宋体"/>
          <w:color w:val="auto"/>
          <w:sz w:val="24"/>
          <w:highlight w:val="none"/>
          <w:u w:val="single"/>
        </w:rPr>
        <w:t>海南通尚工程管理有限公司</w:t>
      </w:r>
    </w:p>
    <w:p>
      <w:pPr>
        <w:snapToGrid w:val="0"/>
        <w:spacing w:before="160" w:beforeLines="50" w:after="16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u w:val="single"/>
        </w:rPr>
        <w:t>海口市琼山区国兴大道海航豪庭南苑一区7栋1602室</w:t>
      </w:r>
    </w:p>
    <w:p>
      <w:pPr>
        <w:snapToGrid w:val="0"/>
        <w:spacing w:before="160" w:beforeLines="50" w:after="160" w:afterLines="50"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电  话：</w:t>
      </w:r>
      <w:r>
        <w:rPr>
          <w:rFonts w:hint="eastAsia" w:ascii="宋体" w:hAnsi="宋体" w:cs="宋体"/>
          <w:color w:val="auto"/>
          <w:sz w:val="24"/>
          <w:highlight w:val="none"/>
          <w:u w:val="single"/>
        </w:rPr>
        <w:t>0898-65881061</w:t>
      </w:r>
    </w:p>
    <w:p>
      <w:pPr>
        <w:snapToGrid w:val="0"/>
        <w:spacing w:before="160" w:beforeLines="50" w:after="16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法定（授权）代表人（签章）：            </w:t>
      </w:r>
    </w:p>
    <w:p>
      <w:pPr>
        <w:snapToGrid w:val="0"/>
        <w:spacing w:before="160" w:beforeLines="50" w:after="160"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签订日期：      年    月    日</w:t>
      </w:r>
    </w:p>
    <w:p>
      <w:pPr>
        <w:spacing w:before="160" w:beforeLines="50" w:after="160" w:afterLines="50" w:line="360" w:lineRule="auto"/>
        <w:ind w:firstLine="560" w:firstLineChars="200"/>
        <w:jc w:val="center"/>
        <w:outlineLvl w:val="0"/>
        <w:rPr>
          <w:rFonts w:ascii="宋体" w:hAnsi="宋体" w:cs="宋体"/>
          <w:b/>
          <w:color w:val="auto"/>
          <w:sz w:val="44"/>
          <w:szCs w:val="44"/>
          <w:highlight w:val="none"/>
        </w:rPr>
      </w:pPr>
      <w:r>
        <w:rPr>
          <w:rFonts w:hint="eastAsia" w:ascii="宋体" w:hAnsi="宋体"/>
          <w:color w:val="auto"/>
          <w:sz w:val="28"/>
          <w:szCs w:val="28"/>
          <w:highlight w:val="none"/>
        </w:rPr>
        <w:br w:type="page"/>
      </w:r>
      <w:r>
        <w:rPr>
          <w:rFonts w:hint="eastAsia" w:ascii="宋体" w:hAnsi="宋体" w:cs="宋体"/>
          <w:b/>
          <w:color w:val="auto"/>
          <w:sz w:val="44"/>
          <w:szCs w:val="44"/>
          <w:highlight w:val="none"/>
        </w:rPr>
        <w:t>第四部分  响应文件格式</w:t>
      </w:r>
      <w:bookmarkEnd w:id="93"/>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请供应商按照以下文件要求的格式、内容制作响应文件，并按以下顺序编制目录及页码，否则将影响对响应文件的评价：</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1、响应承诺函</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GB"/>
        </w:rPr>
        <w:t>法定代表人身份证明</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3、法定代表人授权委托书</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4、报价一览表</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5、报价明细表</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6、采购需求响应情况表</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bCs/>
          <w:color w:val="auto"/>
          <w:sz w:val="24"/>
          <w:highlight w:val="none"/>
        </w:rPr>
        <w:t>7、项目</w:t>
      </w:r>
      <w:r>
        <w:rPr>
          <w:rFonts w:hint="eastAsia" w:ascii="宋体" w:hAnsi="宋体" w:cs="宋体"/>
          <w:color w:val="auto"/>
          <w:sz w:val="24"/>
          <w:highlight w:val="none"/>
        </w:rPr>
        <w:t>实施方案</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8、中小企业声明函</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9、残疾人福利性单位声明函</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10、监狱企业证明文件</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11、业绩（如有）</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12、供应商资格证明材料或供应商认为需要提供的其它材料</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13、供应商认为需要提供的其它材料</w:t>
      </w:r>
    </w:p>
    <w:p>
      <w:pPr>
        <w:snapToGrid w:val="0"/>
        <w:spacing w:line="440" w:lineRule="exact"/>
        <w:ind w:firstLine="480" w:firstLineChars="200"/>
        <w:rPr>
          <w:rFonts w:ascii="宋体" w:hAnsi="宋体" w:cs="宋体"/>
          <w:color w:val="auto"/>
          <w:sz w:val="24"/>
          <w:highlight w:val="none"/>
        </w:rPr>
      </w:pPr>
    </w:p>
    <w:p>
      <w:pPr>
        <w:snapToGrid w:val="0"/>
        <w:spacing w:line="440" w:lineRule="exact"/>
        <w:rPr>
          <w:rFonts w:ascii="宋体" w:hAnsi="宋体" w:cs="宋体"/>
          <w:color w:val="auto"/>
          <w:sz w:val="24"/>
          <w:highlight w:val="none"/>
        </w:rPr>
      </w:pPr>
    </w:p>
    <w:p>
      <w:pPr>
        <w:snapToGrid w:val="0"/>
        <w:spacing w:line="440" w:lineRule="exac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pStyle w:val="20"/>
        <w:ind w:firstLine="0" w:firstLineChars="0"/>
        <w:rPr>
          <w:color w:val="auto"/>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spacing w:line="440" w:lineRule="exact"/>
        <w:jc w:val="left"/>
        <w:rPr>
          <w:rFonts w:ascii="宋体" w:hAnsi="宋体" w:cs="宋体"/>
          <w:color w:val="auto"/>
          <w:sz w:val="24"/>
          <w:highlight w:val="none"/>
        </w:rPr>
      </w:pPr>
    </w:p>
    <w:p>
      <w:pPr>
        <w:widowControl/>
        <w:rPr>
          <w:rFonts w:ascii="宋体" w:hAnsi="宋体" w:cs="宋体"/>
          <w:b/>
          <w:color w:val="auto"/>
          <w:kern w:val="0"/>
          <w:sz w:val="52"/>
          <w:szCs w:val="52"/>
          <w:highlight w:val="none"/>
        </w:rPr>
      </w:pPr>
    </w:p>
    <w:p>
      <w:pPr>
        <w:widowControl/>
        <w:jc w:val="center"/>
        <w:rPr>
          <w:rFonts w:ascii="宋体" w:hAnsi="宋体" w:cs="宋体"/>
          <w:b/>
          <w:color w:val="auto"/>
          <w:kern w:val="0"/>
          <w:sz w:val="52"/>
          <w:szCs w:val="52"/>
          <w:highlight w:val="none"/>
        </w:rPr>
      </w:pPr>
    </w:p>
    <w:p>
      <w:pPr>
        <w:pStyle w:val="15"/>
        <w:rPr>
          <w:rFonts w:ascii="宋体" w:hAnsi="宋体" w:cs="宋体"/>
          <w:b/>
          <w:color w:val="auto"/>
          <w:kern w:val="0"/>
          <w:sz w:val="52"/>
          <w:szCs w:val="52"/>
          <w:highlight w:val="none"/>
        </w:rPr>
      </w:pPr>
    </w:p>
    <w:p>
      <w:pPr>
        <w:widowControl/>
        <w:spacing w:line="360" w:lineRule="auto"/>
        <w:jc w:val="center"/>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政府采购项目</w:t>
      </w:r>
    </w:p>
    <w:p>
      <w:pPr>
        <w:widowControl/>
        <w:spacing w:line="360" w:lineRule="auto"/>
        <w:jc w:val="center"/>
        <w:rPr>
          <w:rFonts w:ascii="宋体" w:hAnsi="宋体" w:cs="宋体"/>
          <w:b/>
          <w:color w:val="auto"/>
          <w:kern w:val="0"/>
          <w:sz w:val="52"/>
          <w:szCs w:val="52"/>
          <w:highlight w:val="none"/>
        </w:rPr>
      </w:pPr>
      <w:r>
        <w:rPr>
          <w:rFonts w:hint="eastAsia" w:ascii="宋体" w:hAnsi="宋体" w:cs="宋体"/>
          <w:b/>
          <w:color w:val="auto"/>
          <w:kern w:val="0"/>
          <w:sz w:val="52"/>
          <w:szCs w:val="52"/>
          <w:highlight w:val="none"/>
        </w:rPr>
        <w:t>响 应 文 件</w:t>
      </w:r>
    </w:p>
    <w:p>
      <w:pPr>
        <w:widowControl/>
        <w:spacing w:line="360" w:lineRule="auto"/>
        <w:jc w:val="center"/>
        <w:rPr>
          <w:color w:val="auto"/>
          <w:highlight w:val="none"/>
        </w:rPr>
      </w:pPr>
      <w:r>
        <w:rPr>
          <w:rFonts w:hint="eastAsia" w:ascii="宋体" w:hAnsi="宋体" w:cs="宋体"/>
          <w:b/>
          <w:color w:val="auto"/>
          <w:kern w:val="0"/>
          <w:sz w:val="43"/>
          <w:szCs w:val="43"/>
          <w:highlight w:val="none"/>
        </w:rPr>
        <w:t>（封面）</w:t>
      </w:r>
    </w:p>
    <w:p>
      <w:pPr>
        <w:spacing w:line="360" w:lineRule="auto"/>
        <w:jc w:val="center"/>
        <w:rPr>
          <w:rFonts w:ascii="宋体" w:hAnsi="宋体" w:cs="宋体"/>
          <w:b/>
          <w:color w:val="auto"/>
          <w:sz w:val="30"/>
          <w:szCs w:val="30"/>
          <w:highlight w:val="none"/>
          <w:lang w:val="en-GB"/>
        </w:rPr>
      </w:pPr>
    </w:p>
    <w:p>
      <w:pPr>
        <w:widowControl/>
        <w:spacing w:line="360" w:lineRule="auto"/>
        <w:jc w:val="left"/>
        <w:rPr>
          <w:rFonts w:ascii="宋体" w:hAnsi="宋体" w:cs="宋体"/>
          <w:b/>
          <w:color w:val="auto"/>
          <w:kern w:val="0"/>
          <w:sz w:val="28"/>
          <w:szCs w:val="28"/>
          <w:highlight w:val="none"/>
        </w:rPr>
      </w:pPr>
    </w:p>
    <w:p>
      <w:pPr>
        <w:widowControl/>
        <w:spacing w:line="360" w:lineRule="auto"/>
        <w:jc w:val="left"/>
        <w:rPr>
          <w:rFonts w:ascii="宋体" w:hAnsi="宋体" w:cs="宋体"/>
          <w:b/>
          <w:color w:val="auto"/>
          <w:kern w:val="0"/>
          <w:sz w:val="28"/>
          <w:szCs w:val="28"/>
          <w:highlight w:val="none"/>
        </w:rPr>
      </w:pPr>
    </w:p>
    <w:p>
      <w:pPr>
        <w:widowControl/>
        <w:spacing w:line="360" w:lineRule="auto"/>
        <w:ind w:firstLine="1968" w:firstLineChars="700"/>
        <w:jc w:val="left"/>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项目名称：</w:t>
      </w:r>
      <w:r>
        <w:rPr>
          <w:rFonts w:hint="eastAsia" w:ascii="宋体" w:hAnsi="宋体" w:cs="宋体"/>
          <w:b/>
          <w:color w:val="auto"/>
          <w:kern w:val="0"/>
          <w:sz w:val="28"/>
          <w:szCs w:val="28"/>
          <w:highlight w:val="none"/>
          <w:u w:val="single"/>
        </w:rPr>
        <w:t xml:space="preserve">                </w:t>
      </w:r>
    </w:p>
    <w:p>
      <w:pPr>
        <w:widowControl/>
        <w:spacing w:line="360" w:lineRule="auto"/>
        <w:ind w:firstLine="1968" w:firstLineChars="700"/>
        <w:jc w:val="left"/>
        <w:rPr>
          <w:rFonts w:ascii="宋体" w:hAnsi="宋体" w:cs="宋体"/>
          <w:b/>
          <w:color w:val="auto"/>
          <w:kern w:val="0"/>
          <w:sz w:val="28"/>
          <w:szCs w:val="28"/>
          <w:highlight w:val="none"/>
          <w:u w:val="single"/>
        </w:rPr>
      </w:pPr>
      <w:r>
        <w:rPr>
          <w:rFonts w:hint="eastAsia" w:ascii="宋体" w:hAnsi="宋体" w:cs="宋体"/>
          <w:b/>
          <w:color w:val="auto"/>
          <w:kern w:val="0"/>
          <w:sz w:val="28"/>
          <w:szCs w:val="28"/>
          <w:highlight w:val="none"/>
        </w:rPr>
        <w:t>项目编号：</w:t>
      </w:r>
      <w:r>
        <w:rPr>
          <w:rFonts w:hint="eastAsia" w:ascii="宋体" w:hAnsi="宋体" w:cs="宋体"/>
          <w:b/>
          <w:color w:val="auto"/>
          <w:kern w:val="0"/>
          <w:sz w:val="28"/>
          <w:szCs w:val="28"/>
          <w:highlight w:val="none"/>
          <w:u w:val="single"/>
        </w:rPr>
        <w:t xml:space="preserve">                </w:t>
      </w:r>
    </w:p>
    <w:p>
      <w:pPr>
        <w:spacing w:line="360" w:lineRule="auto"/>
        <w:jc w:val="center"/>
        <w:rPr>
          <w:rFonts w:ascii="宋体" w:hAnsi="宋体" w:cs="宋体"/>
          <w:b/>
          <w:color w:val="auto"/>
          <w:sz w:val="30"/>
          <w:szCs w:val="30"/>
          <w:highlight w:val="none"/>
          <w:lang w:val="en-GB"/>
        </w:rPr>
      </w:pPr>
    </w:p>
    <w:p>
      <w:pPr>
        <w:pStyle w:val="20"/>
        <w:ind w:firstLine="560"/>
        <w:rPr>
          <w:color w:val="auto"/>
          <w:highlight w:val="none"/>
          <w:lang w:val="en-GB"/>
        </w:rPr>
      </w:pPr>
    </w:p>
    <w:p>
      <w:pPr>
        <w:spacing w:line="360" w:lineRule="auto"/>
        <w:jc w:val="center"/>
        <w:outlineLvl w:val="1"/>
        <w:rPr>
          <w:rFonts w:ascii="宋体" w:hAnsi="宋体" w:cs="宋体"/>
          <w:b/>
          <w:color w:val="auto"/>
          <w:sz w:val="30"/>
          <w:szCs w:val="30"/>
          <w:highlight w:val="none"/>
          <w:lang w:val="en-GB"/>
        </w:rPr>
      </w:pPr>
      <w:r>
        <w:rPr>
          <w:rFonts w:hint="eastAsia" w:ascii="宋体" w:hAnsi="宋体" w:cs="宋体"/>
          <w:b/>
          <w:color w:val="auto"/>
          <w:sz w:val="30"/>
          <w:szCs w:val="30"/>
          <w:highlight w:val="none"/>
          <w:lang w:val="en-GB"/>
        </w:rPr>
        <w:t>（正本</w:t>
      </w:r>
      <w:r>
        <w:rPr>
          <w:rFonts w:hint="eastAsia" w:ascii="宋体" w:hAnsi="宋体" w:cs="宋体"/>
          <w:b/>
          <w:color w:val="auto"/>
          <w:sz w:val="30"/>
          <w:szCs w:val="30"/>
          <w:highlight w:val="none"/>
        </w:rPr>
        <w:t>/副本</w:t>
      </w:r>
      <w:r>
        <w:rPr>
          <w:rFonts w:hint="eastAsia" w:ascii="宋体" w:hAnsi="宋体" w:cs="宋体"/>
          <w:b/>
          <w:color w:val="auto"/>
          <w:sz w:val="30"/>
          <w:szCs w:val="30"/>
          <w:highlight w:val="none"/>
          <w:lang w:val="en-GB"/>
        </w:rPr>
        <w:t>）</w:t>
      </w:r>
    </w:p>
    <w:p>
      <w:pPr>
        <w:pStyle w:val="20"/>
        <w:spacing w:line="360" w:lineRule="auto"/>
        <w:ind w:firstLine="0" w:firstLineChars="0"/>
        <w:rPr>
          <w:color w:val="auto"/>
          <w:highlight w:val="none"/>
          <w:lang w:val="en-GB"/>
        </w:rPr>
      </w:pPr>
    </w:p>
    <w:p>
      <w:pPr>
        <w:pStyle w:val="20"/>
        <w:spacing w:line="360" w:lineRule="auto"/>
        <w:ind w:firstLine="0" w:firstLineChars="0"/>
        <w:rPr>
          <w:color w:val="auto"/>
          <w:highlight w:val="none"/>
          <w:lang w:val="en-GB"/>
        </w:rPr>
      </w:pPr>
    </w:p>
    <w:p>
      <w:pPr>
        <w:pStyle w:val="20"/>
        <w:spacing w:line="360" w:lineRule="auto"/>
        <w:ind w:firstLine="0" w:firstLineChars="0"/>
        <w:rPr>
          <w:color w:val="auto"/>
          <w:highlight w:val="none"/>
          <w:lang w:val="en-GB"/>
        </w:rPr>
      </w:pPr>
    </w:p>
    <w:p>
      <w:pPr>
        <w:spacing w:line="360" w:lineRule="auto"/>
        <w:rPr>
          <w:rFonts w:ascii="宋体" w:hAnsi="宋体" w:cs="宋体"/>
          <w:b/>
          <w:color w:val="auto"/>
          <w:sz w:val="30"/>
          <w:szCs w:val="30"/>
          <w:highlight w:val="none"/>
          <w:lang w:val="en-GB"/>
        </w:rPr>
      </w:pPr>
    </w:p>
    <w:p>
      <w:pPr>
        <w:widowControl/>
        <w:spacing w:line="360" w:lineRule="auto"/>
        <w:ind w:firstLine="1405" w:firstLineChars="500"/>
        <w:jc w:val="left"/>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供应商名称 ：</w:t>
      </w:r>
      <w:r>
        <w:rPr>
          <w:rFonts w:hint="eastAsia" w:ascii="宋体" w:hAnsi="宋体" w:cs="宋体"/>
          <w:b/>
          <w:color w:val="auto"/>
          <w:kern w:val="0"/>
          <w:sz w:val="28"/>
          <w:szCs w:val="28"/>
          <w:highlight w:val="none"/>
          <w:u w:val="single"/>
        </w:rPr>
        <w:t xml:space="preserve">                        </w:t>
      </w:r>
      <w:r>
        <w:rPr>
          <w:rFonts w:hint="eastAsia" w:ascii="宋体" w:hAnsi="宋体" w:cs="宋体"/>
          <w:b/>
          <w:color w:val="auto"/>
          <w:kern w:val="0"/>
          <w:sz w:val="28"/>
          <w:szCs w:val="28"/>
          <w:highlight w:val="none"/>
        </w:rPr>
        <w:t>（盖章）</w:t>
      </w:r>
    </w:p>
    <w:p>
      <w:pPr>
        <w:pStyle w:val="20"/>
        <w:spacing w:line="360" w:lineRule="auto"/>
        <w:ind w:firstLine="1405" w:firstLineChars="500"/>
        <w:jc w:val="left"/>
        <w:rPr>
          <w:rFonts w:cs="宋体"/>
          <w:b/>
          <w:color w:val="auto"/>
          <w:kern w:val="0"/>
          <w:szCs w:val="28"/>
          <w:highlight w:val="none"/>
        </w:rPr>
      </w:pPr>
      <w:r>
        <w:rPr>
          <w:rFonts w:hint="eastAsia" w:cs="宋体"/>
          <w:b/>
          <w:color w:val="auto"/>
          <w:kern w:val="0"/>
          <w:szCs w:val="28"/>
          <w:highlight w:val="none"/>
        </w:rPr>
        <w:t>响应代表人：</w:t>
      </w:r>
      <w:r>
        <w:rPr>
          <w:rFonts w:hint="eastAsia" w:cs="宋体"/>
          <w:b/>
          <w:color w:val="auto"/>
          <w:kern w:val="0"/>
          <w:szCs w:val="28"/>
          <w:highlight w:val="none"/>
          <w:u w:val="single"/>
        </w:rPr>
        <w:t xml:space="preserve">        </w:t>
      </w:r>
      <w:r>
        <w:rPr>
          <w:rFonts w:hint="eastAsia" w:cs="宋体"/>
          <w:b/>
          <w:color w:val="auto"/>
          <w:kern w:val="0"/>
          <w:szCs w:val="28"/>
          <w:highlight w:val="none"/>
        </w:rPr>
        <w:t xml:space="preserve">  签字：</w:t>
      </w:r>
      <w:r>
        <w:rPr>
          <w:rFonts w:hint="eastAsia" w:cs="宋体"/>
          <w:b/>
          <w:color w:val="auto"/>
          <w:kern w:val="0"/>
          <w:szCs w:val="28"/>
          <w:highlight w:val="none"/>
          <w:u w:val="single"/>
        </w:rPr>
        <w:t xml:space="preserve">         </w:t>
      </w:r>
    </w:p>
    <w:p>
      <w:pPr>
        <w:pStyle w:val="20"/>
        <w:spacing w:line="360" w:lineRule="auto"/>
        <w:ind w:firstLine="1405" w:firstLineChars="500"/>
        <w:jc w:val="left"/>
        <w:rPr>
          <w:rFonts w:cs="宋体"/>
          <w:b/>
          <w:color w:val="auto"/>
          <w:kern w:val="0"/>
          <w:szCs w:val="28"/>
          <w:highlight w:val="none"/>
          <w:u w:val="single"/>
        </w:rPr>
      </w:pPr>
      <w:r>
        <w:rPr>
          <w:rFonts w:hint="eastAsia" w:cs="宋体"/>
          <w:b/>
          <w:color w:val="auto"/>
          <w:kern w:val="0"/>
          <w:szCs w:val="28"/>
          <w:highlight w:val="none"/>
        </w:rPr>
        <w:t>手      机：</w:t>
      </w:r>
      <w:r>
        <w:rPr>
          <w:rFonts w:hint="eastAsia" w:cs="宋体"/>
          <w:b/>
          <w:color w:val="auto"/>
          <w:kern w:val="0"/>
          <w:szCs w:val="28"/>
          <w:highlight w:val="none"/>
          <w:u w:val="single"/>
        </w:rPr>
        <w:t xml:space="preserve">                     </w:t>
      </w:r>
    </w:p>
    <w:p>
      <w:pPr>
        <w:pStyle w:val="20"/>
        <w:spacing w:line="360" w:lineRule="auto"/>
        <w:ind w:firstLine="1405" w:firstLineChars="500"/>
        <w:jc w:val="left"/>
        <w:rPr>
          <w:rFonts w:cs="宋体"/>
          <w:b/>
          <w:color w:val="auto"/>
          <w:sz w:val="30"/>
          <w:szCs w:val="30"/>
          <w:highlight w:val="none"/>
          <w:lang w:val="en-GB"/>
        </w:rPr>
      </w:pPr>
      <w:r>
        <w:rPr>
          <w:rFonts w:hint="eastAsia" w:cs="宋体"/>
          <w:b/>
          <w:color w:val="auto"/>
          <w:kern w:val="0"/>
          <w:szCs w:val="28"/>
          <w:highlight w:val="none"/>
        </w:rPr>
        <w:t>日      期：</w:t>
      </w:r>
      <w:r>
        <w:rPr>
          <w:rFonts w:hint="eastAsia" w:cs="宋体"/>
          <w:b/>
          <w:color w:val="auto"/>
          <w:kern w:val="0"/>
          <w:szCs w:val="28"/>
          <w:highlight w:val="none"/>
          <w:u w:val="single"/>
        </w:rPr>
        <w:t xml:space="preserve">       </w:t>
      </w:r>
      <w:r>
        <w:rPr>
          <w:rFonts w:hint="eastAsia" w:cs="宋体"/>
          <w:b/>
          <w:color w:val="auto"/>
          <w:kern w:val="0"/>
          <w:szCs w:val="28"/>
          <w:highlight w:val="none"/>
        </w:rPr>
        <w:t>年</w:t>
      </w:r>
      <w:r>
        <w:rPr>
          <w:rFonts w:hint="eastAsia" w:cs="宋体"/>
          <w:b/>
          <w:color w:val="auto"/>
          <w:kern w:val="0"/>
          <w:szCs w:val="28"/>
          <w:highlight w:val="none"/>
          <w:u w:val="single"/>
        </w:rPr>
        <w:t xml:space="preserve">   </w:t>
      </w:r>
      <w:r>
        <w:rPr>
          <w:rFonts w:hint="eastAsia" w:cs="宋体"/>
          <w:b/>
          <w:color w:val="auto"/>
          <w:kern w:val="0"/>
          <w:szCs w:val="28"/>
          <w:highlight w:val="none"/>
        </w:rPr>
        <w:t>月</w:t>
      </w:r>
      <w:r>
        <w:rPr>
          <w:rFonts w:hint="eastAsia" w:cs="宋体"/>
          <w:b/>
          <w:color w:val="auto"/>
          <w:kern w:val="0"/>
          <w:szCs w:val="28"/>
          <w:highlight w:val="none"/>
          <w:u w:val="single"/>
        </w:rPr>
        <w:t xml:space="preserve">   </w:t>
      </w:r>
      <w:r>
        <w:rPr>
          <w:rFonts w:hint="eastAsia" w:cs="宋体"/>
          <w:b/>
          <w:color w:val="auto"/>
          <w:kern w:val="0"/>
          <w:szCs w:val="28"/>
          <w:highlight w:val="none"/>
        </w:rPr>
        <w:t>日</w:t>
      </w:r>
    </w:p>
    <w:p>
      <w:pPr>
        <w:spacing w:line="440" w:lineRule="exact"/>
        <w:jc w:val="center"/>
        <w:outlineLvl w:val="1"/>
        <w:rPr>
          <w:rFonts w:ascii="宋体" w:hAnsi="宋体" w:cs="宋体"/>
          <w:b/>
          <w:color w:val="auto"/>
          <w:sz w:val="30"/>
          <w:szCs w:val="30"/>
          <w:highlight w:val="none"/>
        </w:rPr>
      </w:pPr>
    </w:p>
    <w:p>
      <w:pPr>
        <w:spacing w:line="440" w:lineRule="exact"/>
        <w:jc w:val="center"/>
        <w:outlineLvl w:val="1"/>
        <w:rPr>
          <w:rFonts w:ascii="宋体" w:hAnsi="宋体" w:cs="宋体"/>
          <w:b/>
          <w:color w:val="auto"/>
          <w:sz w:val="24"/>
          <w:highlight w:val="none"/>
        </w:rPr>
      </w:pPr>
      <w:r>
        <w:rPr>
          <w:rFonts w:hint="eastAsia" w:ascii="宋体" w:hAnsi="宋体" w:cs="宋体"/>
          <w:b/>
          <w:color w:val="auto"/>
          <w:sz w:val="30"/>
          <w:szCs w:val="30"/>
          <w:highlight w:val="none"/>
        </w:rPr>
        <w:t>1</w:t>
      </w:r>
      <w:r>
        <w:rPr>
          <w:rFonts w:hint="eastAsia" w:ascii="宋体" w:hAnsi="宋体" w:cs="宋体"/>
          <w:b/>
          <w:color w:val="auto"/>
          <w:sz w:val="30"/>
          <w:szCs w:val="30"/>
          <w:highlight w:val="none"/>
          <w:lang w:val="en-GB"/>
        </w:rPr>
        <w:t>、响应承诺函</w:t>
      </w:r>
    </w:p>
    <w:p>
      <w:pPr>
        <w:spacing w:before="160" w:beforeLines="50" w:line="440" w:lineRule="exact"/>
        <w:rPr>
          <w:rFonts w:hint="eastAsia" w:ascii="宋体" w:hAnsi="宋体" w:cs="宋体"/>
          <w:b/>
          <w:bCs/>
          <w:color w:val="auto"/>
          <w:sz w:val="24"/>
          <w:highlight w:val="none"/>
          <w:lang w:val="en-GB"/>
        </w:rPr>
      </w:pPr>
      <w:r>
        <w:rPr>
          <w:rFonts w:hint="eastAsia" w:ascii="宋体" w:hAnsi="宋体" w:cs="宋体"/>
          <w:b/>
          <w:bCs/>
          <w:color w:val="auto"/>
          <w:sz w:val="24"/>
          <w:highlight w:val="none"/>
          <w:lang w:val="en-GB"/>
        </w:rPr>
        <w:t>致：海南通尚工程管理有限公司</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根据贵方</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项目，</w:t>
      </w:r>
      <w:r>
        <w:rPr>
          <w:rFonts w:hint="eastAsia" w:ascii="宋体" w:hAnsi="宋体" w:cs="宋体"/>
          <w:color w:val="auto"/>
          <w:sz w:val="24"/>
          <w:highlight w:val="none"/>
          <w:lang w:val="en-GB"/>
        </w:rPr>
        <w:t>编号为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的竞争性磋商邀请，正式授权下述签字人姓名：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代表供应商（供应商全称）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，提交纸质响应文件正本</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份，副本</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份，</w:t>
      </w:r>
      <w:r>
        <w:rPr>
          <w:rFonts w:hint="eastAsia" w:ascii="宋体" w:hAnsi="宋体" w:cs="宋体"/>
          <w:color w:val="auto"/>
          <w:sz w:val="24"/>
          <w:highlight w:val="none"/>
        </w:rPr>
        <w:t>电子版响应文件</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份。</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本公司谨此承诺并声明：</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1、同意并接受磋商文件的各项条款要求，遵守文件中的各项规定，按磋商文件的要求响应。</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2、</w:t>
      </w:r>
      <w:r>
        <w:rPr>
          <w:rFonts w:hint="eastAsia" w:ascii="宋体" w:hAnsi="宋体" w:cs="宋体"/>
          <w:bCs/>
          <w:color w:val="auto"/>
          <w:kern w:val="0"/>
          <w:sz w:val="24"/>
          <w:highlight w:val="none"/>
          <w:lang w:val="en-GB"/>
        </w:rPr>
        <w:t>本响应文件的有效期为从递交响应文件截止日期起计算的</w:t>
      </w:r>
      <w:r>
        <w:rPr>
          <w:rFonts w:hint="eastAsia" w:ascii="宋体" w:hAnsi="宋体" w:cs="宋体"/>
          <w:b/>
          <w:color w:val="auto"/>
          <w:kern w:val="0"/>
          <w:sz w:val="24"/>
          <w:highlight w:val="none"/>
          <w:u w:val="single"/>
        </w:rPr>
        <w:t xml:space="preserve">    </w:t>
      </w:r>
      <w:r>
        <w:rPr>
          <w:rFonts w:hint="eastAsia" w:ascii="宋体" w:hAnsi="宋体" w:cs="宋体"/>
          <w:bCs/>
          <w:color w:val="auto"/>
          <w:kern w:val="0"/>
          <w:sz w:val="24"/>
          <w:highlight w:val="none"/>
          <w:lang w:val="en-GB"/>
        </w:rPr>
        <w:t>日历天，在此期间，本响应文件将始终对我们具有约束力，并可随时被接受</w:t>
      </w:r>
      <w:r>
        <w:rPr>
          <w:rFonts w:hint="eastAsia" w:ascii="宋体" w:hAnsi="宋体" w:cs="宋体"/>
          <w:color w:val="auto"/>
          <w:sz w:val="24"/>
          <w:highlight w:val="none"/>
          <w:lang w:val="en-GB"/>
        </w:rPr>
        <w:t>澄清</w:t>
      </w:r>
      <w:r>
        <w:rPr>
          <w:rFonts w:hint="eastAsia" w:ascii="宋体" w:hAnsi="宋体" w:cs="宋体"/>
          <w:bCs/>
          <w:color w:val="auto"/>
          <w:kern w:val="0"/>
          <w:sz w:val="24"/>
          <w:highlight w:val="none"/>
          <w:lang w:val="en-GB"/>
        </w:rPr>
        <w:t>。如果我们中标，本响应文件在此期间之后将继续保持有效。</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3、我方已经详细地阅读了全部磋商文件及其附件，包括澄清及参考文件。我方已完全清晰理解磋商文件的要求，不存在任何含糊不清和误解之处，同意放弃对这些文件所提出的异议和质疑的权利。</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6、我方完全服从和尊重评审小组所作的评审结果，同时清楚理解到响应报价最低并不一定获得成交资格。</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7、我方同意按磋商文件规定向贵司缴纳足额保证金，</w:t>
      </w:r>
      <w:r>
        <w:rPr>
          <w:rFonts w:hint="eastAsia" w:ascii="宋体" w:hAnsi="宋体" w:cs="宋体"/>
          <w:bCs/>
          <w:color w:val="auto"/>
          <w:kern w:val="0"/>
          <w:sz w:val="24"/>
          <w:highlight w:val="none"/>
          <w:lang w:val="en-GB"/>
        </w:rPr>
        <w:t>如果获得成交并按《成交通知书》的要求，</w:t>
      </w:r>
      <w:r>
        <w:rPr>
          <w:rFonts w:hint="eastAsia" w:ascii="宋体" w:hAnsi="宋体" w:cs="宋体"/>
          <w:color w:val="auto"/>
          <w:sz w:val="24"/>
          <w:highlight w:val="none"/>
          <w:lang w:val="en-GB"/>
        </w:rPr>
        <w:t>如期签订合同并履行其一切责任和义务。</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8、我方在参与本次竞争性磋商采购活动中，不以任何不当手段影响、串通、排斥有关当事人或谋取、施予非法利益，如有不当行为，愿承担此行为所造成的不利后果和法律责任。</w:t>
      </w:r>
    </w:p>
    <w:p>
      <w:pPr>
        <w:spacing w:before="319" w:beforeLines="100" w:after="319" w:afterLines="100"/>
        <w:jc w:val="center"/>
        <w:rPr>
          <w:rFonts w:ascii="宋体" w:hAnsi="宋体" w:cs="宋体"/>
          <w:color w:val="auto"/>
          <w:sz w:val="24"/>
          <w:highlight w:val="none"/>
        </w:rPr>
      </w:pPr>
    </w:p>
    <w:p>
      <w:pPr>
        <w:spacing w:before="319" w:beforeLines="100" w:after="319" w:afterLines="100"/>
        <w:jc w:val="center"/>
        <w:rPr>
          <w:rFonts w:ascii="宋体" w:hAnsi="宋体" w:cs="宋体"/>
          <w:bCs/>
          <w:color w:val="auto"/>
          <w:sz w:val="24"/>
          <w:highlight w:val="none"/>
          <w:lang w:val="en-GB"/>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供应商名称（全称并盖章）：</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rPr>
        <w:t xml:space="preserve">  </w:t>
      </w:r>
      <w:r>
        <w:rPr>
          <w:rFonts w:hint="eastAsia" w:ascii="宋体" w:hAnsi="宋体" w:cs="宋体"/>
          <w:bCs/>
          <w:color w:val="auto"/>
          <w:sz w:val="24"/>
          <w:highlight w:val="none"/>
          <w:lang w:val="en-GB"/>
        </w:rPr>
        <w:t xml:space="preserve">  </w:t>
      </w:r>
    </w:p>
    <w:p>
      <w:pPr>
        <w:snapToGrid w:val="0"/>
        <w:spacing w:before="319" w:beforeLines="100" w:after="319" w:afterLines="100"/>
        <w:jc w:val="center"/>
        <w:rPr>
          <w:rFonts w:ascii="宋体" w:hAnsi="宋体" w:cs="宋体"/>
          <w:color w:val="auto"/>
          <w:sz w:val="24"/>
          <w:highlight w:val="none"/>
        </w:rPr>
      </w:pPr>
      <w:r>
        <w:rPr>
          <w:rFonts w:hint="eastAsia"/>
          <w:color w:val="auto"/>
          <w:sz w:val="24"/>
          <w:highlight w:val="none"/>
        </w:rPr>
        <w:t xml:space="preserve">           法定代表人或被授权人</w:t>
      </w:r>
      <w:r>
        <w:rPr>
          <w:rFonts w:hint="eastAsia" w:ascii="宋体" w:hAnsi="宋体" w:cs="宋体"/>
          <w:bCs/>
          <w:color w:val="auto"/>
          <w:sz w:val="24"/>
          <w:highlight w:val="none"/>
          <w:lang w:val="en-GB"/>
        </w:rPr>
        <w:t>（签字）</w:t>
      </w:r>
      <w:r>
        <w:rPr>
          <w:rFonts w:hint="eastAsia"/>
          <w:color w:val="auto"/>
          <w:sz w:val="24"/>
          <w:highlight w:val="none"/>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p>
    <w:p>
      <w:pPr>
        <w:snapToGrid w:val="0"/>
        <w:spacing w:before="319" w:beforeLines="100" w:after="319" w:afterLines="100"/>
        <w:jc w:val="center"/>
        <w:rPr>
          <w:rFonts w:ascii="宋体" w:hAnsi="宋体" w:cs="宋体"/>
          <w:b/>
          <w:bCs/>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p>
    <w:p>
      <w:pPr>
        <w:spacing w:line="440" w:lineRule="exact"/>
        <w:rPr>
          <w:rFonts w:ascii="宋体" w:hAnsi="宋体" w:cs="宋体"/>
          <w:b/>
          <w:color w:val="auto"/>
          <w:sz w:val="30"/>
          <w:szCs w:val="30"/>
          <w:highlight w:val="none"/>
          <w:lang w:val="en-GB"/>
        </w:rPr>
      </w:pPr>
    </w:p>
    <w:p>
      <w:pPr>
        <w:spacing w:line="440" w:lineRule="exact"/>
        <w:jc w:val="center"/>
        <w:outlineLvl w:val="1"/>
        <w:rPr>
          <w:rFonts w:ascii="宋体" w:hAnsi="宋体" w:cs="宋体"/>
          <w:b/>
          <w:color w:val="auto"/>
          <w:sz w:val="30"/>
          <w:szCs w:val="30"/>
          <w:highlight w:val="none"/>
          <w:lang w:val="zh-CN"/>
        </w:rPr>
      </w:pPr>
      <w:r>
        <w:rPr>
          <w:rFonts w:hint="eastAsia" w:ascii="宋体" w:hAnsi="宋体" w:cs="宋体"/>
          <w:b/>
          <w:color w:val="auto"/>
          <w:sz w:val="30"/>
          <w:szCs w:val="30"/>
          <w:highlight w:val="none"/>
        </w:rPr>
        <w:t>2</w:t>
      </w:r>
      <w:r>
        <w:rPr>
          <w:rFonts w:hint="eastAsia" w:ascii="宋体" w:hAnsi="宋体" w:cs="宋体"/>
          <w:b/>
          <w:color w:val="auto"/>
          <w:sz w:val="30"/>
          <w:szCs w:val="30"/>
          <w:highlight w:val="none"/>
          <w:lang w:val="en-GB"/>
        </w:rPr>
        <w:t>、法定代表人身份证明</w:t>
      </w:r>
    </w:p>
    <w:p>
      <w:pPr>
        <w:spacing w:before="160" w:beforeLines="50" w:line="480" w:lineRule="auto"/>
        <w:rPr>
          <w:rFonts w:ascii="宋体" w:hAnsi="宋体" w:cs="宋体"/>
          <w:b/>
          <w:bCs/>
          <w:color w:val="auto"/>
          <w:sz w:val="24"/>
          <w:highlight w:val="none"/>
          <w:lang w:val="en-GB"/>
        </w:rPr>
      </w:pPr>
      <w:r>
        <w:rPr>
          <w:rFonts w:hint="eastAsia" w:ascii="宋体" w:hAnsi="宋体" w:cs="宋体"/>
          <w:b/>
          <w:bCs/>
          <w:color w:val="auto"/>
          <w:sz w:val="24"/>
          <w:highlight w:val="none"/>
          <w:lang w:val="zh-CN"/>
        </w:rPr>
        <w:t>致：海南通尚工程管理有限公司</w:t>
      </w:r>
    </w:p>
    <w:p>
      <w:pPr>
        <w:spacing w:line="48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val="zh-CN"/>
        </w:rPr>
        <w:t>（供应商全称）</w:t>
      </w:r>
      <w:r>
        <w:rPr>
          <w:rFonts w:hint="eastAsia" w:ascii="宋体" w:hAnsi="宋体" w:cs="宋体"/>
          <w:color w:val="auto"/>
          <w:sz w:val="24"/>
          <w:highlight w:val="none"/>
          <w:lang w:val="zh-CN"/>
        </w:rPr>
        <w:t>在下面签字的姓名：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性别：</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年龄：</w:t>
      </w:r>
      <w:r>
        <w:rPr>
          <w:rFonts w:hint="eastAsia" w:ascii="宋体" w:hAnsi="宋体" w:cs="宋体"/>
          <w:color w:val="auto"/>
          <w:sz w:val="24"/>
          <w:highlight w:val="none"/>
          <w:u w:val="single"/>
        </w:rPr>
        <w:t xml:space="preserve">      </w:t>
      </w:r>
    </w:p>
    <w:p>
      <w:pPr>
        <w:spacing w:line="480" w:lineRule="auto"/>
        <w:rPr>
          <w:rFonts w:ascii="宋体" w:hAnsi="宋体" w:cs="宋体"/>
          <w:color w:val="auto"/>
          <w:sz w:val="24"/>
          <w:highlight w:val="none"/>
          <w:lang w:val="en-GB"/>
        </w:rPr>
      </w:pPr>
      <w:r>
        <w:rPr>
          <w:rFonts w:hint="eastAsia" w:ascii="宋体" w:hAnsi="宋体" w:cs="宋体"/>
          <w:color w:val="auto"/>
          <w:sz w:val="24"/>
          <w:highlight w:val="none"/>
          <w:lang w:val="zh-CN"/>
        </w:rPr>
        <w:t>职务：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为本单位的法定代表人</w:t>
      </w:r>
      <w:r>
        <w:rPr>
          <w:rFonts w:hint="eastAsia" w:ascii="宋体" w:hAnsi="宋体" w:cs="宋体"/>
          <w:color w:val="auto"/>
          <w:sz w:val="24"/>
          <w:highlight w:val="none"/>
          <w:lang w:val="en-GB"/>
        </w:rPr>
        <w:t>。</w:t>
      </w:r>
    </w:p>
    <w:p>
      <w:pPr>
        <w:pStyle w:val="20"/>
        <w:ind w:firstLine="400"/>
        <w:rPr>
          <w:color w:val="auto"/>
          <w:sz w:val="20"/>
          <w:szCs w:val="22"/>
          <w:highlight w:val="none"/>
          <w:lang w:val="en-GB"/>
        </w:rPr>
      </w:pPr>
    </w:p>
    <w:p>
      <w:pPr>
        <w:spacing w:before="319" w:beforeLines="100" w:after="319"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供</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应</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商（全称并盖章）：</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p>
      <w:pPr>
        <w:spacing w:before="319" w:beforeLines="100" w:after="319"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营</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业</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执</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照</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号</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 xml:space="preserve">                   </w:t>
      </w:r>
    </w:p>
    <w:p>
      <w:pPr>
        <w:spacing w:before="319" w:beforeLines="100" w:after="319" w:afterLines="100" w:line="440" w:lineRule="exact"/>
        <w:rPr>
          <w:rFonts w:ascii="宋体" w:hAnsi="宋体" w:cs="宋体"/>
          <w:bCs/>
          <w:color w:val="auto"/>
          <w:sz w:val="24"/>
          <w:highlight w:val="none"/>
          <w:u w:val="single"/>
          <w:lang w:val="en-GB"/>
        </w:rPr>
      </w:pPr>
      <w:r>
        <w:rPr>
          <w:rFonts w:hint="eastAsia" w:ascii="宋体" w:hAnsi="宋体" w:cs="宋体"/>
          <w:color w:val="auto"/>
          <w:sz w:val="24"/>
          <w:highlight w:val="none"/>
          <w:lang w:val="en-GB"/>
        </w:rPr>
        <w:t>法定代表人</w:t>
      </w:r>
      <w:r>
        <w:rPr>
          <w:rFonts w:hint="eastAsia" w:ascii="宋体" w:hAnsi="宋体" w:cs="宋体"/>
          <w:bCs/>
          <w:color w:val="auto"/>
          <w:sz w:val="24"/>
          <w:highlight w:val="none"/>
          <w:lang w:val="en-GB"/>
        </w:rPr>
        <w:t>（签字或加盖个人名章）</w:t>
      </w:r>
      <w:r>
        <w:rPr>
          <w:rFonts w:hint="eastAsia" w:ascii="宋体" w:hAnsi="宋体" w:cs="宋体"/>
          <w:color w:val="auto"/>
          <w:sz w:val="24"/>
          <w:highlight w:val="none"/>
          <w:lang w:val="en-GB"/>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p>
      <w:pPr>
        <w:spacing w:before="319" w:beforeLines="100" w:after="319" w:afterLines="100" w:line="440" w:lineRule="exact"/>
        <w:rPr>
          <w:rFonts w:ascii="宋体" w:hAnsi="宋体" w:cs="宋体"/>
          <w:color w:val="auto"/>
          <w:sz w:val="24"/>
          <w:highlight w:val="none"/>
        </w:rPr>
      </w:pPr>
      <w:r>
        <w:rPr>
          <w:rFonts w:hint="eastAsia" w:ascii="宋体" w:hAnsi="宋体" w:cs="宋体"/>
          <w:bCs/>
          <w:color w:val="auto"/>
          <w:sz w:val="24"/>
          <w:highlight w:val="none"/>
          <w:lang w:val="en-GB"/>
        </w:rPr>
        <w:t>单</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位</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性</w:t>
      </w:r>
      <w:r>
        <w:rPr>
          <w:rFonts w:hint="eastAsia" w:ascii="宋体" w:hAnsi="宋体" w:cs="宋体"/>
          <w:bCs/>
          <w:color w:val="auto"/>
          <w:sz w:val="24"/>
          <w:highlight w:val="none"/>
        </w:rPr>
        <w:t xml:space="preserve">  </w:t>
      </w:r>
      <w:r>
        <w:rPr>
          <w:rFonts w:hint="eastAsia" w:ascii="宋体" w:hAnsi="宋体" w:cs="宋体"/>
          <w:bCs/>
          <w:color w:val="auto"/>
          <w:sz w:val="24"/>
          <w:highlight w:val="none"/>
          <w:lang w:val="en-GB"/>
        </w:rPr>
        <w:t>质：</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p>
      <w:pPr>
        <w:spacing w:before="319" w:beforeLines="100" w:after="319"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联</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系</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电</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话：</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319" w:beforeLines="100" w:after="319"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地</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址：</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p>
      <w:pPr>
        <w:spacing w:line="440" w:lineRule="exact"/>
        <w:ind w:firstLine="440" w:firstLineChars="200"/>
        <w:rPr>
          <w:rFonts w:ascii="宋体" w:hAnsi="宋体" w:cs="宋体"/>
          <w:color w:val="auto"/>
          <w:sz w:val="22"/>
          <w:szCs w:val="22"/>
          <w:highlight w:val="none"/>
          <w:lang w:val="en-GB"/>
        </w:rPr>
      </w:pPr>
      <w:r>
        <w:rPr>
          <w:rFonts w:ascii="宋体" w:hAnsi="宋体" w:cs="宋体"/>
          <w:color w:val="auto"/>
          <w:sz w:val="22"/>
          <w:szCs w:val="22"/>
          <w:highlight w:val="none"/>
          <w:lang w:val="en-GB"/>
        </w:rPr>
        <w:pict>
          <v:rect id="_x0000_s1026" o:spid="_x0000_s1026" o:spt="1" style="position:absolute;left:0pt;margin-left:5.3pt;margin-top:10.15pt;height:126pt;width:440.5pt;z-index:251658240;mso-width-relative:page;mso-height-relative:page;" coordsize="21600,21600">
            <v:path/>
            <v:fill focussize="0,0"/>
            <v:stroke/>
            <v:imagedata o:title=""/>
            <o:lock v:ext="edit"/>
            <v:textbox>
              <w:txbxContent>
                <w:p>
                  <w:pPr>
                    <w:ind w:firstLine="3373" w:firstLineChars="1200"/>
                    <w:rPr>
                      <w:rFonts w:ascii="宋体" w:hAnsi="宋体"/>
                      <w:b/>
                      <w:sz w:val="28"/>
                    </w:rPr>
                  </w:pPr>
                  <w:r>
                    <w:rPr>
                      <w:rFonts w:hint="eastAsia" w:ascii="宋体" w:hAnsi="宋体"/>
                      <w:b/>
                      <w:sz w:val="28"/>
                    </w:rPr>
                    <w:t>法定代表人</w:t>
                  </w:r>
                </w:p>
                <w:p>
                  <w:pPr>
                    <w:jc w:val="center"/>
                    <w:rPr>
                      <w:rFonts w:ascii="宋体" w:hAnsi="宋体"/>
                      <w:b/>
                      <w:sz w:val="28"/>
                    </w:rPr>
                  </w:pPr>
                  <w:r>
                    <w:rPr>
                      <w:rFonts w:hint="eastAsia" w:ascii="宋体" w:hAnsi="宋体"/>
                      <w:b/>
                      <w:sz w:val="28"/>
                    </w:rPr>
                    <w:t>有效身份证明文件粘贴处</w:t>
                  </w:r>
                </w:p>
                <w:p>
                  <w:pPr>
                    <w:ind w:left="-1079" w:leftChars="-514"/>
                    <w:jc w:val="center"/>
                    <w:rPr>
                      <w:rFonts w:ascii="宋体" w:hAnsi="宋体"/>
                      <w:b/>
                      <w:color w:val="000000"/>
                      <w:sz w:val="28"/>
                    </w:rPr>
                  </w:pPr>
                  <w:r>
                    <w:rPr>
                      <w:rFonts w:hint="eastAsia" w:ascii="宋体" w:hAnsi="宋体"/>
                      <w:b/>
                      <w:color w:val="FF0000"/>
                      <w:sz w:val="28"/>
                    </w:rPr>
                    <w:t xml:space="preserve">      </w:t>
                  </w:r>
                  <w:r>
                    <w:rPr>
                      <w:rFonts w:hint="eastAsia" w:ascii="宋体" w:hAnsi="宋体"/>
                      <w:b/>
                      <w:color w:val="000000"/>
                      <w:sz w:val="28"/>
                    </w:rPr>
                    <w:t xml:space="preserve">  （身份证应提供正反面）</w:t>
                  </w:r>
                </w:p>
              </w:txbxContent>
            </v:textbox>
          </v:rect>
        </w:pict>
      </w:r>
    </w:p>
    <w:p>
      <w:pPr>
        <w:spacing w:line="440" w:lineRule="exact"/>
        <w:ind w:firstLine="440" w:firstLineChars="200"/>
        <w:rPr>
          <w:rFonts w:ascii="宋体" w:hAnsi="宋体" w:cs="宋体"/>
          <w:color w:val="auto"/>
          <w:sz w:val="22"/>
          <w:szCs w:val="22"/>
          <w:highlight w:val="none"/>
          <w:lang w:val="en-GB"/>
        </w:rPr>
      </w:pPr>
    </w:p>
    <w:p>
      <w:pPr>
        <w:spacing w:line="440" w:lineRule="exact"/>
        <w:ind w:firstLine="440" w:firstLineChars="200"/>
        <w:rPr>
          <w:rFonts w:ascii="宋体" w:hAnsi="宋体" w:cs="宋体"/>
          <w:color w:val="auto"/>
          <w:sz w:val="22"/>
          <w:szCs w:val="22"/>
          <w:highlight w:val="none"/>
          <w:lang w:val="en-GB"/>
        </w:rPr>
      </w:pPr>
    </w:p>
    <w:p>
      <w:pPr>
        <w:spacing w:line="440" w:lineRule="exact"/>
        <w:ind w:firstLine="440" w:firstLineChars="200"/>
        <w:rPr>
          <w:rFonts w:ascii="宋体" w:hAnsi="宋体" w:cs="宋体"/>
          <w:color w:val="auto"/>
          <w:sz w:val="22"/>
          <w:szCs w:val="22"/>
          <w:highlight w:val="none"/>
          <w:lang w:val="en-GB"/>
        </w:rPr>
      </w:pPr>
    </w:p>
    <w:p>
      <w:pPr>
        <w:spacing w:line="440" w:lineRule="exact"/>
        <w:ind w:firstLine="440" w:firstLineChars="200"/>
        <w:rPr>
          <w:rFonts w:ascii="宋体" w:hAnsi="宋体" w:cs="宋体"/>
          <w:color w:val="auto"/>
          <w:sz w:val="22"/>
          <w:szCs w:val="22"/>
          <w:highlight w:val="none"/>
          <w:lang w:val="en-GB"/>
        </w:rPr>
      </w:pPr>
    </w:p>
    <w:p>
      <w:pPr>
        <w:spacing w:line="440" w:lineRule="exact"/>
        <w:ind w:firstLine="440" w:firstLineChars="200"/>
        <w:rPr>
          <w:rFonts w:ascii="宋体" w:hAnsi="宋体" w:cs="宋体"/>
          <w:color w:val="auto"/>
          <w:sz w:val="22"/>
          <w:szCs w:val="22"/>
          <w:highlight w:val="none"/>
          <w:lang w:val="en-GB"/>
        </w:rPr>
      </w:pPr>
    </w:p>
    <w:p>
      <w:pPr>
        <w:spacing w:line="440" w:lineRule="exact"/>
        <w:rPr>
          <w:rFonts w:ascii="宋体" w:hAnsi="宋体" w:cs="宋体"/>
          <w:b/>
          <w:color w:val="auto"/>
          <w:sz w:val="28"/>
          <w:szCs w:val="28"/>
          <w:highlight w:val="none"/>
          <w:lang w:val="en-GB"/>
        </w:rPr>
      </w:pPr>
    </w:p>
    <w:p>
      <w:pPr>
        <w:spacing w:line="440" w:lineRule="exact"/>
        <w:jc w:val="left"/>
        <w:rPr>
          <w:rFonts w:ascii="宋体" w:hAnsi="宋体" w:cs="宋体"/>
          <w:b/>
          <w:color w:val="auto"/>
          <w:sz w:val="24"/>
          <w:highlight w:val="none"/>
          <w:lang w:val="en-GB"/>
        </w:rPr>
      </w:pPr>
      <w:r>
        <w:rPr>
          <w:rFonts w:hint="eastAsia" w:ascii="宋体" w:hAnsi="宋体" w:cs="宋体"/>
          <w:b/>
          <w:color w:val="auto"/>
          <w:sz w:val="24"/>
          <w:highlight w:val="none"/>
          <w:lang w:val="en-GB"/>
        </w:rPr>
        <w:t>特此证明。</w:t>
      </w:r>
    </w:p>
    <w:p>
      <w:pPr>
        <w:spacing w:line="440" w:lineRule="exact"/>
        <w:rPr>
          <w:rFonts w:ascii="宋体" w:hAnsi="宋体" w:cs="宋体"/>
          <w:color w:val="auto"/>
          <w:sz w:val="24"/>
          <w:highlight w:val="none"/>
          <w:lang w:val="en-GB"/>
        </w:rPr>
      </w:pPr>
    </w:p>
    <w:p>
      <w:pPr>
        <w:spacing w:line="440" w:lineRule="exact"/>
        <w:jc w:val="right"/>
        <w:rPr>
          <w:rFonts w:ascii="宋体" w:hAnsi="宋体" w:cs="宋体"/>
          <w:color w:val="auto"/>
          <w:sz w:val="24"/>
          <w:highlight w:val="none"/>
        </w:rPr>
      </w:pPr>
    </w:p>
    <w:p>
      <w:pPr>
        <w:spacing w:line="440" w:lineRule="exact"/>
        <w:jc w:val="right"/>
        <w:rPr>
          <w:rFonts w:ascii="宋体" w:hAnsi="宋体" w:cs="宋体"/>
          <w:b/>
          <w:color w:val="auto"/>
          <w:sz w:val="28"/>
          <w:szCs w:val="28"/>
          <w:highlight w:val="none"/>
          <w:lang w:val="en-GB"/>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期：</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日</w:t>
      </w:r>
    </w:p>
    <w:p>
      <w:pPr>
        <w:spacing w:line="440" w:lineRule="exact"/>
        <w:ind w:firstLine="3162" w:firstLineChars="1500"/>
        <w:rPr>
          <w:rFonts w:ascii="宋体" w:hAnsi="宋体" w:cs="宋体"/>
          <w:b/>
          <w:bCs/>
          <w:color w:val="auto"/>
          <w:szCs w:val="21"/>
          <w:highlight w:val="none"/>
          <w:lang w:val="en-GB"/>
        </w:rPr>
      </w:pPr>
    </w:p>
    <w:p>
      <w:pPr>
        <w:spacing w:line="440" w:lineRule="exact"/>
        <w:ind w:firstLine="3162" w:firstLineChars="1500"/>
        <w:rPr>
          <w:rFonts w:ascii="宋体" w:hAnsi="宋体" w:cs="宋体"/>
          <w:b/>
          <w:color w:val="auto"/>
          <w:sz w:val="30"/>
          <w:szCs w:val="30"/>
          <w:highlight w:val="none"/>
          <w:lang w:val="en-GB"/>
        </w:rPr>
      </w:pPr>
      <w:r>
        <w:rPr>
          <w:rFonts w:hint="eastAsia" w:ascii="宋体" w:hAnsi="宋体" w:cs="宋体"/>
          <w:b/>
          <w:bCs/>
          <w:color w:val="auto"/>
          <w:szCs w:val="21"/>
          <w:highlight w:val="none"/>
          <w:lang w:val="en-GB"/>
        </w:rPr>
        <w:t>注：本授权书内容不得擅自修改注</w:t>
      </w:r>
    </w:p>
    <w:p>
      <w:pPr>
        <w:spacing w:line="440" w:lineRule="exact"/>
        <w:jc w:val="center"/>
        <w:rPr>
          <w:rFonts w:ascii="宋体" w:hAnsi="宋体" w:cs="宋体"/>
          <w:b/>
          <w:color w:val="auto"/>
          <w:sz w:val="30"/>
          <w:szCs w:val="30"/>
          <w:highlight w:val="none"/>
          <w:lang w:val="en-GB"/>
        </w:rPr>
      </w:pPr>
    </w:p>
    <w:p>
      <w:pPr>
        <w:pStyle w:val="20"/>
        <w:ind w:firstLine="560"/>
        <w:rPr>
          <w:color w:val="auto"/>
          <w:highlight w:val="none"/>
          <w:lang w:val="en-GB"/>
        </w:rPr>
      </w:pPr>
    </w:p>
    <w:p>
      <w:pPr>
        <w:spacing w:line="440" w:lineRule="exact"/>
        <w:jc w:val="center"/>
        <w:outlineLvl w:val="1"/>
        <w:rPr>
          <w:rFonts w:ascii="宋体" w:hAnsi="宋体" w:cs="宋体"/>
          <w:b/>
          <w:color w:val="auto"/>
          <w:sz w:val="30"/>
          <w:szCs w:val="30"/>
          <w:highlight w:val="none"/>
          <w:lang w:val="en-GB"/>
        </w:rPr>
      </w:pPr>
      <w:r>
        <w:rPr>
          <w:rFonts w:hint="eastAsia" w:ascii="宋体" w:hAnsi="宋体" w:cs="宋体"/>
          <w:b/>
          <w:color w:val="auto"/>
          <w:sz w:val="30"/>
          <w:szCs w:val="30"/>
          <w:highlight w:val="none"/>
        </w:rPr>
        <w:t>3</w:t>
      </w:r>
      <w:r>
        <w:rPr>
          <w:rFonts w:hint="eastAsia" w:ascii="宋体" w:hAnsi="宋体" w:cs="宋体"/>
          <w:b/>
          <w:color w:val="auto"/>
          <w:sz w:val="30"/>
          <w:szCs w:val="30"/>
          <w:highlight w:val="none"/>
          <w:lang w:val="en-GB"/>
        </w:rPr>
        <w:t>、法定代表人授权委托书</w:t>
      </w:r>
    </w:p>
    <w:p>
      <w:pPr>
        <w:spacing w:before="160" w:before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zh-CN"/>
        </w:rPr>
        <w:t>致：海南通尚工程管理有限公司</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u w:val="single"/>
          <w:lang w:val="zh-CN"/>
        </w:rPr>
        <w:t>（供应商全称）</w:t>
      </w:r>
      <w:r>
        <w:rPr>
          <w:rFonts w:hint="eastAsia" w:ascii="宋体" w:hAnsi="宋体" w:cs="宋体"/>
          <w:color w:val="auto"/>
          <w:sz w:val="24"/>
          <w:highlight w:val="none"/>
          <w:lang w:val="zh-CN"/>
        </w:rPr>
        <w:t>法定代表人（姓名）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zh-CN"/>
        </w:rPr>
        <w:t>授权</w:t>
      </w:r>
      <w:r>
        <w:rPr>
          <w:rFonts w:hint="eastAsia" w:ascii="宋体" w:hAnsi="宋体" w:cs="宋体"/>
          <w:color w:val="auto"/>
          <w:sz w:val="24"/>
          <w:highlight w:val="none"/>
          <w:u w:val="single"/>
        </w:rPr>
        <w:t xml:space="preserve">  （响应代表姓名） </w:t>
      </w:r>
      <w:r>
        <w:rPr>
          <w:rFonts w:hint="eastAsia" w:ascii="宋体" w:hAnsi="宋体" w:cs="宋体"/>
          <w:color w:val="auto"/>
          <w:sz w:val="24"/>
          <w:highlight w:val="none"/>
          <w:lang w:val="zh-CN"/>
        </w:rPr>
        <w:t>为响应代表，代表本单位参加贵方组织的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项目，（项目</w:t>
      </w:r>
      <w:r>
        <w:rPr>
          <w:rFonts w:hint="eastAsia" w:ascii="宋体" w:hAnsi="宋体" w:cs="宋体"/>
          <w:color w:val="auto"/>
          <w:sz w:val="24"/>
          <w:highlight w:val="none"/>
          <w:lang w:val="zh-CN"/>
        </w:rPr>
        <w:t>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val="zh-CN"/>
        </w:rPr>
        <w:t>竞争性磋商活动，全权代表本单位处理响应过程的一切事宜，包括但不限于：响应、磋商、签约等。</w:t>
      </w:r>
      <w:r>
        <w:rPr>
          <w:rFonts w:hint="eastAsia" w:ascii="宋体" w:hAnsi="宋体" w:cs="宋体"/>
          <w:color w:val="auto"/>
          <w:sz w:val="24"/>
          <w:highlight w:val="none"/>
        </w:rPr>
        <w:t>响应代表在响应过程中所签署的一切文件和处理与之有关的一切事务，本单位均予以认可并对此承担责任。响应代表无转委托权。</w:t>
      </w:r>
    </w:p>
    <w:p>
      <w:pPr>
        <w:spacing w:line="480" w:lineRule="auto"/>
        <w:ind w:firstLine="480" w:firstLineChars="200"/>
        <w:rPr>
          <w:color w:val="auto"/>
          <w:highlight w:val="none"/>
          <w:lang w:val="en-GB"/>
        </w:rPr>
      </w:pPr>
      <w:r>
        <w:rPr>
          <w:rFonts w:hint="eastAsia" w:ascii="宋体" w:hAnsi="宋体" w:cs="宋体"/>
          <w:color w:val="auto"/>
          <w:sz w:val="24"/>
          <w:highlight w:val="none"/>
        </w:rPr>
        <w:t>特此授权！本授权书自出具之日起生效。</w:t>
      </w:r>
    </w:p>
    <w:p>
      <w:pPr>
        <w:spacing w:before="319" w:beforeLines="100" w:after="319" w:afterLines="100" w:line="360" w:lineRule="auto"/>
        <w:rPr>
          <w:rFonts w:ascii="宋体" w:hAnsi="宋体" w:cs="宋体"/>
          <w:color w:val="auto"/>
          <w:sz w:val="24"/>
          <w:highlight w:val="none"/>
        </w:rPr>
      </w:pPr>
      <w:r>
        <w:rPr>
          <w:rFonts w:hint="eastAsia" w:ascii="宋体" w:hAnsi="宋体" w:cs="宋体"/>
          <w:color w:val="auto"/>
          <w:sz w:val="24"/>
          <w:highlight w:val="none"/>
          <w:lang w:val="en-GB"/>
        </w:rPr>
        <w:t>供应商（全称并盖章）：</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p>
      <w:pPr>
        <w:spacing w:before="319" w:beforeLines="100" w:after="319" w:afterLines="100" w:line="360" w:lineRule="auto"/>
        <w:rPr>
          <w:rFonts w:ascii="宋体" w:hAnsi="宋体" w:cs="宋体"/>
          <w:color w:val="auto"/>
          <w:sz w:val="24"/>
          <w:highlight w:val="none"/>
        </w:rPr>
      </w:pPr>
      <w:r>
        <w:rPr>
          <w:rFonts w:hint="eastAsia" w:ascii="宋体" w:hAnsi="宋体" w:cs="宋体"/>
          <w:color w:val="auto"/>
          <w:sz w:val="24"/>
          <w:highlight w:val="none"/>
          <w:lang w:val="en-GB"/>
        </w:rPr>
        <w:t>法定代表人</w:t>
      </w:r>
      <w:r>
        <w:rPr>
          <w:rFonts w:hint="eastAsia" w:ascii="宋体" w:hAnsi="宋体" w:cs="宋体"/>
          <w:bCs/>
          <w:color w:val="auto"/>
          <w:sz w:val="24"/>
          <w:highlight w:val="none"/>
          <w:lang w:val="en-GB"/>
        </w:rPr>
        <w:t>（签字或加盖个人名章）</w:t>
      </w:r>
      <w:r>
        <w:rPr>
          <w:rFonts w:hint="eastAsia" w:ascii="宋体" w:hAnsi="宋体" w:cs="宋体"/>
          <w:color w:val="auto"/>
          <w:sz w:val="24"/>
          <w:highlight w:val="none"/>
          <w:lang w:val="en-GB"/>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p>
      <w:pPr>
        <w:spacing w:before="319" w:beforeLines="100" w:after="319" w:afterLines="100" w:line="360" w:lineRule="auto"/>
        <w:rPr>
          <w:rFonts w:ascii="宋体" w:hAnsi="宋体" w:cs="宋体"/>
          <w:color w:val="auto"/>
          <w:sz w:val="24"/>
          <w:highlight w:val="none"/>
        </w:rPr>
      </w:pPr>
      <w:r>
        <w:rPr>
          <w:rFonts w:hint="eastAsia" w:ascii="宋体" w:hAnsi="宋体" w:cs="宋体"/>
          <w:color w:val="auto"/>
          <w:sz w:val="24"/>
          <w:highlight w:val="none"/>
          <w:lang w:val="en-GB"/>
        </w:rPr>
        <w:t>被授权人</w:t>
      </w:r>
      <w:r>
        <w:rPr>
          <w:rFonts w:hint="eastAsia" w:ascii="宋体" w:hAnsi="宋体" w:cs="宋体"/>
          <w:color w:val="auto"/>
          <w:sz w:val="24"/>
          <w:highlight w:val="none"/>
        </w:rPr>
        <w:t>（</w:t>
      </w:r>
      <w:r>
        <w:rPr>
          <w:rFonts w:hint="eastAsia" w:ascii="宋体" w:hAnsi="宋体" w:cs="宋体"/>
          <w:bCs/>
          <w:color w:val="auto"/>
          <w:sz w:val="24"/>
          <w:highlight w:val="none"/>
          <w:lang w:val="en-GB"/>
        </w:rPr>
        <w:t>签字）</w:t>
      </w:r>
      <w:r>
        <w:rPr>
          <w:rFonts w:hint="eastAsia" w:ascii="宋体" w:hAnsi="宋体" w:cs="宋体"/>
          <w:color w:val="auto"/>
          <w:sz w:val="24"/>
          <w:highlight w:val="none"/>
          <w:lang w:val="en-GB"/>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p>
      <w:pPr>
        <w:spacing w:before="319" w:beforeLines="100" w:after="319" w:afterLines="100" w:line="360" w:lineRule="auto"/>
        <w:rPr>
          <w:rFonts w:ascii="宋体" w:hAnsi="宋体" w:cs="宋体"/>
          <w:color w:val="auto"/>
          <w:sz w:val="24"/>
          <w:highlight w:val="none"/>
          <w:u w:val="single"/>
          <w:lang w:val="en-GB"/>
        </w:rPr>
      </w:pPr>
      <w:r>
        <w:rPr>
          <w:rFonts w:hint="eastAsia" w:ascii="宋体" w:hAnsi="宋体" w:cs="宋体"/>
          <w:color w:val="auto"/>
          <w:sz w:val="24"/>
          <w:highlight w:val="none"/>
          <w:lang w:val="en-GB"/>
        </w:rPr>
        <w:t>被授权人联系电话：</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p>
      <w:pPr>
        <w:spacing w:line="440" w:lineRule="exact"/>
        <w:ind w:firstLine="440" w:firstLineChars="200"/>
        <w:rPr>
          <w:rFonts w:ascii="宋体" w:hAnsi="宋体" w:cs="宋体"/>
          <w:color w:val="auto"/>
          <w:sz w:val="24"/>
          <w:highlight w:val="none"/>
          <w:lang w:val="en-GB"/>
        </w:rPr>
      </w:pPr>
      <w:r>
        <w:rPr>
          <w:rFonts w:ascii="宋体" w:hAnsi="宋体" w:cs="宋体"/>
          <w:color w:val="auto"/>
          <w:sz w:val="22"/>
          <w:szCs w:val="22"/>
          <w:highlight w:val="none"/>
          <w:lang w:val="en-GB"/>
        </w:rPr>
        <w:pict>
          <v:rect id="矩形 14" o:spid="_x0000_s1027" o:spt="1" style="position:absolute;left:0pt;margin-left:23.8pt;margin-top:6.9pt;height:126pt;width:440.5pt;z-index:251659264;mso-width-relative:page;mso-height-relative:page;" coordsize="21600,21600">
            <v:path/>
            <v:fill focussize="0,0"/>
            <v:stroke/>
            <v:imagedata o:title=""/>
            <o:lock v:ext="edit"/>
            <v:textbox>
              <w:txbxContent>
                <w:p>
                  <w:pPr>
                    <w:ind w:firstLine="3654" w:firstLineChars="1300"/>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有效身份证明文件粘贴处</w:t>
                  </w:r>
                </w:p>
                <w:p>
                  <w:pPr>
                    <w:ind w:left="-1079" w:leftChars="-514"/>
                    <w:jc w:val="center"/>
                    <w:rPr>
                      <w:rFonts w:ascii="宋体" w:hAnsi="宋体"/>
                      <w:b/>
                      <w:color w:val="000000"/>
                      <w:sz w:val="28"/>
                    </w:rPr>
                  </w:pPr>
                  <w:r>
                    <w:rPr>
                      <w:rFonts w:hint="eastAsia" w:ascii="宋体" w:hAnsi="宋体"/>
                      <w:b/>
                      <w:color w:val="FF0000"/>
                      <w:sz w:val="28"/>
                    </w:rPr>
                    <w:t xml:space="preserve">       </w:t>
                  </w:r>
                  <w:r>
                    <w:rPr>
                      <w:rFonts w:hint="eastAsia" w:ascii="宋体" w:hAnsi="宋体"/>
                      <w:b/>
                      <w:color w:val="000000"/>
                      <w:sz w:val="28"/>
                    </w:rPr>
                    <w:t xml:space="preserve"> （身份证应提供正反面）</w:t>
                  </w:r>
                </w:p>
              </w:txbxContent>
            </v:textbox>
          </v:rect>
        </w:pict>
      </w:r>
    </w:p>
    <w:p>
      <w:pPr>
        <w:spacing w:line="440" w:lineRule="exact"/>
        <w:ind w:firstLine="480" w:firstLineChars="200"/>
        <w:rPr>
          <w:rFonts w:ascii="宋体" w:hAnsi="宋体" w:cs="宋体"/>
          <w:color w:val="auto"/>
          <w:sz w:val="24"/>
          <w:highlight w:val="none"/>
          <w:lang w:val="en-GB"/>
        </w:rPr>
      </w:pPr>
    </w:p>
    <w:p>
      <w:pPr>
        <w:spacing w:line="440" w:lineRule="exact"/>
        <w:ind w:firstLine="480" w:firstLineChars="200"/>
        <w:rPr>
          <w:rFonts w:ascii="宋体" w:hAnsi="宋体" w:cs="宋体"/>
          <w:color w:val="auto"/>
          <w:sz w:val="24"/>
          <w:highlight w:val="none"/>
          <w:lang w:val="en-GB"/>
        </w:rPr>
      </w:pPr>
    </w:p>
    <w:p>
      <w:pPr>
        <w:spacing w:line="440" w:lineRule="exact"/>
        <w:ind w:firstLine="480" w:firstLineChars="200"/>
        <w:rPr>
          <w:rFonts w:ascii="宋体" w:hAnsi="宋体" w:cs="宋体"/>
          <w:color w:val="auto"/>
          <w:sz w:val="24"/>
          <w:highlight w:val="none"/>
          <w:lang w:val="en-GB"/>
        </w:rPr>
      </w:pPr>
    </w:p>
    <w:p>
      <w:pPr>
        <w:spacing w:line="440" w:lineRule="exact"/>
        <w:ind w:firstLine="480" w:firstLineChars="200"/>
        <w:rPr>
          <w:rFonts w:ascii="宋体" w:hAnsi="宋体" w:cs="宋体"/>
          <w:color w:val="auto"/>
          <w:sz w:val="24"/>
          <w:highlight w:val="none"/>
          <w:lang w:val="en-GB"/>
        </w:rPr>
      </w:pPr>
    </w:p>
    <w:p>
      <w:pPr>
        <w:spacing w:before="319" w:beforeLines="100" w:after="319" w:afterLines="100" w:line="440" w:lineRule="exact"/>
        <w:rPr>
          <w:rFonts w:ascii="宋体" w:hAnsi="宋体" w:cs="宋体"/>
          <w:color w:val="auto"/>
          <w:sz w:val="24"/>
          <w:highlight w:val="none"/>
          <w:lang w:val="en-GB"/>
        </w:rPr>
      </w:pPr>
    </w:p>
    <w:p>
      <w:pPr>
        <w:spacing w:before="319" w:beforeLines="100" w:after="319" w:afterLines="100" w:line="440" w:lineRule="exact"/>
        <w:jc w:val="right"/>
        <w:rPr>
          <w:rFonts w:ascii="宋体" w:hAnsi="宋体" w:cs="宋体"/>
          <w:color w:val="auto"/>
          <w:sz w:val="24"/>
          <w:highlight w:val="none"/>
          <w:lang w:val="en-GB"/>
        </w:rPr>
      </w:pPr>
      <w:r>
        <w:rPr>
          <w:rFonts w:hint="eastAsia" w:ascii="宋体" w:hAnsi="宋体" w:cs="宋体"/>
          <w:color w:val="auto"/>
          <w:sz w:val="24"/>
          <w:highlight w:val="none"/>
          <w:lang w:val="en-GB"/>
        </w:rPr>
        <w:t>日期：</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lang w:val="en-GB"/>
        </w:rPr>
        <w:t>日</w:t>
      </w:r>
    </w:p>
    <w:p>
      <w:pPr>
        <w:spacing w:line="440" w:lineRule="exact"/>
        <w:jc w:val="center"/>
        <w:rPr>
          <w:rFonts w:ascii="宋体" w:hAnsi="宋体" w:cs="宋体"/>
          <w:b/>
          <w:bCs/>
          <w:color w:val="auto"/>
          <w:szCs w:val="21"/>
          <w:highlight w:val="none"/>
          <w:lang w:val="en-GB"/>
        </w:rPr>
      </w:pPr>
    </w:p>
    <w:p>
      <w:pPr>
        <w:spacing w:line="440" w:lineRule="exact"/>
        <w:jc w:val="center"/>
        <w:rPr>
          <w:rFonts w:ascii="宋体" w:hAnsi="宋体" w:cs="宋体"/>
          <w:b/>
          <w:bCs/>
          <w:color w:val="auto"/>
          <w:szCs w:val="21"/>
          <w:highlight w:val="none"/>
          <w:lang w:val="en-GB"/>
        </w:rPr>
      </w:pPr>
    </w:p>
    <w:p>
      <w:pPr>
        <w:spacing w:line="440" w:lineRule="exact"/>
        <w:jc w:val="center"/>
        <w:rPr>
          <w:rFonts w:ascii="宋体" w:hAnsi="宋体" w:cs="宋体"/>
          <w:b/>
          <w:bCs/>
          <w:color w:val="auto"/>
          <w:sz w:val="22"/>
          <w:szCs w:val="22"/>
          <w:highlight w:val="none"/>
          <w:lang w:val="en-GB"/>
        </w:rPr>
      </w:pPr>
      <w:r>
        <w:rPr>
          <w:rFonts w:hint="eastAsia" w:ascii="宋体" w:hAnsi="宋体" w:cs="宋体"/>
          <w:b/>
          <w:bCs/>
          <w:color w:val="auto"/>
          <w:sz w:val="22"/>
          <w:szCs w:val="22"/>
          <w:highlight w:val="none"/>
          <w:lang w:val="en-GB"/>
        </w:rPr>
        <w:t>注：供应商的法定代表人参加开标会及签署响应文件，则不需要提交本授权委托书。</w:t>
      </w:r>
    </w:p>
    <w:p>
      <w:pPr>
        <w:spacing w:line="440" w:lineRule="exact"/>
        <w:jc w:val="center"/>
        <w:rPr>
          <w:rFonts w:ascii="宋体" w:hAnsi="宋体" w:cs="宋体"/>
          <w:b/>
          <w:bCs/>
          <w:color w:val="auto"/>
          <w:sz w:val="24"/>
          <w:highlight w:val="none"/>
        </w:rPr>
      </w:pPr>
      <w:r>
        <w:rPr>
          <w:rFonts w:hint="eastAsia" w:ascii="宋体" w:hAnsi="宋体" w:cs="宋体"/>
          <w:b/>
          <w:bCs/>
          <w:color w:val="auto"/>
          <w:szCs w:val="21"/>
          <w:highlight w:val="none"/>
          <w:lang w:val="en-GB"/>
        </w:rPr>
        <w:t>（本授权书内容不得擅自修改注）</w:t>
      </w:r>
    </w:p>
    <w:p>
      <w:pPr>
        <w:spacing w:line="440" w:lineRule="exact"/>
        <w:rPr>
          <w:rFonts w:ascii="宋体" w:hAnsi="宋体" w:cs="宋体"/>
          <w:b/>
          <w:bCs/>
          <w:color w:val="auto"/>
          <w:sz w:val="30"/>
          <w:szCs w:val="30"/>
          <w:highlight w:val="none"/>
        </w:rPr>
      </w:pPr>
    </w:p>
    <w:p>
      <w:pPr>
        <w:spacing w:line="440" w:lineRule="exact"/>
        <w:jc w:val="center"/>
        <w:rPr>
          <w:rFonts w:hint="eastAsia" w:ascii="宋体" w:hAnsi="宋体" w:cs="宋体"/>
          <w:b/>
          <w:bCs/>
          <w:color w:val="auto"/>
          <w:sz w:val="30"/>
          <w:szCs w:val="30"/>
          <w:highlight w:val="none"/>
        </w:rPr>
      </w:pPr>
    </w:p>
    <w:p>
      <w:pPr>
        <w:spacing w:line="440" w:lineRule="exact"/>
        <w:jc w:val="center"/>
        <w:rPr>
          <w:rFonts w:ascii="宋体" w:hAnsi="宋体" w:cs="宋体"/>
          <w:b/>
          <w:color w:val="auto"/>
          <w:sz w:val="30"/>
          <w:szCs w:val="30"/>
          <w:highlight w:val="none"/>
        </w:rPr>
      </w:pPr>
      <w:r>
        <w:rPr>
          <w:rFonts w:hint="eastAsia" w:ascii="宋体" w:hAnsi="宋体" w:cs="宋体"/>
          <w:b/>
          <w:bCs/>
          <w:color w:val="auto"/>
          <w:sz w:val="30"/>
          <w:szCs w:val="30"/>
          <w:highlight w:val="none"/>
        </w:rPr>
        <w:t>4、</w:t>
      </w:r>
      <w:r>
        <w:rPr>
          <w:rFonts w:hint="eastAsia" w:ascii="宋体" w:hAnsi="宋体" w:cs="宋体"/>
          <w:b/>
          <w:color w:val="auto"/>
          <w:sz w:val="30"/>
          <w:szCs w:val="30"/>
          <w:highlight w:val="none"/>
        </w:rPr>
        <w:t>报价一览表</w:t>
      </w:r>
    </w:p>
    <w:p>
      <w:pPr>
        <w:spacing w:after="160" w:afterLines="50" w:line="440" w:lineRule="exact"/>
        <w:jc w:val="center"/>
        <w:rPr>
          <w:rFonts w:ascii="宋体" w:hAnsi="宋体" w:cs="宋体"/>
          <w:color w:val="auto"/>
          <w:sz w:val="24"/>
          <w:highlight w:val="none"/>
        </w:rPr>
      </w:pPr>
      <w:r>
        <w:rPr>
          <w:rFonts w:hint="eastAsia" w:ascii="宋体" w:hAnsi="宋体" w:cs="宋体"/>
          <w:color w:val="auto"/>
          <w:sz w:val="24"/>
          <w:highlight w:val="none"/>
        </w:rPr>
        <w:t>（独立信封另密封一份）</w:t>
      </w:r>
    </w:p>
    <w:tbl>
      <w:tblPr>
        <w:tblStyle w:val="2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78"/>
        <w:gridCol w:w="1616"/>
        <w:gridCol w:w="923"/>
        <w:gridCol w:w="1661"/>
        <w:gridCol w:w="1431"/>
        <w:gridCol w:w="133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2" w:hRule="atLeast"/>
          <w:jc w:val="center"/>
        </w:trPr>
        <w:tc>
          <w:tcPr>
            <w:tcW w:w="778"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项目</w:t>
            </w:r>
          </w:p>
          <w:p>
            <w:pPr>
              <w:jc w:val="center"/>
              <w:rPr>
                <w:rFonts w:hint="eastAsia" w:ascii="宋体" w:hAnsi="宋体" w:cs="宋体"/>
                <w:color w:val="auto"/>
                <w:sz w:val="24"/>
                <w:highlight w:val="none"/>
              </w:rPr>
            </w:pPr>
            <w:r>
              <w:rPr>
                <w:rFonts w:hint="eastAsia" w:ascii="宋体" w:hAnsi="宋体" w:cs="宋体"/>
                <w:color w:val="auto"/>
                <w:sz w:val="24"/>
                <w:highlight w:val="none"/>
              </w:rPr>
              <w:t>编号</w:t>
            </w:r>
          </w:p>
        </w:tc>
        <w:tc>
          <w:tcPr>
            <w:tcW w:w="1616"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92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单位</w:t>
            </w:r>
          </w:p>
        </w:tc>
        <w:tc>
          <w:tcPr>
            <w:tcW w:w="166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数量</w:t>
            </w:r>
          </w:p>
        </w:tc>
        <w:tc>
          <w:tcPr>
            <w:tcW w:w="143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单价（元）</w:t>
            </w:r>
          </w:p>
        </w:tc>
        <w:tc>
          <w:tcPr>
            <w:tcW w:w="1339"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总价</w:t>
            </w:r>
          </w:p>
        </w:tc>
        <w:tc>
          <w:tcPr>
            <w:tcW w:w="1323" w:type="dxa"/>
            <w:vAlign w:val="center"/>
          </w:tcPr>
          <w:p>
            <w:pPr>
              <w:jc w:val="center"/>
              <w:rPr>
                <w:rFonts w:hint="eastAsia"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2" w:hRule="atLeast"/>
          <w:jc w:val="center"/>
        </w:trPr>
        <w:tc>
          <w:tcPr>
            <w:tcW w:w="778" w:type="dxa"/>
            <w:vAlign w:val="center"/>
          </w:tcPr>
          <w:p>
            <w:pPr>
              <w:ind w:firstLine="400"/>
              <w:jc w:val="center"/>
              <w:rPr>
                <w:rFonts w:hint="eastAsia" w:ascii="宋体" w:hAnsi="宋体" w:cs="宋体"/>
                <w:color w:val="auto"/>
                <w:sz w:val="24"/>
                <w:highlight w:val="none"/>
              </w:rPr>
            </w:pPr>
          </w:p>
        </w:tc>
        <w:tc>
          <w:tcPr>
            <w:tcW w:w="1616" w:type="dxa"/>
            <w:vAlign w:val="center"/>
          </w:tcPr>
          <w:p>
            <w:pPr>
              <w:widowControl/>
              <w:ind w:firstLine="480"/>
              <w:jc w:val="center"/>
              <w:rPr>
                <w:rFonts w:hint="eastAsia" w:ascii="宋体" w:hAnsi="宋体" w:cs="宋体"/>
                <w:color w:val="auto"/>
                <w:sz w:val="24"/>
                <w:highlight w:val="none"/>
              </w:rPr>
            </w:pPr>
          </w:p>
        </w:tc>
        <w:tc>
          <w:tcPr>
            <w:tcW w:w="923" w:type="dxa"/>
            <w:vAlign w:val="center"/>
          </w:tcPr>
          <w:p>
            <w:pPr>
              <w:widowControl/>
              <w:jc w:val="center"/>
              <w:rPr>
                <w:rFonts w:ascii="宋体" w:hAnsi="宋体" w:cs="宋体"/>
                <w:color w:val="auto"/>
                <w:sz w:val="24"/>
                <w:highlight w:val="none"/>
              </w:rPr>
            </w:pPr>
          </w:p>
        </w:tc>
        <w:tc>
          <w:tcPr>
            <w:tcW w:w="1661" w:type="dxa"/>
            <w:vAlign w:val="center"/>
          </w:tcPr>
          <w:p>
            <w:pPr>
              <w:widowControl/>
              <w:jc w:val="center"/>
              <w:rPr>
                <w:rFonts w:ascii="宋体" w:hAnsi="宋体" w:cs="宋体"/>
                <w:color w:val="auto"/>
                <w:sz w:val="24"/>
                <w:highlight w:val="none"/>
              </w:rPr>
            </w:pPr>
          </w:p>
        </w:tc>
        <w:tc>
          <w:tcPr>
            <w:tcW w:w="1431" w:type="dxa"/>
            <w:vAlign w:val="center"/>
          </w:tcPr>
          <w:p>
            <w:pPr>
              <w:widowControl/>
              <w:jc w:val="center"/>
              <w:rPr>
                <w:rFonts w:ascii="宋体" w:hAnsi="宋体" w:cs="宋体"/>
                <w:color w:val="auto"/>
                <w:sz w:val="24"/>
                <w:highlight w:val="none"/>
              </w:rPr>
            </w:pPr>
          </w:p>
        </w:tc>
        <w:tc>
          <w:tcPr>
            <w:tcW w:w="1339" w:type="dxa"/>
            <w:vAlign w:val="center"/>
          </w:tcPr>
          <w:p>
            <w:pPr>
              <w:spacing w:line="560" w:lineRule="exact"/>
              <w:jc w:val="left"/>
              <w:rPr>
                <w:rFonts w:ascii="宋体" w:hAnsi="宋体" w:cs="宋体"/>
                <w:color w:val="auto"/>
                <w:sz w:val="24"/>
                <w:highlight w:val="none"/>
              </w:rPr>
            </w:pPr>
          </w:p>
        </w:tc>
        <w:tc>
          <w:tcPr>
            <w:tcW w:w="1323" w:type="dxa"/>
            <w:vAlign w:val="center"/>
          </w:tcPr>
          <w:p>
            <w:pPr>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3" w:hRule="atLeast"/>
          <w:jc w:val="center"/>
        </w:trPr>
        <w:tc>
          <w:tcPr>
            <w:tcW w:w="2394" w:type="dxa"/>
            <w:gridSpan w:val="2"/>
            <w:vAlign w:val="center"/>
          </w:tcPr>
          <w:p>
            <w:pPr>
              <w:widowControl/>
              <w:jc w:val="center"/>
              <w:rPr>
                <w:rFonts w:ascii="宋体" w:hAnsi="宋体" w:cs="宋体"/>
                <w:color w:val="auto"/>
                <w:sz w:val="24"/>
                <w:highlight w:val="none"/>
              </w:rPr>
            </w:pPr>
            <w:r>
              <w:rPr>
                <w:rFonts w:hint="eastAsia" w:ascii="宋体" w:hAnsi="宋体" w:cs="宋体"/>
                <w:b/>
                <w:bCs/>
                <w:color w:val="auto"/>
                <w:sz w:val="24"/>
                <w:highlight w:val="none"/>
                <w:lang w:val="en-GB"/>
              </w:rPr>
              <w:t>投标报价总计</w:t>
            </w:r>
          </w:p>
        </w:tc>
        <w:tc>
          <w:tcPr>
            <w:tcW w:w="6677" w:type="dxa"/>
            <w:gridSpan w:val="5"/>
            <w:vAlign w:val="center"/>
          </w:tcPr>
          <w:p>
            <w:pPr>
              <w:spacing w:before="319" w:beforeLines="100" w:after="319"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（大写）：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widowControl/>
              <w:jc w:val="left"/>
              <w:rPr>
                <w:color w:val="auto"/>
                <w:highlight w:val="none"/>
              </w:rPr>
            </w:pPr>
            <w:r>
              <w:rPr>
                <w:rFonts w:hint="eastAsia" w:ascii="宋体" w:hAnsi="宋体" w:cs="宋体"/>
                <w:color w:val="auto"/>
                <w:sz w:val="24"/>
                <w:highlight w:val="none"/>
                <w:lang w:val="en-GB"/>
              </w:rPr>
              <w:t>（小写）：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3" w:hRule="atLeast"/>
          <w:jc w:val="center"/>
        </w:trPr>
        <w:tc>
          <w:tcPr>
            <w:tcW w:w="9071" w:type="dxa"/>
            <w:gridSpan w:val="7"/>
            <w:vAlign w:val="center"/>
          </w:tcPr>
          <w:p>
            <w:pPr>
              <w:spacing w:line="480" w:lineRule="exact"/>
              <w:rPr>
                <w:rFonts w:hint="eastAsia" w:ascii="宋体" w:hAnsi="宋体" w:cs="宋体"/>
                <w:color w:val="auto"/>
                <w:sz w:val="24"/>
                <w:highlight w:val="none"/>
              </w:rPr>
            </w:pPr>
            <w:r>
              <w:rPr>
                <w:rFonts w:hint="eastAsia" w:ascii="宋体" w:hAnsi="宋体" w:cs="宋体"/>
                <w:color w:val="auto"/>
                <w:sz w:val="24"/>
                <w:highlight w:val="none"/>
              </w:rPr>
              <w:t>服务期：</w:t>
            </w:r>
            <w:r>
              <w:rPr>
                <w:rFonts w:hint="eastAsia" w:ascii="宋体" w:hAnsi="宋体" w:cs="宋体"/>
                <w:color w:val="auto"/>
                <w:sz w:val="24"/>
                <w:highlight w:val="none"/>
                <w:u w:val="single"/>
              </w:rPr>
              <w:t xml:space="preserve"> 合同签订后一年 </w:t>
            </w:r>
            <w:r>
              <w:rPr>
                <w:rFonts w:hint="eastAsia" w:ascii="宋体" w:hAnsi="宋体" w:cs="宋体"/>
                <w:color w:val="auto"/>
                <w:sz w:val="24"/>
                <w:highlight w:val="none"/>
              </w:rPr>
              <w:t xml:space="preserve">        </w:t>
            </w:r>
          </w:p>
          <w:p>
            <w:pPr>
              <w:tabs>
                <w:tab w:val="left" w:pos="3083"/>
              </w:tabs>
              <w:spacing w:line="560" w:lineRule="exact"/>
              <w:rPr>
                <w:rFonts w:hint="eastAsia" w:ascii="宋体" w:hAnsi="宋体" w:cs="宋体"/>
                <w:color w:val="auto"/>
                <w:sz w:val="24"/>
                <w:highlight w:val="none"/>
                <w:u w:val="single"/>
              </w:rPr>
            </w:pPr>
            <w:r>
              <w:rPr>
                <w:rFonts w:hint="eastAsia" w:ascii="宋体" w:hAnsi="宋体" w:cs="宋体"/>
                <w:color w:val="auto"/>
                <w:sz w:val="24"/>
                <w:highlight w:val="none"/>
              </w:rPr>
              <w:t>服务地点：</w:t>
            </w:r>
            <w:r>
              <w:rPr>
                <w:rFonts w:hint="eastAsia" w:ascii="宋体" w:hAnsi="宋体" w:cs="宋体"/>
                <w:color w:val="auto"/>
                <w:sz w:val="24"/>
                <w:highlight w:val="none"/>
                <w:u w:val="single"/>
              </w:rPr>
              <w:t xml:space="preserve"> 秀英区 </w:t>
            </w:r>
            <w:r>
              <w:rPr>
                <w:rFonts w:hint="eastAsia" w:ascii="宋体" w:hAnsi="宋体" w:cs="宋体"/>
                <w:color w:val="auto"/>
                <w:sz w:val="24"/>
                <w:highlight w:val="none"/>
                <w:u w:val="single"/>
              </w:rPr>
              <w:tab/>
            </w:r>
          </w:p>
          <w:p>
            <w:pPr>
              <w:pStyle w:val="20"/>
              <w:ind w:firstLine="0" w:firstLineChars="0"/>
              <w:rPr>
                <w:rFonts w:hint="eastAsia" w:cs="宋体"/>
                <w:color w:val="auto"/>
                <w:sz w:val="24"/>
                <w:highlight w:val="none"/>
              </w:rPr>
            </w:pPr>
          </w:p>
          <w:p>
            <w:pPr>
              <w:pStyle w:val="20"/>
              <w:ind w:firstLine="0" w:firstLineChars="0"/>
              <w:rPr>
                <w:rFonts w:hint="eastAsia" w:cs="宋体"/>
                <w:color w:val="auto"/>
                <w:sz w:val="24"/>
                <w:highlight w:val="none"/>
              </w:rPr>
            </w:pPr>
            <w:r>
              <w:rPr>
                <w:rFonts w:hint="eastAsia" w:cs="宋体"/>
                <w:color w:val="auto"/>
                <w:sz w:val="24"/>
                <w:highlight w:val="none"/>
              </w:rPr>
              <w:t>质量要求：</w:t>
            </w:r>
            <w:r>
              <w:rPr>
                <w:rFonts w:hint="eastAsia" w:cs="宋体"/>
                <w:color w:val="auto"/>
                <w:sz w:val="24"/>
                <w:highlight w:val="none"/>
                <w:u w:val="single"/>
              </w:rPr>
              <w:t>符合国家验收合格标准</w:t>
            </w:r>
          </w:p>
          <w:p>
            <w:pPr>
              <w:pStyle w:val="20"/>
              <w:ind w:firstLine="560"/>
              <w:rPr>
                <w:rFonts w:hint="eastAsia"/>
                <w:color w:val="auto"/>
                <w:highlight w:val="none"/>
              </w:rPr>
            </w:pPr>
          </w:p>
          <w:p>
            <w:pPr>
              <w:pStyle w:val="20"/>
              <w:ind w:firstLine="0" w:firstLineChars="0"/>
              <w:rPr>
                <w:rFonts w:hint="eastAsia"/>
                <w:color w:val="auto"/>
                <w:highlight w:val="none"/>
              </w:rPr>
            </w:pPr>
            <w:r>
              <w:rPr>
                <w:rFonts w:hint="eastAsia" w:cs="宋体"/>
                <w:color w:val="auto"/>
                <w:sz w:val="24"/>
                <w:highlight w:val="none"/>
              </w:rPr>
              <w:t>付款条件：</w:t>
            </w:r>
            <w:r>
              <w:rPr>
                <w:rFonts w:hint="eastAsia" w:cs="宋体"/>
                <w:color w:val="auto"/>
                <w:sz w:val="24"/>
                <w:highlight w:val="none"/>
                <w:u w:val="single"/>
              </w:rPr>
              <w:t>合同签订后预付项目金额30%，合同签订4个月后按月分次拨付进度款</w:t>
            </w:r>
          </w:p>
          <w:p>
            <w:pPr>
              <w:spacing w:line="560" w:lineRule="exact"/>
              <w:rPr>
                <w:rFonts w:hint="eastAsia" w:ascii="宋体" w:hAnsi="宋体" w:cs="宋体"/>
                <w:color w:val="auto"/>
                <w:sz w:val="24"/>
                <w:highlight w:val="none"/>
              </w:rPr>
            </w:pPr>
            <w:r>
              <w:rPr>
                <w:rFonts w:hint="eastAsia" w:ascii="宋体" w:hAnsi="宋体" w:cs="宋体"/>
                <w:color w:val="auto"/>
                <w:sz w:val="24"/>
                <w:highlight w:val="none"/>
              </w:rPr>
              <w:t>磋商报价为完成本项目所有服务内容在内的一切费用的总报价。</w:t>
            </w:r>
          </w:p>
        </w:tc>
      </w:tr>
    </w:tbl>
    <w:p>
      <w:pPr>
        <w:spacing w:before="160" w:beforeLines="50" w:after="160" w:after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en-GB"/>
        </w:rPr>
        <w:t>注：</w:t>
      </w:r>
    </w:p>
    <w:p>
      <w:pPr>
        <w:spacing w:line="360" w:lineRule="auto"/>
        <w:ind w:firstLine="482" w:firstLineChars="200"/>
        <w:rPr>
          <w:rFonts w:ascii="宋体" w:hAnsi="宋体" w:cs="宋体"/>
          <w:b/>
          <w:bCs/>
          <w:color w:val="auto"/>
          <w:sz w:val="24"/>
          <w:highlight w:val="none"/>
          <w:lang w:val="en-GB"/>
        </w:rPr>
      </w:pPr>
      <w:r>
        <w:rPr>
          <w:rFonts w:hint="eastAsia" w:ascii="宋体" w:hAnsi="宋体" w:cs="宋体"/>
          <w:b/>
          <w:bCs/>
          <w:color w:val="auto"/>
          <w:sz w:val="24"/>
          <w:highlight w:val="none"/>
          <w:lang w:val="en-GB"/>
        </w:rPr>
        <w:t>1、本项目投标报价按采购预算金额进行报价，超过预算无效投标处理。</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2、</w:t>
      </w:r>
      <w:r>
        <w:rPr>
          <w:rFonts w:hint="eastAsia" w:ascii="宋体" w:hAnsi="宋体" w:cs="宋体"/>
          <w:color w:val="auto"/>
          <w:sz w:val="24"/>
          <w:highlight w:val="none"/>
          <w:lang w:val="en-GB"/>
        </w:rPr>
        <w:t>以上报价必须包含完成该项目所有费用，所有价格均应以人民币报价，金额单位为元。</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3、</w:t>
      </w:r>
      <w:r>
        <w:rPr>
          <w:rFonts w:hint="eastAsia" w:ascii="宋体" w:hAnsi="宋体" w:cs="宋体"/>
          <w:color w:val="auto"/>
          <w:sz w:val="24"/>
          <w:highlight w:val="none"/>
          <w:lang w:val="en-GB"/>
        </w:rPr>
        <w:t>其中服务</w:t>
      </w:r>
      <w:r>
        <w:rPr>
          <w:rFonts w:hint="eastAsia" w:ascii="宋体" w:hAnsi="宋体" w:cs="宋体"/>
          <w:color w:val="auto"/>
          <w:sz w:val="24"/>
          <w:highlight w:val="none"/>
        </w:rPr>
        <w:t>期限</w:t>
      </w:r>
      <w:r>
        <w:rPr>
          <w:rFonts w:hint="eastAsia" w:ascii="宋体" w:hAnsi="宋体" w:cs="宋体"/>
          <w:color w:val="auto"/>
          <w:sz w:val="24"/>
          <w:highlight w:val="none"/>
          <w:lang w:val="en-GB"/>
        </w:rPr>
        <w:t>须满足竞争性磋商文件要求。</w:t>
      </w:r>
    </w:p>
    <w:p>
      <w:pPr>
        <w:spacing w:line="360" w:lineRule="auto"/>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4、供应商须按要求填写所有信息，不得随意更改本表格样式。</w:t>
      </w:r>
    </w:p>
    <w:p>
      <w:pPr>
        <w:spacing w:line="440" w:lineRule="exact"/>
        <w:rPr>
          <w:rFonts w:ascii="宋体" w:hAnsi="宋体" w:cs="宋体"/>
          <w:color w:val="auto"/>
          <w:sz w:val="24"/>
          <w:highlight w:val="none"/>
          <w:lang w:val="en-GB"/>
        </w:rPr>
      </w:pPr>
    </w:p>
    <w:p>
      <w:pPr>
        <w:pStyle w:val="20"/>
        <w:ind w:firstLine="560"/>
        <w:rPr>
          <w:color w:val="auto"/>
          <w:highlight w:val="none"/>
          <w:lang w:val="en-GB"/>
        </w:rPr>
      </w:pPr>
    </w:p>
    <w:p>
      <w:pPr>
        <w:spacing w:before="319" w:beforeLines="100" w:after="319" w:afterLines="100"/>
        <w:jc w:val="center"/>
        <w:rPr>
          <w:rFonts w:ascii="宋体" w:hAnsi="宋体" w:cs="宋体"/>
          <w:bCs/>
          <w:color w:val="auto"/>
          <w:sz w:val="24"/>
          <w:highlight w:val="none"/>
          <w:lang w:val="en-GB"/>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供应商（全称并盖章）：</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rPr>
        <w:t xml:space="preserve">  </w:t>
      </w:r>
      <w:r>
        <w:rPr>
          <w:rFonts w:hint="eastAsia" w:ascii="宋体" w:hAnsi="宋体" w:cs="宋体"/>
          <w:bCs/>
          <w:color w:val="auto"/>
          <w:sz w:val="24"/>
          <w:highlight w:val="none"/>
          <w:lang w:val="en-GB"/>
        </w:rPr>
        <w:t xml:space="preserve">  </w:t>
      </w:r>
    </w:p>
    <w:p>
      <w:pPr>
        <w:snapToGrid w:val="0"/>
        <w:spacing w:before="319" w:beforeLines="100" w:after="319" w:afterLines="100"/>
        <w:jc w:val="center"/>
        <w:rPr>
          <w:rFonts w:ascii="宋体" w:hAnsi="宋体" w:cs="宋体"/>
          <w:color w:val="auto"/>
          <w:sz w:val="24"/>
          <w:highlight w:val="none"/>
        </w:rPr>
      </w:pPr>
      <w:r>
        <w:rPr>
          <w:rFonts w:hint="eastAsia"/>
          <w:color w:val="auto"/>
          <w:sz w:val="24"/>
          <w:highlight w:val="none"/>
        </w:rPr>
        <w:t xml:space="preserve">           法定代表人或被授权人</w:t>
      </w:r>
      <w:r>
        <w:rPr>
          <w:rFonts w:hint="eastAsia" w:ascii="宋体" w:hAnsi="宋体" w:cs="宋体"/>
          <w:bCs/>
          <w:color w:val="auto"/>
          <w:sz w:val="24"/>
          <w:highlight w:val="none"/>
          <w:lang w:val="en-GB"/>
        </w:rPr>
        <w:t>（签字）</w:t>
      </w:r>
      <w:r>
        <w:rPr>
          <w:rFonts w:hint="eastAsia"/>
          <w:color w:val="auto"/>
          <w:sz w:val="24"/>
          <w:highlight w:val="none"/>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p>
    <w:p>
      <w:pPr>
        <w:snapToGrid w:val="0"/>
        <w:spacing w:before="319" w:beforeLines="100" w:after="319" w:afterLines="100"/>
        <w:jc w:val="center"/>
        <w:rPr>
          <w:rFonts w:ascii="宋体" w:hAnsi="宋体" w:cs="宋体"/>
          <w:b/>
          <w:bCs/>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p>
    <w:p>
      <w:pPr>
        <w:spacing w:line="440" w:lineRule="exact"/>
        <w:jc w:val="center"/>
        <w:rPr>
          <w:rFonts w:ascii="宋体" w:hAnsi="宋体" w:cs="宋体"/>
          <w:b/>
          <w:bCs/>
          <w:color w:val="auto"/>
          <w:kern w:val="0"/>
          <w:sz w:val="24"/>
          <w:highlight w:val="none"/>
        </w:rPr>
      </w:pPr>
      <w:r>
        <w:rPr>
          <w:rFonts w:hint="eastAsia" w:ascii="宋体" w:hAnsi="宋体" w:cs="宋体"/>
          <w:b/>
          <w:bCs/>
          <w:color w:val="auto"/>
          <w:kern w:val="0"/>
          <w:sz w:val="30"/>
          <w:szCs w:val="30"/>
          <w:highlight w:val="none"/>
        </w:rPr>
        <w:br w:type="page"/>
      </w:r>
      <w:r>
        <w:rPr>
          <w:rFonts w:hint="eastAsia" w:ascii="宋体" w:hAnsi="宋体" w:cs="宋体"/>
          <w:b/>
          <w:bCs/>
          <w:color w:val="auto"/>
          <w:kern w:val="0"/>
          <w:sz w:val="30"/>
          <w:szCs w:val="30"/>
          <w:highlight w:val="none"/>
        </w:rPr>
        <w:t>5、报价明细表</w:t>
      </w:r>
    </w:p>
    <w:tbl>
      <w:tblPr>
        <w:tblStyle w:val="21"/>
        <w:tblpPr w:leftFromText="180" w:rightFromText="180" w:vertAnchor="text" w:horzAnchor="page" w:tblpX="1181" w:tblpY="632"/>
        <w:tblOverlap w:val="never"/>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241"/>
        <w:gridCol w:w="1834"/>
        <w:gridCol w:w="1140"/>
        <w:gridCol w:w="1358"/>
        <w:gridCol w:w="1350"/>
        <w:gridCol w:w="1477"/>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项目名称</w:t>
            </w:r>
          </w:p>
        </w:tc>
        <w:tc>
          <w:tcPr>
            <w:tcW w:w="7895"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项目编号</w:t>
            </w:r>
          </w:p>
        </w:tc>
        <w:tc>
          <w:tcPr>
            <w:tcW w:w="7895"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58"/>
              <w:spacing w:before="96" w:beforeLines="30" w:after="96" w:afterLines="30" w:line="440" w:lineRule="exact"/>
              <w:jc w:val="center"/>
              <w:rPr>
                <w:rFonts w:ascii="宋体" w:hAnsi="宋体" w:cs="宋体"/>
                <w:b/>
                <w:bCs w:val="0"/>
                <w:color w:val="auto"/>
                <w:spacing w:val="0"/>
                <w:kern w:val="2"/>
                <w:szCs w:val="24"/>
                <w:highlight w:val="none"/>
                <w:lang w:val="en-GB"/>
              </w:rPr>
            </w:pPr>
            <w:r>
              <w:rPr>
                <w:rFonts w:hint="eastAsia" w:ascii="宋体" w:hAnsi="宋体" w:cs="宋体"/>
                <w:b/>
                <w:bCs w:val="0"/>
                <w:color w:val="auto"/>
                <w:spacing w:val="0"/>
                <w:kern w:val="2"/>
                <w:szCs w:val="24"/>
                <w:highlight w:val="none"/>
                <w:lang w:val="en-GB"/>
              </w:rPr>
              <w:t>序号</w:t>
            </w:r>
          </w:p>
        </w:tc>
        <w:tc>
          <w:tcPr>
            <w:tcW w:w="124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hint="eastAsia" w:ascii="宋体" w:hAnsi="宋体" w:cs="宋体"/>
                <w:b/>
                <w:color w:val="auto"/>
                <w:sz w:val="24"/>
                <w:highlight w:val="none"/>
                <w:lang w:val="en-GB"/>
              </w:rPr>
            </w:pPr>
            <w:r>
              <w:rPr>
                <w:rFonts w:hint="eastAsia" w:ascii="宋体" w:hAnsi="宋体" w:cs="宋体"/>
                <w:b/>
                <w:color w:val="auto"/>
                <w:sz w:val="24"/>
                <w:highlight w:val="none"/>
                <w:lang w:val="en-GB"/>
              </w:rPr>
              <w:t>项目</w:t>
            </w:r>
          </w:p>
        </w:tc>
        <w:tc>
          <w:tcPr>
            <w:tcW w:w="183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服务</w:t>
            </w:r>
            <w:r>
              <w:rPr>
                <w:rFonts w:hint="eastAsia" w:ascii="宋体" w:hAnsi="宋体" w:cs="宋体"/>
                <w:b/>
                <w:color w:val="auto"/>
                <w:sz w:val="24"/>
                <w:highlight w:val="none"/>
              </w:rPr>
              <w:t>内容</w:t>
            </w:r>
          </w:p>
        </w:tc>
        <w:tc>
          <w:tcPr>
            <w:tcW w:w="114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数量</w:t>
            </w:r>
          </w:p>
        </w:tc>
        <w:tc>
          <w:tcPr>
            <w:tcW w:w="135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hint="eastAsia" w:ascii="宋体" w:hAnsi="宋体" w:cs="宋体"/>
                <w:b/>
                <w:color w:val="auto"/>
                <w:sz w:val="24"/>
                <w:highlight w:val="none"/>
                <w:lang w:val="en-GB"/>
              </w:rPr>
            </w:pPr>
            <w:r>
              <w:rPr>
                <w:rFonts w:hint="eastAsia" w:ascii="宋体" w:hAnsi="宋体" w:cs="宋体"/>
                <w:b/>
                <w:color w:val="auto"/>
                <w:sz w:val="24"/>
                <w:highlight w:val="none"/>
                <w:lang w:val="en-GB"/>
              </w:rPr>
              <w:t>单位</w:t>
            </w:r>
          </w:p>
        </w:tc>
        <w:tc>
          <w:tcPr>
            <w:tcW w:w="135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单价（元）</w:t>
            </w:r>
          </w:p>
        </w:tc>
        <w:tc>
          <w:tcPr>
            <w:tcW w:w="1477"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lang w:val="en-GB"/>
              </w:rPr>
              <w:t>总价（元）</w:t>
            </w:r>
          </w:p>
        </w:tc>
        <w:tc>
          <w:tcPr>
            <w:tcW w:w="73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96" w:beforeLines="30" w:after="96" w:afterLines="30" w:line="440" w:lineRule="exact"/>
              <w:jc w:val="center"/>
              <w:rPr>
                <w:rFonts w:ascii="宋体" w:hAnsi="宋体" w:cs="宋体"/>
                <w:b/>
                <w:color w:val="auto"/>
                <w:sz w:val="24"/>
                <w:highlight w:val="none"/>
                <w:lang w:val="en-GB"/>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1</w:t>
            </w:r>
          </w:p>
        </w:tc>
        <w:tc>
          <w:tcPr>
            <w:tcW w:w="1241"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834" w:type="dxa"/>
            <w:tcBorders>
              <w:top w:val="single" w:color="auto" w:sz="4" w:space="0"/>
              <w:left w:val="single" w:color="auto" w:sz="4" w:space="0"/>
              <w:bottom w:val="single" w:color="auto" w:sz="4" w:space="0"/>
              <w:right w:val="single" w:color="auto" w:sz="4" w:space="0"/>
            </w:tcBorders>
          </w:tcPr>
          <w:p>
            <w:pPr>
              <w:spacing w:before="96" w:beforeLines="30" w:after="96" w:afterLines="30" w:line="440" w:lineRule="exact"/>
              <w:jc w:val="center"/>
              <w:rPr>
                <w:rFonts w:ascii="宋体" w:hAnsi="宋体" w:cs="宋体"/>
                <w:b/>
                <w:bCs/>
                <w:color w:val="auto"/>
                <w:sz w:val="24"/>
                <w:highlight w:val="none"/>
                <w:lang w:val="en-GB"/>
              </w:rPr>
            </w:pPr>
          </w:p>
        </w:tc>
        <w:tc>
          <w:tcPr>
            <w:tcW w:w="1140"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rPr>
            </w:pPr>
          </w:p>
        </w:tc>
        <w:tc>
          <w:tcPr>
            <w:tcW w:w="1358"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736"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2</w:t>
            </w:r>
          </w:p>
        </w:tc>
        <w:tc>
          <w:tcPr>
            <w:tcW w:w="1241"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834" w:type="dxa"/>
            <w:tcBorders>
              <w:top w:val="single" w:color="auto" w:sz="4" w:space="0"/>
              <w:left w:val="single" w:color="auto" w:sz="4" w:space="0"/>
              <w:bottom w:val="single" w:color="auto" w:sz="4" w:space="0"/>
              <w:right w:val="single" w:color="auto" w:sz="4" w:space="0"/>
            </w:tcBorders>
          </w:tcPr>
          <w:p>
            <w:pPr>
              <w:spacing w:before="96" w:beforeLines="30" w:after="96" w:afterLines="30" w:line="440" w:lineRule="exact"/>
              <w:jc w:val="center"/>
              <w:rPr>
                <w:rFonts w:ascii="宋体" w:hAnsi="宋体" w:cs="宋体"/>
                <w:b/>
                <w:bCs/>
                <w:color w:val="auto"/>
                <w:sz w:val="24"/>
                <w:highlight w:val="none"/>
                <w:lang w:val="en-GB"/>
              </w:rPr>
            </w:pPr>
          </w:p>
        </w:tc>
        <w:tc>
          <w:tcPr>
            <w:tcW w:w="1140"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358"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736"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r>
              <w:rPr>
                <w:rFonts w:hint="eastAsia" w:ascii="宋体" w:hAnsi="宋体" w:cs="宋体"/>
                <w:b/>
                <w:bCs/>
                <w:color w:val="auto"/>
                <w:sz w:val="24"/>
                <w:highlight w:val="none"/>
                <w:lang w:val="en-GB"/>
              </w:rPr>
              <w:t>3</w:t>
            </w:r>
          </w:p>
        </w:tc>
        <w:tc>
          <w:tcPr>
            <w:tcW w:w="1241"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rPr>
            </w:pPr>
          </w:p>
        </w:tc>
        <w:tc>
          <w:tcPr>
            <w:tcW w:w="1834" w:type="dxa"/>
            <w:tcBorders>
              <w:top w:val="single" w:color="auto" w:sz="4" w:space="0"/>
              <w:left w:val="single" w:color="auto" w:sz="4" w:space="0"/>
              <w:bottom w:val="single" w:color="auto" w:sz="4" w:space="0"/>
              <w:right w:val="single" w:color="auto" w:sz="4" w:space="0"/>
            </w:tcBorders>
          </w:tcPr>
          <w:p>
            <w:pPr>
              <w:spacing w:before="96" w:beforeLines="30" w:after="96" w:afterLines="30" w:line="440" w:lineRule="exact"/>
              <w:jc w:val="center"/>
              <w:rPr>
                <w:rFonts w:ascii="宋体" w:hAnsi="宋体" w:cs="宋体"/>
                <w:b/>
                <w:bCs/>
                <w:color w:val="auto"/>
                <w:sz w:val="24"/>
                <w:highlight w:val="none"/>
                <w:lang w:val="en-GB"/>
              </w:rPr>
            </w:pPr>
          </w:p>
        </w:tc>
        <w:tc>
          <w:tcPr>
            <w:tcW w:w="1140"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358"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736"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9"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w:t>
            </w:r>
          </w:p>
        </w:tc>
        <w:tc>
          <w:tcPr>
            <w:tcW w:w="1241"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rPr>
            </w:pPr>
          </w:p>
        </w:tc>
        <w:tc>
          <w:tcPr>
            <w:tcW w:w="1834" w:type="dxa"/>
            <w:tcBorders>
              <w:top w:val="single" w:color="auto" w:sz="4" w:space="0"/>
              <w:left w:val="single" w:color="auto" w:sz="4" w:space="0"/>
              <w:bottom w:val="single" w:color="auto" w:sz="4" w:space="0"/>
              <w:right w:val="single" w:color="auto" w:sz="4" w:space="0"/>
            </w:tcBorders>
          </w:tcPr>
          <w:p>
            <w:pPr>
              <w:spacing w:before="96" w:beforeLines="30" w:after="96" w:afterLines="30" w:line="440" w:lineRule="exact"/>
              <w:jc w:val="center"/>
              <w:rPr>
                <w:rFonts w:ascii="宋体" w:hAnsi="宋体" w:cs="宋体"/>
                <w:b/>
                <w:bCs/>
                <w:color w:val="auto"/>
                <w:sz w:val="24"/>
                <w:highlight w:val="none"/>
                <w:lang w:val="en-GB"/>
              </w:rPr>
            </w:pPr>
          </w:p>
        </w:tc>
        <w:tc>
          <w:tcPr>
            <w:tcW w:w="1140"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358"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1477"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c>
          <w:tcPr>
            <w:tcW w:w="736" w:type="dxa"/>
            <w:tcBorders>
              <w:top w:val="single" w:color="auto" w:sz="4" w:space="0"/>
              <w:left w:val="single" w:color="auto" w:sz="4" w:space="0"/>
              <w:bottom w:val="single" w:color="auto" w:sz="4" w:space="0"/>
              <w:right w:val="single" w:color="auto" w:sz="4" w:space="0"/>
            </w:tcBorders>
            <w:vAlign w:val="center"/>
          </w:tcPr>
          <w:p>
            <w:pPr>
              <w:spacing w:before="96" w:beforeLines="30" w:after="96" w:afterLines="30" w:line="440" w:lineRule="exact"/>
              <w:jc w:val="center"/>
              <w:rPr>
                <w:rFonts w:ascii="宋体" w:hAnsi="宋体" w:cs="宋体"/>
                <w:b/>
                <w:bCs/>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914" w:type="dxa"/>
            <w:gridSpan w:val="3"/>
            <w:tcBorders>
              <w:top w:val="single" w:color="auto" w:sz="4" w:space="0"/>
              <w:left w:val="single" w:color="auto" w:sz="4" w:space="0"/>
              <w:bottom w:val="single" w:color="auto" w:sz="4" w:space="0"/>
              <w:right w:val="single" w:color="auto" w:sz="4" w:space="0"/>
            </w:tcBorders>
            <w:vAlign w:val="center"/>
          </w:tcPr>
          <w:p>
            <w:pPr>
              <w:spacing w:before="319" w:beforeLines="100" w:after="319" w:afterLines="100" w:line="440" w:lineRule="exact"/>
              <w:jc w:val="center"/>
              <w:rPr>
                <w:rFonts w:ascii="宋体" w:hAnsi="宋体" w:cs="宋体"/>
                <w:color w:val="auto"/>
                <w:sz w:val="24"/>
                <w:highlight w:val="none"/>
                <w:lang w:val="en-GB"/>
              </w:rPr>
            </w:pPr>
            <w:r>
              <w:rPr>
                <w:rFonts w:hint="eastAsia" w:ascii="宋体" w:hAnsi="宋体" w:cs="宋体"/>
                <w:b/>
                <w:bCs/>
                <w:color w:val="auto"/>
                <w:sz w:val="24"/>
                <w:highlight w:val="none"/>
                <w:lang w:val="en-GB"/>
              </w:rPr>
              <w:t>投标报价总计</w:t>
            </w:r>
          </w:p>
        </w:tc>
        <w:tc>
          <w:tcPr>
            <w:tcW w:w="6061" w:type="dxa"/>
            <w:gridSpan w:val="5"/>
            <w:tcBorders>
              <w:top w:val="single" w:color="auto" w:sz="4" w:space="0"/>
              <w:left w:val="single" w:color="auto" w:sz="4" w:space="0"/>
              <w:bottom w:val="single" w:color="auto" w:sz="4" w:space="0"/>
              <w:right w:val="single" w:color="auto" w:sz="4" w:space="0"/>
            </w:tcBorders>
            <w:vAlign w:val="center"/>
          </w:tcPr>
          <w:p>
            <w:pPr>
              <w:spacing w:before="319" w:beforeLines="100" w:after="319" w:afterLines="100" w:line="440" w:lineRule="exact"/>
              <w:rPr>
                <w:rFonts w:ascii="宋体" w:hAnsi="宋体" w:cs="宋体"/>
                <w:color w:val="auto"/>
                <w:sz w:val="24"/>
                <w:highlight w:val="none"/>
                <w:u w:val="single"/>
                <w:lang w:val="en-GB"/>
              </w:rPr>
            </w:pPr>
            <w:r>
              <w:rPr>
                <w:rFonts w:hint="eastAsia" w:ascii="宋体" w:hAnsi="宋体" w:cs="宋体"/>
                <w:color w:val="auto"/>
                <w:sz w:val="24"/>
                <w:highlight w:val="none"/>
                <w:lang w:val="en-GB"/>
              </w:rPr>
              <w:t>（大写）：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spacing w:before="319" w:beforeLines="100" w:after="319" w:afterLines="100"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（小写）：</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p>
        </w:tc>
      </w:tr>
    </w:tbl>
    <w:p>
      <w:pPr>
        <w:spacing w:before="160" w:beforeLines="50" w:after="160" w:afterLines="50" w:line="440" w:lineRule="exact"/>
        <w:rPr>
          <w:rFonts w:ascii="宋体" w:hAnsi="宋体" w:cs="宋体"/>
          <w:b/>
          <w:bCs/>
          <w:color w:val="auto"/>
          <w:sz w:val="24"/>
          <w:highlight w:val="none"/>
          <w:lang w:val="en-GB"/>
        </w:rPr>
      </w:pPr>
      <w:r>
        <w:rPr>
          <w:rFonts w:hint="eastAsia" w:ascii="宋体" w:hAnsi="宋体" w:cs="宋体"/>
          <w:b/>
          <w:bCs/>
          <w:color w:val="auto"/>
          <w:sz w:val="24"/>
          <w:highlight w:val="none"/>
          <w:lang w:val="en-GB"/>
        </w:rPr>
        <w:t>注：</w:t>
      </w:r>
    </w:p>
    <w:p>
      <w:pPr>
        <w:spacing w:before="160" w:beforeLines="50" w:after="160" w:afterLines="50"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1、</w:t>
      </w:r>
      <w:r>
        <w:rPr>
          <w:rFonts w:hint="eastAsia" w:ascii="宋体" w:hAnsi="宋体" w:cs="宋体"/>
          <w:color w:val="auto"/>
          <w:sz w:val="24"/>
          <w:highlight w:val="none"/>
          <w:lang w:val="en-GB"/>
        </w:rPr>
        <w:t>供应商必须按“报价明细表”的格式详细报出总价的各个组成部分的报价。</w:t>
      </w:r>
    </w:p>
    <w:p>
      <w:pPr>
        <w:spacing w:before="160" w:beforeLines="50" w:after="160" w:afterLines="50"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lang w:val="en-GB"/>
        </w:rPr>
        <w:t>2、</w:t>
      </w:r>
      <w:r>
        <w:rPr>
          <w:rFonts w:hint="eastAsia" w:ascii="宋体" w:hAnsi="宋体" w:cs="宋体"/>
          <w:color w:val="auto"/>
          <w:sz w:val="24"/>
          <w:highlight w:val="none"/>
        </w:rPr>
        <w:t>“报价明细表”各分项报价合计应当与“报价一览表”报价合计相等。</w:t>
      </w:r>
    </w:p>
    <w:p>
      <w:pPr>
        <w:spacing w:before="160" w:beforeLines="50" w:after="160" w:afterLines="50"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3、如果按单价计算的结果与总价不一致，以单价为准修正总价。</w:t>
      </w:r>
    </w:p>
    <w:p>
      <w:pPr>
        <w:spacing w:line="440" w:lineRule="exact"/>
        <w:ind w:firstLine="480" w:firstLineChars="200"/>
        <w:rPr>
          <w:rFonts w:ascii="宋体" w:hAnsi="宋体" w:cs="宋体"/>
          <w:color w:val="auto"/>
          <w:sz w:val="24"/>
          <w:highlight w:val="none"/>
          <w:lang w:val="en-GB"/>
        </w:rPr>
      </w:pPr>
      <w:r>
        <w:rPr>
          <w:rFonts w:hint="eastAsia" w:ascii="宋体" w:hAnsi="宋体" w:cs="宋体"/>
          <w:color w:val="auto"/>
          <w:sz w:val="24"/>
          <w:highlight w:val="none"/>
        </w:rPr>
        <w:t>4、供应商须按要求填写所有信息，不得随意更改本表格样式，</w:t>
      </w:r>
      <w:r>
        <w:rPr>
          <w:rFonts w:hint="eastAsia" w:ascii="宋体" w:hAnsi="宋体" w:cs="宋体"/>
          <w:color w:val="auto"/>
          <w:sz w:val="24"/>
          <w:highlight w:val="none"/>
          <w:lang w:val="en-GB"/>
        </w:rPr>
        <w:t>行数可自行添加</w:t>
      </w:r>
      <w:r>
        <w:rPr>
          <w:rFonts w:hint="eastAsia" w:ascii="宋体" w:hAnsi="宋体" w:cs="宋体"/>
          <w:color w:val="auto"/>
          <w:sz w:val="24"/>
          <w:highlight w:val="none"/>
        </w:rPr>
        <w:t>。</w:t>
      </w:r>
    </w:p>
    <w:p>
      <w:pPr>
        <w:spacing w:line="440" w:lineRule="exact"/>
        <w:rPr>
          <w:rFonts w:ascii="宋体" w:hAnsi="宋体" w:cs="宋体"/>
          <w:b/>
          <w:bCs/>
          <w:color w:val="auto"/>
          <w:sz w:val="24"/>
          <w:highlight w:val="none"/>
        </w:rPr>
      </w:pPr>
    </w:p>
    <w:p>
      <w:pPr>
        <w:pStyle w:val="20"/>
        <w:ind w:firstLine="482"/>
        <w:rPr>
          <w:rFonts w:cs="宋体"/>
          <w:b/>
          <w:bCs/>
          <w:color w:val="auto"/>
          <w:sz w:val="24"/>
          <w:highlight w:val="none"/>
        </w:rPr>
      </w:pPr>
    </w:p>
    <w:p>
      <w:pPr>
        <w:spacing w:before="319" w:beforeLines="100" w:after="319" w:afterLines="100"/>
        <w:jc w:val="center"/>
        <w:rPr>
          <w:rFonts w:ascii="宋体" w:hAnsi="宋体" w:cs="宋体"/>
          <w:bCs/>
          <w:color w:val="auto"/>
          <w:sz w:val="24"/>
          <w:highlight w:val="none"/>
          <w:lang w:val="en-GB"/>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供应商（全称并盖章）：</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rPr>
        <w:t xml:space="preserve">  </w:t>
      </w:r>
      <w:r>
        <w:rPr>
          <w:rFonts w:hint="eastAsia" w:ascii="宋体" w:hAnsi="宋体" w:cs="宋体"/>
          <w:bCs/>
          <w:color w:val="auto"/>
          <w:sz w:val="24"/>
          <w:highlight w:val="none"/>
          <w:lang w:val="en-GB"/>
        </w:rPr>
        <w:t xml:space="preserve">  </w:t>
      </w:r>
    </w:p>
    <w:p>
      <w:pPr>
        <w:snapToGrid w:val="0"/>
        <w:spacing w:before="319" w:beforeLines="100" w:after="319" w:afterLines="100"/>
        <w:jc w:val="center"/>
        <w:rPr>
          <w:rFonts w:ascii="宋体" w:hAnsi="宋体" w:cs="宋体"/>
          <w:color w:val="auto"/>
          <w:sz w:val="24"/>
          <w:highlight w:val="none"/>
        </w:rPr>
      </w:pPr>
      <w:r>
        <w:rPr>
          <w:rFonts w:hint="eastAsia"/>
          <w:color w:val="auto"/>
          <w:sz w:val="24"/>
          <w:highlight w:val="none"/>
        </w:rPr>
        <w:t xml:space="preserve">           法定代表人或被授权人</w:t>
      </w:r>
      <w:r>
        <w:rPr>
          <w:rFonts w:hint="eastAsia" w:ascii="宋体" w:hAnsi="宋体" w:cs="宋体"/>
          <w:bCs/>
          <w:color w:val="auto"/>
          <w:sz w:val="24"/>
          <w:highlight w:val="none"/>
          <w:lang w:val="en-GB"/>
        </w:rPr>
        <w:t>（签字）</w:t>
      </w:r>
      <w:r>
        <w:rPr>
          <w:rFonts w:hint="eastAsia"/>
          <w:color w:val="auto"/>
          <w:sz w:val="24"/>
          <w:highlight w:val="none"/>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p>
    <w:p>
      <w:pPr>
        <w:snapToGrid w:val="0"/>
        <w:spacing w:before="319" w:beforeLines="100" w:after="319" w:afterLines="100"/>
        <w:jc w:val="center"/>
        <w:rPr>
          <w:color w:val="auto"/>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p>
    <w:p>
      <w:pPr>
        <w:spacing w:before="160" w:beforeLines="50" w:after="160" w:afterLines="50" w:line="440" w:lineRule="exact"/>
        <w:jc w:val="center"/>
        <w:rPr>
          <w:rFonts w:hint="eastAsia" w:ascii="宋体" w:hAnsi="宋体" w:cs="宋体"/>
          <w:b/>
          <w:color w:val="auto"/>
          <w:sz w:val="30"/>
          <w:szCs w:val="30"/>
          <w:highlight w:val="none"/>
        </w:rPr>
      </w:pPr>
    </w:p>
    <w:p>
      <w:pPr>
        <w:spacing w:before="160" w:beforeLines="50" w:after="160" w:afterLines="50" w:line="440" w:lineRule="exact"/>
        <w:jc w:val="center"/>
        <w:rPr>
          <w:rFonts w:ascii="宋体" w:hAnsi="宋体" w:cs="宋体"/>
          <w:b/>
          <w:color w:val="auto"/>
          <w:sz w:val="24"/>
          <w:highlight w:val="none"/>
        </w:rPr>
      </w:pPr>
      <w:r>
        <w:rPr>
          <w:rFonts w:hint="eastAsia" w:ascii="宋体" w:hAnsi="宋体" w:cs="宋体"/>
          <w:b/>
          <w:color w:val="auto"/>
          <w:sz w:val="30"/>
          <w:szCs w:val="30"/>
          <w:highlight w:val="none"/>
        </w:rPr>
        <w:t>6、采购需求响应情况表</w:t>
      </w:r>
    </w:p>
    <w:p>
      <w:pPr>
        <w:adjustRightInd w:val="0"/>
        <w:snapToGrid w:val="0"/>
        <w:spacing w:after="160" w:afterLines="50" w:line="44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说明：</w:t>
      </w:r>
      <w:r>
        <w:rPr>
          <w:rFonts w:hint="eastAsia" w:ascii="宋体" w:hAnsi="宋体" w:cs="宋体"/>
          <w:color w:val="auto"/>
          <w:sz w:val="24"/>
          <w:highlight w:val="none"/>
        </w:rPr>
        <w:t>供应商应对磋商文件第五部分“采购需求”中所投分包的内容进行响应，并将需求里所有技术规范和服务等要求列入下表，带★的指标列入下表时，必须在指标前面保留★，否则视为不响应。</w:t>
      </w:r>
      <w:r>
        <w:rPr>
          <w:rFonts w:hint="eastAsia" w:ascii="宋体" w:hAnsi="宋体" w:cs="宋体"/>
          <w:b/>
          <w:bCs/>
          <w:color w:val="auto"/>
          <w:sz w:val="24"/>
          <w:highlight w:val="none"/>
          <w:u w:val="single"/>
        </w:rPr>
        <w:t>供应商须根据实际情况如实填写，如发现有虚假描述的，该响应文件无效，并报政府采购主管部门严肃处理，并没收其投标保证金。</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项目名称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磋商文件技术参数/服务要求</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供应商技术参数/服务</w:t>
            </w:r>
          </w:p>
          <w:p>
            <w:pPr>
              <w:adjustRightInd w:val="0"/>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要求</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偏离情况说明</w:t>
            </w:r>
          </w:p>
          <w:p>
            <w:pPr>
              <w:adjustRightInd w:val="0"/>
              <w:snapToGrid w:val="0"/>
              <w:spacing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8" w:type="dxa"/>
            <w:vAlign w:val="center"/>
          </w:tcPr>
          <w:p>
            <w:pPr>
              <w:spacing w:before="96" w:beforeLines="30" w:after="96"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1</w:t>
            </w:r>
          </w:p>
        </w:tc>
        <w:tc>
          <w:tcPr>
            <w:tcW w:w="1519"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c>
          <w:tcPr>
            <w:tcW w:w="2890"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c>
          <w:tcPr>
            <w:tcW w:w="2891"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c>
          <w:tcPr>
            <w:tcW w:w="1707"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8" w:type="dxa"/>
            <w:vAlign w:val="center"/>
          </w:tcPr>
          <w:p>
            <w:pPr>
              <w:spacing w:before="96" w:beforeLines="30" w:after="96"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2</w:t>
            </w:r>
          </w:p>
        </w:tc>
        <w:tc>
          <w:tcPr>
            <w:tcW w:w="1519"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c>
          <w:tcPr>
            <w:tcW w:w="2890"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c>
          <w:tcPr>
            <w:tcW w:w="2891"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c>
          <w:tcPr>
            <w:tcW w:w="1707"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8" w:type="dxa"/>
            <w:vAlign w:val="center"/>
          </w:tcPr>
          <w:p>
            <w:pPr>
              <w:spacing w:before="96" w:beforeLines="30" w:after="96"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3</w:t>
            </w:r>
          </w:p>
        </w:tc>
        <w:tc>
          <w:tcPr>
            <w:tcW w:w="1519"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c>
          <w:tcPr>
            <w:tcW w:w="2890"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c>
          <w:tcPr>
            <w:tcW w:w="2891"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c>
          <w:tcPr>
            <w:tcW w:w="1707" w:type="dxa"/>
            <w:vAlign w:val="center"/>
          </w:tcPr>
          <w:p>
            <w:pPr>
              <w:snapToGrid w:val="0"/>
              <w:spacing w:before="96" w:beforeLines="30" w:after="96" w:afterLines="30" w:line="440" w:lineRule="exact"/>
              <w:jc w:val="center"/>
              <w:rPr>
                <w:rFonts w:ascii="宋体" w:hAnsi="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738" w:type="dxa"/>
            <w:vAlign w:val="center"/>
          </w:tcPr>
          <w:p>
            <w:pPr>
              <w:spacing w:before="96" w:beforeLines="30" w:after="96" w:afterLines="30" w:line="440" w:lineRule="exact"/>
              <w:jc w:val="center"/>
              <w:rPr>
                <w:rFonts w:ascii="宋体" w:hAnsi="宋体" w:cs="宋体"/>
                <w:b/>
                <w:bCs/>
                <w:color w:val="auto"/>
                <w:sz w:val="24"/>
                <w:highlight w:val="none"/>
              </w:rPr>
            </w:pPr>
            <w:r>
              <w:rPr>
                <w:rFonts w:hint="eastAsia" w:ascii="宋体" w:hAnsi="宋体" w:cs="宋体"/>
                <w:b/>
                <w:bCs/>
                <w:color w:val="auto"/>
                <w:sz w:val="24"/>
                <w:highlight w:val="none"/>
              </w:rPr>
              <w:t>4</w:t>
            </w:r>
          </w:p>
        </w:tc>
        <w:tc>
          <w:tcPr>
            <w:tcW w:w="1519" w:type="dxa"/>
            <w:vAlign w:val="center"/>
          </w:tcPr>
          <w:p>
            <w:pPr>
              <w:snapToGrid w:val="0"/>
              <w:spacing w:before="96" w:beforeLines="30" w:after="96"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w:t>
            </w:r>
          </w:p>
        </w:tc>
        <w:tc>
          <w:tcPr>
            <w:tcW w:w="2890" w:type="dxa"/>
            <w:vAlign w:val="center"/>
          </w:tcPr>
          <w:p>
            <w:pPr>
              <w:snapToGrid w:val="0"/>
              <w:spacing w:before="96" w:beforeLines="30" w:after="96" w:afterLines="30" w:line="440" w:lineRule="exact"/>
              <w:jc w:val="center"/>
              <w:rPr>
                <w:rFonts w:ascii="宋体" w:hAnsi="宋体" w:cs="宋体"/>
                <w:color w:val="auto"/>
                <w:sz w:val="24"/>
                <w:highlight w:val="none"/>
              </w:rPr>
            </w:pPr>
            <w:r>
              <w:rPr>
                <w:rFonts w:hint="eastAsia" w:ascii="宋体" w:hAnsi="宋体" w:cs="宋体"/>
                <w:color w:val="auto"/>
                <w:sz w:val="22"/>
                <w:szCs w:val="22"/>
                <w:highlight w:val="none"/>
              </w:rPr>
              <w:t>未列入本表的条款</w:t>
            </w:r>
          </w:p>
        </w:tc>
        <w:tc>
          <w:tcPr>
            <w:tcW w:w="2891" w:type="dxa"/>
            <w:vAlign w:val="center"/>
          </w:tcPr>
          <w:p>
            <w:pPr>
              <w:snapToGrid w:val="0"/>
              <w:spacing w:before="96" w:beforeLines="30" w:after="96" w:afterLines="30" w:line="440" w:lineRule="exact"/>
              <w:jc w:val="center"/>
              <w:rPr>
                <w:rFonts w:ascii="宋体" w:hAnsi="宋体" w:cs="宋体"/>
                <w:color w:val="auto"/>
                <w:sz w:val="24"/>
                <w:highlight w:val="none"/>
              </w:rPr>
            </w:pPr>
            <w:r>
              <w:rPr>
                <w:rFonts w:hint="eastAsia" w:ascii="宋体" w:hAnsi="宋体" w:cs="宋体"/>
                <w:color w:val="auto"/>
                <w:sz w:val="22"/>
                <w:szCs w:val="22"/>
                <w:highlight w:val="none"/>
              </w:rPr>
              <w:t>全部接受</w:t>
            </w:r>
          </w:p>
        </w:tc>
        <w:tc>
          <w:tcPr>
            <w:tcW w:w="1707" w:type="dxa"/>
            <w:vAlign w:val="center"/>
          </w:tcPr>
          <w:p>
            <w:pPr>
              <w:snapToGrid w:val="0"/>
              <w:spacing w:before="96" w:beforeLines="30" w:after="96" w:afterLines="30" w:line="440" w:lineRule="exact"/>
              <w:jc w:val="center"/>
              <w:rPr>
                <w:rFonts w:ascii="宋体" w:hAnsi="宋体" w:cs="宋体"/>
                <w:color w:val="auto"/>
                <w:sz w:val="24"/>
                <w:highlight w:val="none"/>
              </w:rPr>
            </w:pPr>
            <w:r>
              <w:rPr>
                <w:rFonts w:hint="eastAsia" w:ascii="宋体" w:hAnsi="宋体" w:cs="宋体"/>
                <w:color w:val="auto"/>
                <w:sz w:val="24"/>
                <w:highlight w:val="none"/>
              </w:rPr>
              <w:t>=</w:t>
            </w:r>
          </w:p>
        </w:tc>
      </w:tr>
    </w:tbl>
    <w:p>
      <w:pPr>
        <w:spacing w:before="160" w:beforeLines="50" w:after="160" w:afterLines="50" w:line="440" w:lineRule="exact"/>
        <w:jc w:val="left"/>
        <w:rPr>
          <w:rFonts w:ascii="宋体" w:hAnsi="宋体" w:cs="宋体"/>
          <w:b/>
          <w:bCs/>
          <w:color w:val="auto"/>
          <w:sz w:val="24"/>
          <w:highlight w:val="none"/>
        </w:rPr>
      </w:pPr>
      <w:r>
        <w:rPr>
          <w:rFonts w:hint="eastAsia" w:ascii="宋体" w:hAnsi="宋体" w:cs="宋体"/>
          <w:b/>
          <w:bCs/>
          <w:color w:val="auto"/>
          <w:sz w:val="24"/>
          <w:highlight w:val="none"/>
        </w:rPr>
        <w:t>注：</w:t>
      </w:r>
    </w:p>
    <w:p>
      <w:pPr>
        <w:spacing w:line="44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1、此表为表样，供应商必须把招标项目的全部服务要求列入此表，并对项目要求的内容进行逐一应答，行数可自行添加，但表式不变。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2、按照磋商文件技术参数要求的顺序对应填写“技术响应情况表”；</w:t>
      </w:r>
      <w:r>
        <w:rPr>
          <w:rFonts w:hint="eastAsia" w:ascii="宋体" w:hAnsi="宋体" w:cs="宋体"/>
          <w:color w:val="auto"/>
          <w:sz w:val="24"/>
          <w:highlight w:val="none"/>
        </w:rPr>
        <w:tab/>
      </w:r>
    </w:p>
    <w:p>
      <w:pPr>
        <w:adjustRightInd w:val="0"/>
        <w:snapToGrid w:val="0"/>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3、请在“供应商技术参数/服务要求”</w:t>
      </w:r>
      <w:r>
        <w:rPr>
          <w:rFonts w:hint="eastAsia" w:ascii="宋体" w:hAnsi="宋体" w:cs="宋体"/>
          <w:bCs/>
          <w:color w:val="auto"/>
          <w:sz w:val="24"/>
          <w:highlight w:val="none"/>
        </w:rPr>
        <w:t>中列出所响应的详细技术参数情况</w:t>
      </w:r>
      <w:r>
        <w:rPr>
          <w:rFonts w:hint="eastAsia" w:ascii="宋体" w:hAnsi="宋体" w:cs="宋体"/>
          <w:color w:val="auto"/>
          <w:sz w:val="24"/>
          <w:highlight w:val="none"/>
        </w:rPr>
        <w:t>；</w:t>
      </w:r>
    </w:p>
    <w:p>
      <w:pPr>
        <w:adjustRightInd w:val="0"/>
        <w:snapToGrid w:val="0"/>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4、</w:t>
      </w:r>
      <w:r>
        <w:rPr>
          <w:rFonts w:hint="eastAsia" w:ascii="宋体" w:hAnsi="宋体" w:cs="宋体"/>
          <w:bCs/>
          <w:color w:val="auto"/>
          <w:sz w:val="24"/>
          <w:highlight w:val="none"/>
        </w:rPr>
        <w:t>是否偏离用符号“</w:t>
      </w:r>
      <w:r>
        <w:rPr>
          <w:rFonts w:hint="eastAsia" w:ascii="宋体" w:hAnsi="宋体" w:cs="宋体"/>
          <w:bCs/>
          <w:color w:val="auto"/>
          <w:sz w:val="28"/>
          <w:szCs w:val="28"/>
          <w:highlight w:val="none"/>
        </w:rPr>
        <w:t>+、=、-</w:t>
      </w:r>
      <w:r>
        <w:rPr>
          <w:rFonts w:hint="eastAsia" w:ascii="宋体" w:hAnsi="宋体" w:cs="宋体"/>
          <w:bCs/>
          <w:color w:val="auto"/>
          <w:sz w:val="24"/>
          <w:highlight w:val="none"/>
        </w:rPr>
        <w:t>”分别表示正偏离、完全响应、负偏离，必须逐次对应响应</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5、供应商必须据实填写，不得虚假填写，否则将取消其响应或中标资格。</w:t>
      </w:r>
    </w:p>
    <w:p>
      <w:pPr>
        <w:adjustRightInd w:val="0"/>
        <w:snapToGrid w:val="0"/>
        <w:spacing w:line="440" w:lineRule="exact"/>
        <w:jc w:val="left"/>
        <w:rPr>
          <w:rFonts w:ascii="宋体" w:hAnsi="宋体" w:cs="宋体"/>
          <w:b/>
          <w:bCs/>
          <w:color w:val="auto"/>
          <w:sz w:val="24"/>
          <w:highlight w:val="none"/>
        </w:rPr>
      </w:pPr>
    </w:p>
    <w:p>
      <w:pPr>
        <w:pStyle w:val="20"/>
        <w:ind w:firstLine="560"/>
        <w:rPr>
          <w:color w:val="auto"/>
          <w:highlight w:val="none"/>
        </w:rPr>
      </w:pPr>
    </w:p>
    <w:p>
      <w:pPr>
        <w:spacing w:before="319" w:beforeLines="100" w:after="319" w:afterLines="100"/>
        <w:jc w:val="center"/>
        <w:rPr>
          <w:rFonts w:ascii="宋体" w:hAnsi="宋体" w:cs="宋体"/>
          <w:bCs/>
          <w:color w:val="auto"/>
          <w:sz w:val="24"/>
          <w:highlight w:val="none"/>
          <w:lang w:val="en-GB"/>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供应商（全称并盖章）：</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rPr>
        <w:t xml:space="preserve">  </w:t>
      </w:r>
      <w:r>
        <w:rPr>
          <w:rFonts w:hint="eastAsia" w:ascii="宋体" w:hAnsi="宋体" w:cs="宋体"/>
          <w:bCs/>
          <w:color w:val="auto"/>
          <w:sz w:val="24"/>
          <w:highlight w:val="none"/>
          <w:lang w:val="en-GB"/>
        </w:rPr>
        <w:t xml:space="preserve">  </w:t>
      </w:r>
    </w:p>
    <w:p>
      <w:pPr>
        <w:snapToGrid w:val="0"/>
        <w:spacing w:before="319" w:beforeLines="100" w:after="319" w:afterLines="100"/>
        <w:jc w:val="center"/>
        <w:rPr>
          <w:rFonts w:ascii="宋体" w:hAnsi="宋体" w:cs="宋体"/>
          <w:color w:val="auto"/>
          <w:sz w:val="24"/>
          <w:highlight w:val="none"/>
        </w:rPr>
      </w:pPr>
      <w:r>
        <w:rPr>
          <w:rFonts w:hint="eastAsia"/>
          <w:color w:val="auto"/>
          <w:sz w:val="24"/>
          <w:highlight w:val="none"/>
        </w:rPr>
        <w:t xml:space="preserve">           法定代表人或被授权人</w:t>
      </w:r>
      <w:r>
        <w:rPr>
          <w:rFonts w:hint="eastAsia" w:ascii="宋体" w:hAnsi="宋体" w:cs="宋体"/>
          <w:bCs/>
          <w:color w:val="auto"/>
          <w:sz w:val="24"/>
          <w:highlight w:val="none"/>
          <w:lang w:val="en-GB"/>
        </w:rPr>
        <w:t>（签字）</w:t>
      </w:r>
      <w:r>
        <w:rPr>
          <w:rFonts w:hint="eastAsia"/>
          <w:color w:val="auto"/>
          <w:sz w:val="24"/>
          <w:highlight w:val="none"/>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p>
    <w:p>
      <w:pPr>
        <w:adjustRightInd w:val="0"/>
        <w:snapToGrid w:val="0"/>
        <w:spacing w:line="440" w:lineRule="exact"/>
        <w:jc w:val="left"/>
        <w:rPr>
          <w:rFonts w:ascii="宋体" w:hAnsi="宋体" w:cs="宋体"/>
          <w:b/>
          <w:color w:val="auto"/>
          <w:sz w:val="30"/>
          <w:szCs w:val="30"/>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hint="eastAsia" w:ascii="宋体" w:hAnsi="宋体" w:cs="宋体"/>
          <w:b/>
          <w:bCs/>
          <w:color w:val="auto"/>
          <w:kern w:val="0"/>
          <w:sz w:val="30"/>
          <w:szCs w:val="30"/>
          <w:highlight w:val="none"/>
        </w:rPr>
      </w:pPr>
      <w:r>
        <w:rPr>
          <w:rFonts w:hint="eastAsia" w:ascii="宋体" w:hAnsi="宋体" w:cs="宋体"/>
          <w:b/>
          <w:bCs/>
          <w:color w:val="auto"/>
          <w:kern w:val="0"/>
          <w:sz w:val="30"/>
          <w:szCs w:val="30"/>
          <w:highlight w:val="none"/>
        </w:rPr>
        <w:br w:type="page"/>
      </w:r>
      <w:r>
        <w:rPr>
          <w:rFonts w:hint="eastAsia" w:ascii="宋体" w:hAnsi="宋体" w:cs="宋体"/>
          <w:b/>
          <w:bCs/>
          <w:color w:val="auto"/>
          <w:kern w:val="0"/>
          <w:sz w:val="30"/>
          <w:szCs w:val="30"/>
          <w:highlight w:val="none"/>
        </w:rPr>
        <w:t>7、项目实施方案</w:t>
      </w:r>
    </w:p>
    <w:p>
      <w:pPr>
        <w:tabs>
          <w:tab w:val="left" w:pos="720"/>
        </w:tabs>
        <w:autoSpaceDE w:val="0"/>
        <w:autoSpaceDN w:val="0"/>
        <w:adjustRightInd w:val="0"/>
        <w:spacing w:line="440" w:lineRule="exact"/>
        <w:ind w:firstLine="480" w:firstLineChars="200"/>
        <w:rPr>
          <w:rFonts w:ascii="宋体" w:hAnsi="宋体" w:cs="宋体"/>
          <w:color w:val="auto"/>
          <w:sz w:val="24"/>
          <w:highlight w:val="none"/>
        </w:rPr>
      </w:pPr>
    </w:p>
    <w:p>
      <w:pPr>
        <w:tabs>
          <w:tab w:val="left" w:pos="720"/>
        </w:tabs>
        <w:autoSpaceDE w:val="0"/>
        <w:autoSpaceDN w:val="0"/>
        <w:adjustRightInd w:val="0"/>
        <w:spacing w:line="440" w:lineRule="exact"/>
        <w:ind w:firstLine="3840" w:firstLineChars="1600"/>
        <w:rPr>
          <w:rFonts w:ascii="宋体" w:hAnsi="宋体" w:cs="宋体"/>
          <w:color w:val="auto"/>
          <w:sz w:val="24"/>
          <w:highlight w:val="none"/>
        </w:rPr>
      </w:pPr>
      <w:r>
        <w:rPr>
          <w:rFonts w:hint="eastAsia" w:ascii="宋体" w:hAnsi="宋体" w:cs="宋体"/>
          <w:color w:val="auto"/>
          <w:sz w:val="24"/>
          <w:highlight w:val="none"/>
        </w:rPr>
        <w:t>（格式内容自定）</w:t>
      </w:r>
    </w:p>
    <w:p>
      <w:pPr>
        <w:tabs>
          <w:tab w:val="left" w:pos="720"/>
        </w:tabs>
        <w:autoSpaceDE w:val="0"/>
        <w:autoSpaceDN w:val="0"/>
        <w:adjustRightInd w:val="0"/>
        <w:spacing w:line="440" w:lineRule="exact"/>
        <w:ind w:firstLine="480" w:firstLineChars="200"/>
        <w:rPr>
          <w:rFonts w:ascii="宋体" w:hAnsi="宋体" w:cs="宋体"/>
          <w:color w:val="auto"/>
          <w:sz w:val="24"/>
          <w:highlight w:val="none"/>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pStyle w:val="20"/>
        <w:ind w:firstLine="480"/>
        <w:rPr>
          <w:rFonts w:cs="宋体"/>
          <w:color w:val="auto"/>
          <w:sz w:val="24"/>
          <w:highlight w:val="none"/>
          <w:lang w:val="zh-CN"/>
        </w:rPr>
      </w:pPr>
    </w:p>
    <w:p>
      <w:pPr>
        <w:pStyle w:val="20"/>
        <w:ind w:firstLine="480"/>
        <w:rPr>
          <w:rFonts w:cs="宋体"/>
          <w:color w:val="auto"/>
          <w:sz w:val="24"/>
          <w:highlight w:val="none"/>
          <w:lang w:val="zh-CN"/>
        </w:rPr>
      </w:pPr>
    </w:p>
    <w:p>
      <w:pPr>
        <w:pStyle w:val="20"/>
        <w:ind w:firstLine="480"/>
        <w:rPr>
          <w:rFonts w:cs="宋体"/>
          <w:color w:val="auto"/>
          <w:sz w:val="24"/>
          <w:highlight w:val="none"/>
          <w:lang w:val="zh-CN"/>
        </w:rPr>
      </w:pPr>
    </w:p>
    <w:p>
      <w:pPr>
        <w:pStyle w:val="20"/>
        <w:ind w:firstLine="480"/>
        <w:rPr>
          <w:rFonts w:cs="宋体"/>
          <w:color w:val="auto"/>
          <w:sz w:val="24"/>
          <w:highlight w:val="none"/>
          <w:lang w:val="zh-CN"/>
        </w:rPr>
      </w:pPr>
    </w:p>
    <w:p>
      <w:pPr>
        <w:pStyle w:val="20"/>
        <w:ind w:firstLine="480"/>
        <w:rPr>
          <w:rFonts w:cs="宋体"/>
          <w:color w:val="auto"/>
          <w:sz w:val="24"/>
          <w:highlight w:val="none"/>
          <w:lang w:val="zh-CN"/>
        </w:rPr>
      </w:pPr>
    </w:p>
    <w:p>
      <w:pPr>
        <w:pStyle w:val="20"/>
        <w:ind w:firstLine="480"/>
        <w:rPr>
          <w:rFonts w:cs="宋体"/>
          <w:color w:val="auto"/>
          <w:sz w:val="24"/>
          <w:highlight w:val="none"/>
          <w:lang w:val="zh-CN"/>
        </w:rPr>
      </w:pPr>
    </w:p>
    <w:p>
      <w:pPr>
        <w:pStyle w:val="20"/>
        <w:ind w:firstLine="480"/>
        <w:rPr>
          <w:rFonts w:cs="宋体"/>
          <w:color w:val="auto"/>
          <w:sz w:val="24"/>
          <w:highlight w:val="none"/>
          <w:lang w:val="zh-CN"/>
        </w:rPr>
      </w:pPr>
    </w:p>
    <w:p>
      <w:pPr>
        <w:pStyle w:val="20"/>
        <w:ind w:firstLine="480"/>
        <w:rPr>
          <w:rFonts w:cs="宋体"/>
          <w:color w:val="auto"/>
          <w:sz w:val="24"/>
          <w:highlight w:val="none"/>
          <w:lang w:val="zh-CN"/>
        </w:rPr>
      </w:pPr>
    </w:p>
    <w:p>
      <w:pPr>
        <w:pStyle w:val="20"/>
        <w:ind w:firstLine="480"/>
        <w:rPr>
          <w:rFonts w:cs="宋体"/>
          <w:color w:val="auto"/>
          <w:sz w:val="24"/>
          <w:highlight w:val="none"/>
          <w:lang w:val="zh-CN"/>
        </w:rPr>
      </w:pPr>
    </w:p>
    <w:p>
      <w:pPr>
        <w:pStyle w:val="20"/>
        <w:ind w:firstLine="480"/>
        <w:rPr>
          <w:rFonts w:cs="宋体"/>
          <w:color w:val="auto"/>
          <w:sz w:val="24"/>
          <w:highlight w:val="none"/>
          <w:lang w:val="zh-CN"/>
        </w:rPr>
      </w:pPr>
    </w:p>
    <w:p>
      <w:pPr>
        <w:pStyle w:val="20"/>
        <w:ind w:firstLine="480"/>
        <w:rPr>
          <w:rFonts w:cs="宋体"/>
          <w:color w:val="auto"/>
          <w:sz w:val="24"/>
          <w:highlight w:val="none"/>
          <w:lang w:val="zh-CN"/>
        </w:rPr>
      </w:pP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spacing w:before="319" w:beforeLines="100" w:after="319" w:afterLines="100"/>
        <w:jc w:val="center"/>
        <w:rPr>
          <w:rFonts w:ascii="宋体" w:hAnsi="宋体" w:cs="宋体"/>
          <w:bCs/>
          <w:color w:val="auto"/>
          <w:sz w:val="24"/>
          <w:highlight w:val="none"/>
          <w:lang w:val="en-GB"/>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供应商（全称并盖章）：</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rPr>
        <w:t xml:space="preserve">  </w:t>
      </w:r>
      <w:r>
        <w:rPr>
          <w:rFonts w:hint="eastAsia" w:ascii="宋体" w:hAnsi="宋体" w:cs="宋体"/>
          <w:bCs/>
          <w:color w:val="auto"/>
          <w:sz w:val="24"/>
          <w:highlight w:val="none"/>
          <w:lang w:val="en-GB"/>
        </w:rPr>
        <w:t xml:space="preserve">  </w:t>
      </w:r>
    </w:p>
    <w:p>
      <w:pPr>
        <w:snapToGrid w:val="0"/>
        <w:spacing w:before="319" w:beforeLines="100" w:after="319" w:afterLines="100"/>
        <w:jc w:val="center"/>
        <w:rPr>
          <w:rFonts w:ascii="宋体" w:hAnsi="宋体" w:cs="宋体"/>
          <w:color w:val="auto"/>
          <w:sz w:val="24"/>
          <w:highlight w:val="none"/>
        </w:rPr>
      </w:pPr>
      <w:r>
        <w:rPr>
          <w:rFonts w:hint="eastAsia"/>
          <w:color w:val="auto"/>
          <w:sz w:val="24"/>
          <w:highlight w:val="none"/>
        </w:rPr>
        <w:t xml:space="preserve">           法定代表人或被授权人</w:t>
      </w:r>
      <w:r>
        <w:rPr>
          <w:rFonts w:hint="eastAsia" w:ascii="宋体" w:hAnsi="宋体" w:cs="宋体"/>
          <w:bCs/>
          <w:color w:val="auto"/>
          <w:sz w:val="24"/>
          <w:highlight w:val="none"/>
          <w:lang w:val="en-GB"/>
        </w:rPr>
        <w:t>（签字）</w:t>
      </w:r>
      <w:r>
        <w:rPr>
          <w:rFonts w:hint="eastAsia"/>
          <w:color w:val="auto"/>
          <w:sz w:val="24"/>
          <w:highlight w:val="none"/>
        </w:rPr>
        <w:t>：</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 xml:space="preserve"> </w:t>
      </w:r>
      <w:r>
        <w:rPr>
          <w:rFonts w:hint="eastAsia" w:ascii="宋体" w:hAnsi="宋体" w:cs="宋体"/>
          <w:color w:val="auto"/>
          <w:sz w:val="24"/>
          <w:highlight w:val="none"/>
        </w:rPr>
        <w:t xml:space="preserve"> </w:t>
      </w:r>
    </w:p>
    <w:p>
      <w:pPr>
        <w:adjustRightInd w:val="0"/>
        <w:snapToGrid w:val="0"/>
        <w:spacing w:line="440" w:lineRule="exact"/>
        <w:jc w:val="left"/>
        <w:rPr>
          <w:rFonts w:ascii="宋体" w:hAnsi="宋体" w:cs="宋体"/>
          <w:b/>
          <w:bCs/>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日</w:t>
      </w: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p>
    <w:p>
      <w:pPr>
        <w:tabs>
          <w:tab w:val="left" w:pos="720"/>
        </w:tabs>
        <w:autoSpaceDE w:val="0"/>
        <w:autoSpaceDN w:val="0"/>
        <w:adjustRightInd w:val="0"/>
        <w:spacing w:line="440" w:lineRule="exact"/>
        <w:ind w:firstLine="480" w:firstLineChars="200"/>
        <w:rPr>
          <w:rFonts w:ascii="宋体" w:hAnsi="宋体" w:cs="宋体"/>
          <w:color w:val="auto"/>
          <w:sz w:val="24"/>
          <w:highlight w:val="none"/>
          <w:lang w:val="zh-CN"/>
        </w:rPr>
      </w:pPr>
    </w:p>
    <w:p>
      <w:pPr>
        <w:tabs>
          <w:tab w:val="left" w:pos="720"/>
        </w:tabs>
        <w:autoSpaceDE w:val="0"/>
        <w:autoSpaceDN w:val="0"/>
        <w:adjustRightInd w:val="0"/>
        <w:spacing w:line="440" w:lineRule="exact"/>
        <w:rPr>
          <w:rFonts w:ascii="宋体" w:hAnsi="宋体" w:cs="宋体"/>
          <w:color w:val="auto"/>
          <w:sz w:val="24"/>
          <w:highlight w:val="none"/>
          <w:lang w:val="zh-CN"/>
        </w:rPr>
      </w:pPr>
    </w:p>
    <w:p>
      <w:pPr>
        <w:tabs>
          <w:tab w:val="left" w:pos="720"/>
        </w:tabs>
        <w:autoSpaceDE w:val="0"/>
        <w:autoSpaceDN w:val="0"/>
        <w:adjustRightInd w:val="0"/>
        <w:spacing w:line="440" w:lineRule="exact"/>
        <w:rPr>
          <w:rFonts w:ascii="宋体" w:hAnsi="宋体" w:cs="宋体"/>
          <w:color w:val="auto"/>
          <w:sz w:val="24"/>
          <w:highlight w:val="none"/>
          <w:lang w:val="zh-CN"/>
        </w:rPr>
      </w:pPr>
    </w:p>
    <w:p>
      <w:pPr>
        <w:tabs>
          <w:tab w:val="left" w:pos="720"/>
        </w:tabs>
        <w:autoSpaceDE w:val="0"/>
        <w:autoSpaceDN w:val="0"/>
        <w:adjustRightInd w:val="0"/>
        <w:spacing w:line="440" w:lineRule="exact"/>
        <w:rPr>
          <w:rFonts w:ascii="宋体" w:hAnsi="宋体" w:cs="宋体"/>
          <w:color w:val="auto"/>
          <w:sz w:val="24"/>
          <w:highlight w:val="none"/>
          <w:lang w:val="zh-CN"/>
        </w:rPr>
      </w:pPr>
    </w:p>
    <w:p>
      <w:pPr>
        <w:tabs>
          <w:tab w:val="left" w:pos="720"/>
        </w:tabs>
        <w:autoSpaceDE w:val="0"/>
        <w:autoSpaceDN w:val="0"/>
        <w:adjustRightInd w:val="0"/>
        <w:spacing w:line="440" w:lineRule="exact"/>
        <w:rPr>
          <w:rFonts w:ascii="宋体" w:hAnsi="宋体" w:cs="宋体"/>
          <w:color w:val="auto"/>
          <w:sz w:val="24"/>
          <w:highlight w:val="none"/>
          <w:lang w:val="zh-CN"/>
        </w:rPr>
      </w:pPr>
    </w:p>
    <w:p>
      <w:pPr>
        <w:pStyle w:val="20"/>
        <w:ind w:firstLine="560"/>
        <w:rPr>
          <w:color w:val="auto"/>
          <w:highlight w:val="none"/>
          <w:lang w:val="zh-CN"/>
        </w:rPr>
      </w:pPr>
    </w:p>
    <w:p>
      <w:pPr>
        <w:spacing w:after="160" w:afterLines="50" w:line="440" w:lineRule="exact"/>
        <w:jc w:val="center"/>
        <w:rPr>
          <w:rFonts w:ascii="宋体" w:hAnsi="宋体" w:cs="宋体"/>
          <w:b/>
          <w:bCs/>
          <w:color w:val="auto"/>
          <w:kern w:val="0"/>
          <w:sz w:val="30"/>
          <w:szCs w:val="30"/>
          <w:highlight w:val="none"/>
        </w:rPr>
      </w:pPr>
      <w:bookmarkStart w:id="94" w:name="_Toc217720115"/>
      <w:bookmarkStart w:id="95" w:name="_Toc216833740"/>
      <w:bookmarkStart w:id="96" w:name="_Toc275871428"/>
      <w:bookmarkStart w:id="97" w:name="_Toc217720612"/>
      <w:bookmarkStart w:id="98" w:name="_Toc212454786"/>
      <w:bookmarkStart w:id="99" w:name="_Toc212456179"/>
      <w:bookmarkStart w:id="100" w:name="_Toc275954507"/>
      <w:bookmarkStart w:id="101" w:name="_Toc236131359"/>
      <w:bookmarkStart w:id="102" w:name="_Toc236131294"/>
      <w:bookmarkStart w:id="103" w:name="_Toc212530287"/>
      <w:bookmarkStart w:id="104" w:name="_Toc87515263"/>
      <w:bookmarkStart w:id="105" w:name="_Toc236480817"/>
      <w:bookmarkStart w:id="106" w:name="_Toc275770740"/>
      <w:bookmarkStart w:id="107" w:name="_Toc275871493"/>
      <w:bookmarkStart w:id="108" w:name="_Toc212526115"/>
      <w:bookmarkStart w:id="109" w:name="_Toc236480760"/>
    </w:p>
    <w:p>
      <w:pPr>
        <w:pStyle w:val="20"/>
        <w:ind w:firstLine="602"/>
        <w:rPr>
          <w:rFonts w:cs="宋体"/>
          <w:b/>
          <w:bCs/>
          <w:color w:val="auto"/>
          <w:kern w:val="0"/>
          <w:sz w:val="30"/>
          <w:szCs w:val="30"/>
          <w:highlight w:val="none"/>
        </w:rPr>
      </w:pPr>
    </w:p>
    <w:p>
      <w:pPr>
        <w:jc w:val="center"/>
        <w:rPr>
          <w:rFonts w:ascii="宋体" w:hAnsi="宋体"/>
          <w:b/>
          <w:bCs/>
          <w:color w:val="auto"/>
          <w:sz w:val="36"/>
          <w:highlight w:val="none"/>
        </w:rPr>
      </w:pPr>
      <w:r>
        <w:rPr>
          <w:rFonts w:hint="eastAsia" w:ascii="宋体" w:hAnsi="宋体" w:cs="宋体"/>
          <w:b/>
          <w:bCs/>
          <w:color w:val="auto"/>
          <w:sz w:val="30"/>
          <w:szCs w:val="30"/>
          <w:highlight w:val="none"/>
        </w:rPr>
        <w:br w:type="page"/>
      </w:r>
      <w:r>
        <w:rPr>
          <w:rFonts w:hint="eastAsia" w:ascii="宋体" w:hAnsi="宋体" w:cs="宋体"/>
          <w:b/>
          <w:bCs/>
          <w:color w:val="auto"/>
          <w:sz w:val="30"/>
          <w:szCs w:val="30"/>
          <w:highlight w:val="none"/>
        </w:rPr>
        <w:t>8、中小企业声明函（服务）</w:t>
      </w:r>
    </w:p>
    <w:p>
      <w:pPr>
        <w:ind w:firstLine="560" w:firstLineChars="200"/>
        <w:jc w:val="left"/>
        <w:rPr>
          <w:rFonts w:ascii="宋体" w:hAnsi="宋体" w:cs="仿宋"/>
          <w:color w:val="auto"/>
          <w:sz w:val="28"/>
          <w:szCs w:val="28"/>
          <w:highlight w:val="none"/>
        </w:rPr>
      </w:pPr>
      <w:r>
        <w:rPr>
          <w:rFonts w:hint="eastAsia" w:ascii="宋体" w:hAnsi="宋体" w:cs="仿宋"/>
          <w:color w:val="auto"/>
          <w:sz w:val="28"/>
          <w:szCs w:val="28"/>
          <w:highlight w:val="none"/>
        </w:rPr>
        <w:t>本公司（联合体）郑重声明，根据《政府采购促进中小企业发展管理办法》（财库﹝2020﹞46号）的规定，本公司（联合体）参加</w:t>
      </w:r>
      <w:r>
        <w:rPr>
          <w:rFonts w:hint="eastAsia" w:ascii="宋体" w:hAnsi="宋体" w:cs="仿宋"/>
          <w:color w:val="auto"/>
          <w:sz w:val="28"/>
          <w:szCs w:val="28"/>
          <w:highlight w:val="none"/>
          <w:u w:val="single"/>
        </w:rPr>
        <w:t>（单位名称）</w:t>
      </w:r>
      <w:r>
        <w:rPr>
          <w:rFonts w:hint="eastAsia" w:ascii="宋体" w:hAnsi="宋体" w:cs="仿宋"/>
          <w:color w:val="auto"/>
          <w:sz w:val="28"/>
          <w:szCs w:val="28"/>
          <w:highlight w:val="none"/>
        </w:rPr>
        <w:t>的</w:t>
      </w:r>
      <w:r>
        <w:rPr>
          <w:rFonts w:hint="eastAsia" w:ascii="宋体" w:hAnsi="宋体" w:cs="仿宋"/>
          <w:color w:val="auto"/>
          <w:sz w:val="28"/>
          <w:szCs w:val="28"/>
          <w:highlight w:val="none"/>
          <w:u w:val="single"/>
        </w:rPr>
        <w:t>（项目名称）</w:t>
      </w:r>
      <w:r>
        <w:rPr>
          <w:rFonts w:hint="eastAsia" w:ascii="宋体" w:hAnsi="宋体" w:cs="仿宋"/>
          <w:color w:val="auto"/>
          <w:sz w:val="28"/>
          <w:szCs w:val="28"/>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ind w:firstLine="560" w:firstLineChars="200"/>
        <w:jc w:val="left"/>
        <w:rPr>
          <w:rFonts w:ascii="宋体" w:hAnsi="宋体" w:cs="仿宋"/>
          <w:color w:val="auto"/>
          <w:sz w:val="28"/>
          <w:szCs w:val="28"/>
          <w:highlight w:val="none"/>
        </w:rPr>
      </w:pPr>
      <w:r>
        <w:rPr>
          <w:rFonts w:hint="eastAsia" w:ascii="宋体" w:hAnsi="宋体" w:cs="仿宋"/>
          <w:color w:val="auto"/>
          <w:sz w:val="28"/>
          <w:szCs w:val="28"/>
          <w:highlight w:val="none"/>
        </w:rPr>
        <w:t>1.</w:t>
      </w:r>
      <w:r>
        <w:rPr>
          <w:rFonts w:hint="eastAsia" w:ascii="宋体" w:hAnsi="宋体" w:cs="仿宋"/>
          <w:color w:val="auto"/>
          <w:sz w:val="28"/>
          <w:szCs w:val="28"/>
          <w:highlight w:val="none"/>
          <w:u w:val="single"/>
        </w:rPr>
        <w:t xml:space="preserve"> （标的名称） </w:t>
      </w:r>
      <w:r>
        <w:rPr>
          <w:rFonts w:hint="eastAsia" w:ascii="宋体" w:hAnsi="宋体" w:cs="仿宋"/>
          <w:color w:val="auto"/>
          <w:sz w:val="28"/>
          <w:szCs w:val="28"/>
          <w:highlight w:val="none"/>
        </w:rPr>
        <w:t>，属于</w:t>
      </w:r>
      <w:r>
        <w:rPr>
          <w:rFonts w:hint="eastAsia" w:ascii="宋体" w:hAnsi="宋体" w:cs="仿宋"/>
          <w:color w:val="auto"/>
          <w:sz w:val="28"/>
          <w:szCs w:val="28"/>
          <w:highlight w:val="none"/>
          <w:u w:val="single"/>
        </w:rPr>
        <w:t>（采购文件中明确的所属行业）</w:t>
      </w:r>
      <w:r>
        <w:rPr>
          <w:rFonts w:hint="eastAsia" w:ascii="宋体" w:hAnsi="宋体" w:cs="仿宋"/>
          <w:color w:val="auto"/>
          <w:sz w:val="28"/>
          <w:szCs w:val="28"/>
          <w:highlight w:val="none"/>
        </w:rPr>
        <w:t>行业；承建（承接）企业为</w:t>
      </w:r>
      <w:r>
        <w:rPr>
          <w:rFonts w:hint="eastAsia" w:ascii="宋体" w:hAnsi="宋体" w:cs="仿宋"/>
          <w:color w:val="auto"/>
          <w:sz w:val="28"/>
          <w:szCs w:val="28"/>
          <w:highlight w:val="none"/>
          <w:u w:val="single"/>
        </w:rPr>
        <w:t xml:space="preserve"> （企业名称） </w:t>
      </w:r>
      <w:r>
        <w:rPr>
          <w:rFonts w:hint="eastAsia" w:ascii="宋体" w:hAnsi="宋体" w:cs="仿宋"/>
          <w:color w:val="auto"/>
          <w:sz w:val="28"/>
          <w:szCs w:val="28"/>
          <w:highlight w:val="none"/>
        </w:rPr>
        <w:t>，从业人员</w:t>
      </w:r>
      <w:r>
        <w:rPr>
          <w:rFonts w:hint="eastAsia" w:ascii="宋体" w:hAnsi="宋体" w:cs="仿宋"/>
          <w:color w:val="auto"/>
          <w:sz w:val="28"/>
          <w:szCs w:val="28"/>
          <w:highlight w:val="none"/>
          <w:u w:val="single"/>
        </w:rPr>
        <w:t xml:space="preserve">    </w:t>
      </w:r>
      <w:r>
        <w:rPr>
          <w:rFonts w:hint="eastAsia" w:ascii="宋体" w:hAnsi="宋体" w:cs="仿宋"/>
          <w:color w:val="auto"/>
          <w:sz w:val="28"/>
          <w:szCs w:val="28"/>
          <w:highlight w:val="none"/>
        </w:rPr>
        <w:t>人，营业收入为</w:t>
      </w:r>
      <w:r>
        <w:rPr>
          <w:rFonts w:hint="eastAsia" w:ascii="宋体" w:hAnsi="宋体" w:cs="仿宋"/>
          <w:color w:val="auto"/>
          <w:sz w:val="28"/>
          <w:szCs w:val="28"/>
          <w:highlight w:val="none"/>
          <w:u w:val="single"/>
        </w:rPr>
        <w:t xml:space="preserve">    </w:t>
      </w:r>
      <w:r>
        <w:rPr>
          <w:rFonts w:hint="eastAsia" w:ascii="宋体" w:hAnsi="宋体" w:cs="仿宋"/>
          <w:color w:val="auto"/>
          <w:sz w:val="28"/>
          <w:szCs w:val="28"/>
          <w:highlight w:val="none"/>
        </w:rPr>
        <w:t>万元，资产总额为</w:t>
      </w:r>
      <w:r>
        <w:rPr>
          <w:rFonts w:hint="eastAsia" w:ascii="宋体" w:hAnsi="宋体" w:cs="仿宋"/>
          <w:color w:val="auto"/>
          <w:sz w:val="28"/>
          <w:szCs w:val="28"/>
          <w:highlight w:val="none"/>
          <w:u w:val="single"/>
        </w:rPr>
        <w:t xml:space="preserve">    </w:t>
      </w:r>
      <w:r>
        <w:rPr>
          <w:rFonts w:hint="eastAsia" w:ascii="宋体" w:hAnsi="宋体" w:cs="仿宋"/>
          <w:color w:val="auto"/>
          <w:sz w:val="28"/>
          <w:szCs w:val="28"/>
          <w:highlight w:val="none"/>
        </w:rPr>
        <w:t>万元，属于</w:t>
      </w:r>
      <w:r>
        <w:rPr>
          <w:rFonts w:hint="eastAsia" w:ascii="宋体" w:hAnsi="宋体" w:cs="仿宋"/>
          <w:color w:val="auto"/>
          <w:sz w:val="28"/>
          <w:szCs w:val="28"/>
          <w:highlight w:val="none"/>
          <w:u w:val="single"/>
        </w:rPr>
        <w:t xml:space="preserve"> （中型企业、小型企业、微型企业） </w:t>
      </w:r>
      <w:r>
        <w:rPr>
          <w:rFonts w:hint="eastAsia" w:ascii="宋体" w:hAnsi="宋体" w:cs="仿宋"/>
          <w:color w:val="auto"/>
          <w:sz w:val="28"/>
          <w:szCs w:val="28"/>
          <w:highlight w:val="none"/>
        </w:rPr>
        <w:t>；</w:t>
      </w:r>
    </w:p>
    <w:p>
      <w:pPr>
        <w:ind w:firstLine="560" w:firstLineChars="200"/>
        <w:rPr>
          <w:rFonts w:ascii="宋体" w:hAnsi="宋体" w:cs="仿宋"/>
          <w:color w:val="auto"/>
          <w:sz w:val="28"/>
          <w:szCs w:val="28"/>
          <w:highlight w:val="none"/>
        </w:rPr>
      </w:pPr>
      <w:r>
        <w:rPr>
          <w:rFonts w:hint="eastAsia" w:ascii="宋体" w:hAnsi="宋体" w:cs="仿宋"/>
          <w:color w:val="auto"/>
          <w:sz w:val="28"/>
          <w:szCs w:val="28"/>
          <w:highlight w:val="none"/>
        </w:rPr>
        <w:t>2.</w:t>
      </w:r>
      <w:r>
        <w:rPr>
          <w:rFonts w:hint="eastAsia" w:ascii="宋体" w:hAnsi="宋体" w:cs="仿宋"/>
          <w:color w:val="auto"/>
          <w:sz w:val="28"/>
          <w:szCs w:val="28"/>
          <w:highlight w:val="none"/>
          <w:u w:val="single"/>
        </w:rPr>
        <w:t xml:space="preserve"> （标的名称） </w:t>
      </w:r>
      <w:r>
        <w:rPr>
          <w:rFonts w:hint="eastAsia" w:ascii="宋体" w:hAnsi="宋体" w:cs="仿宋"/>
          <w:color w:val="auto"/>
          <w:sz w:val="28"/>
          <w:szCs w:val="28"/>
          <w:highlight w:val="none"/>
        </w:rPr>
        <w:t>，属于</w:t>
      </w:r>
      <w:r>
        <w:rPr>
          <w:rFonts w:hint="eastAsia" w:ascii="宋体" w:hAnsi="宋体" w:cs="仿宋"/>
          <w:color w:val="auto"/>
          <w:sz w:val="28"/>
          <w:szCs w:val="28"/>
          <w:highlight w:val="none"/>
          <w:u w:val="single"/>
        </w:rPr>
        <w:t>（采购文件中明确的所属行业）</w:t>
      </w:r>
      <w:r>
        <w:rPr>
          <w:rFonts w:hint="eastAsia" w:ascii="宋体" w:hAnsi="宋体" w:cs="仿宋"/>
          <w:color w:val="auto"/>
          <w:sz w:val="28"/>
          <w:szCs w:val="28"/>
          <w:highlight w:val="none"/>
        </w:rPr>
        <w:t>行业；承建（承接）企业为</w:t>
      </w:r>
      <w:r>
        <w:rPr>
          <w:rFonts w:hint="eastAsia" w:ascii="宋体" w:hAnsi="宋体" w:cs="仿宋"/>
          <w:color w:val="auto"/>
          <w:sz w:val="28"/>
          <w:szCs w:val="28"/>
          <w:highlight w:val="none"/>
          <w:u w:val="single"/>
        </w:rPr>
        <w:t xml:space="preserve"> （企业名称） </w:t>
      </w:r>
      <w:r>
        <w:rPr>
          <w:rFonts w:hint="eastAsia" w:ascii="宋体" w:hAnsi="宋体" w:cs="仿宋"/>
          <w:color w:val="auto"/>
          <w:sz w:val="28"/>
          <w:szCs w:val="28"/>
          <w:highlight w:val="none"/>
        </w:rPr>
        <w:t>，从业人员</w:t>
      </w:r>
      <w:r>
        <w:rPr>
          <w:rFonts w:hint="eastAsia" w:ascii="宋体" w:hAnsi="宋体" w:cs="仿宋"/>
          <w:color w:val="auto"/>
          <w:sz w:val="28"/>
          <w:szCs w:val="28"/>
          <w:highlight w:val="none"/>
          <w:u w:val="single"/>
        </w:rPr>
        <w:t xml:space="preserve">    </w:t>
      </w:r>
      <w:r>
        <w:rPr>
          <w:rFonts w:hint="eastAsia" w:ascii="宋体" w:hAnsi="宋体" w:cs="仿宋"/>
          <w:color w:val="auto"/>
          <w:sz w:val="28"/>
          <w:szCs w:val="28"/>
          <w:highlight w:val="none"/>
        </w:rPr>
        <w:t>人，营业收入为</w:t>
      </w:r>
      <w:r>
        <w:rPr>
          <w:rFonts w:hint="eastAsia" w:ascii="宋体" w:hAnsi="宋体" w:cs="仿宋"/>
          <w:color w:val="auto"/>
          <w:sz w:val="28"/>
          <w:szCs w:val="28"/>
          <w:highlight w:val="none"/>
          <w:u w:val="single"/>
        </w:rPr>
        <w:t xml:space="preserve">    </w:t>
      </w:r>
      <w:r>
        <w:rPr>
          <w:rFonts w:hint="eastAsia" w:ascii="宋体" w:hAnsi="宋体" w:cs="仿宋"/>
          <w:color w:val="auto"/>
          <w:sz w:val="28"/>
          <w:szCs w:val="28"/>
          <w:highlight w:val="none"/>
        </w:rPr>
        <w:t>万元，资产总额为</w:t>
      </w:r>
      <w:r>
        <w:rPr>
          <w:rFonts w:hint="eastAsia" w:ascii="宋体" w:hAnsi="宋体" w:cs="仿宋"/>
          <w:color w:val="auto"/>
          <w:sz w:val="28"/>
          <w:szCs w:val="28"/>
          <w:highlight w:val="none"/>
          <w:u w:val="single"/>
        </w:rPr>
        <w:t xml:space="preserve">    </w:t>
      </w:r>
      <w:r>
        <w:rPr>
          <w:rFonts w:hint="eastAsia" w:ascii="宋体" w:hAnsi="宋体" w:cs="仿宋"/>
          <w:color w:val="auto"/>
          <w:sz w:val="28"/>
          <w:szCs w:val="28"/>
          <w:highlight w:val="none"/>
        </w:rPr>
        <w:t>万元，属于</w:t>
      </w:r>
      <w:r>
        <w:rPr>
          <w:rFonts w:hint="eastAsia" w:ascii="宋体" w:hAnsi="宋体" w:cs="仿宋"/>
          <w:color w:val="auto"/>
          <w:sz w:val="28"/>
          <w:szCs w:val="28"/>
          <w:highlight w:val="none"/>
          <w:u w:val="single"/>
        </w:rPr>
        <w:t xml:space="preserve"> （中型企业、小型企业、微型企业） </w:t>
      </w:r>
      <w:r>
        <w:rPr>
          <w:rFonts w:hint="eastAsia" w:ascii="宋体" w:hAnsi="宋体" w:cs="仿宋"/>
          <w:color w:val="auto"/>
          <w:sz w:val="28"/>
          <w:szCs w:val="28"/>
          <w:highlight w:val="none"/>
        </w:rPr>
        <w:t>；</w:t>
      </w:r>
    </w:p>
    <w:p>
      <w:pPr>
        <w:ind w:firstLine="560" w:firstLineChars="200"/>
        <w:rPr>
          <w:rFonts w:ascii="宋体" w:hAnsi="宋体" w:cs="仿宋"/>
          <w:color w:val="auto"/>
          <w:sz w:val="28"/>
          <w:szCs w:val="28"/>
          <w:highlight w:val="none"/>
        </w:rPr>
      </w:pPr>
      <w:r>
        <w:rPr>
          <w:rFonts w:hint="eastAsia" w:ascii="宋体" w:hAnsi="宋体" w:cs="仿宋"/>
          <w:color w:val="auto"/>
          <w:sz w:val="28"/>
          <w:szCs w:val="28"/>
          <w:highlight w:val="none"/>
        </w:rPr>
        <w:t>……</w:t>
      </w:r>
    </w:p>
    <w:p>
      <w:pPr>
        <w:ind w:firstLine="560" w:firstLineChars="200"/>
        <w:jc w:val="left"/>
        <w:rPr>
          <w:rFonts w:ascii="宋体" w:hAnsi="宋体" w:cs="仿宋"/>
          <w:color w:val="auto"/>
          <w:sz w:val="28"/>
          <w:szCs w:val="28"/>
          <w:highlight w:val="none"/>
        </w:rPr>
      </w:pPr>
      <w:r>
        <w:rPr>
          <w:rFonts w:hint="eastAsia" w:ascii="宋体" w:hAnsi="宋体" w:cs="仿宋"/>
          <w:color w:val="auto"/>
          <w:sz w:val="28"/>
          <w:szCs w:val="28"/>
          <w:highlight w:val="none"/>
        </w:rPr>
        <w:t>以上企业，不属于大企业的分支机构，不存在控股股东为大企业的情形，也不存在与大企业的负责人为同一人的情形。</w:t>
      </w:r>
    </w:p>
    <w:p>
      <w:pPr>
        <w:ind w:firstLine="560" w:firstLineChars="200"/>
        <w:jc w:val="left"/>
        <w:rPr>
          <w:rFonts w:ascii="宋体" w:hAnsi="宋体" w:cs="仿宋"/>
          <w:color w:val="auto"/>
          <w:sz w:val="28"/>
          <w:szCs w:val="28"/>
          <w:highlight w:val="none"/>
        </w:rPr>
      </w:pPr>
      <w:r>
        <w:rPr>
          <w:rFonts w:hint="eastAsia" w:ascii="宋体" w:hAnsi="宋体" w:cs="仿宋"/>
          <w:color w:val="auto"/>
          <w:sz w:val="28"/>
          <w:szCs w:val="28"/>
          <w:highlight w:val="none"/>
        </w:rPr>
        <w:t>本企业对上述声明内容的真实性负责。如有虚假，将依法承担相应责任。</w:t>
      </w:r>
    </w:p>
    <w:p>
      <w:pPr>
        <w:ind w:firstLine="3920" w:firstLineChars="1400"/>
        <w:jc w:val="left"/>
        <w:rPr>
          <w:rFonts w:ascii="宋体" w:hAnsi="宋体" w:cs="仿宋"/>
          <w:color w:val="auto"/>
          <w:sz w:val="28"/>
          <w:szCs w:val="28"/>
          <w:highlight w:val="none"/>
        </w:rPr>
      </w:pPr>
      <w:r>
        <w:rPr>
          <w:rFonts w:hint="eastAsia" w:ascii="宋体" w:hAnsi="宋体" w:cs="仿宋"/>
          <w:color w:val="auto"/>
          <w:sz w:val="28"/>
          <w:szCs w:val="28"/>
          <w:highlight w:val="none"/>
        </w:rPr>
        <w:t>企业名称（盖章）：</w:t>
      </w:r>
      <w:r>
        <w:rPr>
          <w:rFonts w:hint="eastAsia" w:ascii="宋体" w:hAnsi="宋体" w:cs="宋体"/>
          <w:color w:val="auto"/>
          <w:sz w:val="24"/>
          <w:highlight w:val="none"/>
          <w:u w:val="single"/>
          <w:lang w:val="en-GB"/>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GB"/>
        </w:rPr>
        <w:t xml:space="preserve"> </w:t>
      </w:r>
    </w:p>
    <w:p>
      <w:pPr>
        <w:ind w:firstLine="4200" w:firstLineChars="1500"/>
        <w:rPr>
          <w:rFonts w:ascii="宋体" w:hAnsi="宋体" w:cs="仿宋"/>
          <w:color w:val="auto"/>
          <w:sz w:val="28"/>
          <w:szCs w:val="28"/>
          <w:highlight w:val="none"/>
        </w:rPr>
      </w:pPr>
      <w:r>
        <w:rPr>
          <w:rFonts w:hint="eastAsia" w:ascii="宋体" w:hAnsi="宋体" w:cs="仿宋"/>
          <w:color w:val="auto"/>
          <w:sz w:val="28"/>
          <w:szCs w:val="28"/>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en-GB"/>
        </w:rPr>
        <w:t>日</w:t>
      </w:r>
    </w:p>
    <w:p>
      <w:pPr>
        <w:rPr>
          <w:rFonts w:ascii="宋体" w:hAnsi="宋体"/>
          <w:b/>
          <w:bCs/>
          <w:color w:val="auto"/>
          <w:sz w:val="24"/>
          <w:szCs w:val="16"/>
          <w:highlight w:val="none"/>
        </w:rPr>
      </w:pPr>
    </w:p>
    <w:p>
      <w:pPr>
        <w:spacing w:before="160" w:beforeLines="50" w:after="160" w:afterLines="50" w:line="440" w:lineRule="exact"/>
        <w:jc w:val="left"/>
        <w:rPr>
          <w:rFonts w:ascii="仿宋" w:hAnsi="仿宋" w:eastAsia="仿宋"/>
          <w:color w:val="auto"/>
          <w:sz w:val="24"/>
          <w:szCs w:val="16"/>
          <w:highlight w:val="none"/>
        </w:rPr>
      </w:pPr>
      <w:r>
        <w:rPr>
          <w:rFonts w:hint="eastAsia" w:ascii="仿宋" w:hAnsi="仿宋" w:eastAsia="仿宋"/>
          <w:color w:val="auto"/>
          <w:sz w:val="24"/>
          <w:szCs w:val="16"/>
          <w:highlight w:val="none"/>
        </w:rPr>
        <w:t>注：从业人员、营业收入、资产总额填报上一年度数据，无上一年度数据的新成立企业可不填报。</w:t>
      </w:r>
    </w:p>
    <w:p>
      <w:pPr>
        <w:spacing w:before="160" w:beforeLines="50" w:after="160" w:afterLines="50" w:line="440" w:lineRule="exact"/>
        <w:rPr>
          <w:rFonts w:ascii="仿宋" w:hAnsi="仿宋" w:eastAsia="仿宋"/>
          <w:color w:val="auto"/>
          <w:sz w:val="24"/>
          <w:szCs w:val="16"/>
          <w:highlight w:val="none"/>
        </w:rPr>
      </w:pPr>
    </w:p>
    <w:p>
      <w:pPr>
        <w:spacing w:before="160" w:beforeLines="50" w:after="160" w:afterLines="50" w:line="440" w:lineRule="exact"/>
        <w:jc w:val="center"/>
        <w:rPr>
          <w:rFonts w:hint="eastAsia" w:ascii="宋体" w:hAnsi="宋体" w:cs="宋体"/>
          <w:b/>
          <w:bCs/>
          <w:color w:val="auto"/>
          <w:sz w:val="30"/>
          <w:szCs w:val="30"/>
          <w:highlight w:val="none"/>
        </w:rPr>
      </w:pPr>
    </w:p>
    <w:p>
      <w:pPr>
        <w:spacing w:before="160" w:beforeLines="50" w:after="160" w:afterLines="50" w:line="440" w:lineRule="exact"/>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9、残疾人福利性单位声明函</w:t>
      </w:r>
    </w:p>
    <w:p>
      <w:pPr>
        <w:spacing w:line="588" w:lineRule="exact"/>
        <w:ind w:firstLine="504" w:firstLineChars="200"/>
        <w:rPr>
          <w:rFonts w:ascii="宋体" w:hAnsi="宋体" w:cs="宋体"/>
          <w:color w:val="auto"/>
          <w:spacing w:val="6"/>
          <w:sz w:val="24"/>
          <w:highlight w:val="none"/>
        </w:rPr>
      </w:pPr>
      <w:r>
        <w:rPr>
          <w:rFonts w:hint="eastAsia" w:ascii="宋体" w:hAnsi="宋体" w:cs="宋体"/>
          <w:color w:val="auto"/>
          <w:spacing w:val="6"/>
          <w:sz w:val="24"/>
          <w:highlight w:val="none"/>
        </w:rPr>
        <w:t>本单位郑重声明，根据《财政部 民政部 中国残疾人联合会关于促进残疾人就业政府采购政策的通知》（财库</w:t>
      </w:r>
      <w:r>
        <w:rPr>
          <w:rFonts w:hint="eastAsia" w:ascii="宋体" w:hAnsi="宋体" w:cs="宋体"/>
          <w:color w:val="auto"/>
          <w:sz w:val="24"/>
          <w:highlight w:val="none"/>
        </w:rPr>
        <w:t>〔2017〕141</w:t>
      </w:r>
      <w:r>
        <w:rPr>
          <w:rFonts w:hint="eastAsia" w:ascii="宋体" w:hAnsi="宋体"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auto"/>
          <w:spacing w:val="6"/>
          <w:szCs w:val="21"/>
          <w:highlight w:val="none"/>
        </w:rPr>
      </w:pPr>
      <w:r>
        <w:rPr>
          <w:rFonts w:hint="eastAsia" w:ascii="宋体" w:hAnsi="宋体" w:cs="宋体"/>
          <w:color w:val="auto"/>
          <w:spacing w:val="6"/>
          <w:sz w:val="24"/>
          <w:highlight w:val="none"/>
        </w:rPr>
        <w:t>本单位对上述声明的真实性负责。如有虚假，将依法承担相应责任。</w:t>
      </w: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40" w:line="360" w:lineRule="auto"/>
        <w:ind w:left="-5" w:hanging="10"/>
        <w:jc w:val="center"/>
        <w:rPr>
          <w:rFonts w:ascii="宋体" w:hAnsi="宋体" w:cs="宋体"/>
          <w:color w:val="auto"/>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GB"/>
        </w:rPr>
        <w:t>供应商（全称并盖章）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color="000000"/>
        </w:rPr>
        <w:t xml:space="preserve">            </w:t>
      </w:r>
      <w:r>
        <w:rPr>
          <w:rFonts w:hint="eastAsia" w:ascii="宋体" w:hAnsi="宋体" w:cs="宋体"/>
          <w:color w:val="auto"/>
          <w:sz w:val="24"/>
          <w:highlight w:val="none"/>
        </w:rPr>
        <w:t xml:space="preserve"> </w:t>
      </w:r>
    </w:p>
    <w:p>
      <w:pPr>
        <w:spacing w:after="94" w:line="360" w:lineRule="auto"/>
        <w:ind w:left="480"/>
        <w:rPr>
          <w:rFonts w:ascii="宋体" w:hAnsi="宋体" w:cs="宋体"/>
          <w:color w:val="auto"/>
          <w:highlight w:val="none"/>
        </w:rPr>
      </w:pPr>
      <w:r>
        <w:rPr>
          <w:rFonts w:hint="eastAsia" w:ascii="宋体" w:hAnsi="宋体" w:cs="宋体"/>
          <w:color w:val="auto"/>
          <w:sz w:val="24"/>
          <w:highlight w:val="none"/>
        </w:rPr>
        <w:t xml:space="preserve"> </w:t>
      </w:r>
    </w:p>
    <w:p>
      <w:pPr>
        <w:spacing w:after="160" w:afterLines="50" w:line="440" w:lineRule="exact"/>
        <w:jc w:val="center"/>
        <w:rPr>
          <w:rFonts w:ascii="宋体" w:hAnsi="宋体" w:cs="宋体"/>
          <w:b/>
          <w:bCs/>
          <w:color w:val="auto"/>
          <w:kern w:val="0"/>
          <w:sz w:val="30"/>
          <w:szCs w:val="30"/>
          <w:highlight w:val="none"/>
        </w:rPr>
      </w:pPr>
      <w:r>
        <w:rPr>
          <w:rFonts w:hint="eastAsia" w:ascii="宋体" w:hAnsi="宋体" w:cs="宋体"/>
          <w:color w:val="auto"/>
          <w:sz w:val="24"/>
          <w:highlight w:val="none"/>
        </w:rPr>
        <w:t xml:space="preserve">                                     日 期：</w:t>
      </w:r>
      <w:r>
        <w:rPr>
          <w:rFonts w:hint="eastAsia" w:ascii="宋体" w:hAnsi="宋体" w:cs="宋体"/>
          <w:color w:val="auto"/>
          <w:sz w:val="24"/>
          <w:highlight w:val="none"/>
          <w:u w:val="single" w:color="000000"/>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color="000000"/>
        </w:rPr>
        <w:t xml:space="preserve">       </w:t>
      </w:r>
      <w:r>
        <w:rPr>
          <w:rFonts w:hint="eastAsia" w:ascii="宋体" w:hAnsi="宋体" w:cs="宋体"/>
          <w:color w:val="auto"/>
          <w:sz w:val="24"/>
          <w:highlight w:val="none"/>
        </w:rPr>
        <w:t xml:space="preserve"> 月</w:t>
      </w:r>
      <w:r>
        <w:rPr>
          <w:rFonts w:hint="eastAsia" w:ascii="宋体" w:hAnsi="宋体" w:cs="宋体"/>
          <w:color w:val="auto"/>
          <w:sz w:val="24"/>
          <w:highlight w:val="none"/>
          <w:u w:val="single" w:color="000000"/>
        </w:rPr>
        <w:t xml:space="preserve">       </w:t>
      </w:r>
      <w:r>
        <w:rPr>
          <w:rFonts w:hint="eastAsia" w:ascii="宋体" w:hAnsi="宋体" w:cs="宋体"/>
          <w:color w:val="auto"/>
          <w:sz w:val="24"/>
          <w:highlight w:val="none"/>
        </w:rPr>
        <w:t>日</w:t>
      </w: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r>
        <w:rPr>
          <w:rFonts w:hint="eastAsia" w:ascii="宋体" w:hAnsi="宋体" w:cs="宋体"/>
          <w:b/>
          <w:bCs/>
          <w:color w:val="auto"/>
          <w:sz w:val="30"/>
          <w:szCs w:val="30"/>
          <w:highlight w:val="none"/>
        </w:rPr>
        <w:br w:type="page"/>
      </w:r>
      <w:r>
        <w:rPr>
          <w:rFonts w:hint="eastAsia" w:ascii="宋体" w:hAnsi="宋体" w:cs="宋体"/>
          <w:b/>
          <w:bCs/>
          <w:color w:val="auto"/>
          <w:sz w:val="30"/>
          <w:szCs w:val="30"/>
          <w:highlight w:val="none"/>
        </w:rPr>
        <w:t>10、监狱企业证明文件</w:t>
      </w:r>
    </w:p>
    <w:p>
      <w:pPr>
        <w:spacing w:after="160" w:afterLines="50" w:line="440" w:lineRule="exact"/>
        <w:jc w:val="center"/>
        <w:rPr>
          <w:rFonts w:ascii="宋体" w:hAnsi="宋体" w:cs="宋体"/>
          <w:b/>
          <w:bCs/>
          <w:color w:val="auto"/>
          <w:kern w:val="0"/>
          <w:sz w:val="30"/>
          <w:szCs w:val="30"/>
          <w:highlight w:val="none"/>
        </w:rPr>
      </w:pPr>
    </w:p>
    <w:p>
      <w:pPr>
        <w:spacing w:line="360" w:lineRule="auto"/>
        <w:ind w:firstLine="480" w:firstLineChars="200"/>
        <w:jc w:val="left"/>
        <w:rPr>
          <w:rFonts w:ascii="宋体" w:hAnsi="宋体" w:cs="宋体"/>
          <w:b/>
          <w:bCs/>
          <w:color w:val="auto"/>
          <w:kern w:val="0"/>
          <w:sz w:val="24"/>
          <w:highlight w:val="none"/>
        </w:rPr>
      </w:pPr>
      <w:r>
        <w:rPr>
          <w:rFonts w:hint="eastAsia" w:ascii="宋体" w:hAnsi="宋体" w:cs="宋体"/>
          <w:color w:val="auto"/>
          <w:sz w:val="24"/>
          <w:highlight w:val="none"/>
        </w:rPr>
        <w:t>享受政策优惠的监狱企业须提供由省级以上监狱管理局、戒毒管理局（含新疆生产建设兵团）出具的属于监狱企业的证明文件。</w:t>
      </w: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p>
    <w:p>
      <w:pPr>
        <w:pStyle w:val="20"/>
        <w:ind w:firstLine="600"/>
        <w:rPr>
          <w:rFonts w:cs="宋体"/>
          <w:color w:val="auto"/>
          <w:kern w:val="0"/>
          <w:sz w:val="30"/>
          <w:szCs w:val="30"/>
          <w:highlight w:val="none"/>
        </w:rPr>
      </w:pPr>
    </w:p>
    <w:p>
      <w:pPr>
        <w:pStyle w:val="20"/>
        <w:ind w:firstLine="602"/>
        <w:rPr>
          <w:rFonts w:cs="宋体"/>
          <w:b/>
          <w:bCs/>
          <w:color w:val="auto"/>
          <w:kern w:val="0"/>
          <w:sz w:val="30"/>
          <w:szCs w:val="30"/>
          <w:highlight w:val="none"/>
        </w:rPr>
      </w:pPr>
    </w:p>
    <w:p>
      <w:pPr>
        <w:spacing w:after="160" w:afterLines="50" w:line="440" w:lineRule="exact"/>
        <w:jc w:val="center"/>
        <w:rPr>
          <w:rFonts w:ascii="宋体" w:hAnsi="宋体" w:cs="宋体"/>
          <w:b/>
          <w:bCs/>
          <w:color w:val="auto"/>
          <w:kern w:val="0"/>
          <w:sz w:val="30"/>
          <w:szCs w:val="30"/>
          <w:highlight w:val="none"/>
        </w:rPr>
      </w:pPr>
      <w:r>
        <w:rPr>
          <w:rFonts w:hint="eastAsia" w:ascii="宋体" w:hAnsi="宋体" w:cs="宋体"/>
          <w:b/>
          <w:bCs/>
          <w:color w:val="auto"/>
          <w:kern w:val="0"/>
          <w:sz w:val="30"/>
          <w:szCs w:val="30"/>
          <w:highlight w:val="none"/>
        </w:rPr>
        <w:br w:type="page"/>
      </w:r>
      <w:r>
        <w:rPr>
          <w:rFonts w:hint="eastAsia" w:ascii="宋体" w:hAnsi="宋体" w:cs="宋体"/>
          <w:b/>
          <w:bCs/>
          <w:color w:val="auto"/>
          <w:kern w:val="0"/>
          <w:sz w:val="30"/>
          <w:szCs w:val="30"/>
          <w:highlight w:val="none"/>
        </w:rPr>
        <w:t>11、</w:t>
      </w:r>
      <w:r>
        <w:rPr>
          <w:rFonts w:hint="eastAsia" w:ascii="宋体" w:hAnsi="宋体" w:cs="宋体"/>
          <w:b/>
          <w:color w:val="auto"/>
          <w:sz w:val="28"/>
          <w:szCs w:val="28"/>
          <w:highlight w:val="none"/>
        </w:rPr>
        <w:t>业绩（如有）</w:t>
      </w:r>
    </w:p>
    <w:p>
      <w:pPr>
        <w:pStyle w:val="20"/>
        <w:spacing w:after="120"/>
        <w:ind w:firstLine="0" w:firstLineChars="0"/>
        <w:rPr>
          <w:color w:val="auto"/>
          <w:highlight w:val="none"/>
        </w:rPr>
      </w:pPr>
    </w:p>
    <w:p>
      <w:pPr>
        <w:spacing w:before="160" w:beforeLines="50" w:after="160" w:afterLines="50" w:line="44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投标人项目业绩一览表</w:t>
      </w:r>
    </w:p>
    <w:tbl>
      <w:tblPr>
        <w:tblStyle w:val="21"/>
        <w:tblW w:w="9860" w:type="dxa"/>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1"/>
        <w:gridCol w:w="1574"/>
        <w:gridCol w:w="1384"/>
        <w:gridCol w:w="1331"/>
        <w:gridCol w:w="1220"/>
        <w:gridCol w:w="1263"/>
        <w:gridCol w:w="22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0" w:hRule="atLeast"/>
        </w:trPr>
        <w:tc>
          <w:tcPr>
            <w:tcW w:w="821"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57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项目</w:t>
            </w:r>
          </w:p>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38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项目</w:t>
            </w:r>
          </w:p>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地址</w:t>
            </w:r>
          </w:p>
        </w:tc>
        <w:tc>
          <w:tcPr>
            <w:tcW w:w="1331"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合同</w:t>
            </w:r>
          </w:p>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总价</w:t>
            </w:r>
          </w:p>
        </w:tc>
        <w:tc>
          <w:tcPr>
            <w:tcW w:w="122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完成</w:t>
            </w:r>
          </w:p>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时间</w:t>
            </w:r>
          </w:p>
        </w:tc>
        <w:tc>
          <w:tcPr>
            <w:tcW w:w="1263"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项目</w:t>
            </w:r>
          </w:p>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质量</w:t>
            </w:r>
          </w:p>
        </w:tc>
        <w:tc>
          <w:tcPr>
            <w:tcW w:w="2267"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项目单位</w:t>
            </w:r>
          </w:p>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82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1</w:t>
            </w:r>
          </w:p>
        </w:tc>
        <w:tc>
          <w:tcPr>
            <w:tcW w:w="157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38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33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22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2267"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82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2</w:t>
            </w:r>
          </w:p>
        </w:tc>
        <w:tc>
          <w:tcPr>
            <w:tcW w:w="157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38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33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22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2267"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82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3</w:t>
            </w:r>
          </w:p>
        </w:tc>
        <w:tc>
          <w:tcPr>
            <w:tcW w:w="157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38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33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22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2267"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82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r>
              <w:rPr>
                <w:rFonts w:hint="eastAsia" w:ascii="宋体" w:hAnsi="宋体" w:cs="宋体"/>
                <w:b/>
                <w:color w:val="auto"/>
                <w:sz w:val="24"/>
                <w:highlight w:val="none"/>
              </w:rPr>
              <w:t>…</w:t>
            </w:r>
          </w:p>
        </w:tc>
        <w:tc>
          <w:tcPr>
            <w:tcW w:w="157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38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33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22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1263"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c>
          <w:tcPr>
            <w:tcW w:w="2267"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
                <w:color w:val="auto"/>
                <w:sz w:val="24"/>
                <w:highlight w:val="none"/>
              </w:rPr>
            </w:pPr>
          </w:p>
        </w:tc>
      </w:tr>
    </w:tbl>
    <w:p>
      <w:pPr>
        <w:spacing w:line="440" w:lineRule="exact"/>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r>
        <w:rPr>
          <w:rFonts w:hint="eastAsia" w:ascii="宋体" w:hAnsi="宋体" w:cs="宋体"/>
          <w:color w:val="auto"/>
          <w:sz w:val="24"/>
          <w:highlight w:val="none"/>
          <w:lang w:val="en-GB"/>
        </w:rPr>
        <w:t>供应商（全称并盖章）：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color="000000"/>
        </w:rPr>
        <w:t xml:space="preserve">            </w:t>
      </w:r>
      <w:r>
        <w:rPr>
          <w:rFonts w:hint="eastAsia" w:ascii="宋体" w:hAnsi="宋体" w:cs="宋体"/>
          <w:color w:val="auto"/>
          <w:sz w:val="24"/>
          <w:highlight w:val="none"/>
          <w:lang w:val="en-GB"/>
        </w:rPr>
        <w:t xml:space="preserve">                </w:t>
      </w:r>
    </w:p>
    <w:p>
      <w:pPr>
        <w:spacing w:line="440" w:lineRule="exact"/>
        <w:rPr>
          <w:rFonts w:hint="eastAsia" w:ascii="宋体" w:hAnsi="宋体" w:cs="宋体"/>
          <w:color w:val="auto"/>
          <w:sz w:val="24"/>
          <w:highlight w:val="none"/>
          <w:lang w:val="en-GB"/>
        </w:rPr>
      </w:pPr>
    </w:p>
    <w:p>
      <w:pPr>
        <w:spacing w:line="440" w:lineRule="exact"/>
        <w:rPr>
          <w:rFonts w:hint="eastAsia" w:ascii="宋体" w:hAnsi="宋体" w:cs="宋体"/>
          <w:color w:val="auto"/>
          <w:sz w:val="24"/>
          <w:highlight w:val="none"/>
          <w:lang w:val="en-GB"/>
        </w:rPr>
      </w:pPr>
      <w:r>
        <w:rPr>
          <w:rFonts w:hint="eastAsia" w:ascii="宋体" w:hAnsi="宋体" w:cs="宋体"/>
          <w:color w:val="auto"/>
          <w:sz w:val="24"/>
          <w:highlight w:val="none"/>
          <w:lang w:val="en-GB"/>
        </w:rPr>
        <w:t xml:space="preserve"> 法定代表人或被授权人（签字）：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color="000000"/>
        </w:rPr>
        <w:t xml:space="preserve">            </w:t>
      </w:r>
      <w:r>
        <w:rPr>
          <w:rFonts w:hint="eastAsia" w:ascii="宋体" w:hAnsi="宋体" w:cs="宋体"/>
          <w:color w:val="auto"/>
          <w:sz w:val="24"/>
          <w:highlight w:val="none"/>
          <w:lang w:val="en-GB"/>
        </w:rPr>
        <w:t xml:space="preserve">                </w:t>
      </w:r>
    </w:p>
    <w:p>
      <w:pPr>
        <w:spacing w:line="440" w:lineRule="exact"/>
        <w:rPr>
          <w:rFonts w:hint="eastAsia" w:ascii="宋体" w:hAnsi="宋体" w:cs="宋体"/>
          <w:color w:val="auto"/>
          <w:sz w:val="24"/>
          <w:highlight w:val="none"/>
          <w:lang w:val="en-GB"/>
        </w:rPr>
      </w:pPr>
    </w:p>
    <w:p>
      <w:pPr>
        <w:spacing w:line="440" w:lineRule="exact"/>
        <w:rPr>
          <w:rFonts w:ascii="宋体" w:hAnsi="宋体" w:cs="宋体"/>
          <w:color w:val="auto"/>
          <w:sz w:val="24"/>
          <w:highlight w:val="none"/>
          <w:lang w:val="en-GB"/>
        </w:rPr>
      </w:pPr>
      <w:r>
        <w:rPr>
          <w:rFonts w:hint="eastAsia" w:ascii="宋体" w:hAnsi="宋体" w:cs="宋体"/>
          <w:color w:val="auto"/>
          <w:sz w:val="24"/>
          <w:highlight w:val="none"/>
          <w:lang w:val="en-GB"/>
        </w:rPr>
        <w:t>日期：  年   月   日</w:t>
      </w:r>
    </w:p>
    <w:p>
      <w:pPr>
        <w:tabs>
          <w:tab w:val="left" w:pos="1050"/>
        </w:tabs>
        <w:spacing w:line="400" w:lineRule="exact"/>
        <w:rPr>
          <w:rFonts w:ascii="宋体" w:hAnsi="宋体" w:cs="宋体"/>
          <w:b/>
          <w:color w:val="auto"/>
          <w:sz w:val="24"/>
          <w:highlight w:val="none"/>
        </w:rPr>
      </w:pPr>
      <w:r>
        <w:rPr>
          <w:rFonts w:hint="eastAsia" w:ascii="宋体" w:hAnsi="宋体" w:cs="宋体"/>
          <w:b/>
          <w:color w:val="auto"/>
          <w:sz w:val="24"/>
          <w:highlight w:val="none"/>
        </w:rPr>
        <w:t>注：</w:t>
      </w:r>
    </w:p>
    <w:p>
      <w:pPr>
        <w:spacing w:line="440" w:lineRule="exact"/>
        <w:ind w:firstLine="1080" w:firstLineChars="45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GB"/>
        </w:rPr>
        <w:t>此表为表样（仅供参考），行数及内容可自行添加；</w:t>
      </w:r>
    </w:p>
    <w:p>
      <w:pPr>
        <w:tabs>
          <w:tab w:val="left" w:pos="1050"/>
        </w:tabs>
        <w:spacing w:line="440" w:lineRule="exact"/>
        <w:ind w:firstLine="1080" w:firstLineChars="450"/>
        <w:rPr>
          <w:rFonts w:ascii="宋体" w:hAnsi="宋体" w:cs="宋体"/>
          <w:color w:val="auto"/>
          <w:sz w:val="24"/>
          <w:highlight w:val="none"/>
        </w:rPr>
      </w:pPr>
      <w:r>
        <w:rPr>
          <w:rFonts w:hint="eastAsia" w:ascii="宋体" w:hAnsi="宋体" w:cs="宋体"/>
          <w:color w:val="auto"/>
          <w:sz w:val="24"/>
          <w:highlight w:val="none"/>
        </w:rPr>
        <w:t>2、请提供合同或项目验收报告等有关证明的复印件。</w:t>
      </w:r>
    </w:p>
    <w:p>
      <w:pPr>
        <w:pStyle w:val="15"/>
        <w:spacing w:line="440" w:lineRule="exact"/>
        <w:ind w:firstLine="480"/>
        <w:rPr>
          <w:rFonts w:ascii="宋体" w:hAnsi="宋体" w:cs="宋体"/>
          <w:b/>
          <w:bCs/>
          <w:color w:val="auto"/>
          <w:sz w:val="24"/>
          <w:highlight w:val="none"/>
        </w:rPr>
      </w:pPr>
      <w:r>
        <w:rPr>
          <w:rFonts w:hint="eastAsia" w:ascii="宋体" w:hAnsi="宋体" w:cs="宋体"/>
          <w:color w:val="auto"/>
          <w:sz w:val="24"/>
          <w:highlight w:val="none"/>
        </w:rPr>
        <w:t xml:space="preserve">     3、合同只提供首页、含金额页、盖章页即可（复印件加盖公章）。</w:t>
      </w: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spacing w:after="160" w:afterLines="50" w:line="440" w:lineRule="exact"/>
        <w:jc w:val="center"/>
        <w:rPr>
          <w:rFonts w:ascii="宋体" w:hAnsi="宋体" w:cs="宋体"/>
          <w:b/>
          <w:bCs/>
          <w:color w:val="auto"/>
          <w:kern w:val="0"/>
          <w:sz w:val="30"/>
          <w:szCs w:val="30"/>
          <w:highlight w:val="none"/>
        </w:rPr>
      </w:pPr>
      <w:r>
        <w:rPr>
          <w:rFonts w:hint="eastAsia" w:ascii="宋体" w:hAnsi="宋体" w:cs="宋体"/>
          <w:b/>
          <w:bCs/>
          <w:color w:val="auto"/>
          <w:kern w:val="0"/>
          <w:sz w:val="30"/>
          <w:szCs w:val="30"/>
          <w:highlight w:val="none"/>
        </w:rPr>
        <w:br w:type="page"/>
      </w:r>
      <w:r>
        <w:rPr>
          <w:rFonts w:hint="eastAsia" w:ascii="宋体" w:hAnsi="宋体" w:cs="宋体"/>
          <w:b/>
          <w:bCs/>
          <w:color w:val="auto"/>
          <w:kern w:val="0"/>
          <w:sz w:val="30"/>
          <w:szCs w:val="30"/>
          <w:highlight w:val="none"/>
        </w:rPr>
        <w:t>12、供应商资格证明材料（依据供应商资格要求提供对应材料）</w:t>
      </w: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r>
        <w:rPr>
          <w:rFonts w:hint="eastAsia" w:ascii="宋体" w:hAnsi="宋体" w:cs="宋体"/>
          <w:b/>
          <w:bCs/>
          <w:color w:val="auto"/>
          <w:kern w:val="0"/>
          <w:sz w:val="24"/>
          <w:szCs w:val="30"/>
          <w:highlight w:val="none"/>
        </w:rPr>
        <w:t>(1)提供营业执照副本复印件、组织机构代码证副本复印件、税务登记证副本复印件或改革后的“三证合一”或“多证合一”营业执照复印件；</w:t>
      </w: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p>
    <w:p>
      <w:pPr>
        <w:spacing w:before="160" w:beforeLines="50" w:after="160" w:afterLines="50" w:line="360" w:lineRule="auto"/>
        <w:jc w:val="center"/>
        <w:outlineLvl w:val="0"/>
        <w:rPr>
          <w:rFonts w:hint="eastAsia" w:ascii="宋体" w:hAnsi="宋体" w:cs="宋体"/>
          <w:b/>
          <w:bCs/>
          <w:color w:val="auto"/>
          <w:kern w:val="0"/>
          <w:sz w:val="24"/>
          <w:szCs w:val="30"/>
          <w:highlight w:val="none"/>
        </w:rPr>
      </w:pPr>
      <w:r>
        <w:rPr>
          <w:rFonts w:hint="eastAsia" w:ascii="宋体" w:hAnsi="宋体" w:cs="宋体"/>
          <w:b/>
          <w:bCs/>
          <w:color w:val="auto"/>
          <w:kern w:val="0"/>
          <w:sz w:val="24"/>
          <w:szCs w:val="30"/>
          <w:highlight w:val="none"/>
        </w:rPr>
        <w:br w:type="page"/>
      </w:r>
      <w:r>
        <w:rPr>
          <w:rFonts w:hint="eastAsia" w:ascii="宋体" w:hAnsi="宋体" w:cs="宋体"/>
          <w:b/>
          <w:bCs/>
          <w:color w:val="auto"/>
          <w:kern w:val="0"/>
          <w:sz w:val="24"/>
          <w:szCs w:val="30"/>
          <w:highlight w:val="none"/>
        </w:rPr>
        <w:t xml:space="preserve"> (2)</w:t>
      </w:r>
      <w:r>
        <w:rPr>
          <w:rFonts w:hint="eastAsia"/>
          <w:color w:val="auto"/>
          <w:highlight w:val="none"/>
        </w:rPr>
        <w:t xml:space="preserve"> </w:t>
      </w:r>
      <w:r>
        <w:rPr>
          <w:rFonts w:hint="eastAsia" w:ascii="宋体" w:hAnsi="宋体" w:cs="宋体"/>
          <w:b/>
          <w:bCs/>
          <w:color w:val="auto"/>
          <w:kern w:val="0"/>
          <w:sz w:val="24"/>
          <w:szCs w:val="30"/>
          <w:highlight w:val="none"/>
        </w:rPr>
        <w:t>具有良好的商业信誉和健全的财务会计制度（提供2020年度经第三方审计的财务审计报告或本企业2021年1月</w:t>
      </w:r>
      <w:r>
        <w:rPr>
          <w:rFonts w:hint="eastAsia" w:ascii="宋体" w:hAnsi="宋体" w:cs="宋体"/>
          <w:b/>
          <w:bCs/>
          <w:color w:val="auto"/>
          <w:kern w:val="0"/>
          <w:sz w:val="24"/>
          <w:szCs w:val="30"/>
          <w:highlight w:val="none"/>
          <w:lang w:val="en-US" w:eastAsia="zh-CN"/>
        </w:rPr>
        <w:t>至今</w:t>
      </w:r>
      <w:r>
        <w:rPr>
          <w:rFonts w:hint="eastAsia" w:ascii="宋体" w:hAnsi="宋体" w:cs="宋体"/>
          <w:b/>
          <w:bCs/>
          <w:color w:val="auto"/>
          <w:kern w:val="0"/>
          <w:sz w:val="24"/>
          <w:szCs w:val="30"/>
          <w:highlight w:val="none"/>
        </w:rPr>
        <w:t>任意三个月财务报表（资产负债表、利润表、现金流量表）复印件加盖公章）；</w:t>
      </w: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r>
        <w:rPr>
          <w:rFonts w:hint="eastAsia" w:cs="宋体"/>
          <w:b/>
          <w:bCs/>
          <w:color w:val="auto"/>
          <w:kern w:val="0"/>
          <w:sz w:val="24"/>
          <w:szCs w:val="30"/>
          <w:highlight w:val="none"/>
        </w:rPr>
        <w:t>(3)具有依法缴纳社会保障资金的良好记录（提供2021年1月</w:t>
      </w:r>
      <w:r>
        <w:rPr>
          <w:rFonts w:hint="eastAsia" w:cs="宋体"/>
          <w:b/>
          <w:bCs/>
          <w:color w:val="auto"/>
          <w:kern w:val="0"/>
          <w:sz w:val="24"/>
          <w:szCs w:val="30"/>
          <w:highlight w:val="none"/>
          <w:lang w:val="en-US" w:eastAsia="zh-CN"/>
        </w:rPr>
        <w:t>至今</w:t>
      </w:r>
      <w:r>
        <w:rPr>
          <w:rFonts w:hint="eastAsia" w:cs="宋体"/>
          <w:b/>
          <w:bCs/>
          <w:color w:val="auto"/>
          <w:kern w:val="0"/>
          <w:sz w:val="24"/>
          <w:szCs w:val="30"/>
          <w:highlight w:val="none"/>
        </w:rPr>
        <w:t>任意三个月社会保障缴费记录复印件加盖公章）；</w:t>
      </w: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r>
        <w:rPr>
          <w:rFonts w:hint="eastAsia" w:cs="宋体"/>
          <w:b/>
          <w:bCs/>
          <w:color w:val="auto"/>
          <w:kern w:val="0"/>
          <w:sz w:val="24"/>
          <w:szCs w:val="30"/>
          <w:highlight w:val="none"/>
        </w:rPr>
        <w:t>(4)具有依法纳税的良好记录（提供2021年1月至今任意三个月纳税记录复印件加盖公章）；</w:t>
      </w: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p>
    <w:p>
      <w:pPr>
        <w:pStyle w:val="9"/>
        <w:ind w:firstLine="0" w:firstLineChars="0"/>
        <w:rPr>
          <w:rFonts w:hint="eastAsia" w:cs="宋体"/>
          <w:b/>
          <w:bCs/>
          <w:color w:val="auto"/>
          <w:kern w:val="0"/>
          <w:sz w:val="24"/>
          <w:szCs w:val="30"/>
          <w:highlight w:val="none"/>
        </w:rPr>
      </w:pPr>
      <w:r>
        <w:rPr>
          <w:rFonts w:hint="eastAsia" w:cs="宋体"/>
          <w:b/>
          <w:bCs/>
          <w:color w:val="auto"/>
          <w:kern w:val="0"/>
          <w:sz w:val="24"/>
          <w:szCs w:val="30"/>
          <w:highlight w:val="none"/>
        </w:rPr>
        <w:br w:type="page"/>
      </w:r>
      <w:r>
        <w:rPr>
          <w:rFonts w:hint="eastAsia" w:cs="宋体"/>
          <w:b/>
          <w:bCs/>
          <w:color w:val="auto"/>
          <w:kern w:val="0"/>
          <w:sz w:val="24"/>
          <w:szCs w:val="30"/>
          <w:highlight w:val="none"/>
        </w:rPr>
        <w:t>(5)供应商必须为未被列入信用中国网站( www.creditchina.gov.cn )的“重大税收违法失信主体”、“政府采购严重违法失信名单”和中国政府采购网( www.ccgp.gov.cn )的“政府采购严重违法失信行为记录名单”和中国执行信息公开网的“失信被执行人”的供应商（提供相关网页截图）；</w:t>
      </w: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jc w:val="center"/>
        <w:rPr>
          <w:rFonts w:hint="eastAsia" w:cs="宋体"/>
          <w:b/>
          <w:bCs/>
          <w:color w:val="auto"/>
          <w:kern w:val="0"/>
          <w:sz w:val="30"/>
          <w:szCs w:val="30"/>
          <w:highlight w:val="none"/>
        </w:rPr>
      </w:pPr>
    </w:p>
    <w:p>
      <w:pPr>
        <w:pStyle w:val="9"/>
        <w:ind w:firstLine="0" w:firstLineChars="0"/>
        <w:jc w:val="center"/>
        <w:rPr>
          <w:rFonts w:hint="eastAsia" w:cs="宋体"/>
          <w:b/>
          <w:bCs/>
          <w:color w:val="auto"/>
          <w:kern w:val="0"/>
          <w:sz w:val="30"/>
          <w:szCs w:val="30"/>
          <w:highlight w:val="none"/>
        </w:rPr>
      </w:pPr>
    </w:p>
    <w:p>
      <w:pPr>
        <w:pStyle w:val="9"/>
        <w:ind w:firstLine="0" w:firstLineChars="0"/>
        <w:jc w:val="center"/>
        <w:rPr>
          <w:rFonts w:hint="eastAsia" w:cs="宋体"/>
          <w:b/>
          <w:bCs/>
          <w:color w:val="auto"/>
          <w:kern w:val="0"/>
          <w:sz w:val="30"/>
          <w:szCs w:val="30"/>
          <w:highlight w:val="none"/>
        </w:rPr>
      </w:pPr>
    </w:p>
    <w:p>
      <w:pPr>
        <w:pStyle w:val="9"/>
        <w:ind w:firstLine="0" w:firstLineChars="0"/>
        <w:jc w:val="center"/>
        <w:rPr>
          <w:rFonts w:hint="eastAsia" w:cs="宋体"/>
          <w:b/>
          <w:bCs/>
          <w:color w:val="auto"/>
          <w:kern w:val="0"/>
          <w:sz w:val="30"/>
          <w:szCs w:val="30"/>
          <w:highlight w:val="none"/>
        </w:rPr>
      </w:pPr>
    </w:p>
    <w:p>
      <w:pPr>
        <w:pStyle w:val="9"/>
        <w:ind w:firstLine="0" w:firstLineChars="0"/>
        <w:jc w:val="center"/>
        <w:rPr>
          <w:rFonts w:hint="eastAsia" w:cs="宋体"/>
          <w:b/>
          <w:bCs/>
          <w:color w:val="auto"/>
          <w:kern w:val="0"/>
          <w:sz w:val="30"/>
          <w:szCs w:val="30"/>
          <w:highlight w:val="none"/>
        </w:rPr>
      </w:pPr>
    </w:p>
    <w:p>
      <w:pPr>
        <w:pStyle w:val="9"/>
        <w:ind w:firstLine="0" w:firstLineChars="0"/>
        <w:jc w:val="center"/>
        <w:rPr>
          <w:rFonts w:hint="eastAsia" w:cs="宋体"/>
          <w:b/>
          <w:bCs/>
          <w:color w:val="auto"/>
          <w:kern w:val="0"/>
          <w:sz w:val="30"/>
          <w:szCs w:val="30"/>
          <w:highlight w:val="none"/>
        </w:rPr>
      </w:pPr>
    </w:p>
    <w:p>
      <w:pPr>
        <w:pStyle w:val="9"/>
        <w:ind w:firstLine="0" w:firstLineChars="0"/>
        <w:jc w:val="center"/>
        <w:rPr>
          <w:rFonts w:hint="eastAsia" w:cs="宋体"/>
          <w:b/>
          <w:bCs/>
          <w:color w:val="auto"/>
          <w:kern w:val="0"/>
          <w:sz w:val="30"/>
          <w:szCs w:val="30"/>
          <w:highlight w:val="none"/>
        </w:rPr>
      </w:pPr>
    </w:p>
    <w:p>
      <w:pPr>
        <w:pStyle w:val="9"/>
        <w:ind w:firstLine="0" w:firstLineChars="0"/>
        <w:jc w:val="center"/>
        <w:rPr>
          <w:rFonts w:hint="eastAsia" w:cs="宋体"/>
          <w:b/>
          <w:bCs/>
          <w:color w:val="auto"/>
          <w:kern w:val="0"/>
          <w:sz w:val="30"/>
          <w:szCs w:val="30"/>
          <w:highlight w:val="none"/>
        </w:rPr>
      </w:pPr>
    </w:p>
    <w:p>
      <w:pPr>
        <w:pStyle w:val="9"/>
        <w:ind w:firstLine="0" w:firstLineChars="0"/>
        <w:jc w:val="center"/>
        <w:rPr>
          <w:rFonts w:hint="eastAsia" w:cs="宋体"/>
          <w:b/>
          <w:bCs/>
          <w:color w:val="auto"/>
          <w:kern w:val="0"/>
          <w:sz w:val="24"/>
          <w:szCs w:val="30"/>
          <w:highlight w:val="none"/>
        </w:rPr>
      </w:pPr>
      <w:r>
        <w:rPr>
          <w:rFonts w:hint="eastAsia" w:cs="宋体"/>
          <w:b/>
          <w:bCs/>
          <w:color w:val="auto"/>
          <w:kern w:val="0"/>
          <w:sz w:val="24"/>
          <w:szCs w:val="30"/>
          <w:highlight w:val="none"/>
        </w:rPr>
        <w:br w:type="page"/>
      </w:r>
      <w:r>
        <w:rPr>
          <w:rFonts w:hint="eastAsia" w:cs="宋体"/>
          <w:b/>
          <w:bCs/>
          <w:color w:val="auto"/>
          <w:kern w:val="0"/>
          <w:sz w:val="24"/>
          <w:szCs w:val="30"/>
          <w:highlight w:val="none"/>
        </w:rPr>
        <w:t>(6)提供参加本次政府采购活动前三年内（成立不足三年的从成立之日起算），在经营活动中没有重大违法记录的声明函（提供声明函）；</w:t>
      </w:r>
    </w:p>
    <w:p>
      <w:pPr>
        <w:pStyle w:val="4"/>
        <w:tabs>
          <w:tab w:val="left" w:pos="720"/>
        </w:tabs>
        <w:jc w:val="center"/>
        <w:rPr>
          <w:rFonts w:ascii="Times New Roman"/>
          <w:color w:val="auto"/>
          <w:sz w:val="24"/>
          <w:szCs w:val="24"/>
          <w:highlight w:val="none"/>
        </w:rPr>
      </w:pPr>
      <w:bookmarkStart w:id="110" w:name="_Toc24730"/>
      <w:bookmarkStart w:id="111" w:name="_Toc25807"/>
      <w:bookmarkStart w:id="112" w:name="_Toc30430"/>
      <w:bookmarkStart w:id="113" w:name="_Toc20680"/>
      <w:bookmarkStart w:id="114" w:name="_Toc32484"/>
      <w:bookmarkStart w:id="115" w:name="_Toc2831"/>
      <w:bookmarkStart w:id="116" w:name="_Toc32482"/>
      <w:bookmarkStart w:id="117" w:name="_Toc24725"/>
      <w:r>
        <w:rPr>
          <w:rFonts w:hint="eastAsia" w:ascii="Times New Roman"/>
          <w:color w:val="auto"/>
          <w:sz w:val="24"/>
          <w:szCs w:val="24"/>
          <w:highlight w:val="none"/>
        </w:rPr>
        <w:t>无重大违法记录的声明函</w:t>
      </w:r>
      <w:bookmarkEnd w:id="110"/>
      <w:bookmarkEnd w:id="111"/>
      <w:bookmarkEnd w:id="112"/>
      <w:bookmarkEnd w:id="113"/>
      <w:bookmarkEnd w:id="114"/>
      <w:bookmarkEnd w:id="115"/>
      <w:bookmarkEnd w:id="116"/>
      <w:bookmarkEnd w:id="117"/>
    </w:p>
    <w:p>
      <w:pPr>
        <w:rPr>
          <w:color w:val="auto"/>
          <w:highlight w:val="none"/>
        </w:rPr>
      </w:pPr>
    </w:p>
    <w:p>
      <w:pPr>
        <w:spacing w:line="360" w:lineRule="auto"/>
        <w:rPr>
          <w:b/>
          <w:bCs/>
          <w:color w:val="auto"/>
          <w:sz w:val="24"/>
          <w:highlight w:val="none"/>
        </w:rPr>
      </w:pPr>
      <w:r>
        <w:rPr>
          <w:rFonts w:hint="eastAsia"/>
          <w:b/>
          <w:bCs/>
          <w:color w:val="auto"/>
          <w:sz w:val="24"/>
          <w:highlight w:val="none"/>
        </w:rPr>
        <w:t>致海南通尚工程管理有限公司：</w:t>
      </w:r>
    </w:p>
    <w:p>
      <w:pPr>
        <w:pStyle w:val="45"/>
        <w:spacing w:line="400" w:lineRule="exact"/>
        <w:ind w:left="0" w:leftChars="0" w:firstLine="540" w:firstLineChars="225"/>
        <w:rPr>
          <w:rFonts w:ascii="宋体" w:hAnsi="宋体"/>
          <w:color w:val="auto"/>
          <w:sz w:val="24"/>
          <w:highlight w:val="none"/>
        </w:rPr>
      </w:pPr>
      <w:r>
        <w:rPr>
          <w:rFonts w:hint="eastAsia" w:ascii="宋体" w:hAnsi="宋体"/>
          <w:color w:val="auto"/>
          <w:sz w:val="24"/>
          <w:highlight w:val="none"/>
        </w:rPr>
        <w:t>本公司</w:t>
      </w:r>
      <w:r>
        <w:rPr>
          <w:rFonts w:hint="eastAsia" w:ascii="宋体" w:hAnsi="宋体"/>
          <w:color w:val="auto"/>
          <w:sz w:val="24"/>
          <w:highlight w:val="none"/>
          <w:u w:val="single"/>
        </w:rPr>
        <w:t xml:space="preserve">                   （公司名称）</w:t>
      </w:r>
      <w:r>
        <w:rPr>
          <w:rFonts w:hint="eastAsia" w:ascii="宋体" w:hAnsi="宋体"/>
          <w:color w:val="auto"/>
          <w:sz w:val="24"/>
          <w:highlight w:val="none"/>
        </w:rPr>
        <w:t>参加</w:t>
      </w:r>
      <w:r>
        <w:rPr>
          <w:rFonts w:hint="eastAsia" w:ascii="宋体" w:hAnsi="宋体"/>
          <w:color w:val="auto"/>
          <w:sz w:val="24"/>
          <w:highlight w:val="none"/>
          <w:u w:val="single"/>
        </w:rPr>
        <w:t xml:space="preserve">                        </w:t>
      </w:r>
      <w:r>
        <w:rPr>
          <w:rFonts w:hint="eastAsia" w:ascii="宋体" w:hAnsi="宋体"/>
          <w:color w:val="auto"/>
          <w:sz w:val="24"/>
          <w:highlight w:val="none"/>
        </w:rPr>
        <w:t>项目的采购活动，现承诺：</w:t>
      </w:r>
    </w:p>
    <w:p>
      <w:pPr>
        <w:pStyle w:val="45"/>
        <w:spacing w:line="400" w:lineRule="exact"/>
        <w:ind w:left="0" w:leftChars="0"/>
        <w:rPr>
          <w:rFonts w:ascii="宋体" w:hAnsi="宋体"/>
          <w:color w:val="auto"/>
          <w:sz w:val="24"/>
          <w:highlight w:val="none"/>
        </w:rPr>
      </w:pPr>
      <w:r>
        <w:rPr>
          <w:rFonts w:hint="eastAsia" w:ascii="宋体" w:hAnsi="宋体"/>
          <w:color w:val="auto"/>
          <w:sz w:val="24"/>
          <w:highlight w:val="none"/>
        </w:rPr>
        <w:t xml:space="preserve">     我公司参加招标采购活动前三年内，在经营活动中没有重大违法记录。 </w:t>
      </w:r>
    </w:p>
    <w:p>
      <w:pPr>
        <w:pStyle w:val="45"/>
        <w:spacing w:line="400" w:lineRule="exact"/>
        <w:ind w:left="0" w:leftChars="0"/>
        <w:rPr>
          <w:rFonts w:ascii="宋体" w:hAnsi="宋体"/>
          <w:color w:val="auto"/>
          <w:sz w:val="24"/>
          <w:highlight w:val="none"/>
        </w:rPr>
      </w:pPr>
      <w:r>
        <w:rPr>
          <w:rFonts w:hint="eastAsia" w:ascii="宋体" w:hAnsi="宋体"/>
          <w:color w:val="auto"/>
          <w:sz w:val="24"/>
          <w:highlight w:val="none"/>
        </w:rPr>
        <w:t xml:space="preserve">     同时也满足本项目法律、行政法规规定的其他条件，未参与本采购项目前期咨询论证，不属于禁止参加投标的供应商。</w:t>
      </w:r>
    </w:p>
    <w:p>
      <w:pPr>
        <w:pStyle w:val="45"/>
        <w:spacing w:line="400" w:lineRule="exact"/>
        <w:ind w:left="0" w:leftChars="0" w:firstLine="540" w:firstLineChars="225"/>
        <w:rPr>
          <w:rFonts w:ascii="宋体" w:hAnsi="宋体"/>
          <w:color w:val="auto"/>
          <w:sz w:val="24"/>
          <w:highlight w:val="none"/>
        </w:rPr>
      </w:pPr>
      <w:r>
        <w:rPr>
          <w:rFonts w:hint="eastAsia" w:ascii="宋体" w:hAnsi="宋体"/>
          <w:color w:val="auto"/>
          <w:sz w:val="24"/>
          <w:highlight w:val="none"/>
        </w:rPr>
        <w:t>如违反以上承诺，本公司愿承担一切法律责任。</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500" w:lineRule="exact"/>
        <w:rPr>
          <w:color w:val="auto"/>
          <w:szCs w:val="21"/>
          <w:highlight w:val="none"/>
        </w:rPr>
      </w:pPr>
    </w:p>
    <w:p>
      <w:pPr>
        <w:spacing w:line="500" w:lineRule="exact"/>
        <w:rPr>
          <w:color w:val="auto"/>
          <w:szCs w:val="21"/>
          <w:highlight w:val="none"/>
        </w:rPr>
      </w:pPr>
    </w:p>
    <w:p>
      <w:pPr>
        <w:spacing w:line="480" w:lineRule="exact"/>
        <w:ind w:left="4200" w:leftChars="2000"/>
        <w:rPr>
          <w:b/>
          <w:bCs/>
          <w:color w:val="auto"/>
          <w:sz w:val="24"/>
          <w:highlight w:val="none"/>
          <w:u w:val="single"/>
        </w:rPr>
      </w:pPr>
      <w:r>
        <w:rPr>
          <w:rFonts w:hint="eastAsia"/>
          <w:b/>
          <w:bCs/>
          <w:color w:val="auto"/>
          <w:sz w:val="24"/>
          <w:highlight w:val="none"/>
        </w:rPr>
        <w:t>供应商名称（盖章）：</w:t>
      </w:r>
      <w:r>
        <w:rPr>
          <w:rFonts w:hint="eastAsia"/>
          <w:b/>
          <w:bCs/>
          <w:color w:val="auto"/>
          <w:sz w:val="24"/>
          <w:highlight w:val="none"/>
          <w:u w:val="single"/>
        </w:rPr>
        <w:t xml:space="preserve">              </w:t>
      </w:r>
    </w:p>
    <w:p>
      <w:pPr>
        <w:spacing w:line="480" w:lineRule="exact"/>
        <w:ind w:left="4200" w:leftChars="2000"/>
        <w:rPr>
          <w:color w:val="auto"/>
          <w:sz w:val="24"/>
          <w:highlight w:val="none"/>
        </w:rPr>
      </w:pPr>
      <w:r>
        <w:rPr>
          <w:rFonts w:hint="eastAsia"/>
          <w:b/>
          <w:color w:val="auto"/>
          <w:sz w:val="24"/>
          <w:highlight w:val="none"/>
        </w:rPr>
        <w:t>法定代表人或其授权代表</w:t>
      </w:r>
      <w:r>
        <w:rPr>
          <w:rFonts w:hint="eastAsia"/>
          <w:b/>
          <w:bCs/>
          <w:color w:val="auto"/>
          <w:sz w:val="24"/>
          <w:highlight w:val="none"/>
        </w:rPr>
        <w:t>（签字）：</w:t>
      </w:r>
    </w:p>
    <w:p>
      <w:pPr>
        <w:spacing w:line="480" w:lineRule="exact"/>
        <w:ind w:left="4200" w:leftChars="2000"/>
        <w:rPr>
          <w:b/>
          <w:color w:val="auto"/>
          <w:szCs w:val="21"/>
          <w:highlight w:val="none"/>
        </w:rPr>
      </w:pPr>
      <w:r>
        <w:rPr>
          <w:rFonts w:hint="eastAsia"/>
          <w:b/>
          <w:color w:val="auto"/>
          <w:sz w:val="24"/>
          <w:highlight w:val="none"/>
        </w:rPr>
        <w:t>日期：</w:t>
      </w:r>
      <w:r>
        <w:rPr>
          <w:rFonts w:hint="eastAsia"/>
          <w:b/>
          <w:color w:val="auto"/>
          <w:sz w:val="24"/>
          <w:highlight w:val="none"/>
          <w:u w:val="single"/>
        </w:rPr>
        <w:t xml:space="preserve">       </w:t>
      </w:r>
      <w:r>
        <w:rPr>
          <w:rFonts w:hint="eastAsia"/>
          <w:b/>
          <w:color w:val="auto"/>
          <w:sz w:val="24"/>
          <w:highlight w:val="none"/>
        </w:rPr>
        <w:t>年</w:t>
      </w:r>
      <w:r>
        <w:rPr>
          <w:rFonts w:hint="eastAsia"/>
          <w:b/>
          <w:color w:val="auto"/>
          <w:sz w:val="24"/>
          <w:highlight w:val="none"/>
          <w:u w:val="single"/>
        </w:rPr>
        <w:t xml:space="preserve">        </w:t>
      </w:r>
      <w:r>
        <w:rPr>
          <w:rFonts w:hint="eastAsia"/>
          <w:b/>
          <w:color w:val="auto"/>
          <w:sz w:val="24"/>
          <w:highlight w:val="none"/>
        </w:rPr>
        <w:t>月</w:t>
      </w:r>
      <w:r>
        <w:rPr>
          <w:rFonts w:hint="eastAsia"/>
          <w:b/>
          <w:color w:val="auto"/>
          <w:sz w:val="24"/>
          <w:highlight w:val="none"/>
          <w:u w:val="single"/>
        </w:rPr>
        <w:t xml:space="preserve">        </w:t>
      </w:r>
      <w:r>
        <w:rPr>
          <w:rFonts w:hint="eastAsia"/>
          <w:b/>
          <w:color w:val="auto"/>
          <w:sz w:val="24"/>
          <w:highlight w:val="none"/>
        </w:rPr>
        <w:t>日</w:t>
      </w: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jc w:val="center"/>
        <w:rPr>
          <w:rFonts w:hint="eastAsia" w:cs="宋体"/>
          <w:b/>
          <w:bCs/>
          <w:color w:val="auto"/>
          <w:kern w:val="0"/>
          <w:sz w:val="24"/>
          <w:szCs w:val="30"/>
          <w:highlight w:val="none"/>
        </w:rPr>
      </w:pPr>
      <w:r>
        <w:rPr>
          <w:rFonts w:hint="eastAsia" w:cs="宋体"/>
          <w:b/>
          <w:bCs/>
          <w:color w:val="auto"/>
          <w:kern w:val="0"/>
          <w:sz w:val="24"/>
          <w:szCs w:val="30"/>
          <w:highlight w:val="none"/>
        </w:rPr>
        <w:br w:type="page"/>
      </w:r>
      <w:r>
        <w:rPr>
          <w:rFonts w:hint="eastAsia" w:cs="宋体"/>
          <w:b/>
          <w:bCs/>
          <w:color w:val="auto"/>
          <w:kern w:val="0"/>
          <w:sz w:val="24"/>
          <w:szCs w:val="30"/>
          <w:highlight w:val="none"/>
        </w:rPr>
        <w:t>(7) 具有履行合同所必需的设备和专业技术能力（提供履约能力承诺函）</w:t>
      </w:r>
    </w:p>
    <w:p>
      <w:pPr>
        <w:pStyle w:val="4"/>
        <w:tabs>
          <w:tab w:val="left" w:pos="720"/>
        </w:tabs>
        <w:spacing w:before="0"/>
        <w:ind w:firstLine="4337" w:firstLineChars="1800"/>
        <w:rPr>
          <w:rFonts w:ascii="Times New Roman"/>
          <w:color w:val="auto"/>
          <w:sz w:val="24"/>
          <w:szCs w:val="24"/>
          <w:highlight w:val="none"/>
        </w:rPr>
      </w:pPr>
      <w:bookmarkStart w:id="118" w:name="_Toc25509"/>
      <w:bookmarkStart w:id="119" w:name="_Toc7875"/>
      <w:bookmarkStart w:id="120" w:name="_Toc5894"/>
      <w:bookmarkStart w:id="121" w:name="_Toc31629"/>
      <w:bookmarkStart w:id="122" w:name="_Toc26507"/>
      <w:bookmarkStart w:id="123" w:name="_Toc13014"/>
      <w:bookmarkStart w:id="124" w:name="_Toc21148"/>
      <w:bookmarkStart w:id="125" w:name="_Toc31609"/>
      <w:r>
        <w:rPr>
          <w:rFonts w:hint="eastAsia" w:ascii="Times New Roman"/>
          <w:color w:val="auto"/>
          <w:sz w:val="24"/>
          <w:szCs w:val="24"/>
          <w:highlight w:val="none"/>
        </w:rPr>
        <w:t>履约能力承诺函</w:t>
      </w:r>
      <w:bookmarkEnd w:id="118"/>
      <w:bookmarkEnd w:id="119"/>
      <w:bookmarkEnd w:id="120"/>
      <w:bookmarkEnd w:id="121"/>
      <w:bookmarkEnd w:id="122"/>
      <w:bookmarkEnd w:id="123"/>
      <w:bookmarkEnd w:id="124"/>
      <w:bookmarkEnd w:id="125"/>
    </w:p>
    <w:p>
      <w:pPr>
        <w:spacing w:line="360" w:lineRule="auto"/>
        <w:ind w:right="480"/>
        <w:jc w:val="center"/>
        <w:rPr>
          <w:b/>
          <w:color w:val="auto"/>
          <w:highlight w:val="none"/>
        </w:rPr>
      </w:pPr>
    </w:p>
    <w:p>
      <w:pPr>
        <w:spacing w:line="360" w:lineRule="auto"/>
        <w:rPr>
          <w:color w:val="auto"/>
          <w:sz w:val="24"/>
          <w:highlight w:val="none"/>
        </w:rPr>
      </w:pPr>
      <w:r>
        <w:rPr>
          <w:rFonts w:hint="eastAsia"/>
          <w:color w:val="auto"/>
          <w:sz w:val="24"/>
          <w:highlight w:val="none"/>
        </w:rPr>
        <w:t>致</w:t>
      </w:r>
      <w:r>
        <w:rPr>
          <w:rFonts w:hint="eastAsia"/>
          <w:bCs/>
          <w:color w:val="auto"/>
          <w:sz w:val="24"/>
          <w:highlight w:val="none"/>
        </w:rPr>
        <w:t>海南通尚工程管理有限公司</w:t>
      </w:r>
      <w:r>
        <w:rPr>
          <w:rFonts w:hint="eastAsia"/>
          <w:color w:val="auto"/>
          <w:sz w:val="24"/>
          <w:highlight w:val="none"/>
        </w:rPr>
        <w:t>：</w:t>
      </w:r>
    </w:p>
    <w:p>
      <w:pPr>
        <w:pStyle w:val="45"/>
        <w:spacing w:line="400" w:lineRule="exact"/>
        <w:ind w:left="0" w:leftChars="0" w:firstLine="540" w:firstLineChars="225"/>
        <w:rPr>
          <w:rFonts w:ascii="宋体" w:hAnsi="宋体"/>
          <w:color w:val="auto"/>
          <w:sz w:val="24"/>
          <w:highlight w:val="none"/>
        </w:rPr>
      </w:pPr>
      <w:r>
        <w:rPr>
          <w:rFonts w:hint="eastAsia" w:ascii="宋体" w:hAnsi="宋体"/>
          <w:color w:val="auto"/>
          <w:sz w:val="24"/>
          <w:highlight w:val="none"/>
        </w:rPr>
        <w:t>本公司</w:t>
      </w:r>
      <w:r>
        <w:rPr>
          <w:rFonts w:hint="eastAsia" w:ascii="宋体" w:hAnsi="宋体"/>
          <w:color w:val="auto"/>
          <w:sz w:val="24"/>
          <w:highlight w:val="none"/>
          <w:u w:val="single"/>
        </w:rPr>
        <w:t xml:space="preserve">                   （公司名称）</w:t>
      </w:r>
      <w:r>
        <w:rPr>
          <w:rFonts w:hint="eastAsia" w:ascii="宋体" w:hAnsi="宋体"/>
          <w:color w:val="auto"/>
          <w:sz w:val="24"/>
          <w:highlight w:val="none"/>
        </w:rPr>
        <w:t>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项目的投标活动，现承诺：</w:t>
      </w:r>
    </w:p>
    <w:p>
      <w:pPr>
        <w:pStyle w:val="45"/>
        <w:spacing w:line="400" w:lineRule="exact"/>
        <w:ind w:left="0" w:leftChars="0"/>
        <w:rPr>
          <w:rFonts w:ascii="宋体" w:hAnsi="宋体"/>
          <w:color w:val="auto"/>
          <w:sz w:val="24"/>
          <w:highlight w:val="none"/>
        </w:rPr>
      </w:pPr>
      <w:r>
        <w:rPr>
          <w:rFonts w:hint="eastAsia" w:ascii="宋体" w:hAnsi="宋体"/>
          <w:color w:val="auto"/>
          <w:sz w:val="24"/>
          <w:highlight w:val="none"/>
        </w:rPr>
        <w:t xml:space="preserve">  </w:t>
      </w:r>
    </w:p>
    <w:p>
      <w:pPr>
        <w:pStyle w:val="45"/>
        <w:spacing w:line="400" w:lineRule="exact"/>
        <w:ind w:left="0" w:leftChars="0"/>
        <w:rPr>
          <w:rFonts w:ascii="宋体" w:hAnsi="宋体"/>
          <w:color w:val="auto"/>
          <w:sz w:val="24"/>
          <w:highlight w:val="none"/>
        </w:rPr>
      </w:pPr>
      <w:r>
        <w:rPr>
          <w:rFonts w:hint="eastAsia" w:ascii="宋体" w:hAnsi="宋体"/>
          <w:color w:val="auto"/>
          <w:sz w:val="24"/>
          <w:highlight w:val="none"/>
        </w:rPr>
        <w:t xml:space="preserve">    我公司具有履行合同所必需的设备和专业技术能力。</w:t>
      </w:r>
    </w:p>
    <w:p>
      <w:pPr>
        <w:pStyle w:val="45"/>
        <w:spacing w:line="400" w:lineRule="exact"/>
        <w:ind w:left="0" w:leftChars="0"/>
        <w:rPr>
          <w:rFonts w:ascii="宋体" w:hAnsi="宋体"/>
          <w:color w:val="auto"/>
          <w:sz w:val="24"/>
          <w:highlight w:val="none"/>
        </w:rPr>
      </w:pPr>
    </w:p>
    <w:p>
      <w:pPr>
        <w:pStyle w:val="45"/>
        <w:spacing w:line="400" w:lineRule="exact"/>
        <w:ind w:left="0" w:leftChars="0"/>
        <w:rPr>
          <w:rFonts w:ascii="宋体" w:hAnsi="宋体"/>
          <w:color w:val="auto"/>
          <w:sz w:val="24"/>
          <w:highlight w:val="none"/>
        </w:rPr>
      </w:pPr>
      <w:r>
        <w:rPr>
          <w:rFonts w:hint="eastAsia" w:ascii="宋体" w:hAnsi="宋体"/>
          <w:color w:val="auto"/>
          <w:sz w:val="24"/>
          <w:highlight w:val="none"/>
        </w:rPr>
        <w:t xml:space="preserve">    如违反以上承诺，本公司愿承担一切法律责任。</w:t>
      </w:r>
    </w:p>
    <w:p>
      <w:pPr>
        <w:spacing w:line="500" w:lineRule="exact"/>
        <w:rPr>
          <w:color w:val="auto"/>
          <w:szCs w:val="21"/>
          <w:highlight w:val="none"/>
        </w:rPr>
      </w:pPr>
    </w:p>
    <w:p>
      <w:pPr>
        <w:spacing w:line="500" w:lineRule="exact"/>
        <w:rPr>
          <w:color w:val="auto"/>
          <w:szCs w:val="21"/>
          <w:highlight w:val="none"/>
        </w:rPr>
      </w:pPr>
    </w:p>
    <w:p>
      <w:pPr>
        <w:spacing w:line="480" w:lineRule="exact"/>
        <w:ind w:left="4200" w:leftChars="2000"/>
        <w:rPr>
          <w:b/>
          <w:bCs/>
          <w:color w:val="auto"/>
          <w:sz w:val="24"/>
          <w:highlight w:val="none"/>
        </w:rPr>
      </w:pPr>
      <w:r>
        <w:rPr>
          <w:rFonts w:hint="eastAsia"/>
          <w:b/>
          <w:bCs/>
          <w:color w:val="auto"/>
          <w:sz w:val="24"/>
          <w:highlight w:val="none"/>
        </w:rPr>
        <w:t>供应商名称（盖章）：</w:t>
      </w:r>
      <w:r>
        <w:rPr>
          <w:rFonts w:hint="eastAsia"/>
          <w:b/>
          <w:bCs/>
          <w:color w:val="auto"/>
          <w:sz w:val="24"/>
          <w:highlight w:val="none"/>
          <w:u w:val="single"/>
        </w:rPr>
        <w:t xml:space="preserve">            </w:t>
      </w:r>
    </w:p>
    <w:p>
      <w:pPr>
        <w:spacing w:line="480" w:lineRule="exact"/>
        <w:ind w:left="4200" w:leftChars="2000"/>
        <w:rPr>
          <w:color w:val="auto"/>
          <w:sz w:val="24"/>
          <w:highlight w:val="none"/>
        </w:rPr>
      </w:pPr>
      <w:r>
        <w:rPr>
          <w:rFonts w:hint="eastAsia"/>
          <w:b/>
          <w:color w:val="auto"/>
          <w:sz w:val="24"/>
          <w:highlight w:val="none"/>
        </w:rPr>
        <w:t>法定代表人或其授权代表</w:t>
      </w:r>
      <w:r>
        <w:rPr>
          <w:rFonts w:hint="eastAsia"/>
          <w:b/>
          <w:bCs/>
          <w:color w:val="auto"/>
          <w:sz w:val="24"/>
          <w:highlight w:val="none"/>
        </w:rPr>
        <w:t>（签字）：</w:t>
      </w:r>
    </w:p>
    <w:p>
      <w:pPr>
        <w:spacing w:line="480" w:lineRule="exact"/>
        <w:ind w:left="4200" w:leftChars="2000"/>
        <w:rPr>
          <w:b/>
          <w:color w:val="auto"/>
          <w:szCs w:val="21"/>
          <w:highlight w:val="none"/>
        </w:rPr>
      </w:pPr>
      <w:r>
        <w:rPr>
          <w:rFonts w:hint="eastAsia"/>
          <w:b/>
          <w:color w:val="auto"/>
          <w:sz w:val="24"/>
          <w:highlight w:val="none"/>
        </w:rPr>
        <w:t>日期：</w:t>
      </w:r>
      <w:r>
        <w:rPr>
          <w:rFonts w:hint="eastAsia"/>
          <w:b/>
          <w:color w:val="auto"/>
          <w:sz w:val="24"/>
          <w:highlight w:val="none"/>
          <w:u w:val="single"/>
        </w:rPr>
        <w:t xml:space="preserve">       </w:t>
      </w:r>
      <w:r>
        <w:rPr>
          <w:rFonts w:hint="eastAsia"/>
          <w:b/>
          <w:color w:val="auto"/>
          <w:sz w:val="24"/>
          <w:highlight w:val="none"/>
        </w:rPr>
        <w:t>年</w:t>
      </w:r>
      <w:r>
        <w:rPr>
          <w:rFonts w:hint="eastAsia"/>
          <w:b/>
          <w:color w:val="auto"/>
          <w:sz w:val="24"/>
          <w:highlight w:val="none"/>
          <w:u w:val="single"/>
        </w:rPr>
        <w:t xml:space="preserve">        </w:t>
      </w:r>
      <w:r>
        <w:rPr>
          <w:rFonts w:hint="eastAsia"/>
          <w:b/>
          <w:color w:val="auto"/>
          <w:sz w:val="24"/>
          <w:highlight w:val="none"/>
        </w:rPr>
        <w:t>月</w:t>
      </w:r>
      <w:r>
        <w:rPr>
          <w:rFonts w:hint="eastAsia"/>
          <w:b/>
          <w:color w:val="auto"/>
          <w:sz w:val="24"/>
          <w:highlight w:val="none"/>
          <w:u w:val="single"/>
        </w:rPr>
        <w:t xml:space="preserve">        </w:t>
      </w:r>
      <w:r>
        <w:rPr>
          <w:rFonts w:hint="eastAsia"/>
          <w:b/>
          <w:color w:val="auto"/>
          <w:sz w:val="24"/>
          <w:highlight w:val="none"/>
        </w:rPr>
        <w:t>日</w:t>
      </w: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r>
        <w:rPr>
          <w:rFonts w:hint="eastAsia" w:cs="宋体"/>
          <w:color w:val="auto"/>
          <w:sz w:val="24"/>
          <w:highlight w:val="none"/>
        </w:rPr>
        <w:t xml:space="preserve"> </w:t>
      </w: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0" w:firstLineChars="0"/>
        <w:rPr>
          <w:rFonts w:hint="eastAsia" w:cs="宋体"/>
          <w:color w:val="auto"/>
          <w:sz w:val="24"/>
          <w:highlight w:val="none"/>
        </w:rPr>
      </w:pPr>
    </w:p>
    <w:p>
      <w:pPr>
        <w:pStyle w:val="9"/>
        <w:ind w:firstLine="1084" w:firstLineChars="450"/>
        <w:rPr>
          <w:rFonts w:hint="eastAsia" w:cs="宋体"/>
          <w:b/>
          <w:bCs/>
          <w:color w:val="auto"/>
          <w:kern w:val="0"/>
          <w:sz w:val="24"/>
          <w:szCs w:val="30"/>
          <w:highlight w:val="none"/>
        </w:rPr>
      </w:pPr>
      <w:r>
        <w:rPr>
          <w:rFonts w:hint="eastAsia" w:cs="宋体"/>
          <w:b/>
          <w:bCs/>
          <w:color w:val="auto"/>
          <w:kern w:val="0"/>
          <w:sz w:val="24"/>
          <w:szCs w:val="30"/>
          <w:highlight w:val="none"/>
        </w:rPr>
        <w:br w:type="page"/>
      </w:r>
      <w:r>
        <w:rPr>
          <w:rFonts w:hint="eastAsia" w:cs="宋体"/>
          <w:b/>
          <w:bCs/>
          <w:color w:val="auto"/>
          <w:kern w:val="0"/>
          <w:sz w:val="24"/>
          <w:szCs w:val="30"/>
          <w:highlight w:val="none"/>
        </w:rPr>
        <w:t xml:space="preserve"> (8) 具备法律、行政法规规定的其他条件（提供资格承诺函）</w:t>
      </w:r>
    </w:p>
    <w:p>
      <w:pPr>
        <w:pStyle w:val="9"/>
        <w:ind w:firstLine="0" w:firstLineChars="0"/>
        <w:jc w:val="center"/>
        <w:rPr>
          <w:rFonts w:hint="eastAsia" w:cs="宋体"/>
          <w:color w:val="auto"/>
          <w:sz w:val="24"/>
          <w:highlight w:val="none"/>
        </w:rPr>
      </w:pPr>
    </w:p>
    <w:p>
      <w:pPr>
        <w:pStyle w:val="4"/>
        <w:tabs>
          <w:tab w:val="left" w:pos="720"/>
        </w:tabs>
        <w:jc w:val="center"/>
        <w:rPr>
          <w:rFonts w:ascii="Times New Roman"/>
          <w:color w:val="auto"/>
          <w:sz w:val="24"/>
          <w:szCs w:val="24"/>
          <w:highlight w:val="none"/>
        </w:rPr>
      </w:pPr>
      <w:bookmarkStart w:id="126" w:name="_Toc5307"/>
      <w:bookmarkStart w:id="127" w:name="_Toc4393"/>
      <w:bookmarkStart w:id="128" w:name="_Toc11772"/>
      <w:bookmarkStart w:id="129" w:name="_Toc16761"/>
      <w:bookmarkStart w:id="130" w:name="_Toc25832"/>
      <w:bookmarkStart w:id="131" w:name="_Toc3306"/>
      <w:bookmarkStart w:id="132" w:name="_Toc29298"/>
      <w:bookmarkStart w:id="133" w:name="_Toc5577"/>
      <w:r>
        <w:rPr>
          <w:rFonts w:hint="eastAsia" w:ascii="Times New Roman"/>
          <w:color w:val="auto"/>
          <w:sz w:val="24"/>
          <w:szCs w:val="24"/>
          <w:highlight w:val="none"/>
        </w:rPr>
        <w:t>资格承诺函</w:t>
      </w:r>
      <w:bookmarkEnd w:id="126"/>
      <w:bookmarkEnd w:id="127"/>
      <w:bookmarkEnd w:id="128"/>
      <w:bookmarkEnd w:id="129"/>
      <w:bookmarkEnd w:id="130"/>
      <w:bookmarkEnd w:id="131"/>
      <w:bookmarkEnd w:id="132"/>
      <w:bookmarkEnd w:id="133"/>
    </w:p>
    <w:p>
      <w:pPr>
        <w:spacing w:line="360" w:lineRule="auto"/>
        <w:rPr>
          <w:color w:val="auto"/>
          <w:sz w:val="24"/>
          <w:highlight w:val="none"/>
        </w:rPr>
      </w:pPr>
      <w:r>
        <w:rPr>
          <w:rFonts w:hint="eastAsia"/>
          <w:color w:val="auto"/>
          <w:sz w:val="24"/>
          <w:highlight w:val="none"/>
        </w:rPr>
        <w:t xml:space="preserve">致海南通尚工程管理有限公司： </w:t>
      </w:r>
    </w:p>
    <w:p>
      <w:pPr>
        <w:spacing w:line="360" w:lineRule="auto"/>
        <w:ind w:firstLine="480" w:firstLineChars="200"/>
        <w:rPr>
          <w:color w:val="auto"/>
          <w:sz w:val="24"/>
          <w:highlight w:val="none"/>
        </w:rPr>
      </w:pPr>
      <w:r>
        <w:rPr>
          <w:rFonts w:hint="eastAsia"/>
          <w:color w:val="auto"/>
          <w:sz w:val="24"/>
          <w:highlight w:val="none"/>
        </w:rPr>
        <w:t xml:space="preserve">本公司 </w:t>
      </w:r>
      <w:r>
        <w:rPr>
          <w:rFonts w:hint="eastAsia"/>
          <w:color w:val="auto"/>
          <w:sz w:val="24"/>
          <w:highlight w:val="none"/>
          <w:u w:val="single"/>
        </w:rPr>
        <w:t xml:space="preserve">                  （公司名称）</w:t>
      </w:r>
      <w:r>
        <w:rPr>
          <w:rFonts w:hint="eastAsia"/>
          <w:color w:val="auto"/>
          <w:sz w:val="24"/>
          <w:highlight w:val="none"/>
        </w:rPr>
        <w:t>参加</w:t>
      </w:r>
      <w:r>
        <w:rPr>
          <w:rFonts w:hint="eastAsia"/>
          <w:color w:val="auto"/>
          <w:sz w:val="24"/>
          <w:highlight w:val="none"/>
          <w:u w:val="single"/>
        </w:rPr>
        <w:t xml:space="preserve">                     </w:t>
      </w:r>
      <w:r>
        <w:rPr>
          <w:rFonts w:hint="eastAsia"/>
          <w:color w:val="auto"/>
          <w:sz w:val="24"/>
          <w:highlight w:val="none"/>
        </w:rPr>
        <w:t>项目的采购活动，现承诺：</w:t>
      </w:r>
    </w:p>
    <w:p>
      <w:pPr>
        <w:spacing w:line="360" w:lineRule="auto"/>
        <w:ind w:firstLine="480" w:firstLineChars="200"/>
        <w:rPr>
          <w:color w:val="auto"/>
          <w:sz w:val="24"/>
          <w:highlight w:val="none"/>
        </w:rPr>
      </w:pPr>
      <w:r>
        <w:rPr>
          <w:rFonts w:hint="eastAsia"/>
          <w:color w:val="auto"/>
          <w:sz w:val="24"/>
          <w:highlight w:val="none"/>
        </w:rPr>
        <w:t>我公司满足下列供应商的资格要求：</w:t>
      </w:r>
    </w:p>
    <w:p>
      <w:pPr>
        <w:spacing w:line="360" w:lineRule="auto"/>
        <w:ind w:firstLine="480" w:firstLineChars="200"/>
        <w:rPr>
          <w:color w:val="auto"/>
          <w:sz w:val="24"/>
          <w:highlight w:val="none"/>
        </w:rPr>
      </w:pPr>
      <w:r>
        <w:rPr>
          <w:rFonts w:hint="eastAsia"/>
          <w:color w:val="auto"/>
          <w:sz w:val="24"/>
          <w:highlight w:val="none"/>
        </w:rPr>
        <w:t>（一）如为信息系统采购项目，供应商不得为该整体项目或其中分项目前期工作提供过设计、编制、管理等服务的法人及附属单位。</w:t>
      </w:r>
    </w:p>
    <w:p>
      <w:pPr>
        <w:spacing w:line="360" w:lineRule="auto"/>
        <w:ind w:firstLine="480" w:firstLineChars="200"/>
        <w:rPr>
          <w:color w:val="auto"/>
          <w:sz w:val="24"/>
          <w:highlight w:val="none"/>
        </w:rPr>
      </w:pPr>
      <w:r>
        <w:rPr>
          <w:rFonts w:hint="eastAsia"/>
          <w:color w:val="auto"/>
          <w:sz w:val="24"/>
          <w:highlight w:val="none"/>
        </w:rPr>
        <w:t>（二）单位负责人为同一人或者存在直接控股、管理关系的不同供应商，不得参加同一合同项下的招标采购活动。除单一来源采购项目外，为采购项目提供整体设计、规范编制或者项目管理、监理、检测等服务的供应商，不得再参加该采购项目的其他采购活动。</w:t>
      </w:r>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r>
        <w:rPr>
          <w:rFonts w:hint="eastAsia"/>
          <w:color w:val="auto"/>
          <w:sz w:val="24"/>
          <w:highlight w:val="none"/>
        </w:rPr>
        <w:t>同时也满足本项目法律法规规章规定关于供应商的其他资格性条件，未参与本采购项目前期咨询论证，不属于禁止参加投标的供应商。</w:t>
      </w:r>
    </w:p>
    <w:p>
      <w:pPr>
        <w:spacing w:line="500" w:lineRule="exact"/>
        <w:ind w:firstLine="480" w:firstLineChars="200"/>
        <w:rPr>
          <w:color w:val="auto"/>
          <w:szCs w:val="21"/>
          <w:highlight w:val="none"/>
        </w:rPr>
      </w:pPr>
      <w:r>
        <w:rPr>
          <w:rFonts w:hint="eastAsia"/>
          <w:color w:val="auto"/>
          <w:sz w:val="24"/>
          <w:highlight w:val="none"/>
        </w:rPr>
        <w:t>如违反以上承诺，本公司愿承担一切法律责任。</w:t>
      </w:r>
    </w:p>
    <w:p>
      <w:pPr>
        <w:spacing w:line="500" w:lineRule="exact"/>
        <w:rPr>
          <w:color w:val="auto"/>
          <w:szCs w:val="21"/>
          <w:highlight w:val="none"/>
        </w:rPr>
      </w:pPr>
    </w:p>
    <w:p>
      <w:pPr>
        <w:spacing w:line="480" w:lineRule="exact"/>
        <w:ind w:left="3990" w:leftChars="1900"/>
        <w:rPr>
          <w:b/>
          <w:bCs/>
          <w:color w:val="auto"/>
          <w:sz w:val="24"/>
          <w:highlight w:val="none"/>
          <w:u w:val="single"/>
        </w:rPr>
      </w:pPr>
      <w:r>
        <w:rPr>
          <w:rFonts w:hint="eastAsia"/>
          <w:b/>
          <w:bCs/>
          <w:color w:val="auto"/>
          <w:sz w:val="24"/>
          <w:highlight w:val="none"/>
        </w:rPr>
        <w:t>供应商名称（盖章）：</w:t>
      </w:r>
      <w:r>
        <w:rPr>
          <w:rFonts w:hint="eastAsia"/>
          <w:b/>
          <w:bCs/>
          <w:color w:val="auto"/>
          <w:sz w:val="24"/>
          <w:highlight w:val="none"/>
          <w:u w:val="single"/>
        </w:rPr>
        <w:t xml:space="preserve">              </w:t>
      </w:r>
    </w:p>
    <w:p>
      <w:pPr>
        <w:spacing w:line="480" w:lineRule="exact"/>
        <w:ind w:left="3990" w:leftChars="1900"/>
        <w:rPr>
          <w:color w:val="auto"/>
          <w:sz w:val="24"/>
          <w:highlight w:val="none"/>
        </w:rPr>
      </w:pPr>
      <w:r>
        <w:rPr>
          <w:rFonts w:hint="eastAsia"/>
          <w:b/>
          <w:color w:val="auto"/>
          <w:sz w:val="24"/>
          <w:highlight w:val="none"/>
        </w:rPr>
        <w:t>法定代表人或其授权代表</w:t>
      </w:r>
      <w:r>
        <w:rPr>
          <w:rFonts w:hint="eastAsia"/>
          <w:b/>
          <w:bCs/>
          <w:color w:val="auto"/>
          <w:sz w:val="24"/>
          <w:highlight w:val="none"/>
        </w:rPr>
        <w:t>（签字）：</w:t>
      </w:r>
    </w:p>
    <w:p>
      <w:pPr>
        <w:spacing w:line="480" w:lineRule="exact"/>
        <w:ind w:left="3990" w:leftChars="1900"/>
        <w:rPr>
          <w:b/>
          <w:color w:val="auto"/>
          <w:sz w:val="24"/>
          <w:highlight w:val="none"/>
        </w:rPr>
      </w:pPr>
      <w:r>
        <w:rPr>
          <w:rFonts w:hint="eastAsia"/>
          <w:b/>
          <w:color w:val="auto"/>
          <w:sz w:val="24"/>
          <w:highlight w:val="none"/>
        </w:rPr>
        <w:t>日期：</w:t>
      </w:r>
      <w:r>
        <w:rPr>
          <w:rFonts w:hint="eastAsia"/>
          <w:b/>
          <w:color w:val="auto"/>
          <w:sz w:val="24"/>
          <w:highlight w:val="none"/>
          <w:u w:val="single"/>
        </w:rPr>
        <w:t xml:space="preserve">        </w:t>
      </w:r>
      <w:r>
        <w:rPr>
          <w:rFonts w:hint="eastAsia"/>
          <w:b/>
          <w:color w:val="auto"/>
          <w:sz w:val="24"/>
          <w:highlight w:val="none"/>
        </w:rPr>
        <w:t>年</w:t>
      </w:r>
      <w:r>
        <w:rPr>
          <w:rFonts w:hint="eastAsia"/>
          <w:b/>
          <w:color w:val="auto"/>
          <w:sz w:val="24"/>
          <w:highlight w:val="none"/>
          <w:u w:val="single"/>
        </w:rPr>
        <w:t xml:space="preserve">      </w:t>
      </w:r>
      <w:r>
        <w:rPr>
          <w:rFonts w:hint="eastAsia"/>
          <w:b/>
          <w:color w:val="auto"/>
          <w:sz w:val="24"/>
          <w:highlight w:val="none"/>
        </w:rPr>
        <w:t>月</w:t>
      </w:r>
      <w:r>
        <w:rPr>
          <w:rFonts w:hint="eastAsia"/>
          <w:b/>
          <w:color w:val="auto"/>
          <w:sz w:val="24"/>
          <w:highlight w:val="none"/>
          <w:u w:val="single"/>
        </w:rPr>
        <w:t xml:space="preserve">      </w:t>
      </w:r>
      <w:r>
        <w:rPr>
          <w:rFonts w:hint="eastAsia"/>
          <w:b/>
          <w:color w:val="auto"/>
          <w:sz w:val="24"/>
          <w:highlight w:val="none"/>
        </w:rPr>
        <w:t>日</w:t>
      </w:r>
    </w:p>
    <w:p>
      <w:pPr>
        <w:pStyle w:val="9"/>
        <w:ind w:firstLine="0" w:firstLineChars="0"/>
        <w:jc w:val="center"/>
        <w:rPr>
          <w:rFonts w:hint="eastAsia" w:cs="宋体"/>
          <w:color w:val="auto"/>
          <w:sz w:val="24"/>
          <w:highlight w:val="none"/>
        </w:rPr>
      </w:pPr>
    </w:p>
    <w:p>
      <w:pPr>
        <w:pStyle w:val="9"/>
        <w:ind w:firstLine="0" w:firstLineChars="0"/>
        <w:jc w:val="center"/>
        <w:rPr>
          <w:rFonts w:hint="eastAsia" w:cs="宋体"/>
          <w:color w:val="auto"/>
          <w:sz w:val="24"/>
          <w:highlight w:val="none"/>
        </w:rPr>
      </w:pPr>
    </w:p>
    <w:p>
      <w:pPr>
        <w:pStyle w:val="9"/>
        <w:ind w:firstLine="0" w:firstLineChars="0"/>
        <w:jc w:val="center"/>
        <w:rPr>
          <w:rFonts w:hint="eastAsia" w:cs="宋体"/>
          <w:color w:val="auto"/>
          <w:sz w:val="24"/>
          <w:highlight w:val="none"/>
        </w:rPr>
      </w:pPr>
    </w:p>
    <w:p>
      <w:pPr>
        <w:pStyle w:val="9"/>
        <w:ind w:firstLine="0" w:firstLineChars="0"/>
        <w:jc w:val="center"/>
        <w:rPr>
          <w:rFonts w:hint="eastAsia" w:cs="宋体"/>
          <w:color w:val="auto"/>
          <w:sz w:val="24"/>
          <w:highlight w:val="none"/>
        </w:rPr>
      </w:pPr>
    </w:p>
    <w:p>
      <w:pPr>
        <w:pStyle w:val="9"/>
        <w:ind w:firstLine="0" w:firstLineChars="0"/>
        <w:jc w:val="center"/>
        <w:rPr>
          <w:rFonts w:hint="eastAsia" w:cs="宋体"/>
          <w:b/>
          <w:bCs/>
          <w:color w:val="auto"/>
          <w:kern w:val="0"/>
          <w:sz w:val="24"/>
          <w:szCs w:val="30"/>
          <w:highlight w:val="none"/>
        </w:rPr>
      </w:pPr>
    </w:p>
    <w:p>
      <w:pPr>
        <w:pStyle w:val="9"/>
        <w:ind w:firstLine="0" w:firstLineChars="0"/>
        <w:jc w:val="center"/>
        <w:rPr>
          <w:rFonts w:hint="eastAsia" w:cs="宋体"/>
          <w:b/>
          <w:bCs/>
          <w:color w:val="auto"/>
          <w:kern w:val="0"/>
          <w:sz w:val="24"/>
          <w:szCs w:val="30"/>
          <w:highlight w:val="none"/>
        </w:rPr>
      </w:pPr>
    </w:p>
    <w:p>
      <w:pPr>
        <w:pStyle w:val="9"/>
        <w:ind w:firstLine="0" w:firstLineChars="0"/>
        <w:jc w:val="center"/>
        <w:rPr>
          <w:rFonts w:hint="eastAsia" w:cs="宋体"/>
          <w:b/>
          <w:bCs/>
          <w:color w:val="auto"/>
          <w:kern w:val="0"/>
          <w:sz w:val="24"/>
          <w:szCs w:val="30"/>
          <w:highlight w:val="none"/>
        </w:rPr>
      </w:pPr>
    </w:p>
    <w:p>
      <w:pPr>
        <w:pStyle w:val="9"/>
        <w:ind w:firstLine="0" w:firstLineChars="0"/>
        <w:jc w:val="center"/>
        <w:rPr>
          <w:rFonts w:hint="eastAsia" w:cs="宋体"/>
          <w:b/>
          <w:bCs/>
          <w:color w:val="auto"/>
          <w:kern w:val="0"/>
          <w:sz w:val="24"/>
          <w:szCs w:val="30"/>
          <w:highlight w:val="none"/>
        </w:rPr>
      </w:pPr>
    </w:p>
    <w:p>
      <w:pPr>
        <w:pStyle w:val="9"/>
        <w:ind w:firstLine="0" w:firstLineChars="0"/>
        <w:jc w:val="center"/>
        <w:rPr>
          <w:rFonts w:hint="eastAsia" w:cs="宋体"/>
          <w:b/>
          <w:bCs/>
          <w:color w:val="auto"/>
          <w:kern w:val="0"/>
          <w:sz w:val="24"/>
          <w:szCs w:val="30"/>
          <w:highlight w:val="none"/>
        </w:rPr>
      </w:pPr>
      <w:r>
        <w:rPr>
          <w:rFonts w:hint="eastAsia" w:cs="宋体"/>
          <w:b/>
          <w:bCs/>
          <w:color w:val="auto"/>
          <w:kern w:val="0"/>
          <w:sz w:val="24"/>
          <w:szCs w:val="30"/>
          <w:highlight w:val="none"/>
        </w:rPr>
        <w:br w:type="page"/>
      </w:r>
      <w:r>
        <w:rPr>
          <w:rFonts w:hint="eastAsia" w:cs="宋体"/>
          <w:b/>
          <w:bCs/>
          <w:color w:val="auto"/>
          <w:kern w:val="0"/>
          <w:sz w:val="24"/>
          <w:szCs w:val="30"/>
          <w:highlight w:val="none"/>
        </w:rPr>
        <w:t>(9)须通过报名并购买磋商文件后，缴纳磋商保证金方可参加本项目的投标</w:t>
      </w:r>
    </w:p>
    <w:p>
      <w:pPr>
        <w:pStyle w:val="9"/>
        <w:ind w:firstLine="0" w:firstLineChars="0"/>
        <w:jc w:val="center"/>
        <w:rPr>
          <w:rFonts w:hint="eastAsia" w:cs="宋体"/>
          <w:b/>
          <w:bCs/>
          <w:color w:val="auto"/>
          <w:kern w:val="0"/>
          <w:sz w:val="24"/>
          <w:szCs w:val="30"/>
          <w:highlight w:val="none"/>
        </w:rPr>
      </w:pPr>
      <w:r>
        <w:rPr>
          <w:rFonts w:hint="eastAsia" w:cs="宋体"/>
          <w:b/>
          <w:bCs/>
          <w:color w:val="auto"/>
          <w:kern w:val="0"/>
          <w:sz w:val="24"/>
          <w:szCs w:val="30"/>
          <w:highlight w:val="none"/>
        </w:rPr>
        <w:t>（附保证金回执单）。</w:t>
      </w:r>
    </w:p>
    <w:p>
      <w:pPr>
        <w:pStyle w:val="9"/>
        <w:ind w:firstLine="0" w:firstLineChars="0"/>
        <w:rPr>
          <w:rFonts w:hint="eastAsia" w:cs="宋体"/>
          <w:b/>
          <w:color w:val="auto"/>
          <w:szCs w:val="44"/>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p>
      <w:pPr>
        <w:pStyle w:val="20"/>
        <w:spacing w:after="120"/>
        <w:ind w:firstLine="0" w:firstLineChars="0"/>
        <w:rPr>
          <w:color w:val="auto"/>
          <w:highlight w:val="none"/>
        </w:rPr>
      </w:pP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Pr>
        <w:spacing w:before="160" w:beforeLines="50" w:after="160" w:afterLines="50" w:line="360" w:lineRule="auto"/>
        <w:outlineLvl w:val="0"/>
        <w:rPr>
          <w:rFonts w:ascii="宋体" w:hAnsi="宋体" w:cs="宋体"/>
          <w:b/>
          <w:bCs/>
          <w:color w:val="auto"/>
          <w:kern w:val="0"/>
          <w:sz w:val="30"/>
          <w:szCs w:val="30"/>
          <w:highlight w:val="none"/>
        </w:rPr>
      </w:pPr>
      <w:bookmarkStart w:id="134" w:name="_Toc23265"/>
    </w:p>
    <w:p>
      <w:pPr>
        <w:spacing w:before="160" w:beforeLines="50" w:after="160" w:afterLines="50" w:line="360" w:lineRule="auto"/>
        <w:jc w:val="center"/>
        <w:outlineLvl w:val="0"/>
        <w:rPr>
          <w:rFonts w:hint="eastAsia" w:ascii="宋体" w:hAnsi="宋体" w:cs="宋体"/>
          <w:b/>
          <w:bCs/>
          <w:color w:val="auto"/>
          <w:kern w:val="0"/>
          <w:sz w:val="30"/>
          <w:szCs w:val="30"/>
          <w:highlight w:val="none"/>
        </w:rPr>
      </w:pPr>
    </w:p>
    <w:p>
      <w:pPr>
        <w:spacing w:before="160" w:beforeLines="50" w:after="160" w:afterLines="50" w:line="360" w:lineRule="auto"/>
        <w:jc w:val="center"/>
        <w:outlineLvl w:val="0"/>
        <w:rPr>
          <w:rFonts w:hint="eastAsia" w:ascii="宋体" w:hAnsi="宋体" w:cs="宋体"/>
          <w:b/>
          <w:bCs/>
          <w:color w:val="auto"/>
          <w:kern w:val="0"/>
          <w:sz w:val="30"/>
          <w:szCs w:val="30"/>
          <w:highlight w:val="none"/>
        </w:rPr>
      </w:pPr>
    </w:p>
    <w:p>
      <w:pPr>
        <w:spacing w:before="160" w:beforeLines="50" w:after="160" w:afterLines="50" w:line="360" w:lineRule="auto"/>
        <w:jc w:val="center"/>
        <w:outlineLvl w:val="0"/>
        <w:rPr>
          <w:rFonts w:hint="eastAsia" w:ascii="宋体" w:hAnsi="宋体" w:cs="宋体"/>
          <w:b/>
          <w:bCs/>
          <w:color w:val="auto"/>
          <w:kern w:val="0"/>
          <w:sz w:val="30"/>
          <w:szCs w:val="30"/>
          <w:highlight w:val="none"/>
        </w:rPr>
      </w:pPr>
    </w:p>
    <w:p>
      <w:pPr>
        <w:spacing w:before="160" w:beforeLines="50" w:after="160" w:afterLines="50" w:line="360" w:lineRule="auto"/>
        <w:jc w:val="center"/>
        <w:outlineLvl w:val="0"/>
        <w:rPr>
          <w:rFonts w:ascii="宋体" w:hAnsi="宋体" w:cs="宋体"/>
          <w:b/>
          <w:color w:val="auto"/>
          <w:sz w:val="44"/>
          <w:szCs w:val="44"/>
          <w:highlight w:val="none"/>
        </w:rPr>
      </w:pPr>
      <w:r>
        <w:rPr>
          <w:rFonts w:hint="eastAsia" w:ascii="宋体" w:hAnsi="宋体" w:cs="宋体"/>
          <w:b/>
          <w:bCs/>
          <w:color w:val="auto"/>
          <w:kern w:val="0"/>
          <w:sz w:val="30"/>
          <w:szCs w:val="30"/>
          <w:highlight w:val="none"/>
        </w:rPr>
        <w:t>13、供应商认为需要提供的其它材料</w:t>
      </w:r>
    </w:p>
    <w:p>
      <w:pPr>
        <w:spacing w:before="160" w:beforeLines="50" w:after="160" w:afterLines="50" w:line="360" w:lineRule="auto"/>
        <w:jc w:val="center"/>
        <w:outlineLvl w:val="0"/>
        <w:rPr>
          <w:rFonts w:ascii="宋体" w:hAnsi="宋体" w:cs="宋体"/>
          <w:b/>
          <w:color w:val="auto"/>
          <w:sz w:val="44"/>
          <w:szCs w:val="44"/>
          <w:highlight w:val="none"/>
        </w:rPr>
      </w:pPr>
      <w:r>
        <w:rPr>
          <w:rFonts w:hint="eastAsia" w:ascii="宋体" w:hAnsi="宋体" w:cs="宋体"/>
          <w:b/>
          <w:color w:val="auto"/>
          <w:sz w:val="44"/>
          <w:szCs w:val="44"/>
          <w:highlight w:val="none"/>
        </w:rPr>
        <w:br w:type="page"/>
      </w:r>
      <w:r>
        <w:rPr>
          <w:rFonts w:hint="eastAsia" w:ascii="宋体" w:hAnsi="宋体" w:cs="宋体"/>
          <w:b/>
          <w:color w:val="auto"/>
          <w:sz w:val="44"/>
          <w:szCs w:val="44"/>
          <w:highlight w:val="none"/>
        </w:rPr>
        <w:t>第五部分  采购需求</w:t>
      </w:r>
      <w:bookmarkEnd w:id="134"/>
    </w:p>
    <w:p>
      <w:pPr>
        <w:spacing w:line="480" w:lineRule="exact"/>
        <w:ind w:firstLine="560" w:firstLineChars="200"/>
        <w:textAlignment w:val="baseline"/>
        <w:rPr>
          <w:rFonts w:hint="eastAsia" w:ascii="宋体" w:hAnsi="宋体" w:cs="宋体"/>
          <w:bCs/>
          <w:color w:val="auto"/>
          <w:sz w:val="28"/>
          <w:szCs w:val="28"/>
          <w:highlight w:val="none"/>
        </w:rPr>
      </w:pPr>
      <w:r>
        <w:rPr>
          <w:rFonts w:hint="eastAsia" w:ascii="宋体" w:hAnsi="宋体" w:cs="宋体"/>
          <w:bCs/>
          <w:color w:val="auto"/>
          <w:sz w:val="28"/>
          <w:szCs w:val="28"/>
          <w:highlight w:val="none"/>
        </w:rPr>
        <w:t>一、项目概况</w:t>
      </w:r>
    </w:p>
    <w:p>
      <w:pPr>
        <w:spacing w:line="552" w:lineRule="exact"/>
        <w:ind w:firstLine="640"/>
        <w:textAlignment w:val="baseline"/>
        <w:rPr>
          <w:rFonts w:hint="eastAsia" w:ascii="宋体" w:hAnsi="宋体" w:cs="宋体"/>
          <w:bCs/>
          <w:color w:val="auto"/>
          <w:sz w:val="28"/>
          <w:szCs w:val="28"/>
          <w:highlight w:val="none"/>
        </w:rPr>
      </w:pPr>
      <w:r>
        <w:rPr>
          <w:rFonts w:hint="eastAsia" w:ascii="宋体" w:hAnsi="宋体" w:cs="宋体"/>
          <w:bCs/>
          <w:color w:val="auto"/>
          <w:sz w:val="28"/>
          <w:szCs w:val="28"/>
          <w:highlight w:val="none"/>
        </w:rPr>
        <w:t>1、项目名称：荣山河水体2022年第三方达标运维服务项目</w:t>
      </w:r>
    </w:p>
    <w:p>
      <w:pPr>
        <w:spacing w:line="552" w:lineRule="exact"/>
        <w:ind w:firstLine="640"/>
        <w:textAlignment w:val="baseline"/>
        <w:rPr>
          <w:rFonts w:hint="eastAsia" w:ascii="宋体" w:hAnsi="宋体" w:cs="宋体"/>
          <w:bCs/>
          <w:color w:val="auto"/>
          <w:sz w:val="28"/>
          <w:szCs w:val="28"/>
          <w:highlight w:val="none"/>
        </w:rPr>
      </w:pPr>
      <w:r>
        <w:rPr>
          <w:rFonts w:hint="eastAsia" w:ascii="宋体" w:hAnsi="宋体" w:cs="宋体"/>
          <w:bCs/>
          <w:color w:val="auto"/>
          <w:sz w:val="28"/>
          <w:szCs w:val="28"/>
          <w:highlight w:val="none"/>
        </w:rPr>
        <w:t>2、项目概况:荣山河作为中央环保海洋督查水体，亦是我省城镇内河湖重点考核水体之一。随着城市的发展，长流镇镇域市政污水管网不完善，长流镇片区大量生活污水流入堂善沟，汇入荣山河，造成水环境污染。为改善秀英区水域的生态环境质量，确保荣山河水体水质达标，同时为保障荣山河污水处理站及截污管网等设施正常运转，确保荣山河2022年水质能稳定达标，实施荣山河水体达标运维服务。</w:t>
      </w:r>
    </w:p>
    <w:p>
      <w:pPr>
        <w:spacing w:line="552" w:lineRule="exact"/>
        <w:ind w:firstLine="640"/>
        <w:textAlignment w:val="baseline"/>
        <w:rPr>
          <w:rFonts w:hint="eastAsia" w:ascii="宋体" w:hAnsi="宋体" w:cs="宋体"/>
          <w:bCs/>
          <w:color w:val="auto"/>
          <w:sz w:val="28"/>
          <w:szCs w:val="28"/>
          <w:highlight w:val="none"/>
        </w:rPr>
      </w:pPr>
      <w:r>
        <w:rPr>
          <w:rFonts w:hint="eastAsia" w:ascii="宋体" w:hAnsi="宋体" w:cs="宋体"/>
          <w:bCs/>
          <w:color w:val="auto"/>
          <w:sz w:val="28"/>
          <w:szCs w:val="28"/>
          <w:highlight w:val="none"/>
        </w:rPr>
        <w:t>3、采购内容：堂善一体化污水处理站及水体的水质运管，确保污水处理厂的出水水质指标达到设计出水标准（未设计指标不考核）、水体监控断面的水质指标达到《地表水环境质量标准（GB3838-2002）》Ⅴ类标准。</w:t>
      </w:r>
    </w:p>
    <w:p>
      <w:pPr>
        <w:spacing w:line="552" w:lineRule="exact"/>
        <w:ind w:firstLine="640"/>
        <w:textAlignment w:val="baseline"/>
        <w:rPr>
          <w:rFonts w:hint="eastAsia" w:ascii="宋体" w:hAnsi="宋体" w:cs="宋体"/>
          <w:bCs/>
          <w:color w:val="auto"/>
          <w:sz w:val="28"/>
          <w:szCs w:val="28"/>
          <w:highlight w:val="none"/>
        </w:rPr>
      </w:pPr>
      <w:r>
        <w:rPr>
          <w:rFonts w:hint="eastAsia" w:ascii="宋体" w:hAnsi="宋体" w:cs="宋体"/>
          <w:bCs/>
          <w:color w:val="auto"/>
          <w:sz w:val="28"/>
          <w:szCs w:val="28"/>
          <w:highlight w:val="none"/>
        </w:rPr>
        <w:t>4、采购预算：2330000.00元（最高限价：2330000.00元，）</w:t>
      </w:r>
    </w:p>
    <w:p>
      <w:pPr>
        <w:spacing w:line="552" w:lineRule="exact"/>
        <w:ind w:firstLine="640"/>
        <w:textAlignment w:val="baseline"/>
        <w:rPr>
          <w:rFonts w:hint="eastAsia" w:ascii="宋体" w:hAnsi="宋体" w:cs="宋体"/>
          <w:bCs/>
          <w:color w:val="auto"/>
          <w:sz w:val="28"/>
          <w:szCs w:val="28"/>
          <w:highlight w:val="none"/>
        </w:rPr>
      </w:pPr>
      <w:r>
        <w:rPr>
          <w:rFonts w:hint="eastAsia" w:ascii="宋体" w:hAnsi="宋体" w:cs="宋体"/>
          <w:bCs/>
          <w:color w:val="auto"/>
          <w:sz w:val="28"/>
          <w:szCs w:val="28"/>
          <w:highlight w:val="none"/>
        </w:rPr>
        <w:t>5、项目地点：秀英区</w:t>
      </w:r>
    </w:p>
    <w:p>
      <w:pPr>
        <w:spacing w:line="480" w:lineRule="exact"/>
        <w:ind w:firstLine="560" w:firstLineChars="200"/>
        <w:textAlignment w:val="baseline"/>
        <w:rPr>
          <w:rFonts w:ascii="宋体" w:hAnsi="宋体" w:cs="宋体"/>
          <w:bCs/>
          <w:color w:val="auto"/>
          <w:sz w:val="28"/>
          <w:szCs w:val="28"/>
          <w:highlight w:val="none"/>
        </w:rPr>
      </w:pPr>
      <w:r>
        <w:rPr>
          <w:rFonts w:ascii="宋体" w:hAnsi="宋体" w:cs="宋体"/>
          <w:bCs/>
          <w:color w:val="auto"/>
          <w:sz w:val="28"/>
          <w:szCs w:val="28"/>
          <w:highlight w:val="none"/>
        </w:rPr>
        <w:t>6</w:t>
      </w:r>
      <w:r>
        <w:rPr>
          <w:rFonts w:hint="eastAsia" w:ascii="宋体" w:hAnsi="宋体" w:cs="宋体"/>
          <w:bCs/>
          <w:color w:val="auto"/>
          <w:sz w:val="28"/>
          <w:szCs w:val="28"/>
          <w:highlight w:val="none"/>
        </w:rPr>
        <w:t>、合同履行期限（项目服务期）：合同签订后一年。</w:t>
      </w:r>
    </w:p>
    <w:p>
      <w:pPr>
        <w:spacing w:line="560" w:lineRule="exact"/>
        <w:ind w:right="210" w:firstLine="560" w:firstLineChars="200"/>
        <w:textAlignment w:val="baseline"/>
        <w:rPr>
          <w:rFonts w:hint="eastAsia" w:ascii="宋体" w:hAnsi="宋体" w:cs="宋体"/>
          <w:bCs/>
          <w:color w:val="auto"/>
          <w:sz w:val="28"/>
          <w:szCs w:val="28"/>
          <w:highlight w:val="none"/>
        </w:rPr>
      </w:pPr>
      <w:r>
        <w:rPr>
          <w:rFonts w:ascii="宋体" w:hAnsi="宋体" w:cs="宋体"/>
          <w:bCs/>
          <w:color w:val="auto"/>
          <w:sz w:val="28"/>
          <w:szCs w:val="28"/>
          <w:highlight w:val="none"/>
        </w:rPr>
        <w:t>7</w:t>
      </w:r>
      <w:r>
        <w:rPr>
          <w:rFonts w:hint="eastAsia" w:ascii="宋体" w:hAnsi="宋体" w:cs="宋体"/>
          <w:bCs/>
          <w:color w:val="auto"/>
          <w:sz w:val="28"/>
          <w:szCs w:val="28"/>
          <w:highlight w:val="none"/>
        </w:rPr>
        <w:t>、质量要求：符合国家验收合格标准</w:t>
      </w:r>
    </w:p>
    <w:p>
      <w:pPr>
        <w:pStyle w:val="20"/>
        <w:ind w:firstLine="0" w:firstLineChars="0"/>
        <w:rPr>
          <w:color w:val="auto"/>
          <w:highlight w:val="none"/>
        </w:rPr>
      </w:pPr>
      <w:r>
        <w:rPr>
          <w:rFonts w:hint="eastAsia" w:cs="宋体"/>
          <w:bCs/>
          <w:color w:val="auto"/>
          <w:szCs w:val="28"/>
          <w:highlight w:val="none"/>
        </w:rPr>
        <w:t xml:space="preserve">    8、付款条件：合同签订后预付项目金额30%，合同签订4个月后按月分次拨付进度款</w:t>
      </w:r>
    </w:p>
    <w:p>
      <w:pPr>
        <w:spacing w:line="560" w:lineRule="exact"/>
        <w:ind w:right="210"/>
        <w:textAlignment w:val="baseline"/>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（一）堂善村一体化污水处理站</w:t>
      </w:r>
    </w:p>
    <w:p>
      <w:pPr>
        <w:spacing w:line="560" w:lineRule="exact"/>
        <w:ind w:right="210" w:firstLine="560" w:firstLineChars="200"/>
        <w:textAlignment w:val="baseline"/>
        <w:rPr>
          <w:rFonts w:ascii="宋体" w:hAnsi="宋体" w:cs="宋体"/>
          <w:b/>
          <w:bCs/>
          <w:color w:val="auto"/>
          <w:sz w:val="28"/>
          <w:szCs w:val="28"/>
          <w:highlight w:val="none"/>
        </w:rPr>
      </w:pPr>
      <w:r>
        <w:rPr>
          <w:rFonts w:hint="eastAsia" w:ascii="宋体" w:hAnsi="宋体" w:cs="宋体"/>
          <w:color w:val="auto"/>
          <w:sz w:val="28"/>
          <w:szCs w:val="28"/>
          <w:highlight w:val="none"/>
        </w:rPr>
        <w:t>堂山村一体化污水处理站，处理总规模约为1400m³/d，设计进出水水质</w:t>
      </w:r>
      <w:r>
        <w:rPr>
          <w:rFonts w:hint="eastAsia" w:ascii="仿宋" w:hAnsi="仿宋" w:eastAsia="仿宋" w:cs="仿宋"/>
          <w:color w:val="auto"/>
          <w:sz w:val="28"/>
          <w:szCs w:val="28"/>
          <w:highlight w:val="none"/>
        </w:rPr>
        <w:t>（未设计指标不考核</w:t>
      </w:r>
      <w:r>
        <w:rPr>
          <w:rFonts w:hint="eastAsia" w:ascii="宋体" w:hAnsi="宋体" w:cs="宋体"/>
          <w:color w:val="auto"/>
          <w:sz w:val="28"/>
          <w:szCs w:val="28"/>
          <w:highlight w:val="none"/>
        </w:rPr>
        <w:t>）：</w:t>
      </w:r>
    </w:p>
    <w:tbl>
      <w:tblPr>
        <w:tblStyle w:val="21"/>
        <w:tblW w:w="7885"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520"/>
        <w:gridCol w:w="780"/>
        <w:gridCol w:w="869"/>
        <w:gridCol w:w="1149"/>
        <w:gridCol w:w="1141"/>
        <w:gridCol w:w="1141"/>
        <w:gridCol w:w="1141"/>
        <w:gridCol w:w="114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00" w:type="dxa"/>
            <w:gridSpan w:val="2"/>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项目</w:t>
            </w:r>
          </w:p>
        </w:tc>
        <w:tc>
          <w:tcPr>
            <w:tcW w:w="869"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pH</w:t>
            </w:r>
          </w:p>
        </w:tc>
        <w:tc>
          <w:tcPr>
            <w:tcW w:w="1149"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BOD</w:t>
            </w:r>
            <w:r>
              <w:rPr>
                <w:rFonts w:ascii="Arial" w:hAnsi="Arial" w:cs="Arial"/>
                <w:color w:val="auto"/>
                <w:szCs w:val="21"/>
                <w:highlight w:val="none"/>
                <w:vertAlign w:val="subscript"/>
              </w:rPr>
              <w:t>5</w:t>
            </w:r>
          </w:p>
        </w:tc>
        <w:tc>
          <w:tcPr>
            <w:tcW w:w="1141"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COD</w:t>
            </w:r>
            <w:r>
              <w:rPr>
                <w:rFonts w:ascii="Arial" w:hAnsi="Arial" w:cs="Arial"/>
                <w:color w:val="auto"/>
                <w:kern w:val="0"/>
                <w:szCs w:val="21"/>
                <w:highlight w:val="none"/>
                <w:vertAlign w:val="subscript"/>
              </w:rPr>
              <w:t>Cr</w:t>
            </w:r>
          </w:p>
        </w:tc>
        <w:tc>
          <w:tcPr>
            <w:tcW w:w="1141"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SS</w:t>
            </w:r>
          </w:p>
        </w:tc>
        <w:tc>
          <w:tcPr>
            <w:tcW w:w="1141"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NH</w:t>
            </w:r>
            <w:r>
              <w:rPr>
                <w:rFonts w:ascii="Arial" w:hAnsi="Arial" w:cs="Arial"/>
                <w:color w:val="auto"/>
                <w:szCs w:val="21"/>
                <w:highlight w:val="none"/>
                <w:vertAlign w:val="subscript"/>
              </w:rPr>
              <w:t>3</w:t>
            </w:r>
            <w:r>
              <w:rPr>
                <w:rFonts w:ascii="Arial" w:hAnsi="Arial" w:cs="Arial"/>
                <w:color w:val="auto"/>
                <w:szCs w:val="21"/>
                <w:highlight w:val="none"/>
              </w:rPr>
              <w:t>-N</w:t>
            </w:r>
          </w:p>
        </w:tc>
        <w:tc>
          <w:tcPr>
            <w:tcW w:w="1144"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TP</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20" w:type="dxa"/>
            <w:vMerge w:val="restart"/>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水质</w:t>
            </w:r>
          </w:p>
        </w:tc>
        <w:tc>
          <w:tcPr>
            <w:tcW w:w="780"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进水</w:t>
            </w:r>
          </w:p>
        </w:tc>
        <w:tc>
          <w:tcPr>
            <w:tcW w:w="869"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6~9</w:t>
            </w:r>
          </w:p>
        </w:tc>
        <w:tc>
          <w:tcPr>
            <w:tcW w:w="1149"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≤100</w:t>
            </w:r>
          </w:p>
        </w:tc>
        <w:tc>
          <w:tcPr>
            <w:tcW w:w="1141"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≤180</w:t>
            </w:r>
          </w:p>
        </w:tc>
        <w:tc>
          <w:tcPr>
            <w:tcW w:w="1141"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≤140</w:t>
            </w:r>
          </w:p>
        </w:tc>
        <w:tc>
          <w:tcPr>
            <w:tcW w:w="1141"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≤20</w:t>
            </w:r>
          </w:p>
        </w:tc>
        <w:tc>
          <w:tcPr>
            <w:tcW w:w="1144"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≤4.5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20" w:type="dxa"/>
            <w:vMerge w:val="continue"/>
            <w:vAlign w:val="center"/>
          </w:tcPr>
          <w:p>
            <w:pPr>
              <w:pStyle w:val="64"/>
              <w:ind w:firstLine="560"/>
              <w:jc w:val="center"/>
              <w:textAlignment w:val="baseline"/>
              <w:rPr>
                <w:rFonts w:ascii="Arial" w:hAnsi="Arial" w:cs="Arial"/>
                <w:color w:val="auto"/>
                <w:szCs w:val="21"/>
                <w:highlight w:val="none"/>
              </w:rPr>
            </w:pPr>
          </w:p>
        </w:tc>
        <w:tc>
          <w:tcPr>
            <w:tcW w:w="780"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出水</w:t>
            </w:r>
          </w:p>
        </w:tc>
        <w:tc>
          <w:tcPr>
            <w:tcW w:w="869"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6~9</w:t>
            </w:r>
          </w:p>
        </w:tc>
        <w:tc>
          <w:tcPr>
            <w:tcW w:w="1149"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≤10</w:t>
            </w:r>
          </w:p>
        </w:tc>
        <w:tc>
          <w:tcPr>
            <w:tcW w:w="1141"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≤40</w:t>
            </w:r>
          </w:p>
        </w:tc>
        <w:tc>
          <w:tcPr>
            <w:tcW w:w="1141"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≤10</w:t>
            </w:r>
          </w:p>
        </w:tc>
        <w:tc>
          <w:tcPr>
            <w:tcW w:w="1141"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≤2</w:t>
            </w:r>
          </w:p>
        </w:tc>
        <w:tc>
          <w:tcPr>
            <w:tcW w:w="1144" w:type="dxa"/>
            <w:vAlign w:val="center"/>
          </w:tcPr>
          <w:p>
            <w:pPr>
              <w:pStyle w:val="64"/>
              <w:jc w:val="center"/>
              <w:textAlignment w:val="baseline"/>
              <w:rPr>
                <w:rFonts w:ascii="Arial" w:hAnsi="Arial" w:cs="Arial"/>
                <w:color w:val="auto"/>
                <w:szCs w:val="21"/>
                <w:highlight w:val="none"/>
              </w:rPr>
            </w:pPr>
            <w:r>
              <w:rPr>
                <w:rFonts w:ascii="Arial" w:hAnsi="Arial" w:cs="Arial"/>
                <w:color w:val="auto"/>
                <w:szCs w:val="21"/>
                <w:highlight w:val="none"/>
              </w:rPr>
              <w:t>≤0.4</w:t>
            </w:r>
          </w:p>
        </w:tc>
      </w:tr>
    </w:tbl>
    <w:p>
      <w:pPr>
        <w:pStyle w:val="20"/>
        <w:snapToGrid/>
        <w:spacing w:after="120"/>
        <w:ind w:left="420"/>
        <w:textAlignment w:val="baseline"/>
        <w:rPr>
          <w:rFonts w:hint="eastAsia"/>
          <w:color w:val="auto"/>
          <w:sz w:val="21"/>
          <w:highlight w:val="none"/>
        </w:rPr>
      </w:pPr>
    </w:p>
    <w:p>
      <w:pPr>
        <w:spacing w:line="560" w:lineRule="exact"/>
        <w:ind w:right="210" w:firstLine="560" w:firstLineChars="200"/>
        <w:textAlignment w:val="baseline"/>
        <w:rPr>
          <w:rFonts w:hint="eastAsia" w:ascii="宋体" w:hAnsi="宋体" w:cs="宋体"/>
          <w:color w:val="auto"/>
          <w:sz w:val="28"/>
          <w:szCs w:val="28"/>
          <w:highlight w:val="none"/>
        </w:rPr>
      </w:pPr>
      <w:r>
        <w:rPr>
          <w:rFonts w:hint="eastAsia" w:ascii="宋体" w:hAnsi="宋体" w:cs="宋体"/>
          <w:color w:val="auto"/>
          <w:sz w:val="28"/>
          <w:szCs w:val="28"/>
          <w:highlight w:val="none"/>
        </w:rPr>
        <w:t>1、日常巡检：每日依次对站里设备设施运行情况进行巡检，主要包括:水泵、格栅、鼓风机、加药系统等重要设备是否正常运行，是否存在异常的噪声和震动，电流、电压、风压、流量等参数是否正常;各管线上的管件是否处于正常工作状态，是否漏损溢流;观察污水处理设施各重要工艺水段及出水口的水质性状(气味、颜色、气泡、浑浊度等)和各阀门井水位是否正常:按要求定时对污水处理设施的进、出口水质进行采样检测并记录。如发现设备设施故障等运行异常情况，应及时上报处理。</w:t>
      </w:r>
    </w:p>
    <w:p>
      <w:pPr>
        <w:spacing w:line="560" w:lineRule="exact"/>
        <w:ind w:right="210" w:firstLine="560" w:firstLineChars="200"/>
        <w:textAlignment w:val="baseline"/>
        <w:rPr>
          <w:rFonts w:hint="eastAsia" w:ascii="宋体" w:hAnsi="宋体" w:cs="宋体"/>
          <w:color w:val="auto"/>
          <w:sz w:val="28"/>
          <w:szCs w:val="28"/>
          <w:highlight w:val="none"/>
        </w:rPr>
      </w:pPr>
      <w:r>
        <w:rPr>
          <w:rFonts w:hint="eastAsia" w:ascii="宋体" w:hAnsi="宋体" w:cs="宋体"/>
          <w:color w:val="auto"/>
          <w:sz w:val="28"/>
          <w:szCs w:val="28"/>
          <w:highlight w:val="none"/>
        </w:rPr>
        <w:t>2、生产运行：运维人员根据实际生产情况投加各类净水药剂，如碳源、化学除磷药剂和消毒剂，确保出水水质达标；定期清运清理柵渣垃圾和污泥;根据生产情况调整水泵和风机的运行时段、台数和频率，确保达到稳定生产运行和节能目的；根据生产情况定期排除系统剩余污泥，并进行脱水或外运等规范处置。</w:t>
      </w:r>
    </w:p>
    <w:p>
      <w:pPr>
        <w:spacing w:line="560" w:lineRule="exact"/>
        <w:ind w:right="210" w:firstLine="560" w:firstLineChars="200"/>
        <w:textAlignment w:val="baseline"/>
        <w:rPr>
          <w:rFonts w:hint="eastAsia" w:ascii="宋体" w:hAnsi="宋体" w:cs="宋体"/>
          <w:color w:val="auto"/>
          <w:sz w:val="28"/>
          <w:szCs w:val="28"/>
          <w:highlight w:val="none"/>
        </w:rPr>
      </w:pPr>
      <w:r>
        <w:rPr>
          <w:rFonts w:hint="eastAsia" w:ascii="宋体" w:hAnsi="宋体" w:cs="宋体"/>
          <w:color w:val="auto"/>
          <w:sz w:val="28"/>
          <w:szCs w:val="28"/>
          <w:highlight w:val="none"/>
        </w:rPr>
        <w:t>3、设备维护维修：运维人员按要求定期实施格栅、潜水泵、鼓风机、阀门和管道等重点设备设施的维保。如发生设备故障大修，由运维人员上报运管单位，运管单位再安排处理。</w:t>
      </w:r>
    </w:p>
    <w:p>
      <w:pPr>
        <w:spacing w:line="560" w:lineRule="exact"/>
        <w:ind w:right="210" w:firstLine="560" w:firstLineChars="200"/>
        <w:textAlignment w:val="baseline"/>
        <w:rPr>
          <w:rFonts w:hint="eastAsia" w:ascii="宋体" w:hAnsi="宋体" w:cs="宋体"/>
          <w:color w:val="auto"/>
          <w:sz w:val="28"/>
          <w:szCs w:val="28"/>
          <w:highlight w:val="none"/>
        </w:rPr>
      </w:pPr>
      <w:r>
        <w:rPr>
          <w:rFonts w:hint="eastAsia" w:ascii="宋体" w:hAnsi="宋体" w:cs="宋体"/>
          <w:color w:val="auto"/>
          <w:sz w:val="28"/>
          <w:szCs w:val="28"/>
          <w:highlight w:val="none"/>
        </w:rPr>
        <w:t>4、数据统计和台账管理：按要求做好日常巡检记录和生产信息的账记录，并定时汇总、报送。</w:t>
      </w:r>
    </w:p>
    <w:p>
      <w:pPr>
        <w:spacing w:line="560" w:lineRule="exact"/>
        <w:ind w:right="210"/>
        <w:textAlignment w:val="baseline"/>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(二)荣山河水体日常巡检维护</w:t>
      </w:r>
    </w:p>
    <w:p>
      <w:pPr>
        <w:spacing w:line="560" w:lineRule="exact"/>
        <w:ind w:right="210" w:firstLine="560" w:firstLineChars="200"/>
        <w:textAlignment w:val="baseline"/>
        <w:rPr>
          <w:rFonts w:hint="eastAsia" w:ascii="宋体" w:hAnsi="宋体" w:cs="宋体"/>
          <w:color w:val="auto"/>
          <w:sz w:val="28"/>
          <w:szCs w:val="28"/>
          <w:highlight w:val="none"/>
        </w:rPr>
      </w:pPr>
      <w:r>
        <w:rPr>
          <w:rFonts w:hint="eastAsia" w:ascii="宋体" w:hAnsi="宋体" w:cs="宋体"/>
          <w:color w:val="auto"/>
          <w:sz w:val="28"/>
          <w:szCs w:val="28"/>
          <w:highlight w:val="none"/>
        </w:rPr>
        <w:t>荣山河水体日常巡检维护的主要工作包括以下几个方面：</w:t>
      </w:r>
    </w:p>
    <w:p>
      <w:pPr>
        <w:pStyle w:val="20"/>
        <w:snapToGrid/>
        <w:spacing w:after="120"/>
        <w:ind w:firstLine="0" w:firstLineChars="0"/>
        <w:textAlignment w:val="baseline"/>
        <w:rPr>
          <w:color w:val="auto"/>
          <w:sz w:val="21"/>
          <w:highlight w:val="none"/>
        </w:rPr>
      </w:pPr>
      <w:r>
        <w:rPr>
          <w:rFonts w:hint="eastAsia"/>
          <w:color w:val="auto"/>
          <w:sz w:val="21"/>
          <w:highlight w:val="none"/>
        </w:rPr>
        <w:t xml:space="preserve">    </w:t>
      </w:r>
      <w:r>
        <w:rPr>
          <w:rFonts w:hint="eastAsia" w:cs="宋体"/>
          <w:color w:val="auto"/>
          <w:szCs w:val="28"/>
          <w:highlight w:val="none"/>
        </w:rPr>
        <w:t xml:space="preserve"> 1、负责5座闸门的日常维护保养</w:t>
      </w:r>
    </w:p>
    <w:p>
      <w:pPr>
        <w:spacing w:line="560" w:lineRule="exact"/>
        <w:ind w:right="210" w:firstLine="560" w:firstLineChars="200"/>
        <w:textAlignment w:val="baseline"/>
        <w:rPr>
          <w:rFonts w:ascii="宋体" w:hAnsi="宋体" w:cs="宋体"/>
          <w:color w:val="auto"/>
          <w:sz w:val="28"/>
          <w:szCs w:val="28"/>
          <w:highlight w:val="none"/>
        </w:rPr>
      </w:pPr>
      <w:r>
        <w:rPr>
          <w:rFonts w:hint="eastAsia" w:ascii="宋体" w:hAnsi="宋体" w:cs="宋体"/>
          <w:color w:val="auto"/>
          <w:sz w:val="28"/>
          <w:szCs w:val="28"/>
          <w:highlight w:val="none"/>
        </w:rPr>
        <w:t>2、运维人员每日</w:t>
      </w:r>
      <w:r>
        <w:rPr>
          <w:rFonts w:ascii="宋体" w:hAnsi="宋体" w:cs="宋体"/>
          <w:color w:val="auto"/>
          <w:sz w:val="28"/>
          <w:szCs w:val="28"/>
          <w:highlight w:val="none"/>
        </w:rPr>
        <w:t>巡查</w:t>
      </w:r>
      <w:r>
        <w:rPr>
          <w:rFonts w:hint="eastAsia" w:ascii="宋体" w:hAnsi="宋体" w:cs="宋体"/>
          <w:color w:val="auto"/>
          <w:sz w:val="28"/>
          <w:szCs w:val="28"/>
          <w:highlight w:val="none"/>
        </w:rPr>
        <w:t>各段水体水面情况，如目测发现水体突变、恶化，应及时查明原因并上报；如发现沿河道、湖岸有</w:t>
      </w:r>
      <w:r>
        <w:rPr>
          <w:rFonts w:ascii="宋体" w:hAnsi="宋体" w:cs="宋体"/>
          <w:color w:val="auto"/>
          <w:sz w:val="28"/>
          <w:szCs w:val="28"/>
          <w:highlight w:val="none"/>
        </w:rPr>
        <w:t>偷排</w:t>
      </w:r>
      <w:r>
        <w:rPr>
          <w:rFonts w:hint="eastAsia" w:ascii="宋体" w:hAnsi="宋体" w:cs="宋体"/>
          <w:color w:val="auto"/>
          <w:sz w:val="28"/>
          <w:szCs w:val="28"/>
          <w:highlight w:val="none"/>
        </w:rPr>
        <w:t>现象应拍照取证，并及时上报公司，由公司上报秀英区水务局协调政府相关部门处理。</w:t>
      </w:r>
    </w:p>
    <w:p>
      <w:pPr>
        <w:spacing w:line="560" w:lineRule="exact"/>
        <w:ind w:right="210" w:firstLine="560" w:firstLineChars="200"/>
        <w:textAlignment w:val="baseline"/>
        <w:rPr>
          <w:rFonts w:hint="eastAsia" w:ascii="宋体" w:hAnsi="宋体" w:cs="宋体"/>
          <w:color w:val="auto"/>
          <w:sz w:val="28"/>
          <w:szCs w:val="28"/>
          <w:highlight w:val="none"/>
        </w:rPr>
      </w:pPr>
      <w:r>
        <w:rPr>
          <w:rFonts w:hint="eastAsia" w:ascii="宋体" w:hAnsi="宋体" w:cs="宋体"/>
          <w:color w:val="auto"/>
          <w:sz w:val="28"/>
          <w:szCs w:val="28"/>
          <w:highlight w:val="none"/>
        </w:rPr>
        <w:t>3、运维人员每日巡查水体，发现河道有生活垃圾时，应及时打捞清理。</w:t>
      </w:r>
    </w:p>
    <w:p>
      <w:pPr>
        <w:spacing w:line="432" w:lineRule="auto"/>
        <w:ind w:firstLine="560" w:firstLineChars="200"/>
        <w:rPr>
          <w:rFonts w:hint="eastAsia" w:ascii="宋体" w:hAnsi="宋体" w:cs="宋体"/>
          <w:color w:val="auto"/>
          <w:kern w:val="0"/>
          <w:sz w:val="24"/>
          <w:highlight w:val="none"/>
        </w:rPr>
      </w:pPr>
      <w:r>
        <w:rPr>
          <w:rFonts w:hint="eastAsia" w:ascii="宋体" w:hAnsi="宋体" w:cs="宋体"/>
          <w:color w:val="auto"/>
          <w:sz w:val="28"/>
          <w:szCs w:val="28"/>
          <w:highlight w:val="none"/>
        </w:rPr>
        <w:t>4、如遇可能导致积水内涝的阴雨天，应根据监管部门的指令开闸行洪排涝。</w:t>
      </w:r>
    </w:p>
    <w:sectPr>
      <w:headerReference r:id="rId10" w:type="default"/>
      <w:footerReference r:id="rId11" w:type="default"/>
      <w:pgSz w:w="11906" w:h="16838"/>
      <w:pgMar w:top="1134" w:right="1134" w:bottom="1327" w:left="1134" w:header="851" w:footer="992" w:gutter="0"/>
      <w:pgNumType w:start="1"/>
      <w:cols w:space="708"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Î¢ï¿½ï¿½ï¿½Åºï¿½">
    <w:altName w:val="Segoe Print"/>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1</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1980"/>
        <w:tab w:val="clear" w:pos="4153"/>
        <w:tab w:val="clear" w:pos="83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12"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rPr>
        <w:rFonts w:ascii="宋体" w:hAnsi="宋体" w:cs="宋体"/>
        <w:b/>
        <w:bCs/>
        <w:sz w:val="21"/>
        <w:szCs w:val="21"/>
      </w:rPr>
    </w:pPr>
    <w:r>
      <w:rPr>
        <w:rFonts w:hint="eastAsia" w:ascii="宋体" w:hAnsi="宋体" w:cs="宋体"/>
        <w:b/>
        <w:bCs/>
        <w:sz w:val="21"/>
        <w:szCs w:val="21"/>
        <w:lang w:eastAsia="zh-CN"/>
      </w:rPr>
      <w:t>海南通尚工程管理有限公司</w:t>
    </w:r>
    <w:r>
      <w:rPr>
        <w:rFonts w:hint="eastAsia" w:ascii="宋体" w:hAnsi="宋体" w:cs="宋体"/>
        <w:b/>
        <w:bCs/>
        <w:sz w:val="21"/>
        <w:szCs w:val="21"/>
      </w:rPr>
      <w:t xml:space="preserve">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jc w:val="left"/>
      <w:rPr>
        <w:rFonts w:ascii="宋体" w:hAnsi="宋体" w:cs="宋体"/>
        <w:b/>
        <w:bCs/>
        <w:sz w:val="21"/>
        <w:szCs w:val="21"/>
      </w:rPr>
    </w:pPr>
  </w:p>
  <w:p>
    <w:pPr>
      <w:pStyle w:val="15"/>
      <w:pBdr>
        <w:bottom w:val="single" w:color="auto" w:sz="4" w:space="0"/>
      </w:pBdr>
      <w:jc w:val="left"/>
      <w:rPr>
        <w:rFonts w:hint="eastAsia" w:ascii="宋体" w:hAnsi="宋体" w:cs="宋体"/>
        <w:b/>
        <w:bCs/>
        <w:sz w:val="21"/>
        <w:szCs w:val="21"/>
        <w:lang w:eastAsia="zh-CN"/>
      </w:rPr>
    </w:pPr>
    <w:r>
      <w:rPr>
        <w:rFonts w:hint="eastAsia" w:ascii="宋体" w:hAnsi="宋体" w:cs="宋体"/>
        <w:b/>
        <w:bCs/>
        <w:sz w:val="21"/>
        <w:szCs w:val="21"/>
        <w:lang w:eastAsia="zh-CN"/>
      </w:rPr>
      <w:t>海南通尚工程管理有限公司</w:t>
    </w:r>
    <w:r>
      <w:rPr>
        <w:rFonts w:hint="eastAsia" w:ascii="宋体" w:hAnsi="宋体" w:cs="宋体"/>
        <w:b/>
        <w:bCs/>
        <w:sz w:val="21"/>
        <w:szCs w:val="21"/>
      </w:rPr>
      <w:t xml:space="preserve">                                           </w:t>
    </w:r>
    <w:r>
      <w:rPr>
        <w:rFonts w:hint="eastAsia" w:ascii="宋体" w:hAnsi="宋体" w:cs="宋体"/>
        <w:b/>
        <w:bCs/>
        <w:sz w:val="21"/>
        <w:szCs w:val="21"/>
        <w:lang w:eastAsia="zh-CN"/>
      </w:rPr>
      <w:t>HNTS-2022-052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0"/>
      </w:pBdr>
      <w:jc w:val="left"/>
      <w:rPr>
        <w:rFonts w:hint="eastAsia" w:ascii="宋体" w:hAnsi="宋体" w:cs="宋体"/>
        <w:b/>
        <w:bCs/>
        <w:sz w:val="21"/>
        <w:szCs w:val="21"/>
        <w:lang w:eastAsia="zh-CN"/>
      </w:rPr>
    </w:pPr>
    <w:r>
      <w:rPr>
        <w:rFonts w:hint="eastAsia" w:ascii="宋体" w:hAnsi="宋体" w:cs="宋体"/>
        <w:b/>
        <w:bCs/>
        <w:sz w:val="21"/>
        <w:szCs w:val="21"/>
        <w:lang w:eastAsia="zh-CN"/>
      </w:rPr>
      <w:t>海南通尚工程管理有限公司</w:t>
    </w:r>
    <w:r>
      <w:rPr>
        <w:rFonts w:hint="eastAsia" w:ascii="宋体" w:hAnsi="宋体" w:cs="宋体"/>
        <w:b/>
        <w:bCs/>
        <w:sz w:val="21"/>
        <w:szCs w:val="21"/>
      </w:rPr>
      <w:t xml:space="preserve">                                                    </w:t>
    </w:r>
    <w:r>
      <w:rPr>
        <w:rFonts w:hint="eastAsia" w:ascii="宋体" w:hAnsi="宋体" w:cs="宋体"/>
        <w:b/>
        <w:bCs/>
        <w:sz w:val="21"/>
        <w:szCs w:val="21"/>
        <w:lang w:eastAsia="zh-CN"/>
      </w:rPr>
      <w:t>HNTS-2022-052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7EA38E"/>
    <w:multiLevelType w:val="singleLevel"/>
    <w:tmpl w:val="D67EA3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I2MGJkNGE2MTczMjQzOWZjNDcxYzgwOTJlNTQ4Y2QifQ=="/>
  </w:docVars>
  <w:rsids>
    <w:rsidRoot w:val="00172A27"/>
    <w:rsid w:val="00003ED8"/>
    <w:rsid w:val="00004FDD"/>
    <w:rsid w:val="00032BFF"/>
    <w:rsid w:val="000473E2"/>
    <w:rsid w:val="00054962"/>
    <w:rsid w:val="00062212"/>
    <w:rsid w:val="000624D4"/>
    <w:rsid w:val="00064D63"/>
    <w:rsid w:val="00076F44"/>
    <w:rsid w:val="00080B29"/>
    <w:rsid w:val="000926E4"/>
    <w:rsid w:val="0009287F"/>
    <w:rsid w:val="00092A6E"/>
    <w:rsid w:val="00096FB3"/>
    <w:rsid w:val="000A1003"/>
    <w:rsid w:val="000A264B"/>
    <w:rsid w:val="000A688B"/>
    <w:rsid w:val="000C0C09"/>
    <w:rsid w:val="000C0F53"/>
    <w:rsid w:val="000C3592"/>
    <w:rsid w:val="000C6C3B"/>
    <w:rsid w:val="000C7E2F"/>
    <w:rsid w:val="000D0DE8"/>
    <w:rsid w:val="000D109A"/>
    <w:rsid w:val="000D3311"/>
    <w:rsid w:val="000F741E"/>
    <w:rsid w:val="001006F9"/>
    <w:rsid w:val="001012AF"/>
    <w:rsid w:val="00102142"/>
    <w:rsid w:val="00110485"/>
    <w:rsid w:val="00110FD8"/>
    <w:rsid w:val="00117675"/>
    <w:rsid w:val="0012654B"/>
    <w:rsid w:val="001267DC"/>
    <w:rsid w:val="00144796"/>
    <w:rsid w:val="001466D0"/>
    <w:rsid w:val="001503B2"/>
    <w:rsid w:val="00152D62"/>
    <w:rsid w:val="00156F84"/>
    <w:rsid w:val="0016094A"/>
    <w:rsid w:val="001622F3"/>
    <w:rsid w:val="00164F03"/>
    <w:rsid w:val="00170BFC"/>
    <w:rsid w:val="00172A27"/>
    <w:rsid w:val="00176BEF"/>
    <w:rsid w:val="00177D5C"/>
    <w:rsid w:val="00183ABF"/>
    <w:rsid w:val="00185E0E"/>
    <w:rsid w:val="001A443B"/>
    <w:rsid w:val="001A64FB"/>
    <w:rsid w:val="001A7E8F"/>
    <w:rsid w:val="001B145E"/>
    <w:rsid w:val="001B3D71"/>
    <w:rsid w:val="001C6077"/>
    <w:rsid w:val="001D6B67"/>
    <w:rsid w:val="00202D00"/>
    <w:rsid w:val="002050D5"/>
    <w:rsid w:val="00206030"/>
    <w:rsid w:val="00221ED9"/>
    <w:rsid w:val="0022786D"/>
    <w:rsid w:val="00230EAD"/>
    <w:rsid w:val="00233326"/>
    <w:rsid w:val="002374DC"/>
    <w:rsid w:val="00245C87"/>
    <w:rsid w:val="00263AC1"/>
    <w:rsid w:val="00263C0A"/>
    <w:rsid w:val="00267485"/>
    <w:rsid w:val="002732AA"/>
    <w:rsid w:val="00275868"/>
    <w:rsid w:val="00281B37"/>
    <w:rsid w:val="00281E05"/>
    <w:rsid w:val="00282ECC"/>
    <w:rsid w:val="00282F8A"/>
    <w:rsid w:val="00286066"/>
    <w:rsid w:val="00290A9A"/>
    <w:rsid w:val="00290FC4"/>
    <w:rsid w:val="0029365F"/>
    <w:rsid w:val="002949F6"/>
    <w:rsid w:val="00297249"/>
    <w:rsid w:val="002A010F"/>
    <w:rsid w:val="002A24B6"/>
    <w:rsid w:val="002A72E6"/>
    <w:rsid w:val="002B75EA"/>
    <w:rsid w:val="002B7C0A"/>
    <w:rsid w:val="002C4214"/>
    <w:rsid w:val="002D3F8E"/>
    <w:rsid w:val="002E3588"/>
    <w:rsid w:val="002E6376"/>
    <w:rsid w:val="002F38ED"/>
    <w:rsid w:val="002F51B7"/>
    <w:rsid w:val="002F51F2"/>
    <w:rsid w:val="003061F5"/>
    <w:rsid w:val="003109F2"/>
    <w:rsid w:val="00311676"/>
    <w:rsid w:val="00313B2E"/>
    <w:rsid w:val="003148D9"/>
    <w:rsid w:val="00324C13"/>
    <w:rsid w:val="00334561"/>
    <w:rsid w:val="00341051"/>
    <w:rsid w:val="00341D92"/>
    <w:rsid w:val="00345937"/>
    <w:rsid w:val="00346E49"/>
    <w:rsid w:val="00352F8B"/>
    <w:rsid w:val="003545CC"/>
    <w:rsid w:val="00367775"/>
    <w:rsid w:val="00367F6B"/>
    <w:rsid w:val="0037036E"/>
    <w:rsid w:val="003734BF"/>
    <w:rsid w:val="00376E41"/>
    <w:rsid w:val="00377F5A"/>
    <w:rsid w:val="00380B28"/>
    <w:rsid w:val="00382393"/>
    <w:rsid w:val="00382B2F"/>
    <w:rsid w:val="003A5190"/>
    <w:rsid w:val="003C3F81"/>
    <w:rsid w:val="003C6360"/>
    <w:rsid w:val="003D072E"/>
    <w:rsid w:val="003D0ED5"/>
    <w:rsid w:val="003E728A"/>
    <w:rsid w:val="003F474B"/>
    <w:rsid w:val="00402C5C"/>
    <w:rsid w:val="00411665"/>
    <w:rsid w:val="00413DE6"/>
    <w:rsid w:val="004140BD"/>
    <w:rsid w:val="00417A0D"/>
    <w:rsid w:val="00431295"/>
    <w:rsid w:val="004315B4"/>
    <w:rsid w:val="00443CC9"/>
    <w:rsid w:val="004462E4"/>
    <w:rsid w:val="00447243"/>
    <w:rsid w:val="004502AA"/>
    <w:rsid w:val="00455A90"/>
    <w:rsid w:val="00462CA5"/>
    <w:rsid w:val="004822D5"/>
    <w:rsid w:val="004919CA"/>
    <w:rsid w:val="004919E2"/>
    <w:rsid w:val="00493447"/>
    <w:rsid w:val="00493708"/>
    <w:rsid w:val="00495E78"/>
    <w:rsid w:val="004976AF"/>
    <w:rsid w:val="004A1C54"/>
    <w:rsid w:val="004A2F5F"/>
    <w:rsid w:val="004B1277"/>
    <w:rsid w:val="004B7F5B"/>
    <w:rsid w:val="004C3144"/>
    <w:rsid w:val="004D04EB"/>
    <w:rsid w:val="004D0507"/>
    <w:rsid w:val="004E186E"/>
    <w:rsid w:val="004F4967"/>
    <w:rsid w:val="004F4AA2"/>
    <w:rsid w:val="004F713E"/>
    <w:rsid w:val="005022BA"/>
    <w:rsid w:val="005036E5"/>
    <w:rsid w:val="00503F0C"/>
    <w:rsid w:val="00511052"/>
    <w:rsid w:val="0051250E"/>
    <w:rsid w:val="00513149"/>
    <w:rsid w:val="005164E3"/>
    <w:rsid w:val="00530D35"/>
    <w:rsid w:val="005311EA"/>
    <w:rsid w:val="005340D1"/>
    <w:rsid w:val="0055095C"/>
    <w:rsid w:val="00552033"/>
    <w:rsid w:val="00552980"/>
    <w:rsid w:val="00556FDC"/>
    <w:rsid w:val="00566402"/>
    <w:rsid w:val="005701CD"/>
    <w:rsid w:val="00577C5B"/>
    <w:rsid w:val="00584800"/>
    <w:rsid w:val="005857DD"/>
    <w:rsid w:val="00591EFB"/>
    <w:rsid w:val="005972DC"/>
    <w:rsid w:val="005A33CD"/>
    <w:rsid w:val="005A6DE4"/>
    <w:rsid w:val="005B09A5"/>
    <w:rsid w:val="005D07C6"/>
    <w:rsid w:val="005D318E"/>
    <w:rsid w:val="005E1BC0"/>
    <w:rsid w:val="005E508E"/>
    <w:rsid w:val="00601746"/>
    <w:rsid w:val="006034A3"/>
    <w:rsid w:val="00610A62"/>
    <w:rsid w:val="00612166"/>
    <w:rsid w:val="00622F8C"/>
    <w:rsid w:val="00630522"/>
    <w:rsid w:val="00631266"/>
    <w:rsid w:val="00631565"/>
    <w:rsid w:val="00633308"/>
    <w:rsid w:val="00634FFF"/>
    <w:rsid w:val="00636C0F"/>
    <w:rsid w:val="00637F33"/>
    <w:rsid w:val="0064296E"/>
    <w:rsid w:val="00644586"/>
    <w:rsid w:val="00654874"/>
    <w:rsid w:val="00664D2F"/>
    <w:rsid w:val="00672A28"/>
    <w:rsid w:val="00674CA6"/>
    <w:rsid w:val="00677348"/>
    <w:rsid w:val="006820AA"/>
    <w:rsid w:val="00682BD4"/>
    <w:rsid w:val="00686161"/>
    <w:rsid w:val="006A2240"/>
    <w:rsid w:val="006A4976"/>
    <w:rsid w:val="006B18C5"/>
    <w:rsid w:val="006B5838"/>
    <w:rsid w:val="006D7176"/>
    <w:rsid w:val="006E00B9"/>
    <w:rsid w:val="006E440D"/>
    <w:rsid w:val="006F301E"/>
    <w:rsid w:val="00702D78"/>
    <w:rsid w:val="00703B5B"/>
    <w:rsid w:val="00705960"/>
    <w:rsid w:val="00717D54"/>
    <w:rsid w:val="00722994"/>
    <w:rsid w:val="007246BC"/>
    <w:rsid w:val="007309DD"/>
    <w:rsid w:val="00743991"/>
    <w:rsid w:val="007613F0"/>
    <w:rsid w:val="00762483"/>
    <w:rsid w:val="00766ABD"/>
    <w:rsid w:val="0077661C"/>
    <w:rsid w:val="00782857"/>
    <w:rsid w:val="0078693A"/>
    <w:rsid w:val="007A37C4"/>
    <w:rsid w:val="007B3942"/>
    <w:rsid w:val="007B65F0"/>
    <w:rsid w:val="007B6817"/>
    <w:rsid w:val="007B7249"/>
    <w:rsid w:val="007B7A41"/>
    <w:rsid w:val="007C3792"/>
    <w:rsid w:val="007D5D8F"/>
    <w:rsid w:val="007D697C"/>
    <w:rsid w:val="007E2021"/>
    <w:rsid w:val="007E3A38"/>
    <w:rsid w:val="007E596A"/>
    <w:rsid w:val="007F209B"/>
    <w:rsid w:val="00804EAE"/>
    <w:rsid w:val="00806DC1"/>
    <w:rsid w:val="0081417F"/>
    <w:rsid w:val="0082267A"/>
    <w:rsid w:val="008317B8"/>
    <w:rsid w:val="00831E85"/>
    <w:rsid w:val="008442A3"/>
    <w:rsid w:val="00844E2E"/>
    <w:rsid w:val="00850D39"/>
    <w:rsid w:val="00853437"/>
    <w:rsid w:val="00853FFC"/>
    <w:rsid w:val="00862B05"/>
    <w:rsid w:val="00865597"/>
    <w:rsid w:val="0087619B"/>
    <w:rsid w:val="008763E2"/>
    <w:rsid w:val="00881A39"/>
    <w:rsid w:val="00886C48"/>
    <w:rsid w:val="00887AAE"/>
    <w:rsid w:val="00890FE9"/>
    <w:rsid w:val="00894CF2"/>
    <w:rsid w:val="008A350A"/>
    <w:rsid w:val="008A6F4A"/>
    <w:rsid w:val="008B0A20"/>
    <w:rsid w:val="008B4C00"/>
    <w:rsid w:val="008B609A"/>
    <w:rsid w:val="008B6120"/>
    <w:rsid w:val="008B6AEA"/>
    <w:rsid w:val="008D08E8"/>
    <w:rsid w:val="008D1734"/>
    <w:rsid w:val="008D1E9C"/>
    <w:rsid w:val="008D3524"/>
    <w:rsid w:val="008E5866"/>
    <w:rsid w:val="008F70C4"/>
    <w:rsid w:val="008F78C1"/>
    <w:rsid w:val="00900194"/>
    <w:rsid w:val="00903025"/>
    <w:rsid w:val="0090555D"/>
    <w:rsid w:val="00906C0B"/>
    <w:rsid w:val="00910FCE"/>
    <w:rsid w:val="00922967"/>
    <w:rsid w:val="00930747"/>
    <w:rsid w:val="0093318B"/>
    <w:rsid w:val="00941CC7"/>
    <w:rsid w:val="00945258"/>
    <w:rsid w:val="00955A4E"/>
    <w:rsid w:val="00965C3E"/>
    <w:rsid w:val="009751D4"/>
    <w:rsid w:val="0097752D"/>
    <w:rsid w:val="00982436"/>
    <w:rsid w:val="00990ED8"/>
    <w:rsid w:val="00991902"/>
    <w:rsid w:val="009A1CB3"/>
    <w:rsid w:val="009A7D74"/>
    <w:rsid w:val="009C2DBD"/>
    <w:rsid w:val="009D5B9E"/>
    <w:rsid w:val="009D6A81"/>
    <w:rsid w:val="009E5743"/>
    <w:rsid w:val="009F2C70"/>
    <w:rsid w:val="009F4C9E"/>
    <w:rsid w:val="00A133F0"/>
    <w:rsid w:val="00A14C92"/>
    <w:rsid w:val="00A237B0"/>
    <w:rsid w:val="00A30453"/>
    <w:rsid w:val="00A30DD7"/>
    <w:rsid w:val="00A30FAA"/>
    <w:rsid w:val="00A332EB"/>
    <w:rsid w:val="00A337C5"/>
    <w:rsid w:val="00A35165"/>
    <w:rsid w:val="00A36A88"/>
    <w:rsid w:val="00A41CC5"/>
    <w:rsid w:val="00A449AE"/>
    <w:rsid w:val="00A53054"/>
    <w:rsid w:val="00A56DD4"/>
    <w:rsid w:val="00A57954"/>
    <w:rsid w:val="00A61229"/>
    <w:rsid w:val="00A76BFC"/>
    <w:rsid w:val="00A81B47"/>
    <w:rsid w:val="00A92899"/>
    <w:rsid w:val="00AA4BB0"/>
    <w:rsid w:val="00AB02ED"/>
    <w:rsid w:val="00AB219A"/>
    <w:rsid w:val="00AB36B7"/>
    <w:rsid w:val="00AB5874"/>
    <w:rsid w:val="00AE1D2E"/>
    <w:rsid w:val="00AE2D01"/>
    <w:rsid w:val="00AE68F2"/>
    <w:rsid w:val="00AE6AAB"/>
    <w:rsid w:val="00AE7ABD"/>
    <w:rsid w:val="00B01344"/>
    <w:rsid w:val="00B05801"/>
    <w:rsid w:val="00B11A2B"/>
    <w:rsid w:val="00B131D2"/>
    <w:rsid w:val="00B13DA4"/>
    <w:rsid w:val="00B14055"/>
    <w:rsid w:val="00B16AFA"/>
    <w:rsid w:val="00B30BA1"/>
    <w:rsid w:val="00B314B8"/>
    <w:rsid w:val="00B365AE"/>
    <w:rsid w:val="00B41197"/>
    <w:rsid w:val="00B41A68"/>
    <w:rsid w:val="00B45510"/>
    <w:rsid w:val="00B5031A"/>
    <w:rsid w:val="00B50D11"/>
    <w:rsid w:val="00B610E2"/>
    <w:rsid w:val="00B64753"/>
    <w:rsid w:val="00B64FE7"/>
    <w:rsid w:val="00B73558"/>
    <w:rsid w:val="00B749E3"/>
    <w:rsid w:val="00B807B1"/>
    <w:rsid w:val="00B8396D"/>
    <w:rsid w:val="00B8419A"/>
    <w:rsid w:val="00B857A9"/>
    <w:rsid w:val="00B879A8"/>
    <w:rsid w:val="00B93044"/>
    <w:rsid w:val="00B957CE"/>
    <w:rsid w:val="00B96718"/>
    <w:rsid w:val="00B96DEA"/>
    <w:rsid w:val="00BA2F1F"/>
    <w:rsid w:val="00BA555A"/>
    <w:rsid w:val="00BB04ED"/>
    <w:rsid w:val="00BB175C"/>
    <w:rsid w:val="00BC5977"/>
    <w:rsid w:val="00BE4B4D"/>
    <w:rsid w:val="00BE685D"/>
    <w:rsid w:val="00BE780B"/>
    <w:rsid w:val="00BF0B38"/>
    <w:rsid w:val="00BF1230"/>
    <w:rsid w:val="00BF3D78"/>
    <w:rsid w:val="00C01867"/>
    <w:rsid w:val="00C12068"/>
    <w:rsid w:val="00C135F3"/>
    <w:rsid w:val="00C15F5B"/>
    <w:rsid w:val="00C21630"/>
    <w:rsid w:val="00C3048D"/>
    <w:rsid w:val="00C337F6"/>
    <w:rsid w:val="00C35ED4"/>
    <w:rsid w:val="00C37F78"/>
    <w:rsid w:val="00C42060"/>
    <w:rsid w:val="00C5253F"/>
    <w:rsid w:val="00C56721"/>
    <w:rsid w:val="00C6231E"/>
    <w:rsid w:val="00C748B6"/>
    <w:rsid w:val="00C76A1A"/>
    <w:rsid w:val="00C777A1"/>
    <w:rsid w:val="00C825ED"/>
    <w:rsid w:val="00C91EE2"/>
    <w:rsid w:val="00C963DB"/>
    <w:rsid w:val="00C96C71"/>
    <w:rsid w:val="00CA081B"/>
    <w:rsid w:val="00CA6C62"/>
    <w:rsid w:val="00CA766F"/>
    <w:rsid w:val="00CA7930"/>
    <w:rsid w:val="00CB00E4"/>
    <w:rsid w:val="00CB74B2"/>
    <w:rsid w:val="00CC45DB"/>
    <w:rsid w:val="00CD3717"/>
    <w:rsid w:val="00CD6100"/>
    <w:rsid w:val="00CE29AA"/>
    <w:rsid w:val="00CE3432"/>
    <w:rsid w:val="00CF0DDF"/>
    <w:rsid w:val="00CF548B"/>
    <w:rsid w:val="00CF64F7"/>
    <w:rsid w:val="00D00224"/>
    <w:rsid w:val="00D0077B"/>
    <w:rsid w:val="00D10B03"/>
    <w:rsid w:val="00D1484B"/>
    <w:rsid w:val="00D1528C"/>
    <w:rsid w:val="00D21564"/>
    <w:rsid w:val="00D228B8"/>
    <w:rsid w:val="00D23EFD"/>
    <w:rsid w:val="00D252D4"/>
    <w:rsid w:val="00D2618F"/>
    <w:rsid w:val="00D27567"/>
    <w:rsid w:val="00D35AF4"/>
    <w:rsid w:val="00D41EC0"/>
    <w:rsid w:val="00D45408"/>
    <w:rsid w:val="00D45F27"/>
    <w:rsid w:val="00D4639C"/>
    <w:rsid w:val="00D600A0"/>
    <w:rsid w:val="00D60A48"/>
    <w:rsid w:val="00D81361"/>
    <w:rsid w:val="00D84059"/>
    <w:rsid w:val="00D847CC"/>
    <w:rsid w:val="00DA29E7"/>
    <w:rsid w:val="00DA3BB5"/>
    <w:rsid w:val="00DA4362"/>
    <w:rsid w:val="00DB270F"/>
    <w:rsid w:val="00DB639D"/>
    <w:rsid w:val="00DC2AFB"/>
    <w:rsid w:val="00DC3107"/>
    <w:rsid w:val="00DD153A"/>
    <w:rsid w:val="00DD4256"/>
    <w:rsid w:val="00DE7EE3"/>
    <w:rsid w:val="00DF16CF"/>
    <w:rsid w:val="00DF2041"/>
    <w:rsid w:val="00DF49C1"/>
    <w:rsid w:val="00E11C30"/>
    <w:rsid w:val="00E13C9D"/>
    <w:rsid w:val="00E20543"/>
    <w:rsid w:val="00E217A6"/>
    <w:rsid w:val="00E249EE"/>
    <w:rsid w:val="00E27A6F"/>
    <w:rsid w:val="00E27D30"/>
    <w:rsid w:val="00E31F5B"/>
    <w:rsid w:val="00E348D0"/>
    <w:rsid w:val="00E403E2"/>
    <w:rsid w:val="00E40C37"/>
    <w:rsid w:val="00E41108"/>
    <w:rsid w:val="00E4187F"/>
    <w:rsid w:val="00E45BF9"/>
    <w:rsid w:val="00E461C2"/>
    <w:rsid w:val="00E51706"/>
    <w:rsid w:val="00E523ED"/>
    <w:rsid w:val="00E534C6"/>
    <w:rsid w:val="00E67EDD"/>
    <w:rsid w:val="00E8337D"/>
    <w:rsid w:val="00E83CE6"/>
    <w:rsid w:val="00E854CC"/>
    <w:rsid w:val="00E87106"/>
    <w:rsid w:val="00E877F6"/>
    <w:rsid w:val="00E878EC"/>
    <w:rsid w:val="00E9135D"/>
    <w:rsid w:val="00E92505"/>
    <w:rsid w:val="00E958C7"/>
    <w:rsid w:val="00E9658B"/>
    <w:rsid w:val="00EA4BCD"/>
    <w:rsid w:val="00EA60BC"/>
    <w:rsid w:val="00EB49F7"/>
    <w:rsid w:val="00EB74C8"/>
    <w:rsid w:val="00EC037D"/>
    <w:rsid w:val="00EC21E8"/>
    <w:rsid w:val="00EC399E"/>
    <w:rsid w:val="00EC5D7A"/>
    <w:rsid w:val="00ED57A2"/>
    <w:rsid w:val="00EE7EF3"/>
    <w:rsid w:val="00EF5C69"/>
    <w:rsid w:val="00F10C31"/>
    <w:rsid w:val="00F21364"/>
    <w:rsid w:val="00F2201A"/>
    <w:rsid w:val="00F30650"/>
    <w:rsid w:val="00F40000"/>
    <w:rsid w:val="00F40D32"/>
    <w:rsid w:val="00F54C7F"/>
    <w:rsid w:val="00F5555B"/>
    <w:rsid w:val="00F61D70"/>
    <w:rsid w:val="00F711DA"/>
    <w:rsid w:val="00F719EF"/>
    <w:rsid w:val="00F71F15"/>
    <w:rsid w:val="00F844FE"/>
    <w:rsid w:val="00F85A1A"/>
    <w:rsid w:val="00F86447"/>
    <w:rsid w:val="00F90203"/>
    <w:rsid w:val="00F934CE"/>
    <w:rsid w:val="00F93D9F"/>
    <w:rsid w:val="00F947BA"/>
    <w:rsid w:val="00F95C5F"/>
    <w:rsid w:val="00F96AAD"/>
    <w:rsid w:val="00F97EEF"/>
    <w:rsid w:val="00F97F6E"/>
    <w:rsid w:val="00FA178A"/>
    <w:rsid w:val="00FB5A96"/>
    <w:rsid w:val="00FC04BA"/>
    <w:rsid w:val="00FC185D"/>
    <w:rsid w:val="00FC7C3B"/>
    <w:rsid w:val="00FD6C72"/>
    <w:rsid w:val="00FF0833"/>
    <w:rsid w:val="00FF2DA2"/>
    <w:rsid w:val="011C4C7F"/>
    <w:rsid w:val="014B4812"/>
    <w:rsid w:val="01B363F3"/>
    <w:rsid w:val="01C80FA9"/>
    <w:rsid w:val="01CE73D4"/>
    <w:rsid w:val="025C54FE"/>
    <w:rsid w:val="0269454C"/>
    <w:rsid w:val="027E4AD2"/>
    <w:rsid w:val="02995C54"/>
    <w:rsid w:val="02A91D81"/>
    <w:rsid w:val="02BA6934"/>
    <w:rsid w:val="02C210B8"/>
    <w:rsid w:val="02D32D4A"/>
    <w:rsid w:val="03425F94"/>
    <w:rsid w:val="035823EF"/>
    <w:rsid w:val="035B02B5"/>
    <w:rsid w:val="036B299B"/>
    <w:rsid w:val="038F0F77"/>
    <w:rsid w:val="03CB5271"/>
    <w:rsid w:val="03E96DC2"/>
    <w:rsid w:val="03F46D1C"/>
    <w:rsid w:val="046D6BF4"/>
    <w:rsid w:val="04803C08"/>
    <w:rsid w:val="049E4BA8"/>
    <w:rsid w:val="04BA0D70"/>
    <w:rsid w:val="04E452F2"/>
    <w:rsid w:val="05001BD2"/>
    <w:rsid w:val="05634469"/>
    <w:rsid w:val="058D7469"/>
    <w:rsid w:val="05B05653"/>
    <w:rsid w:val="060B105A"/>
    <w:rsid w:val="063469A7"/>
    <w:rsid w:val="063D6490"/>
    <w:rsid w:val="06596E81"/>
    <w:rsid w:val="069277BC"/>
    <w:rsid w:val="06AB4C7D"/>
    <w:rsid w:val="06BA3AD3"/>
    <w:rsid w:val="06D76DC6"/>
    <w:rsid w:val="06E40C21"/>
    <w:rsid w:val="07202492"/>
    <w:rsid w:val="078A03D3"/>
    <w:rsid w:val="078D612F"/>
    <w:rsid w:val="07AA129F"/>
    <w:rsid w:val="07C326E4"/>
    <w:rsid w:val="080A7038"/>
    <w:rsid w:val="085409E1"/>
    <w:rsid w:val="089C2AF8"/>
    <w:rsid w:val="08A258B7"/>
    <w:rsid w:val="08BE5A0D"/>
    <w:rsid w:val="08DD1507"/>
    <w:rsid w:val="08FA3D1C"/>
    <w:rsid w:val="091F2047"/>
    <w:rsid w:val="091F7ACF"/>
    <w:rsid w:val="092645A6"/>
    <w:rsid w:val="09270FE0"/>
    <w:rsid w:val="09317DA5"/>
    <w:rsid w:val="097034F9"/>
    <w:rsid w:val="09931095"/>
    <w:rsid w:val="099C619C"/>
    <w:rsid w:val="09CC374F"/>
    <w:rsid w:val="09E43A08"/>
    <w:rsid w:val="09EE1557"/>
    <w:rsid w:val="0A041BCA"/>
    <w:rsid w:val="0A4619C9"/>
    <w:rsid w:val="0A546930"/>
    <w:rsid w:val="0AC2787D"/>
    <w:rsid w:val="0AE35B95"/>
    <w:rsid w:val="0B15593F"/>
    <w:rsid w:val="0B187AA4"/>
    <w:rsid w:val="0B1E5B7D"/>
    <w:rsid w:val="0B3C0E5D"/>
    <w:rsid w:val="0B495659"/>
    <w:rsid w:val="0B774DAD"/>
    <w:rsid w:val="0B78462F"/>
    <w:rsid w:val="0B9928A7"/>
    <w:rsid w:val="0B9C2483"/>
    <w:rsid w:val="0BB418D2"/>
    <w:rsid w:val="0BCF74D5"/>
    <w:rsid w:val="0BD05C86"/>
    <w:rsid w:val="0BDB51C7"/>
    <w:rsid w:val="0BFC21E1"/>
    <w:rsid w:val="0BFF5482"/>
    <w:rsid w:val="0C3B7FA7"/>
    <w:rsid w:val="0C6F1891"/>
    <w:rsid w:val="0C9871F8"/>
    <w:rsid w:val="0C9D40A7"/>
    <w:rsid w:val="0CB56E80"/>
    <w:rsid w:val="0CB94340"/>
    <w:rsid w:val="0CDB6E1A"/>
    <w:rsid w:val="0CE47D58"/>
    <w:rsid w:val="0CF67B5B"/>
    <w:rsid w:val="0D2C5A88"/>
    <w:rsid w:val="0D5656DC"/>
    <w:rsid w:val="0DAC048D"/>
    <w:rsid w:val="0DD37CDA"/>
    <w:rsid w:val="0DED68DE"/>
    <w:rsid w:val="0DF513F2"/>
    <w:rsid w:val="0E1D3F4D"/>
    <w:rsid w:val="0E335850"/>
    <w:rsid w:val="0E390140"/>
    <w:rsid w:val="0E461E6F"/>
    <w:rsid w:val="0E6757CB"/>
    <w:rsid w:val="0E825D58"/>
    <w:rsid w:val="0E920377"/>
    <w:rsid w:val="0EB00614"/>
    <w:rsid w:val="0EDB04B4"/>
    <w:rsid w:val="0F512D90"/>
    <w:rsid w:val="0F533B62"/>
    <w:rsid w:val="0F5A2762"/>
    <w:rsid w:val="0F656DAC"/>
    <w:rsid w:val="0F9F3E84"/>
    <w:rsid w:val="0FC32353"/>
    <w:rsid w:val="102D753D"/>
    <w:rsid w:val="10857989"/>
    <w:rsid w:val="1105102C"/>
    <w:rsid w:val="114C616A"/>
    <w:rsid w:val="116F23E8"/>
    <w:rsid w:val="11B764BF"/>
    <w:rsid w:val="12273BDB"/>
    <w:rsid w:val="124526C0"/>
    <w:rsid w:val="126A28CC"/>
    <w:rsid w:val="12835354"/>
    <w:rsid w:val="12883E66"/>
    <w:rsid w:val="128C5C52"/>
    <w:rsid w:val="12A51AA6"/>
    <w:rsid w:val="12CD25A9"/>
    <w:rsid w:val="12CF53FF"/>
    <w:rsid w:val="130416A6"/>
    <w:rsid w:val="13224767"/>
    <w:rsid w:val="132D3FF0"/>
    <w:rsid w:val="138041D7"/>
    <w:rsid w:val="139324CF"/>
    <w:rsid w:val="139521EB"/>
    <w:rsid w:val="139E1F67"/>
    <w:rsid w:val="13AC7061"/>
    <w:rsid w:val="13C766BE"/>
    <w:rsid w:val="14367341"/>
    <w:rsid w:val="1442214C"/>
    <w:rsid w:val="14647B6D"/>
    <w:rsid w:val="150A7EDC"/>
    <w:rsid w:val="150B0B5A"/>
    <w:rsid w:val="153A32A6"/>
    <w:rsid w:val="154E157D"/>
    <w:rsid w:val="15815D2E"/>
    <w:rsid w:val="15896C78"/>
    <w:rsid w:val="159B6AC9"/>
    <w:rsid w:val="15B42E0A"/>
    <w:rsid w:val="16162AAF"/>
    <w:rsid w:val="16175B24"/>
    <w:rsid w:val="162F6482"/>
    <w:rsid w:val="16773880"/>
    <w:rsid w:val="169734D2"/>
    <w:rsid w:val="169B71F6"/>
    <w:rsid w:val="16A444D2"/>
    <w:rsid w:val="16F85CE1"/>
    <w:rsid w:val="175B5F63"/>
    <w:rsid w:val="1812608A"/>
    <w:rsid w:val="181D7B31"/>
    <w:rsid w:val="1841417D"/>
    <w:rsid w:val="18CD5A60"/>
    <w:rsid w:val="19095F28"/>
    <w:rsid w:val="191415B6"/>
    <w:rsid w:val="199249FB"/>
    <w:rsid w:val="19AD5601"/>
    <w:rsid w:val="19BE5CBA"/>
    <w:rsid w:val="19D87802"/>
    <w:rsid w:val="1A080C22"/>
    <w:rsid w:val="1AE951B4"/>
    <w:rsid w:val="1AF10AE4"/>
    <w:rsid w:val="1B0378EE"/>
    <w:rsid w:val="1B0E0DFD"/>
    <w:rsid w:val="1B230152"/>
    <w:rsid w:val="1B236CE9"/>
    <w:rsid w:val="1B5A5DFD"/>
    <w:rsid w:val="1BD25FD3"/>
    <w:rsid w:val="1BFA347A"/>
    <w:rsid w:val="1C075305"/>
    <w:rsid w:val="1C0957EB"/>
    <w:rsid w:val="1C411AD3"/>
    <w:rsid w:val="1C60423A"/>
    <w:rsid w:val="1CB83BD0"/>
    <w:rsid w:val="1CDA4872"/>
    <w:rsid w:val="1CE35B5A"/>
    <w:rsid w:val="1CF92C17"/>
    <w:rsid w:val="1D3C0463"/>
    <w:rsid w:val="1D5F4223"/>
    <w:rsid w:val="1DAF309B"/>
    <w:rsid w:val="1DB803D9"/>
    <w:rsid w:val="1DDC382B"/>
    <w:rsid w:val="1E1D3EB7"/>
    <w:rsid w:val="1E2D2D1A"/>
    <w:rsid w:val="1E34104A"/>
    <w:rsid w:val="1E5379D2"/>
    <w:rsid w:val="1E5C5BE9"/>
    <w:rsid w:val="1EA27F3D"/>
    <w:rsid w:val="1EB07A9E"/>
    <w:rsid w:val="1F792D8B"/>
    <w:rsid w:val="1F8F5FC9"/>
    <w:rsid w:val="1F982BE9"/>
    <w:rsid w:val="1FA703DA"/>
    <w:rsid w:val="1FB428A3"/>
    <w:rsid w:val="1FC346AD"/>
    <w:rsid w:val="1FC85AE5"/>
    <w:rsid w:val="1FF42BFE"/>
    <w:rsid w:val="20043C15"/>
    <w:rsid w:val="2009009E"/>
    <w:rsid w:val="201E681E"/>
    <w:rsid w:val="203B0065"/>
    <w:rsid w:val="20495655"/>
    <w:rsid w:val="20640157"/>
    <w:rsid w:val="20A951E7"/>
    <w:rsid w:val="20B16140"/>
    <w:rsid w:val="215138B9"/>
    <w:rsid w:val="21721D33"/>
    <w:rsid w:val="21D6182A"/>
    <w:rsid w:val="21F33593"/>
    <w:rsid w:val="223421DF"/>
    <w:rsid w:val="232A1CBF"/>
    <w:rsid w:val="23DC2956"/>
    <w:rsid w:val="23FE5216"/>
    <w:rsid w:val="24556069"/>
    <w:rsid w:val="24633FFF"/>
    <w:rsid w:val="24CC1C76"/>
    <w:rsid w:val="250643F3"/>
    <w:rsid w:val="250B1F23"/>
    <w:rsid w:val="250C2C90"/>
    <w:rsid w:val="2512692B"/>
    <w:rsid w:val="251F73B0"/>
    <w:rsid w:val="25317973"/>
    <w:rsid w:val="255B1B35"/>
    <w:rsid w:val="258E3A20"/>
    <w:rsid w:val="25FB1D6E"/>
    <w:rsid w:val="26040EDB"/>
    <w:rsid w:val="26094DF2"/>
    <w:rsid w:val="262E0310"/>
    <w:rsid w:val="26415148"/>
    <w:rsid w:val="271447FE"/>
    <w:rsid w:val="277F571A"/>
    <w:rsid w:val="27E74B51"/>
    <w:rsid w:val="27EC4AFA"/>
    <w:rsid w:val="283B59AE"/>
    <w:rsid w:val="284023ED"/>
    <w:rsid w:val="28560E25"/>
    <w:rsid w:val="286E59E0"/>
    <w:rsid w:val="28F96A36"/>
    <w:rsid w:val="290C3564"/>
    <w:rsid w:val="291365CB"/>
    <w:rsid w:val="2932338E"/>
    <w:rsid w:val="296D39DC"/>
    <w:rsid w:val="29822356"/>
    <w:rsid w:val="298B4C0D"/>
    <w:rsid w:val="299206CF"/>
    <w:rsid w:val="29FF4028"/>
    <w:rsid w:val="2A31659B"/>
    <w:rsid w:val="2A3C553C"/>
    <w:rsid w:val="2A69148D"/>
    <w:rsid w:val="2A6A0FF3"/>
    <w:rsid w:val="2A6C1BCD"/>
    <w:rsid w:val="2AA202CC"/>
    <w:rsid w:val="2AD6349F"/>
    <w:rsid w:val="2B0671A8"/>
    <w:rsid w:val="2B0D52B8"/>
    <w:rsid w:val="2B4812AD"/>
    <w:rsid w:val="2B7F53B6"/>
    <w:rsid w:val="2B9E27CA"/>
    <w:rsid w:val="2BDD3D0B"/>
    <w:rsid w:val="2C072AF1"/>
    <w:rsid w:val="2C4906BF"/>
    <w:rsid w:val="2CAF5BEA"/>
    <w:rsid w:val="2CC80CB4"/>
    <w:rsid w:val="2CE73448"/>
    <w:rsid w:val="2CFE2B46"/>
    <w:rsid w:val="2D084314"/>
    <w:rsid w:val="2D11636C"/>
    <w:rsid w:val="2D4F75E0"/>
    <w:rsid w:val="2D670B8E"/>
    <w:rsid w:val="2DBB17E7"/>
    <w:rsid w:val="2E136530"/>
    <w:rsid w:val="2E1D2C1A"/>
    <w:rsid w:val="2E6101E5"/>
    <w:rsid w:val="2EC35EE0"/>
    <w:rsid w:val="2EE13B05"/>
    <w:rsid w:val="2EE30ED1"/>
    <w:rsid w:val="2EEA47A0"/>
    <w:rsid w:val="2F0078CF"/>
    <w:rsid w:val="2F2275EB"/>
    <w:rsid w:val="2F291BE4"/>
    <w:rsid w:val="2F340201"/>
    <w:rsid w:val="2F5A537D"/>
    <w:rsid w:val="2F6C2420"/>
    <w:rsid w:val="2F6D3E7E"/>
    <w:rsid w:val="2F810CF9"/>
    <w:rsid w:val="2F9607A5"/>
    <w:rsid w:val="2FC9458F"/>
    <w:rsid w:val="2FEF3421"/>
    <w:rsid w:val="2FF85C85"/>
    <w:rsid w:val="2FF863D5"/>
    <w:rsid w:val="300636F8"/>
    <w:rsid w:val="305E5AD8"/>
    <w:rsid w:val="30C10CB3"/>
    <w:rsid w:val="30E03C65"/>
    <w:rsid w:val="30E1465C"/>
    <w:rsid w:val="30E520BA"/>
    <w:rsid w:val="31050A17"/>
    <w:rsid w:val="31923753"/>
    <w:rsid w:val="31AC152D"/>
    <w:rsid w:val="320209E2"/>
    <w:rsid w:val="320E432C"/>
    <w:rsid w:val="32136CB0"/>
    <w:rsid w:val="32270B10"/>
    <w:rsid w:val="32396B85"/>
    <w:rsid w:val="32684BC7"/>
    <w:rsid w:val="326D0A60"/>
    <w:rsid w:val="32720B17"/>
    <w:rsid w:val="32941A4A"/>
    <w:rsid w:val="32D62F7F"/>
    <w:rsid w:val="32E067EB"/>
    <w:rsid w:val="33002B00"/>
    <w:rsid w:val="33016D90"/>
    <w:rsid w:val="3331037A"/>
    <w:rsid w:val="337A31F7"/>
    <w:rsid w:val="33CB43EC"/>
    <w:rsid w:val="33E42934"/>
    <w:rsid w:val="33F7460D"/>
    <w:rsid w:val="3483721B"/>
    <w:rsid w:val="34893712"/>
    <w:rsid w:val="34B8000E"/>
    <w:rsid w:val="34CC4FAD"/>
    <w:rsid w:val="34F2477A"/>
    <w:rsid w:val="35B77495"/>
    <w:rsid w:val="35DA3A24"/>
    <w:rsid w:val="35DB30A5"/>
    <w:rsid w:val="36254BEA"/>
    <w:rsid w:val="36261059"/>
    <w:rsid w:val="362A43D3"/>
    <w:rsid w:val="36646A31"/>
    <w:rsid w:val="366E3CCD"/>
    <w:rsid w:val="366F170D"/>
    <w:rsid w:val="3682133B"/>
    <w:rsid w:val="36ED3BF1"/>
    <w:rsid w:val="372C4EB1"/>
    <w:rsid w:val="37532AEE"/>
    <w:rsid w:val="3783181B"/>
    <w:rsid w:val="37930C31"/>
    <w:rsid w:val="37E7298C"/>
    <w:rsid w:val="38286398"/>
    <w:rsid w:val="383472AD"/>
    <w:rsid w:val="385E7B3B"/>
    <w:rsid w:val="39011F25"/>
    <w:rsid w:val="39213E15"/>
    <w:rsid w:val="396629C1"/>
    <w:rsid w:val="397E0146"/>
    <w:rsid w:val="39847D63"/>
    <w:rsid w:val="39BA29C0"/>
    <w:rsid w:val="39CA1539"/>
    <w:rsid w:val="3A685869"/>
    <w:rsid w:val="3A7F5A5F"/>
    <w:rsid w:val="3AC30F2B"/>
    <w:rsid w:val="3AC351D7"/>
    <w:rsid w:val="3AE45FEB"/>
    <w:rsid w:val="3B9D59DC"/>
    <w:rsid w:val="3BA76C45"/>
    <w:rsid w:val="3BFE2DD6"/>
    <w:rsid w:val="3C24317F"/>
    <w:rsid w:val="3C283159"/>
    <w:rsid w:val="3C862E5B"/>
    <w:rsid w:val="3CB40895"/>
    <w:rsid w:val="3CDF279A"/>
    <w:rsid w:val="3CEE70F6"/>
    <w:rsid w:val="3CF83CD1"/>
    <w:rsid w:val="3D443BEA"/>
    <w:rsid w:val="3D6529E4"/>
    <w:rsid w:val="3D8E5820"/>
    <w:rsid w:val="3DD2135D"/>
    <w:rsid w:val="3E210E67"/>
    <w:rsid w:val="3E4A3E52"/>
    <w:rsid w:val="3E8035EB"/>
    <w:rsid w:val="3E803D84"/>
    <w:rsid w:val="3E92331D"/>
    <w:rsid w:val="3EF229B7"/>
    <w:rsid w:val="3F6A36EC"/>
    <w:rsid w:val="3FB63B92"/>
    <w:rsid w:val="40081827"/>
    <w:rsid w:val="401B7039"/>
    <w:rsid w:val="403373C8"/>
    <w:rsid w:val="40971A56"/>
    <w:rsid w:val="40BC64BA"/>
    <w:rsid w:val="412A0D01"/>
    <w:rsid w:val="414118CA"/>
    <w:rsid w:val="414C69E7"/>
    <w:rsid w:val="41973F50"/>
    <w:rsid w:val="42226516"/>
    <w:rsid w:val="42286A20"/>
    <w:rsid w:val="422F5A74"/>
    <w:rsid w:val="42B07DD8"/>
    <w:rsid w:val="431E42A3"/>
    <w:rsid w:val="433E3BE3"/>
    <w:rsid w:val="438211FC"/>
    <w:rsid w:val="43B508E5"/>
    <w:rsid w:val="43D450D0"/>
    <w:rsid w:val="443F010C"/>
    <w:rsid w:val="44A309CF"/>
    <w:rsid w:val="44B91A17"/>
    <w:rsid w:val="44C317DC"/>
    <w:rsid w:val="44D50A1F"/>
    <w:rsid w:val="44D523D5"/>
    <w:rsid w:val="453E7C6C"/>
    <w:rsid w:val="455F51BF"/>
    <w:rsid w:val="45D64208"/>
    <w:rsid w:val="460576F2"/>
    <w:rsid w:val="46357CFB"/>
    <w:rsid w:val="46774415"/>
    <w:rsid w:val="46D0108E"/>
    <w:rsid w:val="46EF558D"/>
    <w:rsid w:val="46F12304"/>
    <w:rsid w:val="47056884"/>
    <w:rsid w:val="470D728E"/>
    <w:rsid w:val="47231877"/>
    <w:rsid w:val="4738649C"/>
    <w:rsid w:val="476F5AAC"/>
    <w:rsid w:val="479A6058"/>
    <w:rsid w:val="47A02E51"/>
    <w:rsid w:val="47D9460F"/>
    <w:rsid w:val="481D1CF7"/>
    <w:rsid w:val="48286871"/>
    <w:rsid w:val="482F4443"/>
    <w:rsid w:val="48CD4DD8"/>
    <w:rsid w:val="48DA78FF"/>
    <w:rsid w:val="48F45DA8"/>
    <w:rsid w:val="48F520E6"/>
    <w:rsid w:val="49223294"/>
    <w:rsid w:val="49321008"/>
    <w:rsid w:val="49467FBD"/>
    <w:rsid w:val="49BD7A6C"/>
    <w:rsid w:val="4A0771C9"/>
    <w:rsid w:val="4A23196D"/>
    <w:rsid w:val="4A453D38"/>
    <w:rsid w:val="4A615C7B"/>
    <w:rsid w:val="4A626F3A"/>
    <w:rsid w:val="4A8E0727"/>
    <w:rsid w:val="4AB36055"/>
    <w:rsid w:val="4AC2776A"/>
    <w:rsid w:val="4BCD71F4"/>
    <w:rsid w:val="4C174274"/>
    <w:rsid w:val="4C290598"/>
    <w:rsid w:val="4C5669B6"/>
    <w:rsid w:val="4C5B22F6"/>
    <w:rsid w:val="4CA00787"/>
    <w:rsid w:val="4CCD68DE"/>
    <w:rsid w:val="4CCE7C76"/>
    <w:rsid w:val="4CE66EE2"/>
    <w:rsid w:val="4CEC7DA9"/>
    <w:rsid w:val="4D0614F2"/>
    <w:rsid w:val="4D0C69C4"/>
    <w:rsid w:val="4D2206A6"/>
    <w:rsid w:val="4D635F45"/>
    <w:rsid w:val="4DAF6B10"/>
    <w:rsid w:val="4DB65632"/>
    <w:rsid w:val="4DDD3130"/>
    <w:rsid w:val="4E026F8F"/>
    <w:rsid w:val="4E7E78BB"/>
    <w:rsid w:val="4EB270FD"/>
    <w:rsid w:val="4EFE13EC"/>
    <w:rsid w:val="4F0029D2"/>
    <w:rsid w:val="4F4734EC"/>
    <w:rsid w:val="4F5E6FAE"/>
    <w:rsid w:val="4F8D6993"/>
    <w:rsid w:val="4F994BDA"/>
    <w:rsid w:val="4FA21DF4"/>
    <w:rsid w:val="4FCE5F50"/>
    <w:rsid w:val="4FEC7575"/>
    <w:rsid w:val="50163079"/>
    <w:rsid w:val="504D1F02"/>
    <w:rsid w:val="505718DF"/>
    <w:rsid w:val="50980B2B"/>
    <w:rsid w:val="50A754E9"/>
    <w:rsid w:val="50BA221E"/>
    <w:rsid w:val="50C2298B"/>
    <w:rsid w:val="511E438A"/>
    <w:rsid w:val="516546AB"/>
    <w:rsid w:val="518F70AB"/>
    <w:rsid w:val="51A26A06"/>
    <w:rsid w:val="51AB0B29"/>
    <w:rsid w:val="51BF3EA1"/>
    <w:rsid w:val="51DB20B0"/>
    <w:rsid w:val="51DD6CCE"/>
    <w:rsid w:val="52020133"/>
    <w:rsid w:val="52272DF2"/>
    <w:rsid w:val="52524C16"/>
    <w:rsid w:val="5276699A"/>
    <w:rsid w:val="52872EED"/>
    <w:rsid w:val="52C16A16"/>
    <w:rsid w:val="52C20788"/>
    <w:rsid w:val="52E80913"/>
    <w:rsid w:val="535E0FA2"/>
    <w:rsid w:val="53D537A3"/>
    <w:rsid w:val="53DE2188"/>
    <w:rsid w:val="53EB0018"/>
    <w:rsid w:val="53F17B99"/>
    <w:rsid w:val="54243367"/>
    <w:rsid w:val="546C45BC"/>
    <w:rsid w:val="549B2A1C"/>
    <w:rsid w:val="54AF45BB"/>
    <w:rsid w:val="550E6904"/>
    <w:rsid w:val="553A3F3E"/>
    <w:rsid w:val="55570796"/>
    <w:rsid w:val="55696540"/>
    <w:rsid w:val="559A0EEB"/>
    <w:rsid w:val="55FB25A4"/>
    <w:rsid w:val="56017BA2"/>
    <w:rsid w:val="56113E12"/>
    <w:rsid w:val="56712306"/>
    <w:rsid w:val="568A3EAF"/>
    <w:rsid w:val="56C34AE4"/>
    <w:rsid w:val="57181393"/>
    <w:rsid w:val="572134A2"/>
    <w:rsid w:val="575702BB"/>
    <w:rsid w:val="58357814"/>
    <w:rsid w:val="583765B8"/>
    <w:rsid w:val="58EF5B08"/>
    <w:rsid w:val="58FB3BBE"/>
    <w:rsid w:val="592657FB"/>
    <w:rsid w:val="592871F8"/>
    <w:rsid w:val="592E2046"/>
    <w:rsid w:val="59381C0C"/>
    <w:rsid w:val="594B4712"/>
    <w:rsid w:val="595079D6"/>
    <w:rsid w:val="59567593"/>
    <w:rsid w:val="598160D2"/>
    <w:rsid w:val="59A80584"/>
    <w:rsid w:val="59E93117"/>
    <w:rsid w:val="5A0453AA"/>
    <w:rsid w:val="5A916C1A"/>
    <w:rsid w:val="5A9422DF"/>
    <w:rsid w:val="5AD91150"/>
    <w:rsid w:val="5AE666A8"/>
    <w:rsid w:val="5B47238A"/>
    <w:rsid w:val="5B6B0689"/>
    <w:rsid w:val="5B6E3309"/>
    <w:rsid w:val="5B7C3729"/>
    <w:rsid w:val="5BD53A55"/>
    <w:rsid w:val="5C5C6C96"/>
    <w:rsid w:val="5C771D97"/>
    <w:rsid w:val="5CE52EE3"/>
    <w:rsid w:val="5D2164F6"/>
    <w:rsid w:val="5D3E56AC"/>
    <w:rsid w:val="5D617BF5"/>
    <w:rsid w:val="5D7702CC"/>
    <w:rsid w:val="5D8746CA"/>
    <w:rsid w:val="5D9A20FF"/>
    <w:rsid w:val="5DE02AF6"/>
    <w:rsid w:val="5E175897"/>
    <w:rsid w:val="5E17699D"/>
    <w:rsid w:val="5E1F5427"/>
    <w:rsid w:val="5EC40C4A"/>
    <w:rsid w:val="5EDF7428"/>
    <w:rsid w:val="5EF55E19"/>
    <w:rsid w:val="5F274D2E"/>
    <w:rsid w:val="5F3E56DF"/>
    <w:rsid w:val="5F4927CD"/>
    <w:rsid w:val="5F6D18FF"/>
    <w:rsid w:val="5F761363"/>
    <w:rsid w:val="5FAE5246"/>
    <w:rsid w:val="60113230"/>
    <w:rsid w:val="602C7C8F"/>
    <w:rsid w:val="603C1651"/>
    <w:rsid w:val="60504780"/>
    <w:rsid w:val="605A0475"/>
    <w:rsid w:val="609212A5"/>
    <w:rsid w:val="609934F7"/>
    <w:rsid w:val="60C3772A"/>
    <w:rsid w:val="60F96FB4"/>
    <w:rsid w:val="61170943"/>
    <w:rsid w:val="611B6263"/>
    <w:rsid w:val="61232A7A"/>
    <w:rsid w:val="612C7AC8"/>
    <w:rsid w:val="61322C38"/>
    <w:rsid w:val="61542B50"/>
    <w:rsid w:val="6190540C"/>
    <w:rsid w:val="61A15771"/>
    <w:rsid w:val="61B87049"/>
    <w:rsid w:val="61C4749C"/>
    <w:rsid w:val="61E167E1"/>
    <w:rsid w:val="61E55117"/>
    <w:rsid w:val="61FC379A"/>
    <w:rsid w:val="62101E04"/>
    <w:rsid w:val="6255081B"/>
    <w:rsid w:val="627631A3"/>
    <w:rsid w:val="62B42502"/>
    <w:rsid w:val="62E476AB"/>
    <w:rsid w:val="62EC4C78"/>
    <w:rsid w:val="62F64A62"/>
    <w:rsid w:val="63030692"/>
    <w:rsid w:val="635C54A5"/>
    <w:rsid w:val="636303EB"/>
    <w:rsid w:val="638967DC"/>
    <w:rsid w:val="63964348"/>
    <w:rsid w:val="64305E79"/>
    <w:rsid w:val="64430863"/>
    <w:rsid w:val="64BC47D5"/>
    <w:rsid w:val="64F046DD"/>
    <w:rsid w:val="64FB2366"/>
    <w:rsid w:val="654D2ECE"/>
    <w:rsid w:val="65714578"/>
    <w:rsid w:val="6596167C"/>
    <w:rsid w:val="65BD5DD3"/>
    <w:rsid w:val="65E0570F"/>
    <w:rsid w:val="66314AD3"/>
    <w:rsid w:val="669B70C1"/>
    <w:rsid w:val="66BD6B05"/>
    <w:rsid w:val="670F5A5C"/>
    <w:rsid w:val="67294E59"/>
    <w:rsid w:val="6743700C"/>
    <w:rsid w:val="67450A3F"/>
    <w:rsid w:val="676663B4"/>
    <w:rsid w:val="67B71AD3"/>
    <w:rsid w:val="67C5526C"/>
    <w:rsid w:val="67C61961"/>
    <w:rsid w:val="67DB09F2"/>
    <w:rsid w:val="688B7CD2"/>
    <w:rsid w:val="68EA0337"/>
    <w:rsid w:val="6910094B"/>
    <w:rsid w:val="691561BE"/>
    <w:rsid w:val="691937FC"/>
    <w:rsid w:val="69286279"/>
    <w:rsid w:val="6943651E"/>
    <w:rsid w:val="69463F4C"/>
    <w:rsid w:val="696A1EFC"/>
    <w:rsid w:val="69837162"/>
    <w:rsid w:val="69BC749C"/>
    <w:rsid w:val="69C71D8C"/>
    <w:rsid w:val="6A1B4873"/>
    <w:rsid w:val="6A5D03F8"/>
    <w:rsid w:val="6A8405AD"/>
    <w:rsid w:val="6ACD01D2"/>
    <w:rsid w:val="6ACF4C74"/>
    <w:rsid w:val="6B574F02"/>
    <w:rsid w:val="6B93115B"/>
    <w:rsid w:val="6B970DCD"/>
    <w:rsid w:val="6BEB3EBC"/>
    <w:rsid w:val="6C1513A7"/>
    <w:rsid w:val="6C4E1F86"/>
    <w:rsid w:val="6C5C562E"/>
    <w:rsid w:val="6CF979DF"/>
    <w:rsid w:val="6D365409"/>
    <w:rsid w:val="6D566054"/>
    <w:rsid w:val="6D6C240E"/>
    <w:rsid w:val="6D7A4C87"/>
    <w:rsid w:val="6DD34C8B"/>
    <w:rsid w:val="6DF715B8"/>
    <w:rsid w:val="6E4D7CA6"/>
    <w:rsid w:val="6EB94A45"/>
    <w:rsid w:val="6EBC5E65"/>
    <w:rsid w:val="6EFA3247"/>
    <w:rsid w:val="6EFF278E"/>
    <w:rsid w:val="6F1365DB"/>
    <w:rsid w:val="6F1B3CD5"/>
    <w:rsid w:val="6F1C54ED"/>
    <w:rsid w:val="6F682AC1"/>
    <w:rsid w:val="6F926605"/>
    <w:rsid w:val="700F0386"/>
    <w:rsid w:val="702350D6"/>
    <w:rsid w:val="70B06D87"/>
    <w:rsid w:val="70BF19F5"/>
    <w:rsid w:val="71365D37"/>
    <w:rsid w:val="71BD2638"/>
    <w:rsid w:val="72096918"/>
    <w:rsid w:val="721A1B8A"/>
    <w:rsid w:val="72266FAD"/>
    <w:rsid w:val="723A6175"/>
    <w:rsid w:val="7270142D"/>
    <w:rsid w:val="728E694C"/>
    <w:rsid w:val="729160F1"/>
    <w:rsid w:val="72E703C1"/>
    <w:rsid w:val="73051187"/>
    <w:rsid w:val="736A5B40"/>
    <w:rsid w:val="738F78A0"/>
    <w:rsid w:val="7390162E"/>
    <w:rsid w:val="740720CF"/>
    <w:rsid w:val="74534574"/>
    <w:rsid w:val="74623971"/>
    <w:rsid w:val="747620A6"/>
    <w:rsid w:val="74C60BAC"/>
    <w:rsid w:val="74E36535"/>
    <w:rsid w:val="75120483"/>
    <w:rsid w:val="751353DB"/>
    <w:rsid w:val="75234AFE"/>
    <w:rsid w:val="758451CC"/>
    <w:rsid w:val="75EC1CC5"/>
    <w:rsid w:val="75F46FEB"/>
    <w:rsid w:val="767D7C04"/>
    <w:rsid w:val="76A86389"/>
    <w:rsid w:val="76C35DF8"/>
    <w:rsid w:val="76E07B82"/>
    <w:rsid w:val="771B1C48"/>
    <w:rsid w:val="77302B6A"/>
    <w:rsid w:val="77626DFA"/>
    <w:rsid w:val="77AC0B85"/>
    <w:rsid w:val="77C049BB"/>
    <w:rsid w:val="781669B0"/>
    <w:rsid w:val="78774D1A"/>
    <w:rsid w:val="78B22EAC"/>
    <w:rsid w:val="78D7396B"/>
    <w:rsid w:val="78EC5858"/>
    <w:rsid w:val="7946098C"/>
    <w:rsid w:val="79557789"/>
    <w:rsid w:val="79992C0C"/>
    <w:rsid w:val="79AA2BDE"/>
    <w:rsid w:val="79C74208"/>
    <w:rsid w:val="79D42C06"/>
    <w:rsid w:val="7A37631C"/>
    <w:rsid w:val="7A3902D4"/>
    <w:rsid w:val="7A6254F0"/>
    <w:rsid w:val="7A666C01"/>
    <w:rsid w:val="7A754338"/>
    <w:rsid w:val="7AEC5399"/>
    <w:rsid w:val="7B093D18"/>
    <w:rsid w:val="7B4F75E7"/>
    <w:rsid w:val="7BD5587E"/>
    <w:rsid w:val="7C966599"/>
    <w:rsid w:val="7C993CA1"/>
    <w:rsid w:val="7CD25E7C"/>
    <w:rsid w:val="7D065D35"/>
    <w:rsid w:val="7EF02653"/>
    <w:rsid w:val="7F4270A3"/>
    <w:rsid w:val="7F4D6650"/>
    <w:rsid w:val="7F583170"/>
    <w:rsid w:val="7F962D09"/>
    <w:rsid w:val="7F973747"/>
    <w:rsid w:val="7FEC41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sz w:val="32"/>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customStyle="1" w:styleId="2">
    <w:name w:val="正文（首行缩进2字符）"/>
    <w:basedOn w:val="1"/>
    <w:qFormat/>
    <w:uiPriority w:val="0"/>
    <w:pPr>
      <w:ind w:firstLine="440"/>
    </w:pPr>
    <w:rPr>
      <w:rFonts w:ascii="宋体" w:hAnsi="宋体"/>
      <w:kern w:val="0"/>
      <w:sz w:val="22"/>
    </w:rPr>
  </w:style>
  <w:style w:type="paragraph" w:styleId="6">
    <w:name w:val="Normal Indent"/>
    <w:basedOn w:val="1"/>
    <w:next w:val="1"/>
    <w:qFormat/>
    <w:uiPriority w:val="0"/>
    <w:pPr>
      <w:spacing w:before="60"/>
      <w:ind w:firstLine="420" w:firstLineChars="200"/>
    </w:pPr>
  </w:style>
  <w:style w:type="paragraph" w:styleId="7">
    <w:name w:val="annotation text"/>
    <w:basedOn w:val="1"/>
    <w:qFormat/>
    <w:uiPriority w:val="0"/>
    <w:pPr>
      <w:jc w:val="left"/>
    </w:pPr>
  </w:style>
  <w:style w:type="paragraph" w:styleId="8">
    <w:name w:val="Body Text"/>
    <w:basedOn w:val="1"/>
    <w:next w:val="1"/>
    <w:qFormat/>
    <w:uiPriority w:val="0"/>
    <w:pPr>
      <w:spacing w:after="120"/>
    </w:pPr>
  </w:style>
  <w:style w:type="paragraph" w:styleId="9">
    <w:name w:val="Body Text Indent"/>
    <w:basedOn w:val="1"/>
    <w:qFormat/>
    <w:uiPriority w:val="0"/>
    <w:pPr>
      <w:adjustRightInd w:val="0"/>
      <w:snapToGrid w:val="0"/>
      <w:spacing w:line="360" w:lineRule="auto"/>
      <w:ind w:firstLine="560" w:firstLineChars="200"/>
    </w:pPr>
    <w:rPr>
      <w:rFonts w:ascii="宋体" w:hAnsi="宋体"/>
      <w:sz w:val="28"/>
    </w:rPr>
  </w:style>
  <w:style w:type="paragraph" w:styleId="10">
    <w:name w:val="Plain Text"/>
    <w:basedOn w:val="1"/>
    <w:link w:val="30"/>
    <w:qFormat/>
    <w:uiPriority w:val="0"/>
    <w:rPr>
      <w:rFonts w:ascii="宋体" w:hAnsi="Courier New"/>
    </w:rPr>
  </w:style>
  <w:style w:type="paragraph" w:styleId="11">
    <w:name w:val="Date"/>
    <w:basedOn w:val="1"/>
    <w:next w:val="1"/>
    <w:link w:val="31"/>
    <w:qFormat/>
    <w:uiPriority w:val="0"/>
    <w:pPr>
      <w:ind w:left="100" w:leftChars="2500"/>
    </w:pPr>
  </w:style>
  <w:style w:type="paragraph" w:styleId="12">
    <w:name w:val="Body Text Indent 2"/>
    <w:basedOn w:val="1"/>
    <w:qFormat/>
    <w:uiPriority w:val="0"/>
    <w:pPr>
      <w:spacing w:line="500" w:lineRule="exact"/>
      <w:ind w:firstLine="560" w:firstLineChars="200"/>
    </w:pPr>
    <w:rPr>
      <w:color w:val="000000"/>
      <w:sz w:val="28"/>
    </w:rPr>
  </w:style>
  <w:style w:type="paragraph" w:styleId="13">
    <w:name w:val="Balloon Text"/>
    <w:basedOn w:val="1"/>
    <w:link w:val="32"/>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link w:val="3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19">
    <w:name w:val="Title"/>
    <w:basedOn w:val="1"/>
    <w:next w:val="1"/>
    <w:qFormat/>
    <w:uiPriority w:val="10"/>
    <w:pPr>
      <w:spacing w:before="240" w:after="60"/>
      <w:jc w:val="center"/>
      <w:outlineLvl w:val="0"/>
    </w:pPr>
    <w:rPr>
      <w:rFonts w:ascii="Cambria" w:hAnsi="Cambria"/>
      <w:b/>
      <w:bCs/>
      <w:sz w:val="32"/>
      <w:szCs w:val="32"/>
    </w:rPr>
  </w:style>
  <w:style w:type="paragraph" w:styleId="20">
    <w:name w:val="Body Text First Indent 2"/>
    <w:basedOn w:val="9"/>
    <w:qFormat/>
    <w:uiPriority w:val="0"/>
    <w:pPr>
      <w:spacing w:line="240" w:lineRule="auto"/>
      <w:ind w:firstLine="420"/>
    </w:p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qFormat/>
    <w:uiPriority w:val="0"/>
    <w:rPr>
      <w:rFonts w:ascii="仿宋_GB2312" w:hAnsi="Tahoma" w:eastAsia="仿宋_GB2312"/>
      <w:kern w:val="2"/>
      <w:sz w:val="28"/>
      <w:szCs w:val="28"/>
      <w:lang w:val="en-US" w:eastAsia="zh-CN" w:bidi="ar-SA"/>
    </w:rPr>
  </w:style>
  <w:style w:type="character" w:styleId="26">
    <w:name w:val="FollowedHyperlink"/>
    <w:qFormat/>
    <w:uiPriority w:val="0"/>
    <w:rPr>
      <w:color w:val="999999"/>
      <w:u w:val="none"/>
    </w:rPr>
  </w:style>
  <w:style w:type="character" w:styleId="27">
    <w:name w:val="Emphasis"/>
    <w:qFormat/>
    <w:uiPriority w:val="0"/>
  </w:style>
  <w:style w:type="character" w:styleId="28">
    <w:name w:val="Hyperlink"/>
    <w:qFormat/>
    <w:uiPriority w:val="99"/>
    <w:rPr>
      <w:color w:val="999999"/>
      <w:u w:val="none"/>
    </w:rPr>
  </w:style>
  <w:style w:type="character" w:customStyle="1" w:styleId="29">
    <w:name w:val="标题 1 Char1"/>
    <w:link w:val="3"/>
    <w:qFormat/>
    <w:uiPriority w:val="0"/>
    <w:rPr>
      <w:b/>
      <w:bCs/>
      <w:kern w:val="44"/>
      <w:sz w:val="44"/>
      <w:szCs w:val="44"/>
    </w:rPr>
  </w:style>
  <w:style w:type="character" w:customStyle="1" w:styleId="30">
    <w:name w:val="纯文本 Char"/>
    <w:link w:val="10"/>
    <w:qFormat/>
    <w:uiPriority w:val="0"/>
    <w:rPr>
      <w:rFonts w:ascii="宋体" w:hAnsi="Courier New"/>
      <w:kern w:val="2"/>
      <w:sz w:val="21"/>
      <w:szCs w:val="24"/>
    </w:rPr>
  </w:style>
  <w:style w:type="character" w:customStyle="1" w:styleId="31">
    <w:name w:val="日期 Char"/>
    <w:link w:val="11"/>
    <w:qFormat/>
    <w:uiPriority w:val="0"/>
    <w:rPr>
      <w:kern w:val="2"/>
      <w:sz w:val="21"/>
      <w:szCs w:val="24"/>
    </w:rPr>
  </w:style>
  <w:style w:type="character" w:customStyle="1" w:styleId="32">
    <w:name w:val="批注框文本 Char"/>
    <w:link w:val="13"/>
    <w:qFormat/>
    <w:uiPriority w:val="0"/>
    <w:rPr>
      <w:kern w:val="2"/>
      <w:sz w:val="18"/>
      <w:szCs w:val="18"/>
    </w:rPr>
  </w:style>
  <w:style w:type="character" w:customStyle="1" w:styleId="33">
    <w:name w:val="页眉 Char"/>
    <w:link w:val="15"/>
    <w:qFormat/>
    <w:uiPriority w:val="99"/>
    <w:rPr>
      <w:kern w:val="2"/>
      <w:sz w:val="18"/>
      <w:szCs w:val="24"/>
    </w:rPr>
  </w:style>
  <w:style w:type="character" w:customStyle="1" w:styleId="34">
    <w:name w:val="标题 1 Char"/>
    <w:qFormat/>
    <w:uiPriority w:val="0"/>
    <w:rPr>
      <w:rFonts w:hint="default" w:ascii="Arial" w:hAnsi="Arial" w:eastAsia="宋体" w:cs="Arial"/>
      <w:bCs/>
      <w:kern w:val="32"/>
      <w:sz w:val="32"/>
      <w:szCs w:val="32"/>
      <w:lang w:val="en-US" w:eastAsia="zh-CN" w:bidi="ar-SA"/>
    </w:rPr>
  </w:style>
  <w:style w:type="character" w:customStyle="1" w:styleId="35">
    <w:name w:val="hui"/>
    <w:qFormat/>
    <w:uiPriority w:val="0"/>
    <w:rPr>
      <w:color w:val="999999"/>
    </w:rPr>
  </w:style>
  <w:style w:type="character" w:customStyle="1" w:styleId="36">
    <w:name w:val="HTML 打字机 New"/>
    <w:qFormat/>
    <w:uiPriority w:val="0"/>
    <w:rPr>
      <w:rFonts w:ascii="宋体" w:hAnsi="宋体" w:eastAsia="宋体" w:cs="宋体"/>
      <w:sz w:val="18"/>
      <w:szCs w:val="18"/>
    </w:rPr>
  </w:style>
  <w:style w:type="character" w:customStyle="1" w:styleId="37">
    <w:name w:val="font11"/>
    <w:qFormat/>
    <w:uiPriority w:val="0"/>
    <w:rPr>
      <w:rFonts w:hint="eastAsia" w:ascii="宋体" w:hAnsi="宋体" w:eastAsia="宋体" w:cs="宋体"/>
      <w:color w:val="000000"/>
      <w:sz w:val="21"/>
      <w:szCs w:val="21"/>
      <w:u w:val="none"/>
    </w:rPr>
  </w:style>
  <w:style w:type="character" w:customStyle="1" w:styleId="38">
    <w:name w:val="zt-lm1-r-t-xz1"/>
    <w:basedOn w:val="23"/>
    <w:qFormat/>
    <w:uiPriority w:val="0"/>
  </w:style>
  <w:style w:type="character" w:customStyle="1" w:styleId="39">
    <w:name w:val="zt-lm1-r-t-xz"/>
    <w:qFormat/>
    <w:uiPriority w:val="0"/>
    <w:rPr>
      <w:shd w:val="clear" w:color="auto" w:fill="0359A6"/>
    </w:rPr>
  </w:style>
  <w:style w:type="character" w:customStyle="1" w:styleId="40">
    <w:name w:val="zt-lm1-r-t-xz2"/>
    <w:basedOn w:val="23"/>
    <w:qFormat/>
    <w:uiPriority w:val="0"/>
  </w:style>
  <w:style w:type="character" w:customStyle="1" w:styleId="41">
    <w:name w:val="hui1"/>
    <w:qFormat/>
    <w:uiPriority w:val="0"/>
    <w:rPr>
      <w:color w:val="999999"/>
    </w:rPr>
  </w:style>
  <w:style w:type="character" w:customStyle="1" w:styleId="42">
    <w:name w:val="标题 1 Char2"/>
    <w:qFormat/>
    <w:uiPriority w:val="0"/>
    <w:rPr>
      <w:rFonts w:hint="default" w:ascii="Arial" w:hAnsi="Arial" w:eastAsia="宋体" w:cs="Arial"/>
      <w:bCs/>
      <w:kern w:val="32"/>
      <w:sz w:val="32"/>
      <w:szCs w:val="32"/>
      <w:lang w:val="en-US" w:eastAsia="zh-CN" w:bidi="ar-SA"/>
    </w:rPr>
  </w:style>
  <w:style w:type="character" w:customStyle="1" w:styleId="43">
    <w:name w:val="zx-xuan1"/>
    <w:qFormat/>
    <w:uiPriority w:val="0"/>
    <w:rPr>
      <w:rFonts w:ascii="Î¢ï¿½ï¿½ï¿½Åºï¿½" w:hAnsi="Î¢ï¿½ï¿½ï¿½Åºï¿½" w:eastAsia="Î¢ï¿½ï¿½ï¿½Åºï¿½" w:cs="Î¢ï¿½ï¿½ï¿½Åºï¿½"/>
      <w:color w:val="FFFFFF"/>
      <w:sz w:val="18"/>
      <w:szCs w:val="18"/>
      <w:shd w:val="clear" w:color="auto" w:fill="3F6ECF"/>
    </w:rPr>
  </w:style>
  <w:style w:type="character" w:customStyle="1" w:styleId="44">
    <w:name w:val="font01"/>
    <w:qFormat/>
    <w:uiPriority w:val="0"/>
    <w:rPr>
      <w:rFonts w:hint="eastAsia" w:ascii="宋体" w:hAnsi="宋体" w:eastAsia="宋体" w:cs="宋体"/>
      <w:color w:val="000000"/>
      <w:sz w:val="22"/>
      <w:szCs w:val="22"/>
      <w:u w:val="none"/>
    </w:rPr>
  </w:style>
  <w:style w:type="paragraph" w:customStyle="1" w:styleId="45">
    <w:name w:val="正文文本缩进1"/>
    <w:basedOn w:val="1"/>
    <w:qFormat/>
    <w:uiPriority w:val="0"/>
    <w:pPr>
      <w:autoSpaceDE w:val="0"/>
      <w:autoSpaceDN w:val="0"/>
      <w:spacing w:after="120"/>
      <w:ind w:left="420" w:leftChars="200"/>
      <w:jc w:val="left"/>
    </w:pPr>
    <w:rPr>
      <w:rFonts w:ascii="Calibri" w:hAnsi="Calibri" w:cs="Times New Roman"/>
      <w:kern w:val="0"/>
      <w:sz w:val="22"/>
      <w:szCs w:val="22"/>
    </w:rPr>
  </w:style>
  <w:style w:type="paragraph" w:customStyle="1" w:styleId="46">
    <w:name w:val="5"/>
    <w:basedOn w:val="1"/>
    <w:qFormat/>
    <w:uiPriority w:val="0"/>
    <w:pPr>
      <w:widowControl w:val="0"/>
      <w:autoSpaceDE w:val="0"/>
      <w:autoSpaceDN w:val="0"/>
      <w:adjustRightInd w:val="0"/>
    </w:pPr>
    <w:rPr>
      <w:rFonts w:ascii="宋体"/>
      <w:b/>
      <w:bCs/>
      <w:sz w:val="18"/>
      <w:szCs w:val="18"/>
    </w:rPr>
  </w:style>
  <w:style w:type="paragraph" w:customStyle="1" w:styleId="47">
    <w:name w:val="Char Char Char"/>
    <w:basedOn w:val="1"/>
    <w:qFormat/>
    <w:uiPriority w:val="0"/>
    <w:pPr>
      <w:widowControl/>
      <w:spacing w:after="160" w:line="240" w:lineRule="exact"/>
      <w:jc w:val="left"/>
    </w:pPr>
  </w:style>
  <w:style w:type="paragraph" w:customStyle="1" w:styleId="48">
    <w:name w:val="newstyle16"/>
    <w:basedOn w:val="1"/>
    <w:qFormat/>
    <w:uiPriority w:val="0"/>
    <w:pPr>
      <w:widowControl/>
      <w:jc w:val="left"/>
    </w:pPr>
    <w:rPr>
      <w:rFonts w:ascii="宋体" w:hAnsi="宋体" w:cs="宋体"/>
      <w:kern w:val="0"/>
      <w:sz w:val="24"/>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TOC 标题1"/>
    <w:basedOn w:val="3"/>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51">
    <w:name w:val="Char Char Char1"/>
    <w:basedOn w:val="1"/>
    <w:qFormat/>
    <w:uiPriority w:val="0"/>
    <w:pPr>
      <w:spacing w:line="400" w:lineRule="exact"/>
      <w:jc w:val="center"/>
    </w:pPr>
  </w:style>
  <w:style w:type="paragraph" w:customStyle="1" w:styleId="52">
    <w:name w:val="正文_0"/>
    <w:qFormat/>
    <w:uiPriority w:val="0"/>
    <w:rPr>
      <w:rFonts w:ascii="Times New Roman" w:hAnsi="Times New Roman" w:eastAsia="宋体" w:cs="Times New Roman"/>
      <w:sz w:val="21"/>
      <w:lang w:val="en-US" w:eastAsia="zh-CN" w:bidi="ar-SA"/>
    </w:rPr>
  </w:style>
  <w:style w:type="paragraph" w:customStyle="1" w:styleId="53">
    <w:name w:val="_Style 1"/>
    <w:basedOn w:val="1"/>
    <w:next w:val="1"/>
    <w:qFormat/>
    <w:uiPriority w:val="0"/>
    <w:pPr>
      <w:pBdr>
        <w:bottom w:val="single" w:color="auto" w:sz="6" w:space="1"/>
      </w:pBdr>
      <w:jc w:val="center"/>
    </w:pPr>
    <w:rPr>
      <w:rFonts w:ascii="Arial"/>
      <w:vanish/>
      <w:sz w:val="16"/>
    </w:rPr>
  </w:style>
  <w:style w:type="paragraph" w:customStyle="1" w:styleId="54">
    <w:name w:val="正文缩进_0"/>
    <w:basedOn w:val="52"/>
    <w:qFormat/>
    <w:uiPriority w:val="0"/>
    <w:pPr>
      <w:ind w:firstLine="420"/>
    </w:pPr>
    <w:rPr>
      <w:rFonts w:ascii="Calibri" w:hAnsi="Calibri"/>
      <w:sz w:val="20"/>
    </w:rPr>
  </w:style>
  <w:style w:type="paragraph" w:customStyle="1" w:styleId="55">
    <w:name w:val="HKIC表格正文左"/>
    <w:basedOn w:val="1"/>
    <w:qFormat/>
    <w:uiPriority w:val="0"/>
    <w:pPr>
      <w:spacing w:line="240" w:lineRule="exact"/>
      <w:jc w:val="left"/>
    </w:pPr>
    <w:rPr>
      <w:rFonts w:ascii="Arial" w:hAnsi="宋体"/>
      <w:kern w:val="0"/>
      <w:szCs w:val="21"/>
    </w:rPr>
  </w:style>
  <w:style w:type="paragraph" w:customStyle="1" w:styleId="56">
    <w:name w:val="正文格式"/>
    <w:basedOn w:val="1"/>
    <w:qFormat/>
    <w:uiPriority w:val="0"/>
    <w:pPr>
      <w:ind w:firstLine="567" w:firstLineChars="200"/>
    </w:pPr>
    <w:rPr>
      <w:sz w:val="28"/>
      <w:szCs w:val="20"/>
    </w:rPr>
  </w:style>
  <w:style w:type="paragraph" w:customStyle="1" w:styleId="57">
    <w:name w:val="_Style 3"/>
    <w:basedOn w:val="1"/>
    <w:next w:val="1"/>
    <w:qFormat/>
    <w:uiPriority w:val="0"/>
    <w:pPr>
      <w:pBdr>
        <w:top w:val="single" w:color="auto" w:sz="6" w:space="1"/>
      </w:pBdr>
      <w:jc w:val="center"/>
    </w:pPr>
    <w:rPr>
      <w:rFonts w:ascii="Arial"/>
      <w:vanish/>
      <w:sz w:val="16"/>
    </w:rPr>
  </w:style>
  <w:style w:type="paragraph" w:customStyle="1" w:styleId="58">
    <w:name w:val="表格文字"/>
    <w:basedOn w:val="1"/>
    <w:qFormat/>
    <w:uiPriority w:val="0"/>
    <w:pPr>
      <w:spacing w:before="25" w:after="25"/>
      <w:jc w:val="left"/>
    </w:pPr>
    <w:rPr>
      <w:bCs/>
      <w:spacing w:val="10"/>
      <w:kern w:val="0"/>
      <w:sz w:val="24"/>
      <w:szCs w:val="20"/>
    </w:rPr>
  </w:style>
  <w:style w:type="paragraph" w:customStyle="1" w:styleId="59">
    <w:name w:val="Table Paragraph"/>
    <w:basedOn w:val="1"/>
    <w:qFormat/>
    <w:uiPriority w:val="1"/>
  </w:style>
  <w:style w:type="paragraph" w:customStyle="1" w:styleId="60">
    <w:name w:val="普通 (Web)"/>
    <w:basedOn w:val="1"/>
    <w:qFormat/>
    <w:uiPriority w:val="0"/>
    <w:pPr>
      <w:widowControl/>
      <w:spacing w:before="100" w:beforeAutospacing="1" w:after="100" w:afterAutospacing="1"/>
      <w:jc w:val="left"/>
    </w:pPr>
    <w:rPr>
      <w:rFonts w:ascii="宋体" w:hAnsi="宋体"/>
      <w:color w:val="000000"/>
      <w:kern w:val="0"/>
      <w:sz w:val="24"/>
      <w:szCs w:val="20"/>
    </w:rPr>
  </w:style>
  <w:style w:type="paragraph" w:customStyle="1" w:styleId="61">
    <w:name w:val="p0"/>
    <w:basedOn w:val="1"/>
    <w:qFormat/>
    <w:uiPriority w:val="0"/>
    <w:pPr>
      <w:widowControl/>
    </w:pPr>
    <w:rPr>
      <w:kern w:val="0"/>
      <w:szCs w:val="21"/>
    </w:rPr>
  </w:style>
  <w:style w:type="paragraph" w:customStyle="1" w:styleId="62">
    <w:name w:val="正文首行缩进两字符"/>
    <w:basedOn w:val="1"/>
    <w:qFormat/>
    <w:uiPriority w:val="0"/>
    <w:pPr>
      <w:spacing w:line="360" w:lineRule="auto"/>
      <w:ind w:firstLine="200" w:firstLineChars="200"/>
    </w:pPr>
  </w:style>
  <w:style w:type="paragraph" w:customStyle="1" w:styleId="63">
    <w:name w:val="样式1"/>
    <w:basedOn w:val="1"/>
    <w:qFormat/>
    <w:uiPriority w:val="0"/>
    <w:pPr>
      <w:tabs>
        <w:tab w:val="left" w:pos="709"/>
      </w:tabs>
      <w:adjustRightInd w:val="0"/>
      <w:ind w:left="709" w:hanging="709"/>
      <w:textAlignment w:val="baseline"/>
    </w:pPr>
    <w:rPr>
      <w:rFonts w:ascii="宋体" w:hAnsi="宋体"/>
      <w:kern w:val="0"/>
    </w:rPr>
  </w:style>
  <w:style w:type="paragraph" w:customStyle="1" w:styleId="64">
    <w:name w:val="无间隔2"/>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48</Pages>
  <Words>18945</Words>
  <Characters>20081</Characters>
  <Lines>170</Lines>
  <Paragraphs>48</Paragraphs>
  <TotalTime>0</TotalTime>
  <ScaleCrop>false</ScaleCrop>
  <LinksUpToDate>false</LinksUpToDate>
  <CharactersWithSpaces>22712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2022-04-05T17:33:00Z</dcterms:created>
  <dc:creator>海南政源招标代理有限公司</dc:creator>
  <cp:lastModifiedBy>zhuque</cp:lastModifiedBy>
  <cp:lastPrinted>2021-08-09T01:07:00Z</cp:lastPrinted>
  <dcterms:modified xsi:type="dcterms:W3CDTF">2022-07-17T08:36:25Z</dcterms:modified>
  <dc:subject>公开招标采购文件</dc:subject>
  <dc:title>公开招标范本初稿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625245169FE1447FB615A8CDC2359EFB</vt:lpwstr>
  </property>
  <property fmtid="{D5CDD505-2E9C-101B-9397-08002B2CF9AE}" pid="3" name="KSOProductBuildVer">
    <vt:lpwstr>2052-11.1.0.9740</vt:lpwstr>
  </property>
</Properties>
</file>