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宋体" w:asciiTheme="minorEastAsia" w:hAnsiTheme="minorEastAsia" w:eastAsiaTheme="minorEastAsia"/>
          <w:b/>
          <w:bCs/>
          <w:color w:val="auto"/>
          <w:sz w:val="56"/>
          <w:szCs w:val="28"/>
        </w:rPr>
      </w:pPr>
    </w:p>
    <w:p>
      <w:pPr>
        <w:pStyle w:val="24"/>
        <w:ind w:left="420" w:firstLine="1124"/>
        <w:jc w:val="center"/>
        <w:rPr>
          <w:rFonts w:cs="宋体" w:asciiTheme="minorEastAsia" w:hAnsiTheme="minorEastAsia" w:eastAsiaTheme="minorEastAsia"/>
          <w:b/>
          <w:bCs/>
          <w:color w:val="auto"/>
          <w:sz w:val="56"/>
          <w:szCs w:val="32"/>
          <w:lang w:eastAsia="zh-CN"/>
        </w:rPr>
      </w:pPr>
      <w:r>
        <w:rPr>
          <w:rFonts w:hint="eastAsia" w:cs="宋体" w:asciiTheme="minorEastAsia" w:hAnsiTheme="minorEastAsia" w:eastAsiaTheme="minorEastAsia"/>
          <w:b/>
          <w:bCs/>
          <w:color w:val="auto"/>
          <w:sz w:val="56"/>
          <w:szCs w:val="32"/>
          <w:lang w:eastAsia="zh-CN"/>
        </w:rPr>
        <w:t>昌洒镇2022年环卫作业服务</w:t>
      </w:r>
    </w:p>
    <w:p>
      <w:pPr>
        <w:pStyle w:val="24"/>
        <w:ind w:left="420" w:firstLine="1124"/>
        <w:jc w:val="center"/>
        <w:rPr>
          <w:rFonts w:asciiTheme="minorEastAsia" w:hAnsiTheme="minorEastAsia" w:eastAsiaTheme="minorEastAsia"/>
          <w:color w:val="auto"/>
          <w:lang w:eastAsia="zh-CN"/>
        </w:rPr>
      </w:pPr>
      <w:r>
        <w:rPr>
          <w:rFonts w:hint="eastAsia" w:cs="宋体" w:asciiTheme="minorEastAsia" w:hAnsiTheme="minorEastAsia" w:eastAsiaTheme="minorEastAsia"/>
          <w:b/>
          <w:bCs/>
          <w:color w:val="auto"/>
          <w:sz w:val="56"/>
          <w:szCs w:val="32"/>
          <w:lang w:eastAsia="zh-CN"/>
        </w:rPr>
        <w:t>外包项目</w:t>
      </w:r>
    </w:p>
    <w:p>
      <w:pPr>
        <w:jc w:val="center"/>
        <w:rPr>
          <w:rFonts w:asciiTheme="minorEastAsia" w:hAnsiTheme="minorEastAsia" w:eastAsiaTheme="minorEastAsia"/>
          <w:b/>
          <w:color w:val="auto"/>
          <w:sz w:val="40"/>
          <w:szCs w:val="40"/>
        </w:rPr>
      </w:pPr>
    </w:p>
    <w:p>
      <w:pPr>
        <w:jc w:val="center"/>
        <w:rPr>
          <w:rFonts w:asciiTheme="minorEastAsia" w:hAnsiTheme="minorEastAsia" w:eastAsiaTheme="minorEastAsia"/>
          <w:b/>
          <w:color w:val="auto"/>
          <w:sz w:val="56"/>
          <w:szCs w:val="40"/>
        </w:rPr>
      </w:pPr>
    </w:p>
    <w:p>
      <w:pPr>
        <w:jc w:val="center"/>
        <w:rPr>
          <w:rFonts w:asciiTheme="minorEastAsia" w:hAnsiTheme="minorEastAsia" w:eastAsiaTheme="minorEastAsia"/>
          <w:b/>
          <w:color w:val="auto"/>
          <w:sz w:val="56"/>
          <w:szCs w:val="40"/>
        </w:rPr>
      </w:pPr>
    </w:p>
    <w:p>
      <w:pPr>
        <w:pStyle w:val="24"/>
        <w:ind w:left="0" w:leftChars="0" w:firstLine="0" w:firstLineChars="0"/>
        <w:rPr>
          <w:rFonts w:asciiTheme="minorEastAsia" w:hAnsiTheme="minorEastAsia" w:eastAsiaTheme="minorEastAsia"/>
          <w:b/>
          <w:color w:val="auto"/>
          <w:sz w:val="56"/>
          <w:szCs w:val="40"/>
          <w:lang w:eastAsia="zh-CN"/>
        </w:rPr>
      </w:pPr>
    </w:p>
    <w:p>
      <w:pPr>
        <w:jc w:val="center"/>
        <w:rPr>
          <w:rFonts w:asciiTheme="minorEastAsia" w:hAnsiTheme="minorEastAsia" w:eastAsiaTheme="minorEastAsia"/>
          <w:b/>
          <w:color w:val="auto"/>
          <w:sz w:val="96"/>
          <w:szCs w:val="48"/>
        </w:rPr>
      </w:pPr>
      <w:r>
        <w:rPr>
          <w:rFonts w:hint="eastAsia" w:asciiTheme="minorEastAsia" w:hAnsiTheme="minorEastAsia" w:eastAsiaTheme="minorEastAsia"/>
          <w:b/>
          <w:color w:val="auto"/>
          <w:sz w:val="56"/>
          <w:szCs w:val="40"/>
        </w:rPr>
        <w:t>竞争性</w:t>
      </w:r>
      <w:r>
        <w:rPr>
          <w:rFonts w:asciiTheme="minorEastAsia" w:hAnsiTheme="minorEastAsia" w:eastAsiaTheme="minorEastAsia"/>
          <w:b/>
          <w:color w:val="auto"/>
          <w:sz w:val="56"/>
          <w:szCs w:val="40"/>
        </w:rPr>
        <w:t>磋商文件</w:t>
      </w:r>
    </w:p>
    <w:p>
      <w:pPr>
        <w:spacing w:line="360" w:lineRule="auto"/>
        <w:rPr>
          <w:rFonts w:asciiTheme="minorEastAsia" w:hAnsiTheme="minorEastAsia" w:eastAsiaTheme="minorEastAsia"/>
          <w:b/>
          <w:bCs/>
          <w:color w:val="auto"/>
          <w:sz w:val="30"/>
          <w:szCs w:val="30"/>
        </w:rPr>
      </w:pPr>
    </w:p>
    <w:p>
      <w:pPr>
        <w:spacing w:line="360" w:lineRule="auto"/>
        <w:rPr>
          <w:rFonts w:asciiTheme="minorEastAsia" w:hAnsiTheme="minorEastAsia" w:eastAsiaTheme="minorEastAsia"/>
          <w:b/>
          <w:bCs/>
          <w:color w:val="auto"/>
          <w:sz w:val="30"/>
          <w:szCs w:val="30"/>
        </w:rPr>
      </w:pPr>
    </w:p>
    <w:p>
      <w:pPr>
        <w:spacing w:line="360" w:lineRule="auto"/>
        <w:rPr>
          <w:rFonts w:asciiTheme="minorEastAsia" w:hAnsiTheme="minorEastAsia" w:eastAsiaTheme="minorEastAsia"/>
          <w:b/>
          <w:bCs/>
          <w:color w:val="auto"/>
          <w:sz w:val="30"/>
          <w:szCs w:val="30"/>
        </w:rPr>
      </w:pPr>
    </w:p>
    <w:p>
      <w:pPr>
        <w:pStyle w:val="24"/>
        <w:ind w:left="420" w:firstLine="420"/>
        <w:rPr>
          <w:rFonts w:asciiTheme="minorEastAsia" w:hAnsiTheme="minorEastAsia" w:eastAsiaTheme="minorEastAsia"/>
          <w:color w:val="auto"/>
          <w:lang w:eastAsia="zh-CN"/>
        </w:rPr>
      </w:pPr>
    </w:p>
    <w:p>
      <w:pPr>
        <w:pStyle w:val="24"/>
        <w:ind w:left="0" w:leftChars="0" w:firstLine="0" w:firstLineChars="0"/>
        <w:rPr>
          <w:rFonts w:asciiTheme="minorEastAsia" w:hAnsiTheme="minorEastAsia" w:eastAsiaTheme="minorEastAsia"/>
          <w:b/>
          <w:bCs/>
          <w:color w:val="auto"/>
          <w:sz w:val="30"/>
          <w:szCs w:val="30"/>
          <w:lang w:eastAsia="zh-CN"/>
        </w:rPr>
      </w:pPr>
    </w:p>
    <w:p>
      <w:pPr>
        <w:spacing w:line="30" w:lineRule="atLeast"/>
        <w:ind w:firstLine="1132" w:firstLineChars="376"/>
        <w:rPr>
          <w:rFonts w:hint="eastAsia" w:asciiTheme="minorEastAsia" w:hAnsiTheme="minorEastAsia" w:eastAsiaTheme="minorEastAsia"/>
          <w:b/>
          <w:bCs/>
          <w:color w:val="auto"/>
          <w:sz w:val="30"/>
          <w:szCs w:val="30"/>
          <w:lang w:eastAsia="zh-CN"/>
        </w:rPr>
      </w:pPr>
      <w:r>
        <w:rPr>
          <w:rFonts w:hint="eastAsia" w:asciiTheme="minorEastAsia" w:hAnsiTheme="minorEastAsia" w:eastAsiaTheme="minorEastAsia"/>
          <w:b/>
          <w:bCs/>
          <w:color w:val="auto"/>
          <w:sz w:val="30"/>
          <w:szCs w:val="30"/>
        </w:rPr>
        <w:t>采购编号：</w:t>
      </w:r>
      <w:r>
        <w:rPr>
          <w:rFonts w:hint="eastAsia" w:asciiTheme="minorEastAsia" w:hAnsiTheme="minorEastAsia" w:eastAsiaTheme="minorEastAsia"/>
          <w:b/>
          <w:bCs/>
          <w:color w:val="auto"/>
          <w:sz w:val="30"/>
          <w:szCs w:val="30"/>
          <w:lang w:eastAsia="zh-CN"/>
        </w:rPr>
        <w:t>HN-BL-2022-028</w:t>
      </w:r>
    </w:p>
    <w:p>
      <w:pPr>
        <w:spacing w:line="600" w:lineRule="auto"/>
        <w:ind w:firstLine="1132" w:firstLineChars="376"/>
        <w:rPr>
          <w:rFonts w:asciiTheme="minorEastAsia" w:hAnsiTheme="minorEastAsia" w:eastAsiaTheme="minorEastAsia"/>
          <w:b/>
          <w:bCs/>
          <w:color w:val="auto"/>
          <w:sz w:val="30"/>
          <w:szCs w:val="30"/>
        </w:rPr>
      </w:pPr>
      <w:r>
        <w:rPr>
          <w:rFonts w:asciiTheme="minorEastAsia" w:hAnsiTheme="minorEastAsia" w:eastAsiaTheme="minorEastAsia"/>
          <w:b/>
          <w:bCs/>
          <w:color w:val="auto"/>
          <w:spacing w:val="0"/>
          <w:kern w:val="0"/>
          <w:sz w:val="30"/>
          <w:szCs w:val="30"/>
          <w:fitText w:val="1200" w:id="149180242"/>
        </w:rPr>
        <w:t>采购人：</w:t>
      </w:r>
      <w:r>
        <w:rPr>
          <w:rFonts w:hint="eastAsia" w:asciiTheme="minorEastAsia" w:hAnsiTheme="minorEastAsia" w:eastAsiaTheme="minorEastAsia"/>
          <w:b/>
          <w:bCs/>
          <w:color w:val="auto"/>
          <w:sz w:val="30"/>
          <w:szCs w:val="30"/>
        </w:rPr>
        <w:t>文昌市昌洒镇人民政府</w:t>
      </w:r>
    </w:p>
    <w:p>
      <w:pPr>
        <w:spacing w:line="600" w:lineRule="auto"/>
        <w:ind w:firstLine="1132" w:firstLineChars="376"/>
        <w:rPr>
          <w:rFonts w:asciiTheme="minorEastAsia" w:hAnsiTheme="minorEastAsia" w:eastAsiaTheme="minorEastAsia"/>
          <w:color w:val="auto"/>
        </w:rPr>
      </w:pPr>
      <w:r>
        <w:rPr>
          <w:rFonts w:hint="eastAsia" w:asciiTheme="minorEastAsia" w:hAnsiTheme="minorEastAsia" w:eastAsiaTheme="minorEastAsia"/>
          <w:b/>
          <w:bCs/>
          <w:color w:val="auto"/>
          <w:sz w:val="30"/>
          <w:szCs w:val="30"/>
        </w:rPr>
        <w:t>采购代理机构：海南博林项目管理有限责任公司</w:t>
      </w:r>
    </w:p>
    <w:p>
      <w:pPr>
        <w:spacing w:line="600" w:lineRule="auto"/>
        <w:ind w:firstLine="2485" w:firstLineChars="825"/>
        <w:rPr>
          <w:rFonts w:asciiTheme="minorEastAsia" w:hAnsiTheme="minorEastAsia" w:eastAsiaTheme="minorEastAsia"/>
          <w:b/>
          <w:bCs/>
          <w:color w:val="auto"/>
          <w:sz w:val="30"/>
          <w:szCs w:val="30"/>
        </w:rPr>
        <w:sectPr>
          <w:footerReference r:id="rId5" w:type="first"/>
          <w:headerReference r:id="rId3" w:type="default"/>
          <w:footerReference r:id="rId4" w:type="default"/>
          <w:pgSz w:w="11850" w:h="16783"/>
          <w:pgMar w:top="1440" w:right="1080" w:bottom="1440" w:left="1080" w:header="851" w:footer="992" w:gutter="0"/>
          <w:cols w:space="425" w:num="1"/>
          <w:docGrid w:type="lines" w:linePitch="312" w:charSpace="0"/>
        </w:sectPr>
      </w:pPr>
      <w:r>
        <w:rPr>
          <w:rFonts w:hint="eastAsia" w:asciiTheme="minorEastAsia" w:hAnsiTheme="minorEastAsia" w:eastAsiaTheme="minorEastAsia"/>
          <w:b/>
          <w:bCs/>
          <w:color w:val="auto"/>
          <w:sz w:val="30"/>
          <w:szCs w:val="30"/>
        </w:rPr>
        <w:t>日期</w:t>
      </w:r>
      <w:r>
        <w:rPr>
          <w:rFonts w:asciiTheme="minorEastAsia" w:hAnsiTheme="minorEastAsia" w:eastAsiaTheme="minorEastAsia"/>
          <w:b/>
          <w:bCs/>
          <w:color w:val="auto"/>
          <w:sz w:val="30"/>
          <w:szCs w:val="30"/>
        </w:rPr>
        <w:t>：</w:t>
      </w:r>
      <w:r>
        <w:rPr>
          <w:rFonts w:hint="eastAsia" w:asciiTheme="minorEastAsia" w:hAnsiTheme="minorEastAsia" w:eastAsiaTheme="minorEastAsia"/>
          <w:b/>
          <w:bCs/>
          <w:color w:val="auto"/>
          <w:sz w:val="30"/>
          <w:szCs w:val="30"/>
        </w:rPr>
        <w:t>二〇二二年七月</w:t>
      </w:r>
    </w:p>
    <w:p>
      <w:pPr>
        <w:tabs>
          <w:tab w:val="left" w:pos="371"/>
        </w:tabs>
        <w:rPr>
          <w:rFonts w:asciiTheme="minorEastAsia" w:hAnsiTheme="minorEastAsia" w:eastAsiaTheme="minorEastAsia"/>
          <w:b/>
          <w:bCs/>
          <w:color w:val="auto"/>
          <w:sz w:val="30"/>
          <w:szCs w:val="30"/>
        </w:rPr>
      </w:pPr>
    </w:p>
    <w:p>
      <w:pPr>
        <w:jc w:val="center"/>
        <w:rPr>
          <w:rFonts w:cs="仿宋" w:asciiTheme="minorEastAsia" w:hAnsiTheme="minorEastAsia" w:eastAsiaTheme="minorEastAsia"/>
          <w:b/>
          <w:bCs/>
          <w:color w:val="auto"/>
          <w:sz w:val="44"/>
          <w:szCs w:val="40"/>
        </w:rPr>
      </w:pPr>
      <w:r>
        <w:rPr>
          <w:rFonts w:hint="eastAsia" w:cs="仿宋" w:asciiTheme="minorEastAsia" w:hAnsiTheme="minorEastAsia" w:eastAsiaTheme="minorEastAsia"/>
          <w:b/>
          <w:bCs/>
          <w:color w:val="auto"/>
          <w:sz w:val="44"/>
          <w:szCs w:val="40"/>
        </w:rPr>
        <w:t>目录</w:t>
      </w:r>
    </w:p>
    <w:p>
      <w:pPr>
        <w:pStyle w:val="20"/>
        <w:tabs>
          <w:tab w:val="right" w:leader="dot" w:pos="9680"/>
        </w:tabs>
        <w:rPr>
          <w:rFonts w:cs="黑体" w:asciiTheme="minorEastAsia" w:hAnsiTheme="minorEastAsia" w:eastAsiaTheme="minorEastAsia"/>
          <w:b w:val="0"/>
          <w:bCs w:val="0"/>
          <w:caps w:val="0"/>
          <w:color w:val="auto"/>
          <w:sz w:val="32"/>
          <w:szCs w:val="22"/>
        </w:rPr>
      </w:pPr>
      <w:r>
        <w:rPr>
          <w:rFonts w:hint="eastAsia" w:cs="仿宋" w:asciiTheme="minorEastAsia" w:hAnsiTheme="minorEastAsia" w:eastAsiaTheme="minorEastAsia"/>
          <w:b w:val="0"/>
          <w:bCs w:val="0"/>
          <w:color w:val="auto"/>
          <w:sz w:val="300"/>
          <w:szCs w:val="96"/>
        </w:rPr>
        <w:fldChar w:fldCharType="begin"/>
      </w:r>
      <w:r>
        <w:rPr>
          <w:rFonts w:hint="eastAsia" w:cs="仿宋" w:asciiTheme="minorEastAsia" w:hAnsiTheme="minorEastAsia" w:eastAsiaTheme="minorEastAsia"/>
          <w:b w:val="0"/>
          <w:bCs w:val="0"/>
          <w:color w:val="auto"/>
          <w:sz w:val="300"/>
          <w:szCs w:val="96"/>
        </w:rPr>
        <w:instrText xml:space="preserve">TOC \o "1-1" \h \u </w:instrText>
      </w:r>
      <w:r>
        <w:rPr>
          <w:rFonts w:hint="eastAsia" w:cs="仿宋" w:asciiTheme="minorEastAsia" w:hAnsiTheme="minorEastAsia" w:eastAsiaTheme="minorEastAsia"/>
          <w:b w:val="0"/>
          <w:bCs w:val="0"/>
          <w:color w:val="auto"/>
          <w:sz w:val="300"/>
          <w:szCs w:val="96"/>
        </w:rPr>
        <w:fldChar w:fldCharType="separate"/>
      </w:r>
      <w:r>
        <w:rPr>
          <w:color w:val="auto"/>
        </w:rPr>
        <w:fldChar w:fldCharType="begin"/>
      </w:r>
      <w:r>
        <w:rPr>
          <w:color w:val="auto"/>
        </w:rPr>
        <w:instrText xml:space="preserve"> HYPERLINK \l "_Toc89867396" </w:instrText>
      </w:r>
      <w:r>
        <w:rPr>
          <w:color w:val="auto"/>
        </w:rPr>
        <w:fldChar w:fldCharType="separate"/>
      </w:r>
      <w:r>
        <w:rPr>
          <w:rStyle w:val="30"/>
          <w:rFonts w:hint="eastAsia" w:asciiTheme="minorEastAsia" w:hAnsiTheme="minorEastAsia" w:eastAsiaTheme="minorEastAsia"/>
          <w:color w:val="auto"/>
          <w:sz w:val="24"/>
        </w:rPr>
        <w:t>第一章竞争性磋商公告</w:t>
      </w:r>
      <w:r>
        <w:rPr>
          <w:rFonts w:asciiTheme="minorEastAsia" w:hAnsiTheme="minorEastAsia" w:eastAsiaTheme="minorEastAsia"/>
          <w:color w:val="auto"/>
          <w:sz w:val="28"/>
        </w:rPr>
        <w:tab/>
      </w:r>
      <w:r>
        <w:rPr>
          <w:rFonts w:asciiTheme="minorEastAsia" w:hAnsiTheme="minorEastAsia" w:eastAsiaTheme="minorEastAsia"/>
          <w:color w:val="auto"/>
          <w:sz w:val="28"/>
        </w:rPr>
        <w:fldChar w:fldCharType="begin"/>
      </w:r>
      <w:r>
        <w:rPr>
          <w:rFonts w:asciiTheme="minorEastAsia" w:hAnsiTheme="minorEastAsia" w:eastAsiaTheme="minorEastAsia"/>
          <w:color w:val="auto"/>
          <w:sz w:val="28"/>
        </w:rPr>
        <w:instrText xml:space="preserve"> PAGEREF _Toc89867396 \h </w:instrText>
      </w:r>
      <w:r>
        <w:rPr>
          <w:rFonts w:asciiTheme="minorEastAsia" w:hAnsiTheme="minorEastAsia" w:eastAsiaTheme="minorEastAsia"/>
          <w:color w:val="auto"/>
          <w:sz w:val="28"/>
        </w:rPr>
        <w:fldChar w:fldCharType="separate"/>
      </w:r>
      <w:r>
        <w:rPr>
          <w:rFonts w:asciiTheme="minorEastAsia" w:hAnsiTheme="minorEastAsia" w:eastAsiaTheme="minorEastAsia"/>
          <w:color w:val="auto"/>
          <w:sz w:val="28"/>
        </w:rPr>
        <w:t>1</w:t>
      </w:r>
      <w:r>
        <w:rPr>
          <w:rFonts w:asciiTheme="minorEastAsia" w:hAnsiTheme="minorEastAsia" w:eastAsiaTheme="minorEastAsia"/>
          <w:color w:val="auto"/>
          <w:sz w:val="28"/>
        </w:rPr>
        <w:fldChar w:fldCharType="end"/>
      </w:r>
      <w:r>
        <w:rPr>
          <w:rFonts w:asciiTheme="minorEastAsia" w:hAnsiTheme="minorEastAsia" w:eastAsiaTheme="minorEastAsia"/>
          <w:color w:val="auto"/>
          <w:sz w:val="28"/>
        </w:rPr>
        <w:fldChar w:fldCharType="end"/>
      </w:r>
    </w:p>
    <w:p>
      <w:pPr>
        <w:pStyle w:val="20"/>
        <w:tabs>
          <w:tab w:val="right" w:leader="dot" w:pos="9680"/>
        </w:tabs>
        <w:rPr>
          <w:rFonts w:cs="黑体" w:asciiTheme="minorEastAsia" w:hAnsiTheme="minorEastAsia" w:eastAsiaTheme="minorEastAsia"/>
          <w:b w:val="0"/>
          <w:bCs w:val="0"/>
          <w:caps w:val="0"/>
          <w:color w:val="auto"/>
          <w:sz w:val="32"/>
          <w:szCs w:val="22"/>
        </w:rPr>
      </w:pPr>
      <w:r>
        <w:rPr>
          <w:color w:val="auto"/>
        </w:rPr>
        <w:fldChar w:fldCharType="begin"/>
      </w:r>
      <w:r>
        <w:rPr>
          <w:color w:val="auto"/>
        </w:rPr>
        <w:instrText xml:space="preserve"> HYPERLINK \l "_Toc89867397" </w:instrText>
      </w:r>
      <w:r>
        <w:rPr>
          <w:color w:val="auto"/>
        </w:rPr>
        <w:fldChar w:fldCharType="separate"/>
      </w:r>
      <w:r>
        <w:rPr>
          <w:rStyle w:val="30"/>
          <w:rFonts w:hint="eastAsia" w:cs="仿宋" w:asciiTheme="minorEastAsia" w:hAnsiTheme="minorEastAsia" w:eastAsiaTheme="minorEastAsia"/>
          <w:color w:val="auto"/>
          <w:sz w:val="24"/>
        </w:rPr>
        <w:t>第二章供应商须知</w:t>
      </w:r>
      <w:r>
        <w:rPr>
          <w:rFonts w:asciiTheme="minorEastAsia" w:hAnsiTheme="minorEastAsia" w:eastAsiaTheme="minorEastAsia"/>
          <w:color w:val="auto"/>
          <w:sz w:val="28"/>
        </w:rPr>
        <w:tab/>
      </w:r>
      <w:r>
        <w:rPr>
          <w:rFonts w:asciiTheme="minorEastAsia" w:hAnsiTheme="minorEastAsia" w:eastAsiaTheme="minorEastAsia"/>
          <w:color w:val="auto"/>
          <w:sz w:val="28"/>
        </w:rPr>
        <w:fldChar w:fldCharType="begin"/>
      </w:r>
      <w:r>
        <w:rPr>
          <w:rFonts w:asciiTheme="minorEastAsia" w:hAnsiTheme="minorEastAsia" w:eastAsiaTheme="minorEastAsia"/>
          <w:color w:val="auto"/>
          <w:sz w:val="28"/>
        </w:rPr>
        <w:instrText xml:space="preserve"> PAGEREF _Toc89867397 \h </w:instrText>
      </w:r>
      <w:r>
        <w:rPr>
          <w:rFonts w:asciiTheme="minorEastAsia" w:hAnsiTheme="minorEastAsia" w:eastAsiaTheme="minorEastAsia"/>
          <w:color w:val="auto"/>
          <w:sz w:val="28"/>
        </w:rPr>
        <w:fldChar w:fldCharType="separate"/>
      </w:r>
      <w:r>
        <w:rPr>
          <w:rFonts w:asciiTheme="minorEastAsia" w:hAnsiTheme="minorEastAsia" w:eastAsiaTheme="minorEastAsia"/>
          <w:color w:val="auto"/>
          <w:sz w:val="28"/>
        </w:rPr>
        <w:t>4</w:t>
      </w:r>
      <w:r>
        <w:rPr>
          <w:rFonts w:asciiTheme="minorEastAsia" w:hAnsiTheme="minorEastAsia" w:eastAsiaTheme="minorEastAsia"/>
          <w:color w:val="auto"/>
          <w:sz w:val="28"/>
        </w:rPr>
        <w:fldChar w:fldCharType="end"/>
      </w:r>
      <w:r>
        <w:rPr>
          <w:rFonts w:asciiTheme="minorEastAsia" w:hAnsiTheme="minorEastAsia" w:eastAsiaTheme="minorEastAsia"/>
          <w:color w:val="auto"/>
          <w:sz w:val="28"/>
        </w:rPr>
        <w:fldChar w:fldCharType="end"/>
      </w:r>
    </w:p>
    <w:p>
      <w:pPr>
        <w:pStyle w:val="20"/>
        <w:tabs>
          <w:tab w:val="right" w:leader="dot" w:pos="9680"/>
        </w:tabs>
        <w:rPr>
          <w:rFonts w:cs="黑体" w:asciiTheme="minorEastAsia" w:hAnsiTheme="minorEastAsia" w:eastAsiaTheme="minorEastAsia"/>
          <w:b w:val="0"/>
          <w:bCs w:val="0"/>
          <w:caps w:val="0"/>
          <w:color w:val="auto"/>
          <w:sz w:val="32"/>
          <w:szCs w:val="22"/>
        </w:rPr>
      </w:pPr>
      <w:r>
        <w:rPr>
          <w:color w:val="auto"/>
        </w:rPr>
        <w:fldChar w:fldCharType="begin"/>
      </w:r>
      <w:r>
        <w:rPr>
          <w:color w:val="auto"/>
        </w:rPr>
        <w:instrText xml:space="preserve"> HYPERLINK \l "_Toc89867398" </w:instrText>
      </w:r>
      <w:r>
        <w:rPr>
          <w:color w:val="auto"/>
        </w:rPr>
        <w:fldChar w:fldCharType="separate"/>
      </w:r>
      <w:r>
        <w:rPr>
          <w:rStyle w:val="30"/>
          <w:rFonts w:hint="eastAsia" w:asciiTheme="minorEastAsia" w:hAnsiTheme="minorEastAsia" w:eastAsiaTheme="minorEastAsia"/>
          <w:color w:val="auto"/>
          <w:sz w:val="24"/>
        </w:rPr>
        <w:t>第三章采购需求书</w:t>
      </w:r>
      <w:r>
        <w:rPr>
          <w:rFonts w:asciiTheme="minorEastAsia" w:hAnsiTheme="minorEastAsia" w:eastAsiaTheme="minorEastAsia"/>
          <w:color w:val="auto"/>
          <w:sz w:val="28"/>
        </w:rPr>
        <w:tab/>
      </w:r>
      <w:r>
        <w:rPr>
          <w:rFonts w:asciiTheme="minorEastAsia" w:hAnsiTheme="minorEastAsia" w:eastAsiaTheme="minorEastAsia"/>
          <w:color w:val="auto"/>
          <w:sz w:val="28"/>
        </w:rPr>
        <w:fldChar w:fldCharType="begin"/>
      </w:r>
      <w:r>
        <w:rPr>
          <w:rFonts w:asciiTheme="minorEastAsia" w:hAnsiTheme="minorEastAsia" w:eastAsiaTheme="minorEastAsia"/>
          <w:color w:val="auto"/>
          <w:sz w:val="28"/>
        </w:rPr>
        <w:instrText xml:space="preserve"> PAGEREF _Toc89867398 \h </w:instrText>
      </w:r>
      <w:r>
        <w:rPr>
          <w:rFonts w:asciiTheme="minorEastAsia" w:hAnsiTheme="minorEastAsia" w:eastAsiaTheme="minorEastAsia"/>
          <w:color w:val="auto"/>
          <w:sz w:val="28"/>
        </w:rPr>
        <w:fldChar w:fldCharType="separate"/>
      </w:r>
      <w:r>
        <w:rPr>
          <w:rFonts w:asciiTheme="minorEastAsia" w:hAnsiTheme="minorEastAsia" w:eastAsiaTheme="minorEastAsia"/>
          <w:color w:val="auto"/>
          <w:sz w:val="28"/>
        </w:rPr>
        <w:t>23</w:t>
      </w:r>
      <w:r>
        <w:rPr>
          <w:rFonts w:asciiTheme="minorEastAsia" w:hAnsiTheme="minorEastAsia" w:eastAsiaTheme="minorEastAsia"/>
          <w:color w:val="auto"/>
          <w:sz w:val="28"/>
        </w:rPr>
        <w:fldChar w:fldCharType="end"/>
      </w:r>
      <w:r>
        <w:rPr>
          <w:rFonts w:asciiTheme="minorEastAsia" w:hAnsiTheme="minorEastAsia" w:eastAsiaTheme="minorEastAsia"/>
          <w:color w:val="auto"/>
          <w:sz w:val="28"/>
        </w:rPr>
        <w:fldChar w:fldCharType="end"/>
      </w:r>
    </w:p>
    <w:p>
      <w:pPr>
        <w:pStyle w:val="20"/>
        <w:tabs>
          <w:tab w:val="right" w:leader="dot" w:pos="9680"/>
        </w:tabs>
        <w:rPr>
          <w:rFonts w:cs="黑体" w:asciiTheme="minorEastAsia" w:hAnsiTheme="minorEastAsia" w:eastAsiaTheme="minorEastAsia"/>
          <w:b w:val="0"/>
          <w:bCs w:val="0"/>
          <w:caps w:val="0"/>
          <w:color w:val="auto"/>
          <w:sz w:val="32"/>
          <w:szCs w:val="22"/>
        </w:rPr>
      </w:pPr>
      <w:r>
        <w:rPr>
          <w:color w:val="auto"/>
        </w:rPr>
        <w:fldChar w:fldCharType="begin"/>
      </w:r>
      <w:r>
        <w:rPr>
          <w:color w:val="auto"/>
        </w:rPr>
        <w:instrText xml:space="preserve"> HYPERLINK \l "_Toc89867399" </w:instrText>
      </w:r>
      <w:r>
        <w:rPr>
          <w:color w:val="auto"/>
        </w:rPr>
        <w:fldChar w:fldCharType="separate"/>
      </w:r>
      <w:r>
        <w:rPr>
          <w:rStyle w:val="30"/>
          <w:rFonts w:hint="eastAsia" w:asciiTheme="minorEastAsia" w:hAnsiTheme="minorEastAsia" w:eastAsiaTheme="minorEastAsia"/>
          <w:color w:val="auto"/>
          <w:sz w:val="24"/>
        </w:rPr>
        <w:t>第四章合同协议书</w:t>
      </w:r>
      <w:r>
        <w:rPr>
          <w:rFonts w:asciiTheme="minorEastAsia" w:hAnsiTheme="minorEastAsia" w:eastAsiaTheme="minorEastAsia"/>
          <w:color w:val="auto"/>
          <w:sz w:val="28"/>
        </w:rPr>
        <w:tab/>
      </w:r>
      <w:r>
        <w:rPr>
          <w:rFonts w:asciiTheme="minorEastAsia" w:hAnsiTheme="minorEastAsia" w:eastAsiaTheme="minorEastAsia"/>
          <w:color w:val="auto"/>
          <w:sz w:val="28"/>
        </w:rPr>
        <w:fldChar w:fldCharType="begin"/>
      </w:r>
      <w:r>
        <w:rPr>
          <w:rFonts w:asciiTheme="minorEastAsia" w:hAnsiTheme="minorEastAsia" w:eastAsiaTheme="minorEastAsia"/>
          <w:color w:val="auto"/>
          <w:sz w:val="28"/>
        </w:rPr>
        <w:instrText xml:space="preserve"> PAGEREF _Toc89867399 \h </w:instrText>
      </w:r>
      <w:r>
        <w:rPr>
          <w:rFonts w:asciiTheme="minorEastAsia" w:hAnsiTheme="minorEastAsia" w:eastAsiaTheme="minorEastAsia"/>
          <w:color w:val="auto"/>
          <w:sz w:val="28"/>
        </w:rPr>
        <w:fldChar w:fldCharType="separate"/>
      </w:r>
      <w:r>
        <w:rPr>
          <w:rFonts w:asciiTheme="minorEastAsia" w:hAnsiTheme="minorEastAsia" w:eastAsiaTheme="minorEastAsia"/>
          <w:color w:val="auto"/>
          <w:sz w:val="28"/>
        </w:rPr>
        <w:t>23</w:t>
      </w:r>
      <w:r>
        <w:rPr>
          <w:rFonts w:asciiTheme="minorEastAsia" w:hAnsiTheme="minorEastAsia" w:eastAsiaTheme="minorEastAsia"/>
          <w:color w:val="auto"/>
          <w:sz w:val="28"/>
        </w:rPr>
        <w:fldChar w:fldCharType="end"/>
      </w:r>
      <w:r>
        <w:rPr>
          <w:rFonts w:asciiTheme="minorEastAsia" w:hAnsiTheme="minorEastAsia" w:eastAsiaTheme="minorEastAsia"/>
          <w:color w:val="auto"/>
          <w:sz w:val="28"/>
        </w:rPr>
        <w:fldChar w:fldCharType="end"/>
      </w:r>
    </w:p>
    <w:p>
      <w:pPr>
        <w:pStyle w:val="20"/>
        <w:tabs>
          <w:tab w:val="right" w:leader="dot" w:pos="9680"/>
        </w:tabs>
        <w:rPr>
          <w:rFonts w:cs="黑体" w:asciiTheme="minorEastAsia" w:hAnsiTheme="minorEastAsia" w:eastAsiaTheme="minorEastAsia"/>
          <w:b w:val="0"/>
          <w:bCs w:val="0"/>
          <w:caps w:val="0"/>
          <w:color w:val="auto"/>
          <w:sz w:val="32"/>
          <w:szCs w:val="22"/>
        </w:rPr>
      </w:pPr>
      <w:r>
        <w:rPr>
          <w:color w:val="auto"/>
        </w:rPr>
        <w:fldChar w:fldCharType="begin"/>
      </w:r>
      <w:r>
        <w:rPr>
          <w:color w:val="auto"/>
        </w:rPr>
        <w:instrText xml:space="preserve"> HYPERLINK \l "_Toc89867401" </w:instrText>
      </w:r>
      <w:r>
        <w:rPr>
          <w:color w:val="auto"/>
        </w:rPr>
        <w:fldChar w:fldCharType="separate"/>
      </w:r>
      <w:r>
        <w:rPr>
          <w:rStyle w:val="30"/>
          <w:rFonts w:hint="eastAsia" w:asciiTheme="minorEastAsia" w:hAnsiTheme="minorEastAsia" w:eastAsiaTheme="minorEastAsia"/>
          <w:color w:val="auto"/>
          <w:sz w:val="24"/>
        </w:rPr>
        <w:t>第五章评标方法和标准</w:t>
      </w:r>
      <w:r>
        <w:rPr>
          <w:rFonts w:asciiTheme="minorEastAsia" w:hAnsiTheme="minorEastAsia" w:eastAsiaTheme="minorEastAsia"/>
          <w:color w:val="auto"/>
          <w:sz w:val="28"/>
        </w:rPr>
        <w:tab/>
      </w:r>
      <w:r>
        <w:rPr>
          <w:rFonts w:asciiTheme="minorEastAsia" w:hAnsiTheme="minorEastAsia" w:eastAsiaTheme="minorEastAsia"/>
          <w:color w:val="auto"/>
          <w:sz w:val="28"/>
        </w:rPr>
        <w:fldChar w:fldCharType="begin"/>
      </w:r>
      <w:r>
        <w:rPr>
          <w:rFonts w:asciiTheme="minorEastAsia" w:hAnsiTheme="minorEastAsia" w:eastAsiaTheme="minorEastAsia"/>
          <w:color w:val="auto"/>
          <w:sz w:val="28"/>
        </w:rPr>
        <w:instrText xml:space="preserve"> PAGEREF _Toc89867401 \h </w:instrText>
      </w:r>
      <w:r>
        <w:rPr>
          <w:rFonts w:asciiTheme="minorEastAsia" w:hAnsiTheme="minorEastAsia" w:eastAsiaTheme="minorEastAsia"/>
          <w:color w:val="auto"/>
          <w:sz w:val="28"/>
        </w:rPr>
        <w:fldChar w:fldCharType="separate"/>
      </w:r>
      <w:r>
        <w:rPr>
          <w:rFonts w:asciiTheme="minorEastAsia" w:hAnsiTheme="minorEastAsia" w:eastAsiaTheme="minorEastAsia"/>
          <w:color w:val="auto"/>
          <w:sz w:val="28"/>
        </w:rPr>
        <w:t>31</w:t>
      </w:r>
      <w:r>
        <w:rPr>
          <w:rFonts w:asciiTheme="minorEastAsia" w:hAnsiTheme="minorEastAsia" w:eastAsiaTheme="minorEastAsia"/>
          <w:color w:val="auto"/>
          <w:sz w:val="28"/>
        </w:rPr>
        <w:fldChar w:fldCharType="end"/>
      </w:r>
      <w:r>
        <w:rPr>
          <w:rFonts w:asciiTheme="minorEastAsia" w:hAnsiTheme="minorEastAsia" w:eastAsiaTheme="minorEastAsia"/>
          <w:color w:val="auto"/>
          <w:sz w:val="28"/>
        </w:rPr>
        <w:fldChar w:fldCharType="end"/>
      </w:r>
    </w:p>
    <w:p>
      <w:pPr>
        <w:pStyle w:val="20"/>
        <w:tabs>
          <w:tab w:val="right" w:leader="dot" w:pos="9680"/>
        </w:tabs>
        <w:rPr>
          <w:rFonts w:cs="黑体" w:asciiTheme="minorEastAsia" w:hAnsiTheme="minorEastAsia" w:eastAsiaTheme="minorEastAsia"/>
          <w:b w:val="0"/>
          <w:bCs w:val="0"/>
          <w:caps w:val="0"/>
          <w:color w:val="auto"/>
          <w:sz w:val="32"/>
          <w:szCs w:val="22"/>
        </w:rPr>
      </w:pPr>
      <w:r>
        <w:rPr>
          <w:color w:val="auto"/>
        </w:rPr>
        <w:fldChar w:fldCharType="begin"/>
      </w:r>
      <w:r>
        <w:rPr>
          <w:color w:val="auto"/>
        </w:rPr>
        <w:instrText xml:space="preserve"> HYPERLINK \l "_Toc89867402" </w:instrText>
      </w:r>
      <w:r>
        <w:rPr>
          <w:color w:val="auto"/>
        </w:rPr>
        <w:fldChar w:fldCharType="separate"/>
      </w:r>
      <w:r>
        <w:rPr>
          <w:rStyle w:val="30"/>
          <w:rFonts w:hint="eastAsia" w:cs="仿宋" w:asciiTheme="minorEastAsia" w:hAnsiTheme="minorEastAsia" w:eastAsiaTheme="minorEastAsia"/>
          <w:color w:val="auto"/>
          <w:sz w:val="24"/>
        </w:rPr>
        <w:t>第六章响应文件格式</w:t>
      </w:r>
      <w:r>
        <w:rPr>
          <w:rFonts w:asciiTheme="minorEastAsia" w:hAnsiTheme="minorEastAsia" w:eastAsiaTheme="minorEastAsia"/>
          <w:color w:val="auto"/>
          <w:sz w:val="28"/>
        </w:rPr>
        <w:tab/>
      </w:r>
      <w:r>
        <w:rPr>
          <w:rFonts w:asciiTheme="minorEastAsia" w:hAnsiTheme="minorEastAsia" w:eastAsiaTheme="minorEastAsia"/>
          <w:color w:val="auto"/>
          <w:sz w:val="28"/>
        </w:rPr>
        <w:fldChar w:fldCharType="begin"/>
      </w:r>
      <w:r>
        <w:rPr>
          <w:rFonts w:asciiTheme="minorEastAsia" w:hAnsiTheme="minorEastAsia" w:eastAsiaTheme="minorEastAsia"/>
          <w:color w:val="auto"/>
          <w:sz w:val="28"/>
        </w:rPr>
        <w:instrText xml:space="preserve"> PAGEREF _Toc89867402 \h </w:instrText>
      </w:r>
      <w:r>
        <w:rPr>
          <w:rFonts w:asciiTheme="minorEastAsia" w:hAnsiTheme="minorEastAsia" w:eastAsiaTheme="minorEastAsia"/>
          <w:color w:val="auto"/>
          <w:sz w:val="28"/>
        </w:rPr>
        <w:fldChar w:fldCharType="separate"/>
      </w:r>
      <w:r>
        <w:rPr>
          <w:rFonts w:asciiTheme="minorEastAsia" w:hAnsiTheme="minorEastAsia" w:eastAsiaTheme="minorEastAsia"/>
          <w:color w:val="auto"/>
          <w:sz w:val="28"/>
        </w:rPr>
        <w:t>39</w:t>
      </w:r>
      <w:r>
        <w:rPr>
          <w:rFonts w:asciiTheme="minorEastAsia" w:hAnsiTheme="minorEastAsia" w:eastAsiaTheme="minorEastAsia"/>
          <w:color w:val="auto"/>
          <w:sz w:val="28"/>
        </w:rPr>
        <w:fldChar w:fldCharType="end"/>
      </w:r>
      <w:r>
        <w:rPr>
          <w:rFonts w:asciiTheme="minorEastAsia" w:hAnsiTheme="minorEastAsia" w:eastAsiaTheme="minorEastAsia"/>
          <w:color w:val="auto"/>
          <w:sz w:val="28"/>
        </w:rPr>
        <w:fldChar w:fldCharType="end"/>
      </w:r>
    </w:p>
    <w:p>
      <w:pPr>
        <w:spacing w:line="360" w:lineRule="auto"/>
        <w:jc w:val="left"/>
        <w:rPr>
          <w:rFonts w:asciiTheme="minorEastAsia" w:hAnsiTheme="minorEastAsia" w:eastAsiaTheme="minorEastAsia"/>
          <w:color w:val="auto"/>
        </w:rPr>
      </w:pPr>
      <w:r>
        <w:rPr>
          <w:rFonts w:hint="eastAsia" w:cs="仿宋" w:asciiTheme="minorEastAsia" w:hAnsiTheme="minorEastAsia" w:eastAsiaTheme="minorEastAsia"/>
          <w:color w:val="auto"/>
          <w:sz w:val="160"/>
          <w:szCs w:val="96"/>
        </w:rPr>
        <w:fldChar w:fldCharType="end"/>
      </w:r>
    </w:p>
    <w:p>
      <w:pPr>
        <w:tabs>
          <w:tab w:val="left" w:pos="685"/>
        </w:tabs>
        <w:spacing w:line="600" w:lineRule="auto"/>
        <w:ind w:firstLine="2108" w:firstLineChars="700"/>
        <w:rPr>
          <w:rFonts w:asciiTheme="minorEastAsia" w:hAnsiTheme="minorEastAsia" w:eastAsiaTheme="minorEastAsia"/>
          <w:color w:val="auto"/>
          <w:szCs w:val="21"/>
        </w:rPr>
      </w:pPr>
      <w:r>
        <w:rPr>
          <w:rFonts w:hint="eastAsia" w:asciiTheme="minorEastAsia" w:hAnsiTheme="minorEastAsia" w:eastAsiaTheme="minorEastAsia"/>
          <w:b/>
          <w:bCs/>
          <w:color w:val="auto"/>
          <w:sz w:val="30"/>
          <w:szCs w:val="30"/>
        </w:rPr>
        <w:tab/>
      </w: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pPr>
    </w:p>
    <w:p>
      <w:pPr>
        <w:pStyle w:val="19"/>
        <w:rPr>
          <w:rFonts w:asciiTheme="minorEastAsia" w:hAnsiTheme="minorEastAsia" w:eastAsiaTheme="minorEastAsia"/>
          <w:color w:val="auto"/>
          <w:szCs w:val="21"/>
        </w:rPr>
        <w:sectPr>
          <w:headerReference r:id="rId6" w:type="default"/>
          <w:footerReference r:id="rId7" w:type="default"/>
          <w:pgSz w:w="11850" w:h="16783"/>
          <w:pgMar w:top="1440" w:right="1080" w:bottom="1440" w:left="1080" w:header="851" w:footer="992" w:gutter="0"/>
          <w:pgNumType w:start="1"/>
          <w:cols w:space="425" w:num="1"/>
          <w:docGrid w:type="lines" w:linePitch="312" w:charSpace="0"/>
        </w:sectPr>
      </w:pPr>
    </w:p>
    <w:p>
      <w:pPr>
        <w:pStyle w:val="3"/>
        <w:jc w:val="center"/>
        <w:rPr>
          <w:rFonts w:asciiTheme="minorEastAsia" w:hAnsiTheme="minorEastAsia" w:eastAsiaTheme="minorEastAsia"/>
          <w:color w:val="auto"/>
          <w:szCs w:val="21"/>
        </w:rPr>
      </w:pPr>
      <w:bookmarkStart w:id="0" w:name="_Toc89867396"/>
      <w:bookmarkStart w:id="1" w:name="_Toc24823"/>
      <w:bookmarkStart w:id="2" w:name="_Toc360"/>
      <w:bookmarkStart w:id="3" w:name="_Toc26289788"/>
      <w:bookmarkStart w:id="4" w:name="_Toc22821"/>
      <w:r>
        <w:rPr>
          <w:rFonts w:hint="eastAsia" w:asciiTheme="minorEastAsia" w:hAnsiTheme="minorEastAsia" w:eastAsiaTheme="minorEastAsia"/>
          <w:color w:val="auto"/>
          <w:sz w:val="40"/>
          <w:szCs w:val="40"/>
        </w:rPr>
        <w:t>第一章竞争性磋商公告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color w:val="auto"/>
          <w:szCs w:val="21"/>
        </w:rPr>
      </w:pPr>
      <w:bookmarkStart w:id="5" w:name="_Toc28359089"/>
      <w:bookmarkStart w:id="6" w:name="_Toc35393629"/>
      <w:bookmarkStart w:id="7" w:name="_Toc35393798"/>
      <w:bookmarkStart w:id="8" w:name="_Toc28359012"/>
      <w:r>
        <w:rPr>
          <w:rFonts w:hint="eastAsia" w:asciiTheme="minorEastAsia" w:hAnsiTheme="minorEastAsia" w:eastAsiaTheme="minorEastAsia"/>
          <w:color w:val="auto"/>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u w:val="single"/>
        </w:rPr>
        <w:t>昌洒镇2022年环卫作业服务外包项目</w:t>
      </w:r>
      <w:r>
        <w:rPr>
          <w:rFonts w:hint="eastAsia" w:asciiTheme="minorEastAsia" w:hAnsiTheme="minorEastAsia" w:eastAsiaTheme="minorEastAsia"/>
          <w:color w:val="auto"/>
          <w:szCs w:val="21"/>
        </w:rPr>
        <w:t>采购项目的潜在供应商应在</w:t>
      </w:r>
      <w:r>
        <w:rPr>
          <w:rFonts w:hint="eastAsia" w:asciiTheme="minorEastAsia" w:hAnsiTheme="minorEastAsia" w:eastAsiaTheme="minorEastAsia"/>
          <w:color w:val="auto"/>
          <w:szCs w:val="21"/>
          <w:u w:val="single"/>
        </w:rPr>
        <w:t>海南政府采购网(www.ccgp-hainan.gov.cn)-海南省政府采购电子化交易管理系统(新)获取采购文件</w:t>
      </w:r>
      <w:r>
        <w:rPr>
          <w:rFonts w:hint="eastAsia" w:asciiTheme="minorEastAsia" w:hAnsiTheme="minorEastAsia" w:eastAsiaTheme="minorEastAsia"/>
          <w:color w:val="auto"/>
          <w:szCs w:val="21"/>
        </w:rPr>
        <w:t>，并于</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r>
        <w:rPr>
          <w:rFonts w:hint="eastAsia" w:asciiTheme="minorEastAsia" w:hAnsiTheme="minorEastAsia" w:eastAsiaTheme="minorEastAsia"/>
          <w:color w:val="auto"/>
          <w:szCs w:val="21"/>
        </w:rPr>
        <w:t>北京时间）前提交响应文件。</w:t>
      </w:r>
    </w:p>
    <w:p>
      <w:pPr>
        <w:pStyle w:val="4"/>
        <w:rPr>
          <w:rFonts w:cs="宋体" w:asciiTheme="minorEastAsia" w:hAnsiTheme="minorEastAsia" w:eastAsiaTheme="minorEastAsia"/>
          <w:b w:val="0"/>
          <w:color w:val="auto"/>
          <w:sz w:val="21"/>
          <w:szCs w:val="21"/>
        </w:rPr>
      </w:pPr>
      <w:r>
        <w:rPr>
          <w:rFonts w:hint="eastAsia" w:cs="宋体" w:asciiTheme="minorEastAsia" w:hAnsiTheme="minorEastAsia" w:eastAsiaTheme="minorEastAsia"/>
          <w:b w:val="0"/>
          <w:color w:val="auto"/>
          <w:sz w:val="21"/>
          <w:szCs w:val="21"/>
        </w:rPr>
        <w:t>一、项目基本情况</w:t>
      </w:r>
      <w:bookmarkEnd w:id="5"/>
      <w:bookmarkEnd w:id="6"/>
      <w:bookmarkEnd w:id="7"/>
      <w:bookmarkEnd w:id="8"/>
    </w:p>
    <w:p>
      <w:pPr>
        <w:spacing w:line="360" w:lineRule="auto"/>
        <w:ind w:firstLine="420" w:firstLineChars="200"/>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rPr>
        <w:t>项目编号：</w:t>
      </w:r>
      <w:r>
        <w:rPr>
          <w:rFonts w:hint="eastAsia" w:asciiTheme="minorEastAsia" w:hAnsiTheme="minorEastAsia" w:eastAsiaTheme="minorEastAsia"/>
          <w:color w:val="auto"/>
          <w:szCs w:val="21"/>
          <w:lang w:eastAsia="zh-CN"/>
        </w:rPr>
        <w:t>HN-BL-2022-028</w:t>
      </w:r>
    </w:p>
    <w:p>
      <w:pPr>
        <w:spacing w:line="360" w:lineRule="auto"/>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项目名称：昌洒镇2022年环卫作业服务外包项目</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采购方式：竞争性磋商</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招标控制价：人民币贰佰柒拾伍万壹仟伍佰元整（￥272.15万元）</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最高限价（如有）：人民币贰佰柒拾伍万壹仟伍佰元整（￥272.15万元）,超过招标控制价（最高限价）的投标，按无效投标处理。</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采购需求：本次采购内容为昌洒镇2022年环卫作业服务外包项目，不分包，招标方式为竞争性磋商。详细技术要求或招标项目的性质详见招标文件第三章《采购需求书》部分。</w:t>
      </w:r>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服务期：</w:t>
      </w:r>
      <w:r>
        <w:rPr>
          <w:rFonts w:hint="eastAsia" w:cs="仿宋_GB2312" w:asciiTheme="minorEastAsia" w:hAnsiTheme="minorEastAsia" w:eastAsiaTheme="minorEastAsia"/>
          <w:color w:val="auto"/>
          <w:kern w:val="0"/>
          <w:szCs w:val="21"/>
        </w:rPr>
        <w:t>1年。</w:t>
      </w:r>
    </w:p>
    <w:p>
      <w:pPr>
        <w:pStyle w:val="24"/>
        <w:ind w:left="199" w:leftChars="95" w:firstLine="199" w:firstLineChars="95"/>
        <w:rPr>
          <w:rFonts w:cs="仿宋_GB2312" w:asciiTheme="minorEastAsia" w:hAnsiTheme="minorEastAsia" w:eastAsiaTheme="minorEastAsia"/>
          <w:color w:val="auto"/>
          <w:sz w:val="28"/>
          <w:szCs w:val="32"/>
          <w:lang w:eastAsia="zh-CN"/>
        </w:rPr>
      </w:pPr>
      <w:r>
        <w:rPr>
          <w:rFonts w:hint="eastAsia" w:asciiTheme="minorEastAsia" w:hAnsiTheme="minorEastAsia" w:eastAsiaTheme="minorEastAsia"/>
          <w:color w:val="auto"/>
          <w:szCs w:val="21"/>
          <w:lang w:eastAsia="zh-CN"/>
        </w:rPr>
        <w:t>服务地点：采购人指定地点</w:t>
      </w:r>
    </w:p>
    <w:p>
      <w:pPr>
        <w:pStyle w:val="24"/>
        <w:ind w:left="199" w:leftChars="95" w:firstLine="199" w:firstLineChars="95"/>
        <w:rPr>
          <w:rFonts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t>本项目不接受联合体。</w:t>
      </w:r>
      <w:bookmarkStart w:id="9" w:name="_Toc28359013"/>
      <w:bookmarkStart w:id="10" w:name="_Toc35393799"/>
      <w:bookmarkStart w:id="11" w:name="_Toc35393630"/>
      <w:bookmarkStart w:id="12" w:name="_Toc28359090"/>
    </w:p>
    <w:p>
      <w:pPr>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二、申请人的资格要求：</w:t>
      </w:r>
      <w:bookmarkEnd w:id="9"/>
      <w:bookmarkEnd w:id="10"/>
      <w:bookmarkEnd w:id="11"/>
      <w:bookmarkEnd w:id="12"/>
    </w:p>
    <w:p>
      <w:pPr>
        <w:spacing w:line="360" w:lineRule="auto"/>
        <w:ind w:firstLine="630" w:firstLineChars="300"/>
        <w:rPr>
          <w:rFonts w:asciiTheme="minorEastAsia" w:hAnsiTheme="minorEastAsia" w:eastAsiaTheme="minorEastAsia"/>
          <w:color w:val="auto"/>
          <w:szCs w:val="21"/>
        </w:rPr>
      </w:pPr>
      <w:bookmarkStart w:id="13" w:name="_Toc28359091"/>
      <w:bookmarkStart w:id="14" w:name="_Toc35393631"/>
      <w:bookmarkStart w:id="15" w:name="_Toc35393800"/>
      <w:bookmarkStart w:id="16" w:name="_Toc28359014"/>
      <w:r>
        <w:rPr>
          <w:rFonts w:hint="eastAsia" w:asciiTheme="minorEastAsia" w:hAnsiTheme="minorEastAsia" w:eastAsiaTheme="minorEastAsia"/>
          <w:color w:val="auto"/>
          <w:szCs w:val="21"/>
        </w:rPr>
        <w:t>1、符合《中华人民共和国政府采购法》第二十二条关于投标人应当具备的条件要求；</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2、具有独立承担民事责任能力的在中华人民共和国境内注册的法人或其他组织或自然人，投标时提交有效的营业执照（或事业法人登记证或身份证等相关证明）副本复印件加盖公章；</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3、投标人必须具有良好的商业信誉和健全的财务会计制度【须提供2021年度经会计事务所审计的财务报告或202</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rPr>
        <w:t>年1月至今任意一个月的财务报表；企业注册时间不足一年的，须提供注册时间起至今任意一个月的财务报表（含包括资产负债表、利润表/损益表】。</w:t>
      </w:r>
    </w:p>
    <w:p>
      <w:pPr>
        <w:pStyle w:val="4"/>
        <w:ind w:firstLine="630" w:firstLineChars="300"/>
        <w:rPr>
          <w:rFonts w:asciiTheme="minorEastAsia" w:hAnsiTheme="minorEastAsia" w:eastAsiaTheme="minorEastAsia"/>
          <w:b w:val="0"/>
          <w:bCs w:val="0"/>
          <w:color w:val="auto"/>
          <w:kern w:val="2"/>
          <w:sz w:val="21"/>
          <w:szCs w:val="21"/>
        </w:rPr>
      </w:pPr>
      <w:r>
        <w:rPr>
          <w:rFonts w:hint="eastAsia" w:asciiTheme="minorEastAsia" w:hAnsiTheme="minorEastAsia" w:eastAsiaTheme="minorEastAsia"/>
          <w:b w:val="0"/>
          <w:bCs w:val="0"/>
          <w:color w:val="auto"/>
          <w:kern w:val="2"/>
          <w:sz w:val="21"/>
          <w:szCs w:val="21"/>
        </w:rPr>
        <w:t>4、具有履行合同所必需的设备和专业技术能力；（提供声明函，格式自拟）</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5、投标人必须具有依法缴纳税收和社会保障资金的良好记录【投标人须提供202</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rPr>
        <w:t>年1月至今任意一个月的纳税证明和社保缴费记录证明；企业注册时间不足三个月的，按企业注册时间实际缴纳提供证明（证明材料复印件加盖公章）】（投标人是零报税的，应提供由税务部门盖章的纳税申报表；依法免税或不需要缴纳社会保障资金的投标人，提供相应文件证明其依法免税或不需要缴纳社会保障资金））。</w:t>
      </w:r>
    </w:p>
    <w:p>
      <w:pPr>
        <w:spacing w:line="276" w:lineRule="auto"/>
        <w:ind w:firstLine="420" w:firstLineChars="200"/>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6、投标人必须在近三年内无重大违法记录，信用状况良好，未被列入经营异常名录或者严重违法企业名单；须提供承诺函加盖公章。企业注册时间不足三年的，按企业实际注册时间提供证明）。</w:t>
      </w:r>
    </w:p>
    <w:p>
      <w:pPr>
        <w:spacing w:line="360" w:lineRule="auto"/>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7、供应商须为未被列入“信用中国” 网站( www.creditchina.gov.cn) 失信被执行人、重大税收违法失信主体、政府采购严重违法失信行为记录名单和“中国政府采购网” ( www.ccgp.gov.cn)政府采购严重违法失信行为记录名单（提供查询结果网页截图并加盖公章）</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8、落实政府采购政策需满足的资格要求：</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8.1、按照&lt;财政部国家发展改革委关于印发《节能产品政府采购实施意见》的通知&gt;(财库【2004】185号)、&lt;财政部国家环保总局联合印发《关于环境标志产品政府采购实施的意见》&gt;(财库【2006】90号)的规定，落实国家节能环保政策。</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8.2、按照&lt;财政部工业和信息化部关于印发《政府采购促进中小企业发展暂行办法》的通知&gt;(财库〔2011〕181号)的规定，落实促进中小企业发展政策。</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8.3、按照&lt;财政部、司法部关于政府采购支持监狱企业发展有关问题的通知&gt;(财库〔2014〕68号)的规定，落实支持监狱企业发展政策。</w:t>
      </w:r>
    </w:p>
    <w:p>
      <w:pPr>
        <w:spacing w:line="360"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.4</w:t>
      </w:r>
      <w:r>
        <w:rPr>
          <w:rFonts w:hint="eastAsia" w:asciiTheme="minorEastAsia" w:hAnsiTheme="minorEastAsia" w:eastAsiaTheme="minorEastAsia"/>
          <w:color w:val="auto"/>
          <w:szCs w:val="21"/>
        </w:rPr>
        <w:t>、按照《三部门联合发布关于促进残疾人就业政府采购政策的通知》(财库〔2017〕141号)的规定,落实支持残疾人福利性单位发展政策。</w:t>
      </w:r>
    </w:p>
    <w:p>
      <w:pPr>
        <w:pStyle w:val="4"/>
        <w:rPr>
          <w:rFonts w:cs="宋体" w:asciiTheme="minorEastAsia" w:hAnsiTheme="minorEastAsia" w:eastAsiaTheme="minorEastAsia"/>
          <w:b w:val="0"/>
          <w:color w:val="auto"/>
          <w:sz w:val="21"/>
          <w:szCs w:val="21"/>
        </w:rPr>
      </w:pPr>
      <w:r>
        <w:rPr>
          <w:rFonts w:hint="eastAsia" w:cs="宋体" w:asciiTheme="minorEastAsia" w:hAnsiTheme="minorEastAsia" w:eastAsiaTheme="minorEastAsia"/>
          <w:b w:val="0"/>
          <w:color w:val="auto"/>
          <w:sz w:val="21"/>
          <w:szCs w:val="21"/>
        </w:rPr>
        <w:t>三、获取采购文件</w:t>
      </w:r>
      <w:bookmarkEnd w:id="13"/>
      <w:bookmarkEnd w:id="14"/>
      <w:bookmarkEnd w:id="15"/>
      <w:bookmarkEnd w:id="16"/>
    </w:p>
    <w:p>
      <w:pPr>
        <w:spacing w:line="360" w:lineRule="auto"/>
        <w:ind w:firstLine="54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时间：</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3</w:t>
      </w:r>
      <w:r>
        <w:rPr>
          <w:rFonts w:hint="eastAsia" w:asciiTheme="minorEastAsia" w:hAnsiTheme="minorEastAsia" w:eastAsiaTheme="minorEastAsia"/>
          <w:color w:val="auto"/>
          <w:szCs w:val="21"/>
          <w:u w:val="single"/>
        </w:rPr>
        <w:t>日</w:t>
      </w:r>
      <w:r>
        <w:rPr>
          <w:rFonts w:hint="eastAsia" w:cs="宋体" w:asciiTheme="minorEastAsia" w:hAnsiTheme="minorEastAsia" w:eastAsiaTheme="minorEastAsia"/>
          <w:color w:val="auto"/>
          <w:szCs w:val="21"/>
          <w:u w:val="single"/>
        </w:rPr>
        <w:t>至</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10</w:t>
      </w:r>
      <w:r>
        <w:rPr>
          <w:rFonts w:hint="eastAsia" w:asciiTheme="minorEastAsia" w:hAnsiTheme="minorEastAsia" w:eastAsiaTheme="minorEastAsia"/>
          <w:color w:val="auto"/>
          <w:szCs w:val="21"/>
          <w:u w:val="single"/>
        </w:rPr>
        <w:t>日</w:t>
      </w:r>
      <w:r>
        <w:rPr>
          <w:rFonts w:hint="eastAsia" w:cs="宋体" w:asciiTheme="minorEastAsia" w:hAnsiTheme="minorEastAsia" w:eastAsiaTheme="minorEastAsia"/>
          <w:color w:val="auto"/>
          <w:szCs w:val="21"/>
        </w:rPr>
        <w:t>，每天上午</w:t>
      </w:r>
      <w:r>
        <w:rPr>
          <w:rFonts w:cs="宋体" w:asciiTheme="minorEastAsia" w:hAnsiTheme="minorEastAsia" w:eastAsiaTheme="minorEastAsia"/>
          <w:color w:val="auto"/>
          <w:szCs w:val="21"/>
          <w:u w:val="single"/>
        </w:rPr>
        <w:t>0</w:t>
      </w:r>
      <w:r>
        <w:rPr>
          <w:rFonts w:hint="eastAsia" w:cs="宋体" w:asciiTheme="minorEastAsia" w:hAnsiTheme="minorEastAsia" w:eastAsiaTheme="minorEastAsia"/>
          <w:color w:val="auto"/>
          <w:szCs w:val="21"/>
          <w:u w:val="single"/>
        </w:rPr>
        <w:t>9</w:t>
      </w:r>
      <w:r>
        <w:rPr>
          <w:rFonts w:cs="宋体" w:asciiTheme="minorEastAsia" w:hAnsiTheme="minorEastAsia" w:eastAsiaTheme="minorEastAsia"/>
          <w:color w:val="auto"/>
          <w:szCs w:val="21"/>
          <w:u w:val="single"/>
        </w:rPr>
        <w:t>:</w:t>
      </w:r>
      <w:r>
        <w:rPr>
          <w:rFonts w:hint="eastAsia" w:cs="宋体" w:asciiTheme="minorEastAsia" w:hAnsiTheme="minorEastAsia" w:eastAsiaTheme="minorEastAsia"/>
          <w:color w:val="auto"/>
          <w:szCs w:val="21"/>
          <w:u w:val="single"/>
        </w:rPr>
        <w:t>0</w:t>
      </w:r>
      <w:r>
        <w:rPr>
          <w:rFonts w:cs="宋体" w:asciiTheme="minorEastAsia" w:hAnsiTheme="minorEastAsia" w:eastAsiaTheme="minorEastAsia"/>
          <w:color w:val="auto"/>
          <w:szCs w:val="21"/>
          <w:u w:val="single"/>
        </w:rPr>
        <w:t>0</w:t>
      </w:r>
      <w:r>
        <w:rPr>
          <w:rFonts w:hint="eastAsia" w:cs="宋体" w:asciiTheme="minorEastAsia" w:hAnsiTheme="minorEastAsia" w:eastAsiaTheme="minorEastAsia"/>
          <w:color w:val="auto"/>
          <w:szCs w:val="21"/>
        </w:rPr>
        <w:t>至</w:t>
      </w:r>
      <w:r>
        <w:rPr>
          <w:rFonts w:hint="eastAsia" w:cs="宋体" w:asciiTheme="minorEastAsia" w:hAnsiTheme="minorEastAsia" w:eastAsiaTheme="minorEastAsia"/>
          <w:color w:val="auto"/>
          <w:szCs w:val="21"/>
          <w:u w:val="single"/>
        </w:rPr>
        <w:t>12：00</w:t>
      </w:r>
      <w:r>
        <w:rPr>
          <w:rFonts w:hint="eastAsia" w:cs="宋体" w:asciiTheme="minorEastAsia" w:hAnsiTheme="minorEastAsia" w:eastAsiaTheme="minorEastAsia"/>
          <w:color w:val="auto"/>
          <w:szCs w:val="21"/>
        </w:rPr>
        <w:t>，下午</w:t>
      </w:r>
      <w:r>
        <w:rPr>
          <w:rFonts w:hint="eastAsia" w:cs="宋体" w:asciiTheme="minorEastAsia" w:hAnsiTheme="minorEastAsia" w:eastAsiaTheme="minorEastAsia"/>
          <w:color w:val="auto"/>
          <w:szCs w:val="21"/>
          <w:u w:val="single"/>
        </w:rPr>
        <w:t>14：30</w:t>
      </w:r>
      <w:r>
        <w:rPr>
          <w:rFonts w:hint="eastAsia" w:cs="宋体" w:asciiTheme="minorEastAsia" w:hAnsiTheme="minorEastAsia" w:eastAsiaTheme="minorEastAsia"/>
          <w:color w:val="auto"/>
          <w:szCs w:val="21"/>
        </w:rPr>
        <w:t>至</w:t>
      </w:r>
      <w:r>
        <w:rPr>
          <w:rFonts w:hint="eastAsia" w:cs="宋体" w:asciiTheme="minorEastAsia" w:hAnsiTheme="minorEastAsia" w:eastAsiaTheme="minorEastAsia"/>
          <w:color w:val="auto"/>
          <w:szCs w:val="21"/>
          <w:u w:val="single"/>
        </w:rPr>
        <w:t>17：30</w:t>
      </w:r>
      <w:r>
        <w:rPr>
          <w:rFonts w:hint="eastAsia" w:cs="宋体" w:asciiTheme="minorEastAsia" w:hAnsiTheme="minorEastAsia" w:eastAsiaTheme="minorEastAsia"/>
          <w:color w:val="auto"/>
          <w:szCs w:val="21"/>
        </w:rPr>
        <w:t>（北京时间，</w:t>
      </w:r>
      <w:r>
        <w:rPr>
          <w:rFonts w:cs="宋体" w:asciiTheme="minorEastAsia" w:hAnsiTheme="minorEastAsia" w:eastAsiaTheme="minorEastAsia"/>
          <w:color w:val="auto"/>
          <w:szCs w:val="21"/>
        </w:rPr>
        <w:t>法定节假日</w:t>
      </w:r>
      <w:r>
        <w:rPr>
          <w:rFonts w:hint="eastAsia" w:cs="宋体" w:asciiTheme="minorEastAsia" w:hAnsiTheme="minorEastAsia" w:eastAsiaTheme="minorEastAsia"/>
          <w:color w:val="auto"/>
          <w:szCs w:val="21"/>
        </w:rPr>
        <w:t>除外）</w:t>
      </w:r>
    </w:p>
    <w:p>
      <w:pPr>
        <w:spacing w:line="360" w:lineRule="auto"/>
        <w:ind w:firstLine="54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地点：海南政府采购网(www.ccgp-hainan.gov.cn)-海南省政府采购电子化交易管理系统(新)</w:t>
      </w:r>
    </w:p>
    <w:p>
      <w:pPr>
        <w:spacing w:line="360" w:lineRule="auto"/>
        <w:ind w:firstLine="54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方式：网上下载</w:t>
      </w:r>
    </w:p>
    <w:p>
      <w:pPr>
        <w:spacing w:line="360" w:lineRule="auto"/>
        <w:ind w:firstLine="54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售价：人民币300元/份</w:t>
      </w:r>
    </w:p>
    <w:p>
      <w:pPr>
        <w:pStyle w:val="4"/>
        <w:spacing w:line="276" w:lineRule="auto"/>
        <w:rPr>
          <w:rFonts w:cs="宋体" w:asciiTheme="minorEastAsia" w:hAnsiTheme="minorEastAsia" w:eastAsiaTheme="minorEastAsia"/>
          <w:b w:val="0"/>
          <w:color w:val="auto"/>
          <w:sz w:val="21"/>
          <w:szCs w:val="21"/>
        </w:rPr>
      </w:pPr>
      <w:bookmarkStart w:id="17" w:name="_Toc35393632"/>
      <w:bookmarkStart w:id="18" w:name="_Toc28359092"/>
      <w:bookmarkStart w:id="19" w:name="_Toc35393801"/>
      <w:bookmarkStart w:id="20" w:name="_Toc28359015"/>
      <w:r>
        <w:rPr>
          <w:rFonts w:hint="eastAsia" w:cs="宋体" w:asciiTheme="minorEastAsia" w:hAnsiTheme="minorEastAsia" w:eastAsiaTheme="minorEastAsia"/>
          <w:b w:val="0"/>
          <w:color w:val="auto"/>
          <w:sz w:val="21"/>
          <w:szCs w:val="21"/>
        </w:rPr>
        <w:t>四、响应文件提交</w:t>
      </w:r>
      <w:bookmarkEnd w:id="17"/>
      <w:bookmarkEnd w:id="18"/>
      <w:bookmarkEnd w:id="19"/>
      <w:bookmarkEnd w:id="20"/>
    </w:p>
    <w:p>
      <w:pPr>
        <w:spacing w:line="276" w:lineRule="auto"/>
        <w:ind w:firstLine="420" w:firstLineChars="200"/>
        <w:rPr>
          <w:rFonts w:asciiTheme="minorEastAsia" w:hAnsiTheme="minorEastAsia" w:eastAsiaTheme="minorEastAsia"/>
          <w:bCs/>
          <w:color w:val="auto"/>
          <w:szCs w:val="21"/>
          <w:u w:val="single"/>
        </w:rPr>
      </w:pPr>
      <w:r>
        <w:rPr>
          <w:rFonts w:hint="eastAsia" w:asciiTheme="minorEastAsia" w:hAnsiTheme="minorEastAsia" w:eastAsiaTheme="minorEastAsia"/>
          <w:color w:val="auto"/>
          <w:szCs w:val="21"/>
        </w:rPr>
        <w:t>截止时间：</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r>
        <w:rPr>
          <w:rFonts w:hint="eastAsia" w:asciiTheme="minorEastAsia" w:hAnsiTheme="minorEastAsia" w:eastAsiaTheme="minorEastAsia"/>
          <w:bCs/>
          <w:color w:val="auto"/>
          <w:szCs w:val="21"/>
        </w:rPr>
        <w:t>（北京时间）</w:t>
      </w:r>
    </w:p>
    <w:p>
      <w:pPr>
        <w:spacing w:line="276" w:lineRule="auto"/>
        <w:ind w:firstLine="420" w:firstLineChars="200"/>
        <w:rPr>
          <w:rFonts w:asciiTheme="minorEastAsia" w:hAnsiTheme="minorEastAsia" w:eastAsiaTheme="minorEastAsia"/>
          <w:bCs/>
          <w:color w:val="auto"/>
          <w:szCs w:val="21"/>
          <w:u w:val="single"/>
        </w:rPr>
      </w:pPr>
      <w:r>
        <w:rPr>
          <w:rFonts w:hint="eastAsia" w:asciiTheme="minorEastAsia" w:hAnsiTheme="minorEastAsia" w:eastAsiaTheme="minorEastAsia"/>
          <w:color w:val="auto"/>
          <w:szCs w:val="21"/>
        </w:rPr>
        <w:t>地点：海南省海口市美兰区国兴大道11号国瑞大厦B座西塔8楼A807室</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p>
    <w:p>
      <w:pPr>
        <w:pStyle w:val="4"/>
        <w:spacing w:line="276" w:lineRule="auto"/>
        <w:rPr>
          <w:rFonts w:cs="宋体" w:asciiTheme="minorEastAsia" w:hAnsiTheme="minorEastAsia" w:eastAsiaTheme="minorEastAsia"/>
          <w:b w:val="0"/>
          <w:color w:val="auto"/>
          <w:sz w:val="21"/>
          <w:szCs w:val="21"/>
        </w:rPr>
      </w:pPr>
      <w:bookmarkStart w:id="21" w:name="_Toc35393802"/>
      <w:bookmarkStart w:id="22" w:name="_Toc35393633"/>
      <w:bookmarkStart w:id="23" w:name="_Toc28359016"/>
      <w:bookmarkStart w:id="24" w:name="_Toc28359093"/>
      <w:r>
        <w:rPr>
          <w:rFonts w:hint="eastAsia" w:cs="宋体" w:asciiTheme="minorEastAsia" w:hAnsiTheme="minorEastAsia" w:eastAsiaTheme="minorEastAsia"/>
          <w:b w:val="0"/>
          <w:color w:val="auto"/>
          <w:sz w:val="21"/>
          <w:szCs w:val="21"/>
        </w:rPr>
        <w:t>五、开</w:t>
      </w:r>
      <w:bookmarkEnd w:id="21"/>
      <w:bookmarkEnd w:id="22"/>
      <w:bookmarkEnd w:id="23"/>
      <w:bookmarkEnd w:id="24"/>
      <w:r>
        <w:rPr>
          <w:rFonts w:hint="eastAsia" w:cs="宋体" w:asciiTheme="minorEastAsia" w:hAnsiTheme="minorEastAsia" w:eastAsiaTheme="minorEastAsia"/>
          <w:b w:val="0"/>
          <w:color w:val="auto"/>
          <w:sz w:val="21"/>
          <w:szCs w:val="21"/>
        </w:rPr>
        <w:t>启</w:t>
      </w:r>
    </w:p>
    <w:p>
      <w:pPr>
        <w:spacing w:line="276" w:lineRule="auto"/>
        <w:ind w:firstLine="420" w:firstLineChars="200"/>
        <w:rPr>
          <w:rFonts w:asciiTheme="minorEastAsia" w:hAnsiTheme="minorEastAsia" w:eastAsiaTheme="minorEastAsia"/>
          <w:bCs/>
          <w:color w:val="auto"/>
          <w:szCs w:val="21"/>
          <w:u w:val="single"/>
        </w:rPr>
      </w:pPr>
      <w:r>
        <w:rPr>
          <w:rFonts w:hint="eastAsia" w:asciiTheme="minorEastAsia" w:hAnsiTheme="minorEastAsia" w:eastAsiaTheme="minorEastAsia"/>
          <w:color w:val="auto"/>
          <w:szCs w:val="21"/>
        </w:rPr>
        <w:t>时间：</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r>
        <w:rPr>
          <w:rFonts w:hint="eastAsia" w:asciiTheme="minorEastAsia" w:hAnsiTheme="minorEastAsia" w:eastAsiaTheme="minorEastAsia"/>
          <w:bCs/>
          <w:color w:val="auto"/>
          <w:szCs w:val="21"/>
        </w:rPr>
        <w:t>（北京时间）</w:t>
      </w:r>
    </w:p>
    <w:p>
      <w:pPr>
        <w:spacing w:line="276" w:lineRule="auto"/>
        <w:ind w:firstLine="420" w:firstLineChars="200"/>
        <w:rPr>
          <w:rFonts w:asciiTheme="minorEastAsia" w:hAnsiTheme="minorEastAsia" w:eastAsiaTheme="minorEastAsia"/>
          <w:bCs/>
          <w:color w:val="auto"/>
          <w:szCs w:val="21"/>
          <w:u w:val="single"/>
        </w:rPr>
      </w:pPr>
      <w:r>
        <w:rPr>
          <w:rFonts w:hint="eastAsia" w:asciiTheme="minorEastAsia" w:hAnsiTheme="minorEastAsia" w:eastAsiaTheme="minorEastAsia"/>
          <w:color w:val="auto"/>
          <w:szCs w:val="21"/>
        </w:rPr>
        <w:t>地点：海南省海口市美兰区国兴大道11号国瑞大厦B座西塔8楼A807室</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p>
    <w:p>
      <w:pPr>
        <w:pStyle w:val="4"/>
        <w:spacing w:line="276" w:lineRule="auto"/>
        <w:rPr>
          <w:rFonts w:cs="宋体" w:asciiTheme="minorEastAsia" w:hAnsiTheme="minorEastAsia" w:eastAsiaTheme="minorEastAsia"/>
          <w:b w:val="0"/>
          <w:color w:val="auto"/>
          <w:sz w:val="21"/>
          <w:szCs w:val="21"/>
        </w:rPr>
      </w:pPr>
      <w:bookmarkStart w:id="25" w:name="_Toc28359017"/>
      <w:bookmarkStart w:id="26" w:name="_Toc35393803"/>
      <w:bookmarkStart w:id="27" w:name="_Toc35393634"/>
      <w:bookmarkStart w:id="28" w:name="_Toc28359094"/>
      <w:r>
        <w:rPr>
          <w:rFonts w:hint="eastAsia" w:cs="宋体" w:asciiTheme="minorEastAsia" w:hAnsiTheme="minorEastAsia" w:eastAsiaTheme="minorEastAsia"/>
          <w:b w:val="0"/>
          <w:color w:val="auto"/>
          <w:sz w:val="21"/>
          <w:szCs w:val="21"/>
        </w:rPr>
        <w:t>六、公告期限</w:t>
      </w:r>
      <w:bookmarkEnd w:id="25"/>
      <w:bookmarkEnd w:id="26"/>
      <w:bookmarkEnd w:id="27"/>
      <w:bookmarkEnd w:id="28"/>
    </w:p>
    <w:p>
      <w:pPr>
        <w:spacing w:line="276" w:lineRule="auto"/>
        <w:ind w:firstLine="420" w:firstLineChars="2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自本公告发布之日起5个工作日。</w:t>
      </w:r>
    </w:p>
    <w:p>
      <w:pPr>
        <w:pStyle w:val="4"/>
        <w:spacing w:line="276" w:lineRule="auto"/>
        <w:rPr>
          <w:rFonts w:cs="宋体" w:asciiTheme="minorEastAsia" w:hAnsiTheme="minorEastAsia" w:eastAsiaTheme="minorEastAsia"/>
          <w:b w:val="0"/>
          <w:color w:val="auto"/>
          <w:sz w:val="21"/>
          <w:szCs w:val="21"/>
        </w:rPr>
      </w:pPr>
      <w:bookmarkStart w:id="29" w:name="_Toc35393635"/>
      <w:bookmarkStart w:id="30" w:name="_Toc35393804"/>
      <w:r>
        <w:rPr>
          <w:rFonts w:hint="eastAsia" w:cs="宋体" w:asciiTheme="minorEastAsia" w:hAnsiTheme="minorEastAsia" w:eastAsiaTheme="minorEastAsia"/>
          <w:b w:val="0"/>
          <w:color w:val="auto"/>
          <w:sz w:val="21"/>
          <w:szCs w:val="21"/>
        </w:rPr>
        <w:t>七、其他补充事宜</w:t>
      </w:r>
      <w:bookmarkEnd w:id="29"/>
      <w:bookmarkEnd w:id="30"/>
    </w:p>
    <w:p>
      <w:pPr>
        <w:spacing w:line="276" w:lineRule="auto"/>
        <w:ind w:firstLine="420" w:firstLineChars="200"/>
        <w:rPr>
          <w:rFonts w:asciiTheme="minorEastAsia" w:hAnsiTheme="minorEastAsia" w:eastAsiaTheme="minorEastAsia"/>
          <w:color w:val="auto"/>
          <w:szCs w:val="21"/>
        </w:rPr>
      </w:pPr>
      <w:bookmarkStart w:id="31" w:name="_Toc28359095"/>
      <w:bookmarkStart w:id="32" w:name="_Toc28359018"/>
      <w:bookmarkStart w:id="33" w:name="_Toc35393636"/>
      <w:bookmarkStart w:id="34" w:name="_Toc35393805"/>
      <w:r>
        <w:rPr>
          <w:rFonts w:hint="eastAsia" w:asciiTheme="minorEastAsia" w:hAnsiTheme="minorEastAsia" w:eastAsiaTheme="minorEastAsia"/>
          <w:color w:val="auto"/>
          <w:szCs w:val="21"/>
        </w:rPr>
        <w:t>1、采购信息发布媒介：海南政府采购网(https://www.ccgp-hainan.gov.cn/zhuzhan/)。</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2、有关本项目磋商文件的补遗、澄清及变更信息以上述网站公告为准，磋商文件与更正公告的内容相互矛盾时，以最后发出的更正公告内容为准。</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3、本次竞争性磋商公告在《海南省政府采购网》上发布。</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4、响应供应商按以下步骤进行报名并获取采购文件：</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（1）网上注册：投标人须在海南政府采购网(https://www.ccgp-hainan.gov.cn/zhuzhan/)中的海南省政府采购电子化交易管理系统(新)平台进行注册；</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（2）登陆交易平台进行报名并下载采购文件；</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（3）报名登记：响应供应商持报名回执单至招标代理公司填写报名登记表并缴纳费用；</w:t>
      </w:r>
    </w:p>
    <w:p>
      <w:pPr>
        <w:spacing w:line="276"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（4）报名现场登记时间：2022年</w:t>
      </w:r>
      <w:r>
        <w:rPr>
          <w:rFonts w:hint="eastAsia" w:asciiTheme="minorEastAsia" w:hAnsiTheme="minorEastAsia" w:eastAsiaTheme="minorEastAsia"/>
          <w:color w:val="auto"/>
          <w:szCs w:val="21"/>
          <w:lang w:val="en-US" w:eastAsia="zh-CN"/>
        </w:rPr>
        <w:t>8</w:t>
      </w:r>
      <w:r>
        <w:rPr>
          <w:rFonts w:hint="eastAsia" w:asciiTheme="minorEastAsia" w:hAnsiTheme="minorEastAsia" w:eastAsiaTheme="minorEastAsia"/>
          <w:color w:val="auto"/>
          <w:szCs w:val="21"/>
        </w:rPr>
        <w:t>月</w:t>
      </w:r>
      <w:r>
        <w:rPr>
          <w:rFonts w:hint="eastAsia" w:asciiTheme="minorEastAsia" w:hAnsiTheme="minorEastAsia" w:eastAsiaTheme="minorEastAsia"/>
          <w:color w:val="auto"/>
          <w:szCs w:val="21"/>
          <w:lang w:val="en-US" w:eastAsia="zh-CN"/>
        </w:rPr>
        <w:t>3</w:t>
      </w:r>
      <w:r>
        <w:rPr>
          <w:rFonts w:hint="eastAsia" w:asciiTheme="minorEastAsia" w:hAnsiTheme="minorEastAsia" w:eastAsiaTheme="minorEastAsia"/>
          <w:color w:val="auto"/>
          <w:szCs w:val="21"/>
        </w:rPr>
        <w:t>日至2022年</w:t>
      </w:r>
      <w:r>
        <w:rPr>
          <w:rFonts w:hint="eastAsia" w:asciiTheme="minorEastAsia" w:hAnsiTheme="minorEastAsia" w:eastAsiaTheme="minorEastAsia"/>
          <w:color w:val="auto"/>
          <w:szCs w:val="21"/>
          <w:lang w:val="en-US" w:eastAsia="zh-CN"/>
        </w:rPr>
        <w:t>8</w:t>
      </w:r>
      <w:r>
        <w:rPr>
          <w:rFonts w:hint="eastAsia" w:asciiTheme="minorEastAsia" w:hAnsiTheme="minorEastAsia" w:eastAsiaTheme="minorEastAsia"/>
          <w:color w:val="auto"/>
          <w:szCs w:val="21"/>
        </w:rPr>
        <w:t>月</w:t>
      </w:r>
      <w:r>
        <w:rPr>
          <w:rFonts w:hint="eastAsia" w:asciiTheme="minorEastAsia" w:hAnsiTheme="minorEastAsia" w:eastAsiaTheme="minorEastAsia"/>
          <w:color w:val="auto"/>
          <w:szCs w:val="21"/>
          <w:lang w:val="en-US" w:eastAsia="zh-CN"/>
        </w:rPr>
        <w:t>10</w:t>
      </w:r>
      <w:r>
        <w:rPr>
          <w:rFonts w:hint="eastAsia" w:asciiTheme="minorEastAsia" w:hAnsiTheme="minorEastAsia" w:eastAsiaTheme="minorEastAsia"/>
          <w:color w:val="auto"/>
          <w:szCs w:val="21"/>
        </w:rPr>
        <w:t>日，每天上午9:00至12:00，下午14:30至17:00（北京时间，法定节假日除外）；地点：海南省海口市美兰区国兴大道11号国瑞大厦B座西塔8楼A807室；提供材料：持加盖公章的公司营业执照副本复印件、法定代表人身份证明及法定代表人身份证复印件、介绍信（或委托函）、委托人身份证件以上复印件均加盖公章，未在规定时间内提交报名材料现场审核的视为无效报名）。未按时在系统平台注册报名且到招标代理公司进行报名登记并缴纳费的，均视为无效报名。</w:t>
      </w:r>
    </w:p>
    <w:p>
      <w:pPr>
        <w:pStyle w:val="4"/>
        <w:spacing w:line="276" w:lineRule="auto"/>
        <w:rPr>
          <w:rFonts w:ascii="Times New Roman" w:hAnsi="Times New Roman" w:eastAsia="宋体"/>
          <w:color w:val="auto"/>
          <w:sz w:val="24"/>
        </w:rPr>
      </w:pPr>
      <w:r>
        <w:rPr>
          <w:rFonts w:hint="eastAsia" w:ascii="Times New Roman" w:hAnsi="Times New Roman" w:eastAsia="宋体"/>
          <w:color w:val="auto"/>
          <w:sz w:val="24"/>
        </w:rPr>
        <w:t>5、注意事项：本项目采用电子辅助操作，供应商应详细阅读海南政府采购网的通知《关于实施政府采购电子化交易管理系统试点应用工作的通知》，供应商使用交易系统遇到问题可致电技术支持：0898-68546705。</w:t>
      </w:r>
    </w:p>
    <w:p>
      <w:pPr>
        <w:pStyle w:val="4"/>
        <w:spacing w:line="276" w:lineRule="auto"/>
        <w:rPr>
          <w:rFonts w:cs="宋体" w:asciiTheme="minorEastAsia" w:hAnsiTheme="minorEastAsia" w:eastAsiaTheme="minorEastAsia"/>
          <w:b w:val="0"/>
          <w:color w:val="auto"/>
          <w:sz w:val="21"/>
          <w:szCs w:val="21"/>
        </w:rPr>
      </w:pPr>
      <w:r>
        <w:rPr>
          <w:rFonts w:hint="eastAsia" w:cs="宋体" w:asciiTheme="minorEastAsia" w:hAnsiTheme="minorEastAsia" w:eastAsiaTheme="minorEastAsia"/>
          <w:b w:val="0"/>
          <w:color w:val="auto"/>
          <w:sz w:val="21"/>
          <w:szCs w:val="21"/>
        </w:rPr>
        <w:t>八、凡对本次采购提出询问，请按</w:t>
      </w:r>
      <w:r>
        <w:rPr>
          <w:rFonts w:cs="宋体" w:asciiTheme="minorEastAsia" w:hAnsiTheme="minorEastAsia" w:eastAsiaTheme="minorEastAsia"/>
          <w:b w:val="0"/>
          <w:color w:val="auto"/>
          <w:sz w:val="21"/>
          <w:szCs w:val="21"/>
        </w:rPr>
        <w:t>以下方式</w:t>
      </w:r>
      <w:r>
        <w:rPr>
          <w:rFonts w:hint="eastAsia" w:cs="宋体" w:asciiTheme="minorEastAsia" w:hAnsiTheme="minorEastAsia" w:eastAsiaTheme="minorEastAsia"/>
          <w:b w:val="0"/>
          <w:color w:val="auto"/>
          <w:sz w:val="21"/>
          <w:szCs w:val="21"/>
        </w:rPr>
        <w:t>联系。</w:t>
      </w:r>
      <w:bookmarkEnd w:id="31"/>
      <w:bookmarkEnd w:id="32"/>
      <w:bookmarkEnd w:id="33"/>
      <w:bookmarkEnd w:id="34"/>
    </w:p>
    <w:p>
      <w:pPr>
        <w:pStyle w:val="4"/>
        <w:spacing w:line="276" w:lineRule="auto"/>
        <w:ind w:firstLine="630" w:firstLineChars="300"/>
        <w:rPr>
          <w:rFonts w:cs="宋体" w:asciiTheme="minorEastAsia" w:hAnsiTheme="minorEastAsia" w:eastAsiaTheme="minorEastAsia"/>
          <w:b w:val="0"/>
          <w:color w:val="auto"/>
          <w:sz w:val="21"/>
          <w:szCs w:val="21"/>
        </w:rPr>
      </w:pPr>
      <w:bookmarkStart w:id="35" w:name="_Toc35393806"/>
      <w:bookmarkStart w:id="36" w:name="_Toc35393637"/>
      <w:bookmarkStart w:id="37" w:name="_Toc28359019"/>
      <w:bookmarkStart w:id="38" w:name="_Toc28359096"/>
      <w:r>
        <w:rPr>
          <w:rFonts w:hint="eastAsia" w:cs="宋体" w:asciiTheme="minorEastAsia" w:hAnsiTheme="minorEastAsia" w:eastAsiaTheme="minorEastAsia"/>
          <w:b w:val="0"/>
          <w:color w:val="auto"/>
          <w:sz w:val="21"/>
          <w:szCs w:val="21"/>
        </w:rPr>
        <w:t>1.招标人信息</w:t>
      </w:r>
      <w:bookmarkEnd w:id="35"/>
      <w:bookmarkEnd w:id="36"/>
      <w:bookmarkEnd w:id="37"/>
      <w:bookmarkEnd w:id="38"/>
    </w:p>
    <w:p>
      <w:pPr>
        <w:spacing w:line="276" w:lineRule="auto"/>
        <w:ind w:left="1041" w:leftChars="371" w:hanging="262" w:hangingChars="125"/>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名称：</w:t>
      </w:r>
      <w:r>
        <w:rPr>
          <w:rFonts w:hint="eastAsia" w:asciiTheme="minorEastAsia" w:hAnsiTheme="minorEastAsia" w:eastAsiaTheme="minorEastAsia"/>
          <w:color w:val="auto"/>
          <w:szCs w:val="21"/>
          <w:u w:val="single"/>
        </w:rPr>
        <w:t>文昌市昌洒镇人民政府</w:t>
      </w:r>
    </w:p>
    <w:p>
      <w:pPr>
        <w:spacing w:line="276" w:lineRule="auto"/>
        <w:ind w:left="1041" w:leftChars="371" w:hanging="262" w:hangingChars="125"/>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地址：</w:t>
      </w:r>
      <w:r>
        <w:rPr>
          <w:rFonts w:hint="eastAsia" w:asciiTheme="minorEastAsia" w:hAnsiTheme="minorEastAsia" w:eastAsiaTheme="minorEastAsia"/>
          <w:color w:val="auto"/>
          <w:szCs w:val="21"/>
          <w:u w:val="single"/>
        </w:rPr>
        <w:t>海南省文昌市昌洒镇</w:t>
      </w:r>
    </w:p>
    <w:p>
      <w:pPr>
        <w:spacing w:line="276" w:lineRule="auto"/>
        <w:ind w:left="1041" w:leftChars="371" w:hanging="262" w:hangingChars="125"/>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联系方式：</w:t>
      </w:r>
      <w:r>
        <w:rPr>
          <w:rFonts w:hint="eastAsia" w:asciiTheme="minorEastAsia" w:hAnsiTheme="minorEastAsia" w:eastAsiaTheme="minorEastAsia"/>
          <w:color w:val="auto"/>
          <w:szCs w:val="21"/>
          <w:u w:val="single"/>
        </w:rPr>
        <w:t>0898-63580109</w:t>
      </w:r>
    </w:p>
    <w:p>
      <w:pPr>
        <w:pStyle w:val="4"/>
        <w:spacing w:line="276" w:lineRule="auto"/>
        <w:ind w:firstLine="630" w:firstLineChars="300"/>
        <w:rPr>
          <w:rFonts w:cs="宋体" w:asciiTheme="minorEastAsia" w:hAnsiTheme="minorEastAsia" w:eastAsiaTheme="minorEastAsia"/>
          <w:b w:val="0"/>
          <w:color w:val="auto"/>
          <w:sz w:val="21"/>
          <w:szCs w:val="21"/>
        </w:rPr>
      </w:pPr>
      <w:bookmarkStart w:id="39" w:name="_Toc35393638"/>
      <w:bookmarkStart w:id="40" w:name="_Toc28359020"/>
      <w:bookmarkStart w:id="41" w:name="_Toc28359097"/>
      <w:bookmarkStart w:id="42" w:name="_Toc35393807"/>
      <w:r>
        <w:rPr>
          <w:rFonts w:hint="eastAsia" w:cs="宋体" w:asciiTheme="minorEastAsia" w:hAnsiTheme="minorEastAsia" w:eastAsiaTheme="minorEastAsia"/>
          <w:b w:val="0"/>
          <w:color w:val="auto"/>
          <w:sz w:val="21"/>
          <w:szCs w:val="21"/>
        </w:rPr>
        <w:t>2.招标代理机构信息</w:t>
      </w:r>
      <w:bookmarkEnd w:id="39"/>
      <w:bookmarkEnd w:id="40"/>
      <w:bookmarkEnd w:id="41"/>
      <w:bookmarkEnd w:id="42"/>
    </w:p>
    <w:p>
      <w:pPr>
        <w:spacing w:line="276"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名称：</w:t>
      </w:r>
      <w:r>
        <w:rPr>
          <w:rFonts w:hint="eastAsia" w:asciiTheme="minorEastAsia" w:hAnsiTheme="minorEastAsia" w:eastAsiaTheme="minorEastAsia"/>
          <w:color w:val="auto"/>
          <w:szCs w:val="21"/>
          <w:u w:val="single"/>
        </w:rPr>
        <w:t>海南博林项目管理有限责任公司</w:t>
      </w:r>
    </w:p>
    <w:p>
      <w:pPr>
        <w:spacing w:line="276" w:lineRule="auto"/>
        <w:ind w:firstLine="630" w:firstLineChars="300"/>
        <w:rPr>
          <w:rFonts w:asciiTheme="minorEastAsia" w:hAnsiTheme="minorEastAsia" w:eastAsiaTheme="minorEastAsia"/>
          <w:color w:val="auto"/>
          <w:szCs w:val="21"/>
        </w:rPr>
      </w:pPr>
      <w:r>
        <w:rPr>
          <w:rFonts w:hint="eastAsia" w:asciiTheme="minorEastAsia" w:hAnsiTheme="minorEastAsia" w:eastAsiaTheme="minorEastAsia"/>
          <w:color w:val="auto"/>
          <w:szCs w:val="21"/>
        </w:rPr>
        <w:t>地　　址：</w:t>
      </w:r>
      <w:r>
        <w:rPr>
          <w:rFonts w:hint="eastAsia" w:asciiTheme="minorEastAsia" w:hAnsiTheme="minorEastAsia" w:eastAsiaTheme="minorEastAsia"/>
          <w:color w:val="auto"/>
          <w:szCs w:val="21"/>
          <w:u w:val="single"/>
        </w:rPr>
        <w:t>海南省海口市美兰区国兴大道11号国瑞大厦B座西塔8楼A807室</w:t>
      </w:r>
    </w:p>
    <w:p>
      <w:pPr>
        <w:spacing w:line="276" w:lineRule="auto"/>
        <w:ind w:firstLine="630" w:firstLineChars="3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联系方式：</w:t>
      </w:r>
      <w:r>
        <w:rPr>
          <w:rFonts w:hint="eastAsia" w:asciiTheme="minorEastAsia" w:hAnsiTheme="minorEastAsia" w:eastAsiaTheme="minorEastAsia"/>
          <w:color w:val="auto"/>
          <w:szCs w:val="21"/>
          <w:u w:val="single"/>
        </w:rPr>
        <w:t>0898-68957566</w:t>
      </w:r>
    </w:p>
    <w:p>
      <w:pPr>
        <w:pStyle w:val="4"/>
        <w:spacing w:line="276" w:lineRule="auto"/>
        <w:ind w:firstLine="630" w:firstLineChars="300"/>
        <w:rPr>
          <w:rFonts w:cs="宋体" w:asciiTheme="minorEastAsia" w:hAnsiTheme="minorEastAsia" w:eastAsiaTheme="minorEastAsia"/>
          <w:b w:val="0"/>
          <w:color w:val="auto"/>
          <w:sz w:val="21"/>
          <w:szCs w:val="21"/>
        </w:rPr>
      </w:pPr>
      <w:bookmarkStart w:id="43" w:name="_Toc28359098"/>
      <w:bookmarkStart w:id="44" w:name="_Toc35393808"/>
      <w:bookmarkStart w:id="45" w:name="_Toc35393639"/>
      <w:bookmarkStart w:id="46" w:name="_Toc28359021"/>
      <w:r>
        <w:rPr>
          <w:rFonts w:hint="eastAsia" w:cs="宋体" w:asciiTheme="minorEastAsia" w:hAnsiTheme="minorEastAsia" w:eastAsiaTheme="minorEastAsia"/>
          <w:b w:val="0"/>
          <w:color w:val="auto"/>
          <w:sz w:val="21"/>
          <w:szCs w:val="21"/>
        </w:rPr>
        <w:t>3.项目联系</w:t>
      </w:r>
      <w:r>
        <w:rPr>
          <w:rFonts w:cs="宋体" w:asciiTheme="minorEastAsia" w:hAnsiTheme="minorEastAsia" w:eastAsiaTheme="minorEastAsia"/>
          <w:b w:val="0"/>
          <w:color w:val="auto"/>
          <w:sz w:val="21"/>
          <w:szCs w:val="21"/>
        </w:rPr>
        <w:t>方式</w:t>
      </w:r>
      <w:bookmarkEnd w:id="43"/>
      <w:bookmarkEnd w:id="44"/>
      <w:bookmarkEnd w:id="45"/>
      <w:bookmarkEnd w:id="46"/>
    </w:p>
    <w:p>
      <w:pPr>
        <w:pStyle w:val="15"/>
        <w:spacing w:line="276" w:lineRule="auto"/>
        <w:ind w:firstLine="630" w:firstLineChars="3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项目联系人：</w:t>
      </w:r>
      <w:r>
        <w:rPr>
          <w:rFonts w:hint="eastAsia" w:asciiTheme="minorEastAsia" w:hAnsiTheme="minorEastAsia" w:eastAsiaTheme="minorEastAsia"/>
          <w:color w:val="auto"/>
          <w:szCs w:val="21"/>
          <w:u w:val="single"/>
        </w:rPr>
        <w:t>徐工</w:t>
      </w:r>
    </w:p>
    <w:p>
      <w:pPr>
        <w:spacing w:line="276" w:lineRule="auto"/>
        <w:ind w:firstLine="630" w:firstLineChars="30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电　　话：</w:t>
      </w:r>
      <w:r>
        <w:rPr>
          <w:rFonts w:hint="eastAsia" w:asciiTheme="minorEastAsia" w:hAnsiTheme="minorEastAsia" w:eastAsiaTheme="minorEastAsia"/>
          <w:color w:val="auto"/>
          <w:szCs w:val="21"/>
          <w:u w:val="single"/>
        </w:rPr>
        <w:t>0898-68957566</w:t>
      </w:r>
    </w:p>
    <w:p>
      <w:pPr>
        <w:spacing w:line="276" w:lineRule="auto"/>
        <w:rPr>
          <w:rFonts w:asciiTheme="minorEastAsia" w:hAnsiTheme="minorEastAsia" w:eastAsiaTheme="minorEastAsia"/>
          <w:color w:val="auto"/>
        </w:rPr>
      </w:pPr>
    </w:p>
    <w:p>
      <w:pPr>
        <w:rPr>
          <w:rFonts w:cs="仿宋" w:asciiTheme="minorEastAsia" w:hAnsiTheme="minorEastAsia" w:eastAsiaTheme="minorEastAsia"/>
          <w:color w:val="auto"/>
          <w:sz w:val="32"/>
          <w:szCs w:val="32"/>
        </w:rPr>
      </w:pPr>
      <w:bookmarkStart w:id="47" w:name="_Toc89867397"/>
      <w:r>
        <w:rPr>
          <w:rFonts w:hint="eastAsia" w:cs="仿宋" w:asciiTheme="minorEastAsia" w:hAnsiTheme="minorEastAsia" w:eastAsiaTheme="minorEastAsia"/>
          <w:color w:val="auto"/>
          <w:sz w:val="32"/>
          <w:szCs w:val="32"/>
        </w:rPr>
        <w:br w:type="page"/>
      </w:r>
    </w:p>
    <w:p>
      <w:pPr>
        <w:pStyle w:val="3"/>
        <w:jc w:val="center"/>
        <w:rPr>
          <w:rFonts w:cs="仿宋" w:asciiTheme="minorEastAsia" w:hAnsiTheme="minorEastAsia" w:eastAsiaTheme="minorEastAsia"/>
          <w:color w:val="auto"/>
          <w:sz w:val="32"/>
          <w:szCs w:val="32"/>
        </w:rPr>
      </w:pPr>
      <w:r>
        <w:rPr>
          <w:rFonts w:hint="eastAsia" w:cs="仿宋" w:asciiTheme="minorEastAsia" w:hAnsiTheme="minorEastAsia" w:eastAsiaTheme="minorEastAsia"/>
          <w:color w:val="auto"/>
          <w:sz w:val="32"/>
          <w:szCs w:val="32"/>
        </w:rPr>
        <w:t>第二章供应商须知</w:t>
      </w:r>
      <w:bookmarkEnd w:id="2"/>
      <w:bookmarkEnd w:id="3"/>
      <w:bookmarkEnd w:id="4"/>
      <w:bookmarkEnd w:id="47"/>
      <w:bookmarkStart w:id="48" w:name="_Toc1957"/>
    </w:p>
    <w:bookmarkEnd w:id="48"/>
    <w:p>
      <w:pPr>
        <w:jc w:val="center"/>
        <w:rPr>
          <w:rFonts w:cs="仿宋" w:asciiTheme="minorEastAsia" w:hAnsiTheme="minorEastAsia" w:eastAsiaTheme="minorEastAsia"/>
          <w:color w:val="auto"/>
          <w:sz w:val="28"/>
          <w:szCs w:val="28"/>
        </w:rPr>
      </w:pPr>
      <w:bookmarkStart w:id="49" w:name="_Toc517191497"/>
      <w:r>
        <w:rPr>
          <w:rFonts w:hint="eastAsia" w:asciiTheme="minorEastAsia" w:hAnsiTheme="minorEastAsia" w:eastAsiaTheme="minorEastAsia"/>
          <w:b/>
          <w:bCs/>
          <w:color w:val="auto"/>
          <w:sz w:val="28"/>
          <w:szCs w:val="28"/>
        </w:rPr>
        <w:t>一</w:t>
      </w:r>
      <w:r>
        <w:rPr>
          <w:rFonts w:asciiTheme="minorEastAsia" w:hAnsiTheme="minorEastAsia" w:eastAsiaTheme="minorEastAsia"/>
          <w:b/>
          <w:bCs/>
          <w:color w:val="auto"/>
          <w:sz w:val="28"/>
          <w:szCs w:val="28"/>
        </w:rPr>
        <w:t>、</w:t>
      </w:r>
      <w:r>
        <w:rPr>
          <w:rFonts w:hint="eastAsia" w:cs="仿宋" w:asciiTheme="minorEastAsia" w:hAnsiTheme="minorEastAsia" w:eastAsiaTheme="minorEastAsia"/>
          <w:color w:val="auto"/>
          <w:sz w:val="28"/>
          <w:szCs w:val="28"/>
        </w:rPr>
        <w:t>供应商须知前附表</w:t>
      </w:r>
    </w:p>
    <w:tbl>
      <w:tblPr>
        <w:tblStyle w:val="25"/>
        <w:tblW w:w="9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858"/>
        <w:gridCol w:w="7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jc w:val="center"/>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序</w:t>
            </w:r>
          </w:p>
        </w:tc>
        <w:tc>
          <w:tcPr>
            <w:tcW w:w="1858" w:type="dxa"/>
            <w:vAlign w:val="center"/>
          </w:tcPr>
          <w:p>
            <w:pPr>
              <w:pStyle w:val="15"/>
              <w:spacing w:line="360" w:lineRule="auto"/>
              <w:jc w:val="center"/>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条款名称</w:t>
            </w:r>
          </w:p>
        </w:tc>
        <w:tc>
          <w:tcPr>
            <w:tcW w:w="7318" w:type="dxa"/>
            <w:vAlign w:val="center"/>
          </w:tcPr>
          <w:p>
            <w:pPr>
              <w:pStyle w:val="15"/>
              <w:spacing w:line="360" w:lineRule="auto"/>
              <w:jc w:val="center"/>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restart"/>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1</w:t>
            </w:r>
          </w:p>
        </w:tc>
        <w:tc>
          <w:tcPr>
            <w:tcW w:w="185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项目名称、</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项目编号</w:t>
            </w:r>
          </w:p>
        </w:tc>
        <w:tc>
          <w:tcPr>
            <w:tcW w:w="7318" w:type="dxa"/>
            <w:vAlign w:val="center"/>
          </w:tcPr>
          <w:p>
            <w:pPr>
              <w:spacing w:line="360" w:lineRule="auto"/>
              <w:rPr>
                <w:rFonts w:asciiTheme="minorEastAsia" w:hAnsiTheme="minorEastAsia" w:eastAsiaTheme="minorEastAsia"/>
                <w:color w:val="auto"/>
              </w:rPr>
            </w:pPr>
            <w:r>
              <w:rPr>
                <w:rFonts w:hint="eastAsia" w:cs="仿宋" w:asciiTheme="minorEastAsia" w:hAnsiTheme="minorEastAsia" w:eastAsiaTheme="minorEastAsia"/>
                <w:color w:val="auto"/>
                <w:szCs w:val="21"/>
              </w:rPr>
              <w:t>项目名称：昌洒镇2022年环卫作业服务外包项目</w:t>
            </w:r>
          </w:p>
          <w:p>
            <w:pPr>
              <w:spacing w:line="360" w:lineRule="auto"/>
              <w:rPr>
                <w:rFonts w:hint="eastAsia" w:cs="仿宋" w:asciiTheme="minorEastAsia" w:hAnsiTheme="minorEastAsia" w:eastAsiaTheme="minorEastAsia"/>
                <w:color w:val="auto"/>
                <w:szCs w:val="21"/>
                <w:lang w:eastAsia="zh-CN"/>
              </w:rPr>
            </w:pPr>
            <w:r>
              <w:rPr>
                <w:rFonts w:hint="eastAsia" w:cs="仿宋" w:asciiTheme="minorEastAsia" w:hAnsiTheme="minorEastAsia" w:eastAsiaTheme="minorEastAsia"/>
                <w:color w:val="auto"/>
                <w:szCs w:val="21"/>
              </w:rPr>
              <w:t>项目编号：</w:t>
            </w:r>
            <w:r>
              <w:rPr>
                <w:rFonts w:hint="eastAsia" w:asciiTheme="minorEastAsia" w:hAnsiTheme="minorEastAsia" w:eastAsiaTheme="minorEastAsia"/>
                <w:color w:val="auto"/>
                <w:szCs w:val="21"/>
                <w:lang w:eastAsia="zh-CN"/>
              </w:rPr>
              <w:t>HN-BL-2022-028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vAlign w:val="center"/>
          </w:tcPr>
          <w:p>
            <w:pPr>
              <w:pStyle w:val="15"/>
              <w:spacing w:line="360" w:lineRule="auto"/>
              <w:rPr>
                <w:rFonts w:cs="仿宋" w:asciiTheme="minorEastAsia" w:hAnsiTheme="minorEastAsia" w:eastAsiaTheme="minorEastAsia"/>
                <w:b/>
                <w:bCs/>
                <w:color w:val="auto"/>
                <w:szCs w:val="21"/>
              </w:rPr>
            </w:pPr>
          </w:p>
        </w:tc>
        <w:tc>
          <w:tcPr>
            <w:tcW w:w="185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采购预算</w:t>
            </w:r>
          </w:p>
        </w:tc>
        <w:tc>
          <w:tcPr>
            <w:tcW w:w="7318" w:type="dxa"/>
            <w:vAlign w:val="center"/>
          </w:tcPr>
          <w:p>
            <w:pPr>
              <w:widowControl/>
              <w:jc w:val="left"/>
              <w:rPr>
                <w:rFonts w:cs="仿宋" w:asciiTheme="minorEastAsia" w:hAnsiTheme="minorEastAsia" w:eastAsiaTheme="minorEastAsia"/>
                <w:color w:val="auto"/>
                <w:kern w:val="0"/>
                <w:szCs w:val="21"/>
              </w:rPr>
            </w:pPr>
            <w:r>
              <w:rPr>
                <w:rFonts w:hint="eastAsia" w:cs="仿宋" w:asciiTheme="minorEastAsia" w:hAnsiTheme="minorEastAsia" w:eastAsiaTheme="minorEastAsia"/>
                <w:color w:val="auto"/>
                <w:szCs w:val="21"/>
              </w:rPr>
              <w:t>采购预算：</w:t>
            </w:r>
            <w:r>
              <w:rPr>
                <w:rFonts w:hint="eastAsia" w:asciiTheme="minorEastAsia" w:hAnsiTheme="minorEastAsia" w:eastAsiaTheme="minorEastAsia"/>
                <w:color w:val="auto"/>
                <w:szCs w:val="21"/>
              </w:rPr>
              <w:t>人民币￥275.15万元</w:t>
            </w:r>
            <w:r>
              <w:rPr>
                <w:rFonts w:hint="eastAsia" w:cs="仿宋" w:asciiTheme="minorEastAsia" w:hAnsiTheme="minorEastAsia" w:eastAsiaTheme="minorEastAsia"/>
                <w:color w:val="auto"/>
                <w:kern w:val="0"/>
                <w:szCs w:val="21"/>
              </w:rPr>
              <w:t>，超过采购预算金额（最高限价）的投标，按无效投标处理。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2</w:t>
            </w:r>
          </w:p>
        </w:tc>
        <w:tc>
          <w:tcPr>
            <w:tcW w:w="185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采购人信息</w:t>
            </w:r>
          </w:p>
        </w:tc>
        <w:tc>
          <w:tcPr>
            <w:tcW w:w="7318" w:type="dxa"/>
            <w:vAlign w:val="center"/>
          </w:tcPr>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采购人：文昌市昌洒镇人民政府</w:t>
            </w:r>
          </w:p>
          <w:p>
            <w:pPr>
              <w:spacing w:line="276" w:lineRule="auto"/>
              <w:rPr>
                <w:rFonts w:cs="仿宋" w:asciiTheme="minorEastAsia" w:hAnsiTheme="minorEastAsia" w:eastAsiaTheme="minorEastAsia"/>
                <w:i/>
                <w:iCs/>
                <w:color w:val="auto"/>
                <w:szCs w:val="21"/>
              </w:rPr>
            </w:pPr>
            <w:r>
              <w:rPr>
                <w:rFonts w:hint="eastAsia" w:cs="仿宋" w:asciiTheme="minorEastAsia" w:hAnsiTheme="minorEastAsia" w:eastAsiaTheme="minorEastAsia"/>
                <w:color w:val="auto"/>
                <w:szCs w:val="21"/>
              </w:rPr>
              <w:t>地址：海南省文昌市昌洒镇</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联系人：汪主任</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电话：</w:t>
            </w:r>
            <w:r>
              <w:rPr>
                <w:rFonts w:hint="eastAsia" w:asciiTheme="minorEastAsia" w:hAnsiTheme="minorEastAsia" w:eastAsiaTheme="minorEastAsia"/>
                <w:color w:val="auto"/>
                <w:szCs w:val="21"/>
              </w:rPr>
              <w:t>0898-63580109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3</w:t>
            </w:r>
          </w:p>
        </w:tc>
        <w:tc>
          <w:tcPr>
            <w:tcW w:w="185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采购代理机构</w:t>
            </w:r>
          </w:p>
        </w:tc>
        <w:tc>
          <w:tcPr>
            <w:tcW w:w="7318" w:type="dxa"/>
            <w:vAlign w:val="center"/>
          </w:tcPr>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单位名称：海南博林项目管理有限责任公司</w:t>
            </w:r>
          </w:p>
          <w:p>
            <w:pPr>
              <w:pStyle w:val="24"/>
              <w:spacing w:line="276" w:lineRule="auto"/>
              <w:ind w:left="0" w:leftChars="0" w:firstLine="0" w:firstLineChars="0"/>
              <w:rPr>
                <w:rFonts w:asciiTheme="minorEastAsia" w:hAnsiTheme="minorEastAsia" w:eastAsiaTheme="minorEastAsia"/>
                <w:color w:val="auto"/>
                <w:szCs w:val="21"/>
                <w:lang w:eastAsia="zh-CN"/>
              </w:rPr>
            </w:pPr>
            <w:r>
              <w:rPr>
                <w:rFonts w:hint="eastAsia" w:cs="仿宋" w:asciiTheme="minorEastAsia" w:hAnsiTheme="minorEastAsia" w:eastAsiaTheme="minorEastAsia"/>
                <w:color w:val="auto"/>
                <w:szCs w:val="21"/>
                <w:lang w:eastAsia="zh-CN"/>
              </w:rPr>
              <w:t>地址：海南省海口市美兰区国兴大道11号国瑞大厦B座西塔8楼A807室</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联系人：徐工</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电话：0898-68957566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b/>
                <w:bCs/>
                <w:color w:val="auto"/>
                <w:szCs w:val="21"/>
              </w:rPr>
              <w:t>4</w:t>
            </w:r>
          </w:p>
        </w:tc>
        <w:tc>
          <w:tcPr>
            <w:tcW w:w="185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供应商资格条件</w:t>
            </w:r>
          </w:p>
        </w:tc>
        <w:tc>
          <w:tcPr>
            <w:tcW w:w="7318" w:type="dxa"/>
            <w:vAlign w:val="center"/>
          </w:tcPr>
          <w:p>
            <w:pPr>
              <w:spacing w:line="360" w:lineRule="auto"/>
              <w:ind w:firstLine="420" w:firstLineChars="20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1、符合《中华人民共和国政府采购法》第二十二条关于投标人应当具备的条件要求；</w:t>
            </w:r>
          </w:p>
          <w:p>
            <w:pPr>
              <w:spacing w:line="360" w:lineRule="auto"/>
              <w:ind w:firstLine="420" w:firstLineChars="20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2、具有独立承担民事责任能力的在中华人民共和国境内注册的法人或其他组织或自然人，投标时提交有效的营业执照（或事业法人登记证或身份证等相关证明）副本复印件加盖公章；</w:t>
            </w:r>
          </w:p>
          <w:p>
            <w:pPr>
              <w:spacing w:line="360" w:lineRule="auto"/>
              <w:ind w:firstLine="420" w:firstLineChars="20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3、投标人必须具有良好的商业信誉和健全的财务会计制度【须提供2021年度经会计事务所审计的财务报告或202</w:t>
            </w:r>
            <w:r>
              <w:rPr>
                <w:rFonts w:hint="eastAsia" w:cs="仿宋" w:asciiTheme="minorEastAsia" w:hAnsiTheme="minorEastAsia" w:eastAsiaTheme="minorEastAsia"/>
                <w:color w:val="auto"/>
                <w:szCs w:val="21"/>
                <w:lang w:val="en-US" w:eastAsia="zh-CN"/>
              </w:rPr>
              <w:t>2</w:t>
            </w:r>
            <w:r>
              <w:rPr>
                <w:rFonts w:hint="eastAsia" w:cs="仿宋" w:asciiTheme="minorEastAsia" w:hAnsiTheme="minorEastAsia" w:eastAsiaTheme="minorEastAsia"/>
                <w:color w:val="auto"/>
                <w:szCs w:val="21"/>
              </w:rPr>
              <w:t>年1月至今任意一个月的财务报表；企业注册时间不足一年的，须提供注册时间起至今任意一个月的财务报表（含包括资产负债表、利润表/损益表】。</w:t>
            </w:r>
          </w:p>
          <w:p>
            <w:pPr>
              <w:spacing w:line="360" w:lineRule="auto"/>
              <w:ind w:firstLine="420" w:firstLineChars="20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4、具有履行合同所必需的设备和专业技术能力；（提供声明函，格式自拟）</w:t>
            </w:r>
          </w:p>
          <w:p>
            <w:pPr>
              <w:spacing w:line="360" w:lineRule="auto"/>
              <w:ind w:firstLine="420" w:firstLineChars="20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5、投标人必须具有依法缴纳税收和社会保障资金的良好记录【投标人须提供202</w:t>
            </w:r>
            <w:r>
              <w:rPr>
                <w:rFonts w:hint="eastAsia" w:cs="仿宋" w:asciiTheme="minorEastAsia" w:hAnsiTheme="minorEastAsia" w:eastAsiaTheme="minorEastAsia"/>
                <w:color w:val="auto"/>
                <w:szCs w:val="21"/>
                <w:lang w:val="en-US" w:eastAsia="zh-CN"/>
              </w:rPr>
              <w:t>2</w:t>
            </w:r>
            <w:r>
              <w:rPr>
                <w:rFonts w:hint="eastAsia" w:cs="仿宋" w:asciiTheme="minorEastAsia" w:hAnsiTheme="minorEastAsia" w:eastAsiaTheme="minorEastAsia"/>
                <w:color w:val="auto"/>
                <w:szCs w:val="21"/>
              </w:rPr>
              <w:t>年1月至今任意一个月的纳税证明和社保缴费记录证明；企业注册时间不足三个月的，按企业注册时间实际缴纳提供证明（证明材料复印件加盖公章）】（投标人是零报税的，应提供由税务部门盖章的 纳税申报表；依法免税或不需要缴纳社会保障资金的投标人，提供相应文件证明其依法免税或不需要缴纳社会 保障资金））。</w:t>
            </w:r>
          </w:p>
          <w:p>
            <w:pPr>
              <w:spacing w:line="360" w:lineRule="auto"/>
              <w:ind w:firstLine="420" w:firstLineChars="200"/>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6、投标人必须在近三年内无重大违法记录，信用状况良好，未被列入经营异常名录或者严重违法企业名单；须提供承诺函加盖公章。企业注册时间不足三年的，按企业实际注册时间提供证明）。</w:t>
            </w:r>
          </w:p>
          <w:p>
            <w:pPr>
              <w:spacing w:line="360" w:lineRule="auto"/>
              <w:ind w:firstLine="420" w:firstLineChars="200"/>
              <w:jc w:val="left"/>
              <w:rPr>
                <w:rFonts w:cs="仿宋" w:asciiTheme="minorEastAsia" w:hAnsiTheme="minorEastAsia" w:eastAsiaTheme="minorEastAsia"/>
                <w:color w:val="auto"/>
                <w:sz w:val="24"/>
              </w:rPr>
            </w:pPr>
            <w:r>
              <w:rPr>
                <w:rFonts w:hint="eastAsia" w:cs="仿宋" w:asciiTheme="minorEastAsia" w:hAnsiTheme="minorEastAsia" w:eastAsiaTheme="minorEastAsia"/>
                <w:color w:val="auto"/>
                <w:szCs w:val="21"/>
              </w:rPr>
              <w:t>7、供应商须为未被列入“信用中国” 网站( www.creditchina.gov.cn) 失信被执行人、重大税收违法失信主体、政府采购严重违法失信行为记录名单和“中国政府采购网” ( www.ccgp.gov.cn)政府采购严重违法失信行为记录名单（提供查询结果网页截图并加盖公章）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5</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领取磋商文件需提供的资料</w:t>
            </w:r>
          </w:p>
        </w:tc>
        <w:tc>
          <w:tcPr>
            <w:tcW w:w="7318" w:type="dxa"/>
            <w:vAlign w:val="center"/>
          </w:tcPr>
          <w:p>
            <w:pPr>
              <w:spacing w:line="360" w:lineRule="auto"/>
              <w:ind w:firstLine="54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现场购买，购买竞争性磋商文件时必须出示营业执照副本复印件、针对本项目法人授权委托书（原件）、法人身份证和授权人身份证复印件加盖公章（核对被授权人身份证原件）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6</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现场踏勘</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（√）不统一组织（）统一组织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7</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磋商保证金</w:t>
            </w:r>
          </w:p>
        </w:tc>
        <w:tc>
          <w:tcPr>
            <w:tcW w:w="7318" w:type="dxa"/>
            <w:vAlign w:val="center"/>
          </w:tcPr>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（）不要求提供</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（√）要求提供，数额不得超过采购项目预算金额的0.</w:t>
            </w:r>
            <w:r>
              <w:rPr>
                <w:rFonts w:hint="eastAsia" w:cs="仿宋" w:asciiTheme="minorEastAsia" w:hAnsiTheme="minorEastAsia" w:eastAsiaTheme="minorEastAsia"/>
                <w:color w:val="auto"/>
                <w:szCs w:val="21"/>
                <w:lang w:val="en-US" w:eastAsia="zh-CN"/>
              </w:rPr>
              <w:t>2</w:t>
            </w:r>
            <w:r>
              <w:rPr>
                <w:rFonts w:hint="eastAsia" w:cs="仿宋" w:asciiTheme="minorEastAsia" w:hAnsiTheme="minorEastAsia" w:eastAsiaTheme="minorEastAsia"/>
                <w:color w:val="auto"/>
                <w:szCs w:val="21"/>
              </w:rPr>
              <w:t>%</w:t>
            </w:r>
          </w:p>
          <w:p>
            <w:pPr>
              <w:shd w:val="clear" w:color="auto" w:fill="FFFFFF"/>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投标保证金的金额：本项目投标保证金为伍仟元整（￥5000.00元）</w:t>
            </w:r>
          </w:p>
          <w:p>
            <w:pPr>
              <w:shd w:val="clear" w:color="auto" w:fill="FFFFFF"/>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保证金到账截止日期：</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投标保证金缴纳的形式：</w:t>
            </w:r>
          </w:p>
          <w:p>
            <w:pPr>
              <w:numPr>
                <w:ilvl w:val="0"/>
                <w:numId w:val="1"/>
              </w:num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必须从投标单位基本账户转账方式一次性缴纳（禁止代缴）</w:t>
            </w:r>
          </w:p>
          <w:p>
            <w:pPr>
              <w:spacing w:line="276" w:lineRule="auto"/>
              <w:rPr>
                <w:rFonts w:asciiTheme="minorEastAsia" w:hAnsiTheme="minorEastAsia" w:eastAsiaTheme="minorEastAsia"/>
                <w:color w:val="auto"/>
                <w:sz w:val="24"/>
              </w:rPr>
            </w:pPr>
            <w:r>
              <w:rPr>
                <w:rFonts w:hint="eastAsia" w:cs="仿宋" w:asciiTheme="minorEastAsia" w:hAnsiTheme="minorEastAsia" w:eastAsiaTheme="minorEastAsia"/>
                <w:color w:val="auto"/>
                <w:szCs w:val="21"/>
              </w:rPr>
              <w:t>2、银行保函支付</w:t>
            </w:r>
          </w:p>
          <w:p>
            <w:pPr>
              <w:shd w:val="clear" w:color="auto" w:fill="FFFFFF"/>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磋商保证金应到达以下指定账户并注明汇款单位：</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账户名称：海南博林项目管理有限责任公司</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 xml:space="preserve">开户银行：中信银行股份有限公司海口蓝天路支行 </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帐    号：8115801012600061075</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用途：昌洒镇2022年环卫作业服务外包项目投标保证金或</w:t>
            </w:r>
            <w:r>
              <w:rPr>
                <w:rFonts w:hint="eastAsia" w:asciiTheme="minorEastAsia" w:hAnsiTheme="minorEastAsia" w:eastAsiaTheme="minorEastAsia"/>
                <w:color w:val="auto"/>
                <w:szCs w:val="21"/>
                <w:lang w:eastAsia="zh-CN"/>
              </w:rPr>
              <w:t>HN-BL-2022-028</w:t>
            </w:r>
            <w:r>
              <w:rPr>
                <w:rFonts w:hint="eastAsia" w:cs="仿宋" w:asciiTheme="minorEastAsia" w:hAnsiTheme="minorEastAsia" w:eastAsiaTheme="minorEastAsia"/>
                <w:color w:val="auto"/>
                <w:szCs w:val="21"/>
              </w:rPr>
              <w:t>投标保证金</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银行保函要求：</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1）开标现场提交银行保函原件；银行保函递交截止时间：同投标保证金截止时间。</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2）保函的受益人为采购人。</w:t>
            </w:r>
          </w:p>
          <w:p>
            <w:pPr>
              <w:spacing w:line="276" w:lineRule="auto"/>
              <w:jc w:val="lef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如投标人的投标保证金未按要求到账的（或未按时递交银行保函的），视为无效投标并不接收投标文件。</w:t>
            </w:r>
          </w:p>
          <w:p>
            <w:pPr>
              <w:pStyle w:val="15"/>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注：响应文件中投标保证金提交凭据为银行转账回单或银行保函。响应文件中如提供虚假材料，则没收投标保证金。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8</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服务期</w:t>
            </w:r>
          </w:p>
        </w:tc>
        <w:tc>
          <w:tcPr>
            <w:tcW w:w="7318" w:type="dxa"/>
            <w:vAlign w:val="center"/>
          </w:tcPr>
          <w:p>
            <w:pPr>
              <w:spacing w:line="360" w:lineRule="auto"/>
              <w:rPr>
                <w:rFonts w:asciiTheme="minorEastAsia" w:hAnsiTheme="minorEastAsia" w:eastAsiaTheme="minorEastAsia"/>
                <w:color w:val="auto"/>
                <w:sz w:val="24"/>
              </w:rPr>
            </w:pPr>
            <w:r>
              <w:rPr>
                <w:rFonts w:hint="eastAsia" w:cs="仿宋_GB2312" w:asciiTheme="minorEastAsia" w:hAnsiTheme="minorEastAsia" w:eastAsiaTheme="minorEastAsia"/>
                <w:color w:val="auto"/>
                <w:kern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9</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投标有效期</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90天(日历日)，开标截止之日起计算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10</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澄清或者修改时间</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提交响应文件截止时间5日前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11</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供应商提问截止时间</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磋商文件售卖截止日期后的第一个工作日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12</w:t>
            </w:r>
          </w:p>
        </w:tc>
        <w:tc>
          <w:tcPr>
            <w:tcW w:w="1858" w:type="dxa"/>
            <w:vAlign w:val="center"/>
          </w:tcPr>
          <w:p>
            <w:pPr>
              <w:pStyle w:val="15"/>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响应文件份数</w:t>
            </w:r>
          </w:p>
        </w:tc>
        <w:tc>
          <w:tcPr>
            <w:tcW w:w="7318" w:type="dxa"/>
            <w:vAlign w:val="center"/>
          </w:tcPr>
          <w:p>
            <w:pPr>
              <w:pStyle w:val="15"/>
              <w:numPr>
                <w:ilvl w:val="0"/>
                <w:numId w:val="2"/>
              </w:num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正本壹份，副本贰份，</w:t>
            </w:r>
          </w:p>
          <w:p>
            <w:pPr>
              <w:pStyle w:val="15"/>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投标文件正本和所有副本分别密封在一个投标专用袋中</w:t>
            </w:r>
          </w:p>
          <w:p>
            <w:pPr>
              <w:pStyle w:val="15"/>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2.电子文件壹份(包含PDF和Word版本) ,另密封装壹份；</w:t>
            </w:r>
          </w:p>
          <w:p>
            <w:pPr>
              <w:pStyle w:val="15"/>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3.供应商提供的可读取的投标文件电子文档（光盘或U盘），内容包括投标文件的所有内容，（响应文件封面须明确注明“正本/副本/电子文档/报价一览表”字样），报价一览表（另独立密封一份）</w:t>
            </w:r>
          </w:p>
          <w:p>
            <w:pPr>
              <w:pStyle w:val="15"/>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供应商提交的响应文件不符合本款要求的，按照无效响应文件处理。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13</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封套上应载明的信息</w:t>
            </w:r>
          </w:p>
        </w:tc>
        <w:tc>
          <w:tcPr>
            <w:tcW w:w="7318" w:type="dxa"/>
            <w:vAlign w:val="center"/>
          </w:tcPr>
          <w:p>
            <w:pPr>
              <w:spacing w:line="360" w:lineRule="auto"/>
              <w:jc w:val="righ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（电子文档/报价一览表）</w:t>
            </w:r>
          </w:p>
          <w:p>
            <w:pPr>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政府采购</w:t>
            </w:r>
          </w:p>
          <w:p>
            <w:pPr>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响应文件</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项目名称：</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项目编号：</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在</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r>
              <w:rPr>
                <w:rFonts w:hint="eastAsia" w:cs="仿宋" w:asciiTheme="minorEastAsia" w:hAnsiTheme="minorEastAsia" w:eastAsiaTheme="minorEastAsia"/>
                <w:color w:val="auto"/>
                <w:szCs w:val="21"/>
              </w:rPr>
              <w:t>之前不得启封</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 xml:space="preserve">供应商名称：___________联系人：_________ </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联系电话：_____________供应商地址：_____________</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日期：________________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14</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提交响应文件的截止时间、地点</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截止时间：</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r>
              <w:rPr>
                <w:rFonts w:hint="eastAsia" w:cs="仿宋" w:asciiTheme="minorEastAsia" w:hAnsiTheme="minorEastAsia" w:eastAsiaTheme="minorEastAsia"/>
                <w:color w:val="auto"/>
                <w:szCs w:val="21"/>
              </w:rPr>
              <w:t>（北京时间）</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递交地点：海南省海口市美兰区国兴大道11号国瑞大厦B座西塔8楼A807室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15</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磋商时间、地点</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时间：</w:t>
            </w:r>
            <w:r>
              <w:rPr>
                <w:rFonts w:hint="eastAsia" w:asciiTheme="minorEastAsia" w:hAnsiTheme="minorEastAsia" w:eastAsiaTheme="minorEastAsia"/>
                <w:color w:val="auto"/>
                <w:szCs w:val="21"/>
                <w:u w:val="single"/>
              </w:rPr>
              <w:t>2022年</w:t>
            </w:r>
            <w:r>
              <w:rPr>
                <w:rFonts w:hint="eastAsia" w:asciiTheme="minorEastAsia" w:hAnsiTheme="minorEastAsia" w:eastAsiaTheme="minorEastAsia"/>
                <w:color w:val="auto"/>
                <w:szCs w:val="21"/>
                <w:u w:val="single"/>
                <w:lang w:val="en-US" w:eastAsia="zh-CN"/>
              </w:rPr>
              <w:t>8</w:t>
            </w:r>
            <w:r>
              <w:rPr>
                <w:rFonts w:hint="eastAsia" w:asciiTheme="minorEastAsia" w:hAnsiTheme="minorEastAsia" w:eastAsiaTheme="minorEastAsia"/>
                <w:color w:val="auto"/>
                <w:szCs w:val="21"/>
                <w:u w:val="single"/>
              </w:rPr>
              <w:t>月</w:t>
            </w:r>
            <w:r>
              <w:rPr>
                <w:rFonts w:hint="eastAsia" w:asciiTheme="minorEastAsia" w:hAnsiTheme="minorEastAsia" w:eastAsiaTheme="minorEastAsia"/>
                <w:color w:val="auto"/>
                <w:szCs w:val="21"/>
                <w:u w:val="single"/>
                <w:lang w:val="en-US" w:eastAsia="zh-CN"/>
              </w:rPr>
              <w:t>29</w:t>
            </w:r>
            <w:r>
              <w:rPr>
                <w:rFonts w:hint="eastAsia" w:asciiTheme="minorEastAsia" w:hAnsiTheme="minorEastAsia" w:eastAsiaTheme="minorEastAsia"/>
                <w:color w:val="auto"/>
                <w:szCs w:val="21"/>
                <w:u w:val="single"/>
              </w:rPr>
              <w:t>日</w:t>
            </w:r>
            <w:r>
              <w:rPr>
                <w:rFonts w:hint="eastAsia" w:asciiTheme="minorEastAsia" w:hAnsiTheme="minorEastAsia" w:eastAsiaTheme="minorEastAsia"/>
                <w:color w:val="auto"/>
                <w:szCs w:val="21"/>
                <w:u w:val="single"/>
                <w:lang w:val="en-US" w:eastAsia="zh-CN"/>
              </w:rPr>
              <w:t>15</w:t>
            </w:r>
            <w:r>
              <w:rPr>
                <w:rFonts w:hint="eastAsia" w:asciiTheme="minorEastAsia" w:hAnsiTheme="minorEastAsia" w:eastAsiaTheme="minorEastAsia"/>
                <w:color w:val="auto"/>
                <w:szCs w:val="21"/>
                <w:u w:val="single"/>
              </w:rPr>
              <w:t>时</w:t>
            </w:r>
            <w:r>
              <w:rPr>
                <w:rFonts w:hint="eastAsia" w:asciiTheme="minorEastAsia" w:hAnsiTheme="minorEastAsia" w:eastAsiaTheme="minorEastAsia"/>
                <w:color w:val="auto"/>
                <w:szCs w:val="21"/>
                <w:u w:val="single"/>
                <w:lang w:val="en-US" w:eastAsia="zh-CN"/>
              </w:rPr>
              <w:t>00</w:t>
            </w:r>
            <w:r>
              <w:rPr>
                <w:rFonts w:hint="eastAsia" w:asciiTheme="minorEastAsia" w:hAnsiTheme="minorEastAsia" w:eastAsiaTheme="minorEastAsia"/>
                <w:color w:val="auto"/>
                <w:szCs w:val="21"/>
                <w:u w:val="single"/>
              </w:rPr>
              <w:t>分</w:t>
            </w:r>
            <w:bookmarkStart w:id="299" w:name="_GoBack"/>
            <w:bookmarkEnd w:id="299"/>
            <w:r>
              <w:rPr>
                <w:rFonts w:hint="eastAsia" w:cs="仿宋" w:asciiTheme="minorEastAsia" w:hAnsiTheme="minorEastAsia" w:eastAsiaTheme="minorEastAsia"/>
                <w:color w:val="auto"/>
                <w:szCs w:val="21"/>
              </w:rPr>
              <w:t>（北京时间）</w:t>
            </w:r>
          </w:p>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地点：海南省海口市美兰区国兴大道11号国瑞大厦B座西塔8楼A807室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16</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采购方式</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21" w:type="dxa"/>
            <w:vAlign w:val="center"/>
          </w:tcPr>
          <w:p>
            <w:pPr>
              <w:spacing w:line="276"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17</w:t>
            </w:r>
          </w:p>
        </w:tc>
        <w:tc>
          <w:tcPr>
            <w:tcW w:w="1858" w:type="dxa"/>
            <w:vAlign w:val="center"/>
          </w:tcPr>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磋商小组成员数量</w:t>
            </w:r>
          </w:p>
        </w:tc>
        <w:tc>
          <w:tcPr>
            <w:tcW w:w="7318" w:type="dxa"/>
            <w:vAlign w:val="center"/>
          </w:tcPr>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磋商小组成员数量：磋商小组共由3人组成，其中专家成员 3人从海南省综合评标专家库中随机抽取。</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磋商小组组成来源：根据《中华人民共和国政府采购法》、《政府采购货物和服务招标投标管理办法》（财政部第87号令）,评审专家应当从政府采购评审专家库内相关专业的专家名单中随机抽取。</w:t>
            </w:r>
          </w:p>
          <w:p>
            <w:pPr>
              <w:spacing w:line="276"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本项目评审专家从海南省综合评标专家库中随机抽取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18</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联合体投标</w:t>
            </w:r>
          </w:p>
        </w:tc>
        <w:tc>
          <w:tcPr>
            <w:tcW w:w="7318" w:type="dxa"/>
            <w:vAlign w:val="center"/>
          </w:tcPr>
          <w:p>
            <w:pPr>
              <w:pStyle w:val="15"/>
              <w:spacing w:line="360" w:lineRule="auto"/>
              <w:rPr>
                <w:rFonts w:cs="仿宋" w:asciiTheme="minorEastAsia" w:hAnsiTheme="minorEastAsia" w:eastAsiaTheme="minorEastAsia"/>
                <w:color w:val="auto"/>
                <w:szCs w:val="21"/>
                <w:u w:val="single"/>
              </w:rPr>
            </w:pPr>
            <w:r>
              <w:rPr>
                <w:rFonts w:hint="eastAsia" w:cs="仿宋" w:asciiTheme="minorEastAsia" w:hAnsiTheme="minorEastAsia" w:eastAsiaTheme="minorEastAsia"/>
                <w:color w:val="auto"/>
                <w:szCs w:val="21"/>
              </w:rPr>
              <w:t>（√）不接受（）接受（）其他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19</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项目分包</w:t>
            </w:r>
          </w:p>
        </w:tc>
        <w:tc>
          <w:tcPr>
            <w:tcW w:w="7318" w:type="dxa"/>
            <w:vAlign w:val="center"/>
          </w:tcPr>
          <w:p>
            <w:pPr>
              <w:pStyle w:val="15"/>
              <w:spacing w:line="360" w:lineRule="auto"/>
              <w:rPr>
                <w:rFonts w:cs="仿宋" w:asciiTheme="minorEastAsia" w:hAnsiTheme="minorEastAsia" w:eastAsiaTheme="minorEastAsia"/>
                <w:color w:val="auto"/>
                <w:szCs w:val="21"/>
                <w:u w:val="single"/>
              </w:rPr>
            </w:pPr>
            <w:r>
              <w:rPr>
                <w:rFonts w:hint="eastAsia" w:cs="仿宋" w:asciiTheme="minorEastAsia" w:hAnsiTheme="minorEastAsia" w:eastAsiaTheme="minorEastAsia"/>
                <w:color w:val="auto"/>
                <w:szCs w:val="21"/>
              </w:rPr>
              <w:t>（√）不接受（）接受（）其他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20</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备选方案</w:t>
            </w:r>
          </w:p>
        </w:tc>
        <w:tc>
          <w:tcPr>
            <w:tcW w:w="7318" w:type="dxa"/>
            <w:vAlign w:val="center"/>
          </w:tcPr>
          <w:p>
            <w:pPr>
              <w:pStyle w:val="15"/>
              <w:spacing w:line="360" w:lineRule="auto"/>
              <w:rPr>
                <w:rFonts w:cs="仿宋" w:asciiTheme="minorEastAsia" w:hAnsiTheme="minorEastAsia" w:eastAsiaTheme="minorEastAsia"/>
                <w:color w:val="auto"/>
                <w:szCs w:val="21"/>
                <w:u w:val="single"/>
              </w:rPr>
            </w:pPr>
            <w:r>
              <w:rPr>
                <w:rFonts w:hint="eastAsia" w:cs="仿宋" w:asciiTheme="minorEastAsia" w:hAnsiTheme="minorEastAsia" w:eastAsiaTheme="minorEastAsia"/>
                <w:color w:val="auto"/>
                <w:szCs w:val="21"/>
              </w:rPr>
              <w:t>（√）不接受（）接受（）其他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21</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述标或产（样）品演示</w:t>
            </w:r>
          </w:p>
        </w:tc>
        <w:tc>
          <w:tcPr>
            <w:tcW w:w="731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（√）不需要（）需要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22</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采购进口产品</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（）本采购项目拒绝进口产品参加投标</w:t>
            </w:r>
          </w:p>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（）本采购项目已经财政部审核同意购买进口产品</w:t>
            </w:r>
          </w:p>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（√）其他____________________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23</w:t>
            </w:r>
          </w:p>
        </w:tc>
        <w:tc>
          <w:tcPr>
            <w:tcW w:w="1858" w:type="dxa"/>
            <w:vAlign w:val="center"/>
          </w:tcPr>
          <w:p>
            <w:pPr>
              <w:pStyle w:val="15"/>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政府采购强制采购：节能产品</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（√）否</w:t>
            </w:r>
          </w:p>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（）是，采购《节能产品政府采购清单》(第__期)内的产品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restart"/>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24</w:t>
            </w:r>
          </w:p>
        </w:tc>
        <w:tc>
          <w:tcPr>
            <w:tcW w:w="1858" w:type="dxa"/>
            <w:vAlign w:val="center"/>
          </w:tcPr>
          <w:p>
            <w:pPr>
              <w:pStyle w:val="15"/>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政府采购优先采购：节能产品(非强制类)</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vAlign w:val="center"/>
          </w:tcPr>
          <w:p>
            <w:pPr>
              <w:pStyle w:val="15"/>
              <w:spacing w:line="360" w:lineRule="auto"/>
              <w:rPr>
                <w:rFonts w:cs="仿宋" w:asciiTheme="minorEastAsia" w:hAnsiTheme="minorEastAsia" w:eastAsiaTheme="minorEastAsia"/>
                <w:b/>
                <w:bCs/>
                <w:color w:val="auto"/>
                <w:szCs w:val="21"/>
              </w:rPr>
            </w:pPr>
          </w:p>
        </w:tc>
        <w:tc>
          <w:tcPr>
            <w:tcW w:w="1858" w:type="dxa"/>
            <w:vAlign w:val="center"/>
          </w:tcPr>
          <w:p>
            <w:pPr>
              <w:pStyle w:val="15"/>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政府采购优先采购：环境标志产品</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财库[2004]185号、财库[2006]90号、国办发[2007]51号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vAlign w:val="center"/>
          </w:tcPr>
          <w:p>
            <w:pPr>
              <w:pStyle w:val="15"/>
              <w:spacing w:line="360" w:lineRule="auto"/>
              <w:rPr>
                <w:rFonts w:cs="仿宋" w:asciiTheme="minorEastAsia" w:hAnsiTheme="minorEastAsia" w:eastAsiaTheme="minorEastAsia"/>
                <w:b/>
                <w:bCs/>
                <w:color w:val="auto"/>
                <w:szCs w:val="21"/>
              </w:rPr>
            </w:pPr>
          </w:p>
        </w:tc>
        <w:tc>
          <w:tcPr>
            <w:tcW w:w="1858" w:type="dxa"/>
            <w:vAlign w:val="center"/>
          </w:tcPr>
          <w:p>
            <w:pPr>
              <w:pStyle w:val="15"/>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支持中小企业发展</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（）专门面向中小企业采购项目</w:t>
            </w:r>
          </w:p>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（√）非专门面向中小企业采购项目。供应商为非联合体参与磋商的，对小型和微型企业产品的价格给予</w:t>
            </w:r>
            <w:r>
              <w:rPr>
                <w:rFonts w:hint="eastAsia" w:cs="仿宋" w:asciiTheme="minorEastAsia" w:hAnsiTheme="minorEastAsia" w:eastAsiaTheme="minorEastAsia"/>
                <w:color w:val="auto"/>
                <w:szCs w:val="21"/>
                <w:lang w:val="en-US" w:eastAsia="zh-CN"/>
              </w:rPr>
              <w:t>10</w:t>
            </w:r>
            <w:r>
              <w:rPr>
                <w:rFonts w:hint="eastAsia" w:cs="仿宋" w:asciiTheme="minorEastAsia" w:hAnsiTheme="minorEastAsia" w:eastAsiaTheme="minorEastAsia"/>
                <w:color w:val="auto"/>
                <w:szCs w:val="21"/>
              </w:rPr>
              <w:t>%的扣除。</w:t>
            </w:r>
          </w:p>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（）其他________________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Merge w:val="continue"/>
            <w:vAlign w:val="center"/>
          </w:tcPr>
          <w:p>
            <w:pPr>
              <w:pStyle w:val="15"/>
              <w:spacing w:line="360" w:lineRule="auto"/>
              <w:rPr>
                <w:rFonts w:cs="仿宋" w:asciiTheme="minorEastAsia" w:hAnsiTheme="minorEastAsia" w:eastAsiaTheme="minorEastAsia"/>
                <w:b/>
                <w:bCs/>
                <w:color w:val="auto"/>
                <w:szCs w:val="21"/>
              </w:rPr>
            </w:pP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信息安全认证</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25</w:t>
            </w:r>
          </w:p>
        </w:tc>
        <w:tc>
          <w:tcPr>
            <w:tcW w:w="1858" w:type="dxa"/>
            <w:vAlign w:val="center"/>
          </w:tcPr>
          <w:p>
            <w:pPr>
              <w:pStyle w:val="15"/>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其他法律法规强制性规定或扶持政策</w:t>
            </w:r>
          </w:p>
        </w:tc>
        <w:tc>
          <w:tcPr>
            <w:tcW w:w="7318" w:type="dxa"/>
            <w:vAlign w:val="center"/>
          </w:tcPr>
          <w:p>
            <w:pPr>
              <w:snapToGrid w:val="0"/>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按照&lt;财政部国家发展改革委关于印发《节能产品政府采购实施意见》的通知&gt;（财库【2004】185号）、&lt;财政部国家环保总局联合印发《关于环境标志产品政府采购实施的意见》&gt;（财库【2006】90号）的规定，落实国家节能环保政策。</w:t>
            </w:r>
          </w:p>
          <w:p>
            <w:pPr>
              <w:snapToGrid w:val="0"/>
              <w:spacing w:line="360" w:lineRule="auto"/>
              <w:ind w:firstLine="210" w:firstLineChars="1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2.按照&lt;财政部工业和信息化部关于印发《政府采购促进中小企业发展暂行办法》的通知&gt;（财库〔2011〕181号）的规定，落实促进中小企业发展政策。</w:t>
            </w:r>
          </w:p>
          <w:p>
            <w:pPr>
              <w:snapToGrid w:val="0"/>
              <w:spacing w:line="360" w:lineRule="auto"/>
              <w:ind w:firstLine="210" w:firstLineChars="1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3.按照&lt;财政部、司法部关于政府采购支持监狱企业发展有关问题的通知&gt;（财库〔2014〕68号）的规定，落实支持监狱企业发展政策。</w:t>
            </w:r>
          </w:p>
          <w:p>
            <w:pPr>
              <w:pStyle w:val="15"/>
              <w:spacing w:line="360" w:lineRule="auto"/>
              <w:ind w:firstLine="210" w:firstLineChars="1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4.按照《三部门联合发布关于促进残疾人就业政府采购政策的通知》（财库〔2017〕141号）的规定，落实支持残疾人福利性单位发展政策。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26</w:t>
            </w:r>
          </w:p>
        </w:tc>
        <w:tc>
          <w:tcPr>
            <w:tcW w:w="1858" w:type="dxa"/>
            <w:vAlign w:val="center"/>
          </w:tcPr>
          <w:p>
            <w:pPr>
              <w:pStyle w:val="15"/>
              <w:spacing w:line="360" w:lineRule="auto"/>
              <w:jc w:val="center"/>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履约保证金</w:t>
            </w:r>
          </w:p>
        </w:tc>
        <w:tc>
          <w:tcPr>
            <w:tcW w:w="731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27</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采购代理服务费</w:t>
            </w:r>
          </w:p>
        </w:tc>
        <w:tc>
          <w:tcPr>
            <w:tcW w:w="7318" w:type="dxa"/>
            <w:vAlign w:val="center"/>
          </w:tcPr>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评审结束经公示后，中标人向采购代理机构缴纳采购代理服务费，参照《海南省物价局关于降低部分招标代理服务收费标准的通知》（琼价费管〔2011〕225号文标准。</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账户名称：海南博林项目管理有限责任公司</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 xml:space="preserve">开户银行：中信银行股份有限公司海口蓝天路支行 </w:t>
            </w:r>
          </w:p>
          <w:p>
            <w:pPr>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帐    号：8115801012600061075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jc w:val="center"/>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28</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项目特殊说明</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jc w:val="center"/>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29</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其它唱标内容</w:t>
            </w:r>
          </w:p>
        </w:tc>
        <w:tc>
          <w:tcPr>
            <w:tcW w:w="731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1" w:type="dxa"/>
            <w:vAlign w:val="center"/>
          </w:tcPr>
          <w:p>
            <w:pPr>
              <w:pStyle w:val="15"/>
              <w:spacing w:line="360" w:lineRule="auto"/>
              <w:jc w:val="center"/>
              <w:rPr>
                <w:rFonts w:cs="仿宋" w:asciiTheme="minorEastAsia" w:hAnsiTheme="minorEastAsia" w:eastAsiaTheme="minorEastAsia"/>
                <w:b/>
                <w:bCs/>
                <w:color w:val="auto"/>
                <w:szCs w:val="21"/>
              </w:rPr>
            </w:pPr>
            <w:r>
              <w:rPr>
                <w:rFonts w:hint="eastAsia" w:cs="仿宋" w:asciiTheme="minorEastAsia" w:hAnsiTheme="minorEastAsia" w:eastAsiaTheme="minorEastAsia"/>
                <w:color w:val="auto"/>
                <w:szCs w:val="21"/>
              </w:rPr>
              <w:t>30</w:t>
            </w:r>
          </w:p>
        </w:tc>
        <w:tc>
          <w:tcPr>
            <w:tcW w:w="1858" w:type="dxa"/>
            <w:vAlign w:val="center"/>
          </w:tcPr>
          <w:p>
            <w:pPr>
              <w:pStyle w:val="15"/>
              <w:spacing w:line="360" w:lineRule="auto"/>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公告媒体</w:t>
            </w:r>
          </w:p>
        </w:tc>
        <w:tc>
          <w:tcPr>
            <w:tcW w:w="7318" w:type="dxa"/>
            <w:vAlign w:val="center"/>
          </w:tcPr>
          <w:p>
            <w:pPr>
              <w:spacing w:line="360" w:lineRule="auto"/>
              <w:rPr>
                <w:rFonts w:cs="仿宋" w:asciiTheme="minorEastAsia" w:hAnsiTheme="minorEastAsia" w:eastAsiaTheme="minorEastAsia"/>
                <w:color w:val="auto"/>
                <w:szCs w:val="21"/>
              </w:rPr>
            </w:pPr>
            <w:r>
              <w:rPr>
                <w:rFonts w:hint="eastAsia" w:asciiTheme="minorEastAsia" w:hAnsiTheme="minorEastAsia" w:eastAsiaTheme="minorEastAsia"/>
                <w:color w:val="auto"/>
                <w:szCs w:val="21"/>
              </w:rPr>
              <w:t>海南政府采购网（https://www.ccgp-hainan.gov.cn/zhuzhan/）</w:t>
            </w:r>
          </w:p>
        </w:tc>
      </w:tr>
    </w:tbl>
    <w:p>
      <w:pPr>
        <w:pStyle w:val="24"/>
        <w:ind w:left="0" w:leftChars="0" w:firstLine="0" w:firstLineChars="0"/>
        <w:rPr>
          <w:rFonts w:asciiTheme="minorEastAsia" w:hAnsiTheme="minorEastAsia" w:eastAsiaTheme="minorEastAsia"/>
          <w:b/>
          <w:bCs/>
          <w:color w:val="auto"/>
          <w:szCs w:val="21"/>
          <w:lang w:eastAsia="zh-CN"/>
        </w:rPr>
      </w:pPr>
    </w:p>
    <w:p>
      <w:pPr>
        <w:widowControl/>
        <w:jc w:val="left"/>
        <w:rPr>
          <w:rFonts w:asciiTheme="minorEastAsia" w:hAnsiTheme="minorEastAsia" w:eastAsiaTheme="minorEastAsia"/>
          <w:b/>
          <w:bCs/>
          <w:color w:val="auto"/>
          <w:sz w:val="32"/>
          <w:szCs w:val="32"/>
        </w:rPr>
      </w:pPr>
      <w:r>
        <w:rPr>
          <w:rFonts w:asciiTheme="minorEastAsia" w:hAnsiTheme="minorEastAsia" w:eastAsiaTheme="minorEastAsia"/>
          <w:b/>
          <w:bCs/>
          <w:color w:val="auto"/>
          <w:sz w:val="32"/>
          <w:szCs w:val="32"/>
        </w:rPr>
        <w:br w:type="page"/>
      </w:r>
    </w:p>
    <w:p>
      <w:pPr>
        <w:spacing w:line="360" w:lineRule="auto"/>
        <w:ind w:left="414" w:leftChars="197" w:firstLine="157" w:firstLineChars="49"/>
        <w:jc w:val="center"/>
        <w:rPr>
          <w:rFonts w:asciiTheme="minorEastAsia" w:hAnsiTheme="minorEastAsia" w:eastAsiaTheme="minorEastAsia"/>
          <w:b/>
          <w:bCs/>
          <w:color w:val="auto"/>
          <w:sz w:val="32"/>
          <w:szCs w:val="32"/>
        </w:rPr>
      </w:pPr>
    </w:p>
    <w:p>
      <w:pPr>
        <w:spacing w:line="360" w:lineRule="auto"/>
        <w:ind w:left="414" w:leftChars="197" w:firstLine="157" w:firstLineChars="49"/>
        <w:jc w:val="center"/>
        <w:rPr>
          <w:rFonts w:asciiTheme="minorEastAsia" w:hAnsiTheme="minorEastAsia" w:eastAsiaTheme="minorEastAsia"/>
          <w:b/>
          <w:bCs/>
          <w:color w:val="auto"/>
          <w:sz w:val="32"/>
          <w:szCs w:val="32"/>
        </w:rPr>
      </w:pPr>
      <w:r>
        <w:rPr>
          <w:rFonts w:asciiTheme="minorEastAsia" w:hAnsiTheme="minorEastAsia" w:eastAsiaTheme="minorEastAsia"/>
          <w:b/>
          <w:bCs/>
          <w:color w:val="auto"/>
          <w:sz w:val="32"/>
          <w:szCs w:val="32"/>
        </w:rPr>
        <w:t>二、供应商须知</w:t>
      </w:r>
      <w:bookmarkEnd w:id="49"/>
    </w:p>
    <w:p>
      <w:pPr>
        <w:rPr>
          <w:rFonts w:asciiTheme="minorEastAsia" w:hAnsiTheme="minorEastAsia" w:eastAsiaTheme="minorEastAsia"/>
          <w:b/>
          <w:bCs/>
          <w:color w:val="auto"/>
          <w:sz w:val="28"/>
          <w:szCs w:val="36"/>
        </w:rPr>
      </w:pPr>
      <w:bookmarkStart w:id="50" w:name="_Toc26289790"/>
      <w:r>
        <w:rPr>
          <w:rFonts w:asciiTheme="minorEastAsia" w:hAnsiTheme="minorEastAsia" w:eastAsiaTheme="minorEastAsia"/>
          <w:b/>
          <w:bCs/>
          <w:color w:val="auto"/>
          <w:sz w:val="28"/>
          <w:szCs w:val="36"/>
        </w:rPr>
        <w:t>（一）总则</w:t>
      </w:r>
      <w:bookmarkEnd w:id="50"/>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1适用范围</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1.1本</w:t>
      </w:r>
      <w:r>
        <w:rPr>
          <w:rFonts w:hint="eastAsia" w:asciiTheme="minorEastAsia" w:hAnsiTheme="minorEastAsia" w:eastAsiaTheme="minorEastAsia"/>
          <w:color w:val="auto"/>
          <w:szCs w:val="21"/>
        </w:rPr>
        <w:t>磋商文件</w:t>
      </w:r>
      <w:r>
        <w:rPr>
          <w:rFonts w:asciiTheme="minorEastAsia" w:hAnsiTheme="minorEastAsia" w:eastAsiaTheme="minorEastAsia"/>
          <w:color w:val="auto"/>
          <w:szCs w:val="21"/>
        </w:rPr>
        <w:t>是根据《中华人民共和国政府采购法》、《中华人民共和国政府采购法实施条例》、《政府采购竞争性磋商采购方式管理暂行办法》、《政府采购货物和服务招标投标管理办法》等相关法律法规、部门规章制订。</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1.2本磋商文件仅适用于本次竞争性磋商采购所叙述的采购项目。供应商应当按照磋商文件的要求编制响应文件。供应商编制响应文件时，不得向采购人提出任何磋商文件要求（规定的条件）之外的附加条件，并对其提交的响应文件的真实性、合法性承担法律责任。</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2采购说明</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2.1服务：是指除货物和工程以外的其他政府采购对象，包括政府自身需要的服务和政府向社会公众提供的公共服务。</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2.2采购代理机构：是指接受采购人委托，代理政府采购项目的集中采购机构、社会中介采购代理机构的总称。具体项目的采购代理机构，在供应商须知前附表序号3中规定。</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2.3采购人: 是指依法进行政府采购的国家机关、事业单位、团体组织。既本次采购项目的业主方。</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2.4供应商：是指向采购人提供货物、工程或者服务的法人、其他组织或者自然人。即对“供应商须知前附表”序号1所指称项目表现出兴趣，并有可能实际参与该项目竞争的法人、其他组织或者自然人。</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2.5 磋商小组：是指依据《中华人民共和国政府采购法》、《中华人民共和国政府采购法实施条例》和财政部《政府采购竞争性磋商采购方式管理暂行办法》有关规定组建，依法依规履行其职责和义务的机构。</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2.6响应：供应商根据竞争性磋商文件的要求，编制响应文件并按规定投标的行为。</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2.7合同：采供双方根据采购文件、成交供应商的响应文件及成交通知书规定的内容签署的、以书面形式所达成的协议，包括所有的附件、附录和构成协议的所有文件。</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2.8伴随服务：合同规定乙方应承担的与提供服务有关的辅助服务。</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2.9天：日历日。</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2.10交付地点：由合同约定的乙方提交的货物和服务的最终到达地点。</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2.11合同价款：由合同约定的、在乙方完全履行合同义务后甲方应支付乙方的价款。</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2.12不可抗力：不能预见、不能避免并且不能克服的客观情况。</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3合格的供应商</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3.1根据政府采购法的规定，参与政府采购活动的供应商必须是满足《政府采购法》第二十二条第一款规定的全部条件的法人、其他组织或者自然人：</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3.1.1具有独立承担民事责任的能力；</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3.1.2具有良好的商业信誉和健全的财务会计制度；</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3.1.3具有履行合同所必需的设备和专业技术能力；</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3.1.4有依法缴纳税收和社会保障资金的良好记录；</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3.1.5参加政府采购活动前三年内，在经营活动中没有重大违法记录；</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3.1.6法律、行政法规规定的其他条件。</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3.2由于政府采购项目的差异性，供应商在参与具体政府采购项目活动时，还要仔细阅读该项目（或包）的资质及相关要求。</w:t>
      </w:r>
    </w:p>
    <w:p>
      <w:pPr>
        <w:spacing w:line="360" w:lineRule="auto"/>
        <w:ind w:firstLine="426" w:firstLineChars="202"/>
        <w:jc w:val="left"/>
        <w:rPr>
          <w:rFonts w:asciiTheme="minorEastAsia" w:hAnsiTheme="minorEastAsia" w:eastAsiaTheme="minorEastAsia"/>
          <w:b/>
          <w:color w:val="auto"/>
          <w:szCs w:val="21"/>
        </w:rPr>
      </w:pPr>
      <w:r>
        <w:rPr>
          <w:rFonts w:asciiTheme="minorEastAsia" w:hAnsiTheme="minorEastAsia" w:eastAsiaTheme="minorEastAsia"/>
          <w:b/>
          <w:color w:val="auto"/>
          <w:szCs w:val="21"/>
        </w:rPr>
        <w:t>3.3供应商存在下列情形之一的，不得参加本项目政府采购活动，否则所有报价均无效：</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（l）单位负责人为同一人或者存在控股、管理关系的不同供应商，不得参加同一合同项下（同一标段或者未划分标段的同一采购项目）的政府采购活动；</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（2）除单一来源项目外，为采购项目提供整体设计，规范编制或者项目管理、监理、检测等服务的供应商及其任何附属机构（单位），不得再参加该采购项目的其它采购活动，否则按照报价无效处理；</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（3）供应商被列入</w:t>
      </w:r>
      <w:r>
        <w:rPr>
          <w:rFonts w:hint="eastAsia" w:asciiTheme="minorEastAsia" w:hAnsiTheme="minorEastAsia" w:eastAsiaTheme="minorEastAsia"/>
          <w:color w:val="auto"/>
          <w:szCs w:val="21"/>
        </w:rPr>
        <w:t>中国海南政府采购网</w:t>
      </w:r>
      <w:r>
        <w:rPr>
          <w:rFonts w:asciiTheme="minorEastAsia" w:hAnsiTheme="minorEastAsia" w:eastAsiaTheme="minorEastAsia"/>
          <w:color w:val="auto"/>
          <w:szCs w:val="21"/>
        </w:rPr>
        <w:t>正在公示的</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政府采购严重违法失信行为记录名单</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的（以本项目磋商会议当天正在公示的名单为准），不得参加本项目政府采购活动。</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（4）供应商在参加政府采购活动前3年内因违法经营被禁止在一定期限内参加政府采购活动，到本项目磋商会议当天仍在禁止期限内的，不得参加本项目政府采购活动。期限届满的，可以参加政府采购活动；</w:t>
      </w:r>
    </w:p>
    <w:p>
      <w:pPr>
        <w:spacing w:line="360" w:lineRule="auto"/>
        <w:ind w:firstLine="424" w:firstLineChars="202"/>
        <w:jc w:val="left"/>
        <w:rPr>
          <w:rFonts w:asciiTheme="minorEastAsia" w:hAnsiTheme="minorEastAsia" w:eastAsiaTheme="minorEastAsia"/>
          <w:color w:val="auto"/>
          <w:szCs w:val="21"/>
        </w:rPr>
      </w:pP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4、供应商参与磋商活动的费用以及风险</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4.1供应商必须自行承担所有与参加政府采购活动的有关费用。不论结果如何，采购代理机构在任何情况下均无义务和责任承担这些费用。</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4.2供应商一旦购买了磋商文件并参加本次政府采购活动，即被认为接受了磋商文件中的所有条件和规定。</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4.3供应商应认真阅读磋商文件中所有的事项、格式、条款和规范等要求。如果没有按照磋商文件要求提交全部资料，或没有对磋商文件做出实质性响应，其风险应由供应商自行承担。</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4.4供应商所提供的所有资料（包括扫描件、复印件、影印打印件等）必须清晰，如因提供的资料难以辨认，其风险由供应商自行承担。</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p>
    <w:p>
      <w:pPr>
        <w:spacing w:line="360" w:lineRule="auto"/>
        <w:ind w:firstLine="424" w:firstLineChars="201"/>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5投标委托</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5.1供应商的法定代表人可以委托代表人处理投标事务。</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5.2委托代表人的资格条件：见供应商须知前附表。</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5.3委托代表人的代理权限：见供应商须知前附表。</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5.4委托代表人须持有法定代表人出具的符合格式要求的《授权委托书》（格式见附件）。</w:t>
      </w:r>
    </w:p>
    <w:p>
      <w:pPr>
        <w:rPr>
          <w:rFonts w:asciiTheme="minorEastAsia" w:hAnsiTheme="minorEastAsia" w:eastAsiaTheme="minorEastAsia"/>
          <w:b/>
          <w:bCs/>
          <w:color w:val="auto"/>
          <w:sz w:val="28"/>
          <w:szCs w:val="36"/>
        </w:rPr>
      </w:pPr>
      <w:bookmarkStart w:id="51" w:name="_Toc32100"/>
      <w:bookmarkStart w:id="52" w:name="_Toc317237600"/>
      <w:bookmarkStart w:id="53" w:name="_Toc317237775"/>
      <w:bookmarkStart w:id="54" w:name="_Toc26289791"/>
      <w:r>
        <w:rPr>
          <w:rFonts w:hint="eastAsia" w:asciiTheme="minorEastAsia" w:hAnsiTheme="minorEastAsia" w:eastAsiaTheme="minorEastAsia"/>
          <w:b/>
          <w:bCs/>
          <w:color w:val="auto"/>
          <w:sz w:val="28"/>
          <w:szCs w:val="36"/>
        </w:rPr>
        <w:t>（二）竞争性磋商文件</w:t>
      </w:r>
      <w:bookmarkEnd w:id="51"/>
      <w:bookmarkEnd w:id="52"/>
      <w:bookmarkEnd w:id="53"/>
      <w:bookmarkEnd w:id="54"/>
    </w:p>
    <w:p>
      <w:pPr>
        <w:spacing w:line="360" w:lineRule="auto"/>
        <w:ind w:firstLine="424" w:firstLineChars="201"/>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6竞争性磋商文件的构成</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6.1竞争性磋商文件规定本次招标活动的规则，提供编制响应文件和参加投标的依据。竞争性磋商文件包括以下内容：</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第一章竞争性磋商采购公告；</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第二章供应商须知；</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第三章采购需求书；</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第四章合同协议书；</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第五章评标方法和标准；</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第六章响应文件格式。</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6.2供应商应当仔细阅读、充分关注和正确理解采购文件中陈述的所有事项，遵循格式文件的规定和签署要求。不能对采购文件做出实质性响应的投标将被拒绝。</w:t>
      </w:r>
    </w:p>
    <w:p>
      <w:pPr>
        <w:spacing w:line="360" w:lineRule="auto"/>
        <w:ind w:firstLine="424" w:firstLineChars="201"/>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7、</w:t>
      </w:r>
      <w:r>
        <w:rPr>
          <w:rFonts w:asciiTheme="minorEastAsia" w:hAnsiTheme="minorEastAsia" w:eastAsiaTheme="minorEastAsia"/>
          <w:b/>
          <w:color w:val="auto"/>
          <w:szCs w:val="21"/>
        </w:rPr>
        <w:t>磋商文件的澄清</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r>
        <w:rPr>
          <w:rFonts w:asciiTheme="minorEastAsia" w:hAnsiTheme="minorEastAsia" w:eastAsiaTheme="minorEastAsia"/>
          <w:color w:val="auto"/>
          <w:szCs w:val="21"/>
        </w:rPr>
        <w:t>.1供应商可以对磋商文件中的有关问题（如含义不明确、同类问题表述不一致或者有明显文字和计算错误、遗漏、歧义等问题）以书面形式进行询问，或是认为磋商文件使自己的权益受到损害而需要提出质疑的（对磋商文件质疑的详细规定详见</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质疑与投诉</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），可以要求采购代理机进行答疑、澄清答复。</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r>
        <w:rPr>
          <w:rFonts w:asciiTheme="minorEastAsia" w:hAnsiTheme="minorEastAsia" w:eastAsiaTheme="minorEastAsia"/>
          <w:color w:val="auto"/>
          <w:szCs w:val="21"/>
        </w:rPr>
        <w:t>.2供应商对磋商文件如有疑问，可以在磋商文件规定的询问或质疑截止时间之前，以书面形式（如电子邮件、传真、信件、电报等）向采购代理机构提交</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询问函</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或</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质疑函</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。采购代理机构对在此规定时间以前收到的、且需要做出澄清修改的问题，将以公告的形式在</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供应商须知前附表</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序号3所指定的网站上（以下简称</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指定的网站</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作出澄清解释或补充说明，但不说明问题的来源，答复内容不得涉及商业秘密。逾期视同接受，在规定的询问或质疑截止时间后提出的任何针对磋商文件的询问或质疑，将不予受理。该更正补充公告是磋商文件不可或缺的组成部分，对参与采购活动的有关各方均具有约束力。</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r>
        <w:rPr>
          <w:rFonts w:asciiTheme="minorEastAsia" w:hAnsiTheme="minorEastAsia" w:eastAsiaTheme="minorEastAsia"/>
          <w:color w:val="auto"/>
          <w:szCs w:val="21"/>
        </w:rPr>
        <w:t>.3供应商应主动上网查询该项目的相关公告。采购人、采购代理机构不承担供应商未及时关注相关信息引发的相关责任。</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r>
        <w:rPr>
          <w:rFonts w:asciiTheme="minorEastAsia" w:hAnsiTheme="minorEastAsia" w:eastAsiaTheme="minorEastAsia"/>
          <w:color w:val="auto"/>
          <w:szCs w:val="21"/>
        </w:rPr>
        <w:t>.4供应商提出的询问超出采购人对采购代理机构委托授权范围或者回答范围的，采购代理机构应当告知供应商向采购人提出。</w:t>
      </w:r>
    </w:p>
    <w:p>
      <w:pPr>
        <w:spacing w:line="360" w:lineRule="auto"/>
        <w:ind w:firstLine="424" w:firstLineChars="201"/>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8、</w:t>
      </w:r>
      <w:r>
        <w:rPr>
          <w:rFonts w:asciiTheme="minorEastAsia" w:hAnsiTheme="minorEastAsia" w:eastAsiaTheme="minorEastAsia"/>
          <w:b/>
          <w:color w:val="auto"/>
          <w:szCs w:val="21"/>
        </w:rPr>
        <w:t>磋商文件的修改</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.1在本文件规定的提交首次响应文件截止之日前，采购人、采购代理机构可以对已发出的磋商文件进行必要的澄清或者修改，可能影响响应文件编制的，将按照7.2的相关程序执行。</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2采购人、采购代理机构将按法定程序对供应商针对磋商文件提出的询问或者质疑进行答复。如涉及到对磋商文件进行必要的澄清或者修改，可能影响响应文件编制的，采购人或者采购代理机构将在磋商文件规定的提交首次响应文件截止时间至少5日前将澄清或者修改内容及通知以更正补充公告的形式发布于指定的网站上，不足5日的，顺延供应商提交首次响应文件截止时间。答疑、补遗是磋商文件不可缺少的组成部分，对参与采购活动的有关各方均具有约束力。</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3为使供应商有充分时间对磋商文件的修改部分进行研究或由于其他原因，采购人、采购代理机构可以决定推迟响应文件提交的截止时间。推迟截止时间的通知将刊发在指定的网站上，不再另行通知。供应商应主动上网查询该项目的相关公告。采购人或采购代理机构不承担供应商未及时关注相关信息引发的相关责任。</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r>
        <w:rPr>
          <w:rFonts w:asciiTheme="minorEastAsia" w:hAnsiTheme="minorEastAsia" w:eastAsiaTheme="minorEastAsia"/>
          <w:color w:val="auto"/>
          <w:szCs w:val="21"/>
        </w:rPr>
        <w:t>.4当磋商文件的澄清、修改、补充等在同一内容的表述上不一致时，以最后发出的为准。</w:t>
      </w:r>
    </w:p>
    <w:p>
      <w:pPr>
        <w:spacing w:line="360" w:lineRule="auto"/>
        <w:ind w:firstLine="424" w:firstLineChars="201"/>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9答疑会和现场考察</w:t>
      </w:r>
    </w:p>
    <w:p>
      <w:pPr>
        <w:spacing w:line="360" w:lineRule="auto"/>
        <w:ind w:firstLine="422" w:firstLineChars="201"/>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9.1答疑会和现场考察：见供应商须知前附表。</w:t>
      </w:r>
    </w:p>
    <w:p>
      <w:pPr>
        <w:rPr>
          <w:rFonts w:asciiTheme="minorEastAsia" w:hAnsiTheme="minorEastAsia" w:eastAsiaTheme="minorEastAsia"/>
          <w:b/>
          <w:bCs/>
          <w:color w:val="auto"/>
          <w:sz w:val="28"/>
          <w:szCs w:val="36"/>
        </w:rPr>
      </w:pPr>
      <w:bookmarkStart w:id="55" w:name="_Toc26289792"/>
      <w:r>
        <w:rPr>
          <w:rFonts w:hint="eastAsia" w:asciiTheme="minorEastAsia" w:hAnsiTheme="minorEastAsia" w:eastAsiaTheme="minorEastAsia"/>
          <w:b/>
          <w:bCs/>
          <w:color w:val="auto"/>
          <w:sz w:val="28"/>
          <w:szCs w:val="36"/>
        </w:rPr>
        <w:t>（三）响应文件的编制</w:t>
      </w:r>
      <w:bookmarkEnd w:id="55"/>
    </w:p>
    <w:p>
      <w:pPr>
        <w:spacing w:line="276"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10响应文件计量单位和使用文字</w:t>
      </w:r>
    </w:p>
    <w:p>
      <w:pPr>
        <w:spacing w:line="276"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10.1所有计量均采用中华人民共和国法定计量单位。</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10.2响应文件使用中文编制。响应文件部分内容必须使用其他文字的，应当附有该文字的中文译本。供应商承担未附中文译本或中文译本不准确而引起不利后果。</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11联合体投标</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11.1本次采购不接受联合体投标。</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12响应文件的组成</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12.1磋商函</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12.2开标一览表</w:t>
      </w:r>
    </w:p>
    <w:p>
      <w:pPr>
        <w:spacing w:line="360" w:lineRule="auto"/>
        <w:ind w:left="414" w:leftChars="197" w:firstLine="102" w:firstLineChars="49"/>
        <w:jc w:val="left"/>
        <w:rPr>
          <w:rFonts w:asciiTheme="minorEastAsia" w:hAnsiTheme="minorEastAsia" w:eastAsiaTheme="minorEastAsia"/>
          <w:color w:val="auto"/>
        </w:rPr>
      </w:pPr>
      <w:r>
        <w:rPr>
          <w:rFonts w:hint="eastAsia" w:asciiTheme="minorEastAsia" w:hAnsiTheme="minorEastAsia" w:eastAsiaTheme="minorEastAsia"/>
          <w:color w:val="auto"/>
          <w:szCs w:val="21"/>
        </w:rPr>
        <w:t>12.3分项报价明细表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12.4需求响应偏离表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12.5法定代表人身份证明</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12.6法定代表人授权委托书</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12.7供应商基本情况表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12.8磋商保证金</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12.9无重大违法记录的书面声明</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12.10信用查询记录</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12.11反商业贿赂承诺书</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12.12诚信投标、诚信履约承诺书</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12.13项目实施服务方案</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12.14中小企业声明函</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12.15残疾人福利性单位声明函</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12.16供应商认为需要提供的其它文件</w:t>
      </w:r>
    </w:p>
    <w:p>
      <w:pPr>
        <w:spacing w:line="360" w:lineRule="auto"/>
        <w:ind w:left="414" w:leftChars="197" w:firstLine="102" w:firstLineChars="49"/>
        <w:jc w:val="left"/>
        <w:rPr>
          <w:rFonts w:asciiTheme="minorEastAsia" w:hAnsiTheme="minorEastAsia" w:eastAsiaTheme="minorEastAsia"/>
          <w:color w:val="auto"/>
          <w:szCs w:val="21"/>
        </w:rPr>
      </w:pPr>
      <w:r>
        <w:rPr>
          <w:rFonts w:asciiTheme="minorEastAsia" w:hAnsiTheme="minorEastAsia" w:eastAsiaTheme="minorEastAsia"/>
          <w:color w:val="auto"/>
          <w:szCs w:val="21"/>
        </w:rPr>
        <w:t>第二次报价（格式）</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13响应文件编制说明</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12.1响应文件必须按照竞争性磋商文件要求的统一格式顺序编写。要求响应文件全部内容制作详细的目录（包括页码的编制），为评审时查询作索引。</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12.2开标一览表是开标仪式上的唱标内容，必须按规定的格式填写。</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12.3响应文件除特殊规格的图纸或方案、图片资料等外，均应按A4规格制作。</w:t>
      </w:r>
    </w:p>
    <w:p>
      <w:pPr>
        <w:spacing w:line="360" w:lineRule="auto"/>
        <w:ind w:left="414" w:leftChars="197" w:firstLine="102" w:firstLineChars="49"/>
        <w:jc w:val="left"/>
        <w:rPr>
          <w:rFonts w:asciiTheme="minorEastAsia" w:hAnsiTheme="minorEastAsia" w:eastAsiaTheme="minorEastAsia"/>
          <w:color w:val="auto"/>
        </w:rPr>
      </w:pPr>
      <w:r>
        <w:rPr>
          <w:rFonts w:hint="eastAsia" w:asciiTheme="minorEastAsia" w:hAnsiTheme="minorEastAsia" w:eastAsiaTheme="minorEastAsia"/>
          <w:color w:val="auto"/>
        </w:rPr>
        <w:t>12.4供应商必须对其响应文件的真实性与准确性负责。供应商一旦成为成交供应商，其响应文件将作为合同的重要组成部分。</w:t>
      </w:r>
    </w:p>
    <w:p>
      <w:pPr>
        <w:spacing w:line="360" w:lineRule="auto"/>
        <w:ind w:left="414" w:leftChars="197" w:firstLine="102" w:firstLineChars="49"/>
        <w:jc w:val="left"/>
        <w:rPr>
          <w:rFonts w:asciiTheme="minorEastAsia" w:hAnsiTheme="minorEastAsia" w:eastAsiaTheme="minorEastAsia"/>
          <w:color w:val="auto"/>
        </w:rPr>
      </w:pPr>
      <w:r>
        <w:rPr>
          <w:rFonts w:hint="eastAsia" w:asciiTheme="minorEastAsia" w:hAnsiTheme="minorEastAsia" w:eastAsiaTheme="minorEastAsia"/>
          <w:color w:val="auto"/>
        </w:rPr>
        <w:t>12.5供应商不得在未征得采购代理机构许可的情况下，擅自对磋商文件的格式、条款和技术要求进行修改。</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13投标报价</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13.1响应文件的服务分项报价表上应清楚地标明供应商拟提供服务的名称（内容）、拟派分项负责人、完成周期、单价和总价等内容，采购项目在实施过程中所涉及的服务费用、人工费、投入设备费用、企业管理费、合理利润、规费、税金等所有费用应包括在服务报价中。。</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13.2除非特别要求，每个项目（或每个包）只允许有一个方案、一个总报价。否则，多方案、多报价的响应文件将不被接受。每种服务只允许有一个报价。任何分项报价有选择的方案和报价将不予接受。</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13.3经评审有效的最终成交报价是提供全部服务的验收价格，其总价即为履行合同的价格，供应商成交单价在合同实施期间不得因市场因素而变化，根据最后报价修正计算得出的成交单价在合同执行过程中是固定不变的，不得以任何理由予以变更。以可变动价格提交的报价将被认为是非实质响应而被拒绝。</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13.4投标报价不得高于该采购预算价，磋商实行两次报价，第一次报价供应商必须按照磋商文件的报价格式填报磋商报价，第二次报价为磋商文件通过评审合格后由磋商委员会分别组织供应商进行的最后一次报价，即为最终报价，磋商结果以供应商的最终报价为准。</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13.5第一次报价，由供应商依据采购预算价、磋商文件的有关要求、现场的实际情况并结合供应商自身技术和管理水平、经营状况、设施及相关规定进行报价，所报单价不需附单价分析表，由供应商自主确定报价，报价不可超出采购预算价，否则按废标处理。</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13.6第二次报价，由供应商以经评审合格的第一次报价为基准值，按一定比例下浮进行报价，第二次报价可以和第一次报价相同但不能高于第一次报价。</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13.7</w:t>
      </w:r>
      <w:r>
        <w:rPr>
          <w:rFonts w:asciiTheme="minorEastAsia" w:hAnsiTheme="minorEastAsia" w:eastAsiaTheme="minorEastAsia"/>
          <w:color w:val="auto"/>
          <w:szCs w:val="21"/>
        </w:rPr>
        <w:t>供应商磋商报价须以人民币（元）报价。</w:t>
      </w:r>
    </w:p>
    <w:p>
      <w:pPr>
        <w:spacing w:line="360" w:lineRule="auto"/>
        <w:ind w:firstLine="424" w:firstLineChars="201"/>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w:t>
      </w:r>
      <w:r>
        <w:rPr>
          <w:rFonts w:asciiTheme="minorEastAsia" w:hAnsiTheme="minorEastAsia" w:eastAsiaTheme="minorEastAsia"/>
          <w:b/>
          <w:color w:val="auto"/>
          <w:szCs w:val="21"/>
        </w:rPr>
        <w:t>4</w:t>
      </w:r>
      <w:r>
        <w:rPr>
          <w:rFonts w:hint="eastAsia" w:asciiTheme="minorEastAsia" w:hAnsiTheme="minorEastAsia" w:eastAsiaTheme="minorEastAsia"/>
          <w:b/>
          <w:color w:val="auto"/>
          <w:szCs w:val="21"/>
        </w:rPr>
        <w:t>、</w:t>
      </w:r>
      <w:r>
        <w:rPr>
          <w:rFonts w:asciiTheme="minorEastAsia" w:hAnsiTheme="minorEastAsia" w:eastAsiaTheme="minorEastAsia"/>
          <w:b/>
          <w:color w:val="auto"/>
          <w:szCs w:val="21"/>
        </w:rPr>
        <w:t>符合磋商文件的证明文件</w:t>
      </w:r>
    </w:p>
    <w:p>
      <w:pPr>
        <w:spacing w:line="360" w:lineRule="auto"/>
        <w:ind w:firstLine="422" w:firstLineChars="201"/>
        <w:jc w:val="left"/>
        <w:rPr>
          <w:rFonts w:asciiTheme="minorEastAsia" w:hAnsiTheme="minorEastAsia" w:eastAsiaTheme="minorEastAsia"/>
          <w:color w:val="auto"/>
          <w:szCs w:val="21"/>
        </w:rPr>
      </w:pPr>
      <w:r>
        <w:rPr>
          <w:rFonts w:asciiTheme="minorEastAsia" w:hAnsiTheme="minorEastAsia" w:eastAsiaTheme="minorEastAsia"/>
          <w:color w:val="auto"/>
          <w:szCs w:val="21"/>
        </w:rPr>
        <w:t>14.1如果供应商在响应文件中附有外文资料，必须把这些外文资料翻译成中文。对于关键性的证明文件，供应商应当提供与英文内容相同、且由同一人签署（或盖章）的中文原件，或经国内公证部门公证的中文翻译件。否则视为无效证明资料。属于评分所需资料的，不予计分。</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16响应保证金</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16.1供应商必须在磋商保证金提交截止时间前，按照“供应商须知前附表”序号5的规定提交保证金。保证金有效期应当与响应文件有效期一致。如允许联合体形式参加磋商且供应商为联合体的，可以由联合体中的一方或者共同交纳保证金，其交纳的保证金，对联合体各方均具有约束力。</w:t>
      </w:r>
    </w:p>
    <w:p>
      <w:pPr>
        <w:spacing w:line="360" w:lineRule="auto"/>
        <w:ind w:left="414" w:leftChars="197" w:firstLine="102" w:firstLineChars="49"/>
        <w:jc w:val="left"/>
        <w:rPr>
          <w:rFonts w:asciiTheme="minorEastAsia" w:hAnsiTheme="minorEastAsia" w:eastAsiaTheme="minorEastAsia"/>
          <w:b/>
          <w:color w:val="auto"/>
          <w:szCs w:val="21"/>
        </w:rPr>
      </w:pPr>
      <w:r>
        <w:rPr>
          <w:rFonts w:hint="eastAsia" w:asciiTheme="minorEastAsia" w:hAnsiTheme="minorEastAsia" w:eastAsiaTheme="minorEastAsia"/>
          <w:color w:val="auto"/>
          <w:szCs w:val="21"/>
        </w:rPr>
        <w:t>16.2供应商提交的保证金必须在磋商保证金提交截止时间前足额到账（到账是指在本中心账户上能查询到该笔资金）。</w:t>
      </w:r>
    </w:p>
    <w:p>
      <w:pPr>
        <w:tabs>
          <w:tab w:val="left" w:pos="720"/>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16.3</w:t>
      </w:r>
      <w:r>
        <w:rPr>
          <w:rFonts w:asciiTheme="minorEastAsia" w:hAnsiTheme="minorEastAsia" w:eastAsiaTheme="minorEastAsia"/>
          <w:color w:val="auto"/>
          <w:szCs w:val="21"/>
        </w:rPr>
        <w:t>供应商应保证磋商保证金按时、足额到账。由停电、计算机系统故障等任何原因造成其保证金未能按时、足额到账而引起的后果，采购代理机构概不负责。</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16.4保证金账号：见供应商须知前附表。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16.5响应保证金用于保护本次招标活动，防范供应商恶意利用制度缺陷扰乱开标评标秩序，避免供应商投标后随意撤回投标或随意变更应承担的相应义务，给采购项目和采购单位造成损失。</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16.6供应商未按竞争性磋商文件要提交响应保证金的，投标无效，将予以拒收。</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16.7自成交通知书发出之日起5个工作日内退还未成交供应商的磋商保证金，自政府采购合同签订（并按要求报送备案）之日起5个工作日内退还成交供应商的磋商保证金。磋商文件、相关法律法规规定保证金不予退还以及政府采购监督管理部门视具体情况通知采购人暂停采购活动情形除外。</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16.8发生下列情况之一，响应保证金不予退还：</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A. 供应商在提交响应文件截止时间后撤回响应文件的；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B. 采购过程中，供应商未按相关程序与磋商小组进行磋商（放弃磋商）的；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C. 供应商在响应文件中提供虚假材料的；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D. 供应商与采购人、其他供应商或者采购代理机构恶意串通的；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E. 在政府采购活动中行贿或者提供其他不正当利益的；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F. 评审阶段资格发生变化，供应商未依照《政府采购法实施条例》第二十一条的规定通知采购人和采购代理机构的；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G. 供应商成交后，在规定期限内：</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(a) 除因不可抗力或磋商文件认可的情形以外，成交供应商不与采购人签订合同（放弃成交资格）的；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(b) 未能按照磋商文件的规定交纳履约保证金的；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(c) 在签订合同时向采购人提出附加条件的；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(d) 成交后有非法转包或违法分包行为的（本项目不得非法转包或分包）；或</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(e) 拒绝履行合同义务的；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(f) 磋商文件及相关法律法规规定的其他情形。</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(g)由于成交供应商的原因未能按照竞争性磋商文件的规定交纳履约保证金；供应商在本次投标过程中出现违反法律法规的行为、扰乱开标评标秩序的行为或恶意利用规则谋求不法利益的行为。</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17响应文件的有效期</w:t>
      </w:r>
    </w:p>
    <w:p>
      <w:pPr>
        <w:spacing w:line="360" w:lineRule="auto"/>
        <w:ind w:firstLine="516" w:firstLineChars="246"/>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17.1响应文件有效期在“供应商须知前附表”序号4中有明确的规定。供应商如未就此提出异议，则视同接受；如承诺的响应文件有效期短于此规定时间的，将被视为未实质性响应磋商文件而予以拒绝。</w:t>
      </w:r>
    </w:p>
    <w:p>
      <w:pPr>
        <w:spacing w:line="360" w:lineRule="auto"/>
        <w:ind w:firstLine="516" w:firstLineChars="246"/>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17.2在特殊情况下，采购代理机构可于原响应文件有效期满之前，向供应商提出延长响应文件有效期的要求。延长响应文件有效期的要求将被刊登在指定的网站上。</w:t>
      </w:r>
    </w:p>
    <w:p>
      <w:pPr>
        <w:spacing w:line="360" w:lineRule="auto"/>
        <w:ind w:firstLine="516" w:firstLineChars="246"/>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17.3供应商同意延长的，不得要求或被允许修改其响应文件的实质性内容，但应当相应延长其磋商保证金的有效期。供应商拒绝延长的，按照无效响应文件处理。该供应商可以在采购代理机构延长响应文件有效期公告后五个工作日内，以书面形式拒绝采购代理机构的这种要求而不失去其磋商保证金。如在规定的时间内未提出书面意见表示拒绝，将视为同意延长响应文件有效期。同意延长的供应商既不能要求也不允许修改其响应文件。第14款有关保证金的规定，在延长的响应文件有效期内继续有效。拒绝接受延长有效期要求的供应商，其投标将被拒绝，响应保证金将被退还。</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18响应文件的份数和签署</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18.1响应文件份数：见供应商须知前附表。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18.2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18.3响应文件正本（竞争性磋商文件格式中要求法人代表或授权委托人签字的内容和加盖投标单位公章）应由供应商的法定代表人或其授权的委托人签字（或盖章）并加盖供应商公章。</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18.4全套响应文件应无涂改、无行间插字。除非这些删改是根据采购代理机构的要求实施的，或者是供应商造成的错误且必须修改的。修改处应由响应文件签字人签字证明。（注明：本项目要求供应商提交电子版响应文件；电子版响应文件与对应的响应文件正本必须一致。其载体必须是可以被读取的光盘或者U盘。电子版响应文件提交后不退还）。</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18.5供应商未按上述要求提交响应文件或签字盖章的，将不能通过初步评审。</w:t>
      </w:r>
    </w:p>
    <w:p>
      <w:pPr>
        <w:rPr>
          <w:rFonts w:asciiTheme="minorEastAsia" w:hAnsiTheme="minorEastAsia" w:eastAsiaTheme="minorEastAsia"/>
          <w:b/>
          <w:bCs/>
          <w:color w:val="auto"/>
          <w:sz w:val="28"/>
          <w:szCs w:val="36"/>
        </w:rPr>
      </w:pPr>
      <w:bookmarkStart w:id="56" w:name="_Toc26289793"/>
      <w:bookmarkStart w:id="57" w:name="_Toc13103"/>
      <w:bookmarkStart w:id="58" w:name="_Toc317237602"/>
      <w:bookmarkStart w:id="59" w:name="_Toc317237777"/>
      <w:r>
        <w:rPr>
          <w:rFonts w:hint="eastAsia" w:asciiTheme="minorEastAsia" w:hAnsiTheme="minorEastAsia" w:eastAsiaTheme="minorEastAsia"/>
          <w:b/>
          <w:bCs/>
          <w:color w:val="auto"/>
          <w:sz w:val="28"/>
          <w:szCs w:val="36"/>
        </w:rPr>
        <w:t>（四）响应文件的递交</w:t>
      </w:r>
      <w:bookmarkEnd w:id="56"/>
      <w:bookmarkEnd w:id="57"/>
      <w:bookmarkEnd w:id="58"/>
      <w:bookmarkEnd w:id="59"/>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19响应文件的装订、密封及标记</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19.1供应商应将响应文件的正本和所有副本分别用包装袋封装好，及报价一览表（另独立密封一份）。电子版响应文件与正本一块封装。封装应该严密、不易破损。封口处应盖有供应商公章。</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19.2如果参加的项目分有多个包，则响应文件必须以包为单位进行封装。</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19.3响应文件包装袋上必须清楚写明项目的名称、项目编号、包号及包名（如果项目分有多个包）、供应商全称。</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19.4供应商须在规定的提交首次响应文件截止时间前由法定代表人或其授权代理人将响应文件送达指定地点。（详见“供应商须知前附表”序号10的规定）。否则该响应文件将予以拒收，原封退回。</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19.5供应商递交响应文件后，可以在规定的首次响应文件递交截止时间前修改或撤回，但这种修改和撤回，必须以书面形式通知采购人、采购代理机构。</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19.6供应商修改或撤回通知书，应有供应商法定代表人或其授权代理人签字。补充、修改的内容与响应文件不一致时，以补充、修改的内容为准。任何加行、涂改、增删，应有法定代表人或其授权代理人在旁边签字或加盖单位公章。</w:t>
      </w:r>
    </w:p>
    <w:p>
      <w:pPr>
        <w:spacing w:line="360" w:lineRule="auto"/>
        <w:ind w:firstLine="424" w:firstLineChars="202"/>
        <w:jc w:val="left"/>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9</w:t>
      </w:r>
      <w:r>
        <w:rPr>
          <w:rFonts w:asciiTheme="minorEastAsia" w:hAnsiTheme="minorEastAsia" w:eastAsiaTheme="minorEastAsia"/>
          <w:color w:val="auto"/>
          <w:szCs w:val="21"/>
        </w:rPr>
        <w:t>.7经相关程序进行补充、修改的响应文件须按磋商文件的规定重新进行密封、标记和递交。未按要求密封的或者逾期送达指定地点的响应文件将予以拒收。响应文件一经递交，在响应文件递交截止时间之后即不可撤回。在磋商过程中，供应商可以根据磋商小组提出的磋商问题（包括按19.17款程序进行的实质性变动）作出相应的更优良的修改。</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20</w:t>
      </w:r>
      <w:r>
        <w:rPr>
          <w:rFonts w:asciiTheme="minorEastAsia" w:hAnsiTheme="minorEastAsia" w:eastAsiaTheme="minorEastAsia"/>
          <w:color w:val="auto"/>
          <w:szCs w:val="21"/>
        </w:rPr>
        <w:t>、响应文件的迟交以及撤回与保存</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20</w:t>
      </w:r>
      <w:r>
        <w:rPr>
          <w:rFonts w:asciiTheme="minorEastAsia" w:hAnsiTheme="minorEastAsia" w:eastAsiaTheme="minorEastAsia"/>
          <w:color w:val="auto"/>
          <w:szCs w:val="21"/>
        </w:rPr>
        <w:t>.1采购人、采购代理机构将拒绝接收逾期送达指定地点的响应文件并原封退回。</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20</w:t>
      </w:r>
      <w:r>
        <w:rPr>
          <w:rFonts w:asciiTheme="minorEastAsia" w:hAnsiTheme="minorEastAsia" w:eastAsiaTheme="minorEastAsia"/>
          <w:color w:val="auto"/>
          <w:szCs w:val="21"/>
        </w:rPr>
        <w:t>.2响应文件提交截止时间后，供应商不得撤回响应文件，否则磋商保证金将不予退还，其磋商响应函中的相关承诺内容将被视为虚假承诺或虚假响应材料，由供应商承担相应的法律责任,情节严重的列入不良行为记录名单，在一至三年内禁止参加政府采购活动。</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20</w:t>
      </w:r>
      <w:r>
        <w:rPr>
          <w:rFonts w:asciiTheme="minorEastAsia" w:hAnsiTheme="minorEastAsia" w:eastAsiaTheme="minorEastAsia"/>
          <w:color w:val="auto"/>
          <w:szCs w:val="21"/>
        </w:rPr>
        <w:t>.3供应商在评审完成之后，撤回其响应文件的，不影响该供应商响应文件的评审结果有效性。</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21投标截止</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21.1投标截止时间：见投标邀请函。</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21.2不投标：见供应商须知前附表。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21.3响应文件必须在投标截止时间前送达投标地点。</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21.4采购代理机构推迟投标截止日期或截止时间，将在不晚于原定投标截止日期前发布公告。</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21.5在投标截止时间以后送达的响应文件，采购代理机构拒绝接收。</w:t>
      </w:r>
    </w:p>
    <w:p>
      <w:pPr>
        <w:rPr>
          <w:rFonts w:asciiTheme="minorEastAsia" w:hAnsiTheme="minorEastAsia" w:eastAsiaTheme="minorEastAsia"/>
          <w:b/>
          <w:bCs/>
          <w:color w:val="auto"/>
          <w:sz w:val="28"/>
          <w:szCs w:val="36"/>
        </w:rPr>
      </w:pPr>
      <w:bookmarkStart w:id="60" w:name="_Toc317237603"/>
      <w:bookmarkStart w:id="61" w:name="_Toc317237778"/>
      <w:bookmarkStart w:id="62" w:name="_Toc26289794"/>
      <w:bookmarkStart w:id="63" w:name="_Toc19888"/>
      <w:r>
        <w:rPr>
          <w:rFonts w:hint="eastAsia" w:asciiTheme="minorEastAsia" w:hAnsiTheme="minorEastAsia" w:eastAsiaTheme="minorEastAsia"/>
          <w:b/>
          <w:bCs/>
          <w:color w:val="auto"/>
          <w:sz w:val="28"/>
          <w:szCs w:val="36"/>
        </w:rPr>
        <w:t>（五）开标、评标</w:t>
      </w:r>
      <w:bookmarkEnd w:id="60"/>
      <w:bookmarkEnd w:id="61"/>
      <w:r>
        <w:rPr>
          <w:rFonts w:hint="eastAsia" w:asciiTheme="minorEastAsia" w:hAnsiTheme="minorEastAsia" w:eastAsiaTheme="minorEastAsia"/>
          <w:b/>
          <w:bCs/>
          <w:color w:val="auto"/>
          <w:sz w:val="28"/>
          <w:szCs w:val="36"/>
        </w:rPr>
        <w:t>和定标</w:t>
      </w:r>
      <w:bookmarkEnd w:id="62"/>
      <w:bookmarkEnd w:id="63"/>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21开标</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21.1采购代理机构按磋商文件规定的时间、地点公开举行开标仪式。开标仪式由采购代理机构主持，邀请采购人代表、供应商代表及有关工作人员参加。</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21.2参加开标仪式的供应商代表应携带本人身份证和法定代表人证明（或法定代表人授权委托书）签到，未携带以上证件的人员不得进入会场。每个供应商只能派出壹名代表进入开标仪式现场。</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21.3由供应商代表或相关监督部门查验响应文件的密封情况，经确认无误后拆封唱标。</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21.4唱标人宣读供应商的名称、投标价格、服务期及其投标的修改、投标的撤回等。记录人制作开标记录。</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21.5响应文件中开标一览表（报价表）内容与响应文件中明细表内容不一致的，以开标一览表（报价表）为准。</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21.6唱标以开标一览表中的大写金额为准。当出现大写金额与小写金额不一致或总价金额与按单价计算的汇总金额不一致等法定可修正情形时，由评审委员会在初步审查时进行修正。</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21.7供应商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21.8在开标时，响应文件有下列情况之一者，将被视为无效投标：</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21.8.1投标截止时间后送达的响应文件；</w:t>
      </w:r>
    </w:p>
    <w:p>
      <w:pPr>
        <w:spacing w:line="360" w:lineRule="auto"/>
        <w:ind w:firstLine="424" w:firstLineChars="202"/>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21.8.2响应文件未按规定的方式密封。</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22评审委员会</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22.1评审委员会组成：见供应商须知前附表。</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23评标内容的保密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23.1开标后，至正式授予成交供应商合同止，凡属于审查、澄清、评价和比较投标的所有资料、有资料有关授予合同的信息等，都不能向供应商或与评标无关的其他人泄露。</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23.2在响应文件的审查、澄清、评价和比较以及授予合同的过程中，供应商对采购人、招标代理机构和评审委员会成员施加影响的任何行为，都将导致其投标资格被取消。</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23.3在评标期间，评审委员会将通过指定联络人与供应商进行联系。</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24对响应文件的初步审查</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24.1初步审查内容为响应文件是否实质性响应竞争性磋商文件的要求、内容是否完整、价格构成有无计算错误、文件签署是否齐全。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24.2初步审查中，对价格的计算错误按下述原则修正：</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24.2.1响应文件中的大写金额和小写金额不一致的，以大写金额为准；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24.2.2总价金额与按单价汇总金额不一致的，以单价金额计算结果为准；单价金额小数点有明显错位的，应以总价为准，并修改单价；</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24.2.3对不同文字文本响应文件的解释发生异议的，以中文文本为准。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24.2.4供应商不同意以上修正，其投标将被拒绝。</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24.3与竞争性磋商文件有重大偏离的响应文件将被拒绝。重大偏离系指服务的质量不能满足竞争性磋商文件的要求。这些偏离不允许在开标后修正。但评审委员会将允许修改投标中不构成重大偏离的微小的、非正规的不一致或不正规的地方。</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24.4评审委员会对响应文件的判定，只依据响应文件的内容，不依靠开标后的任何外来证明。</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24.5单位负责人为同一人或者存在直接控股、管理关系的不同供应商，不得参加同一合同项下的政府采购活动。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24.6下列响应文件将被拒绝：</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24.6.1响应文件未按照本须知第16条规定签署和盖章；</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24.6.2未按规定提交资格文件；</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24.6.3与竞争性磋商文件有重大偏离；</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24.6.4供应商拒绝修正错误；</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24.6.5供应商的报价是选择性的；</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24.6.6拆包报价的。</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25投标的澄清</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25.1评审委员会可以书面方式要求供应商对响应文件中含义不明确、对同类问题表述不一致或者有明显文字和计算错误的内容作必要的澄清、说明或者补正。澄清、说明或者补正应以书面方式进行并不得超出响应文件的范围或者改变响应文件的实质性内容。供应商必须按照评审委员会通知时间、地点派技术和商务人员进行澄清。</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25.2供应商对响应文件的澄清、说明或者补正应有供应商代表的签署，并作为响应文件的组成部分。</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26定标</w:t>
      </w:r>
    </w:p>
    <w:p>
      <w:pPr>
        <w:spacing w:line="360" w:lineRule="auto"/>
        <w:ind w:left="414" w:leftChars="197" w:firstLine="102" w:firstLineChars="49"/>
        <w:jc w:val="left"/>
        <w:rPr>
          <w:rFonts w:asciiTheme="minorEastAsia" w:hAnsiTheme="minorEastAsia" w:eastAsiaTheme="minorEastAsia"/>
          <w:b/>
          <w:color w:val="auto"/>
          <w:szCs w:val="21"/>
        </w:rPr>
      </w:pPr>
      <w:r>
        <w:rPr>
          <w:rFonts w:hint="eastAsia" w:asciiTheme="minorEastAsia" w:hAnsiTheme="minorEastAsia" w:eastAsiaTheme="minorEastAsia"/>
          <w:color w:val="auto"/>
          <w:szCs w:val="21"/>
        </w:rPr>
        <w:t>26.1采购人按照评标委员会推荐的成交候选人顺序确定成交供应商，评审委员会推荐成交候选人的人数见供应商须知前附表。</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26.2评审委员会将仅对按照本须知第23条确定为实质上响应竞争性磋商文件要求的响应文件进行评价和比较。</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26.3评审方法：见供应商须知前附表。</w:t>
      </w:r>
    </w:p>
    <w:p>
      <w:pPr>
        <w:rPr>
          <w:rFonts w:asciiTheme="minorEastAsia" w:hAnsiTheme="minorEastAsia" w:eastAsiaTheme="minorEastAsia"/>
          <w:b/>
          <w:bCs/>
          <w:color w:val="auto"/>
          <w:sz w:val="28"/>
          <w:szCs w:val="36"/>
        </w:rPr>
      </w:pPr>
      <w:bookmarkStart w:id="64" w:name="_Toc317237779"/>
      <w:bookmarkStart w:id="65" w:name="_Toc317237604"/>
      <w:bookmarkStart w:id="66" w:name="_Toc26289795"/>
      <w:bookmarkStart w:id="67" w:name="_Toc29355"/>
      <w:r>
        <w:rPr>
          <w:rFonts w:hint="eastAsia" w:asciiTheme="minorEastAsia" w:hAnsiTheme="minorEastAsia" w:eastAsiaTheme="minorEastAsia"/>
          <w:b/>
          <w:bCs/>
          <w:color w:val="auto"/>
          <w:sz w:val="28"/>
          <w:szCs w:val="36"/>
        </w:rPr>
        <w:t>（六）授予合同</w:t>
      </w:r>
      <w:bookmarkEnd w:id="64"/>
      <w:bookmarkEnd w:id="65"/>
      <w:bookmarkEnd w:id="66"/>
      <w:bookmarkEnd w:id="67"/>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27成交供应商的确认</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27.1评审委员会根据本竞争性磋商文件第五部分《评标方法和标准》的规定，对供应商的资格进行审查，对响应文件进行评价和比较，按照《评标方法和标准》排序原则推荐成交候选人。</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27.2采购人在授标时可以增加中标货物和服务的数量，但增加的数量不得超过中标货物和服务数量的10%。</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27.3评审委员会有权按竞争性磋商文件的要求评定并推荐成交候选人，也有权拒绝任何或所有不符合竞争性磋商文件要求的供应商的投标。</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28合同授予标准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28.1采购人应当把合同授予评审委员会按本须知第25条规定推荐的第一顺序成交候选人。被授予合同的供应商必须具有实施本合同的能力和资源。</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28.2确认成交供应商之前，采购人有权对成交候选人诚信履约的能力进行最后审查。审查方式包括询问、调查、考察、要求成交候选人作出履约承诺或担保等。如果发现成交候选人提供了虚假材料，在投标响应中有故意隐瞒或虚报的情节，在以往的中标项目中有不诚信履约的情形，不能按采购人要求作出相应的履约承诺或担保等，采购人有权否决其中标资格，按顺序确定排名随后的成交候选人中标。</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29履约担保</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29.1 在签订合同前，成交供应商应按供应商须知前附表规定的金额、担保形式向采购人提交履约担保。联合体中标的，其履约担保由牵头人递交，并应符合供应商须知前附表规定的金额、担保形式提交履约担保。</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29.2 中标不能按29.1项要求提交履约担保的，视为放弃中标，其响应保证金不予退还，给采购人造成的损失超过响应保证金数额的，成交供应商还应当对超过部分予以赔偿。</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30  中标通知</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30.1 确定成交供应商后，招标采购代理机构在发布成交公告的同时，以书面形式向成交供应商发出成交通知书。成交通知书应当规定签署合同的日期和地点。</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30.2 成交通知书的送达方式，包括传真、快递、电子邮件和委托代理人领取。招标采购代理机构可以选用其中一种或多种方式送达。</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30.3 成交通知书是合同的组成部分。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30.4 招标采购代理机构没有对未成交供应商解释落标原因的义务。</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31  签订合同</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31.1采购人和成交供应商应当按照成交通知书规定的期限签订合同。成交通知书规定的期限最长不得超过30 天。</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31.2成交供应商拒签合同，或不能在规定的期限内与采购人签订合同，采购人有权取消其中标资格，其响应保证金不予退还。</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31.3成交供应商放弃中标，其响应保证金不予退还。</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31.4成交供应商放弃中标或被取消中标资格后，采购人有权按评审委员会推荐的顺序确定备选成交候选人中标并与之签订合同。所有被确定中标的候选成交供应商均放弃中标或被取消中标资格，采购人应当重新组织招标。弃标或被取消中标资格的供应商不得参加重新招标。</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31.5成交供应商拒签合同或放弃中标是违约行为，应当依法赔偿违约行为给采购人造成的实际损失。</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31.6前款所称“违约行为给采购人造成的实际损失”，是指顺延成交供应商的中标价格高于违约人中标价格的高出部分。</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31.7签订合同及合同条款应以竞争性磋商文件和成交供应商的响应文件为依据。</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32  验收</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32.1成交供应商与采购人应严格按照竞争性磋商文件规定的标准和响应文件承诺的条件进行验收。</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32.2采购人可以独立邀请第三方参与验收。验收出现争议时，成交供应商可以与采购人协商共同邀请第三方参与验收。</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33  代理服务费</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33.1代理服务费：采购代理服务费按本项目采购代理合同约定由中标人支付。收费标准参照《海南省物价局关于降低部分招标代理服务收费标准的通知》（琼价费管〔2011〕225号以中标金额计算收取。</w:t>
      </w:r>
    </w:p>
    <w:p>
      <w:pPr>
        <w:rPr>
          <w:rFonts w:asciiTheme="minorEastAsia" w:hAnsiTheme="minorEastAsia" w:eastAsiaTheme="minorEastAsia"/>
          <w:b/>
          <w:bCs/>
          <w:color w:val="auto"/>
          <w:sz w:val="28"/>
          <w:szCs w:val="36"/>
        </w:rPr>
      </w:pPr>
      <w:bookmarkStart w:id="68" w:name="_Toc26289796"/>
      <w:bookmarkStart w:id="69" w:name="_Toc317237780"/>
      <w:bookmarkStart w:id="70" w:name="_Toc317237605"/>
      <w:bookmarkStart w:id="71" w:name="_Toc1715"/>
      <w:r>
        <w:rPr>
          <w:rFonts w:hint="eastAsia" w:asciiTheme="minorEastAsia" w:hAnsiTheme="minorEastAsia" w:eastAsiaTheme="minorEastAsia"/>
          <w:b/>
          <w:bCs/>
          <w:color w:val="auto"/>
          <w:sz w:val="28"/>
          <w:szCs w:val="36"/>
        </w:rPr>
        <w:t>（七）询问、质疑和投诉</w:t>
      </w:r>
      <w:bookmarkEnd w:id="68"/>
      <w:bookmarkEnd w:id="69"/>
      <w:bookmarkEnd w:id="70"/>
      <w:bookmarkEnd w:id="71"/>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34  询问</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34.1供应商对本采购活动事项有疑问的，应当向采购人或招标采购代理机构提出询问。</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34.2采购人或招标采购代理机构按照政府采购相关的法律法规依法做出相应答复。</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35  质疑</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35.1供应商认为采购文件、采购过程和中标、成交结果使自己的权益受到损害的，可以在知道或者应知其权益受到损害之日起七个工作日内，以书面形式向本采购代理机构或向采购人提出质疑。</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35.2质疑必须以书面形式提出，并符合政府采购相关法律法规的规定。</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36  投诉</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36.1供应商对质疑事项的答复不满意，或者没有在法定期限内得到答复的，可以依法向政府采购监管部门进行投诉。</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36.2供应商的投诉，应当符合政府采购相关法律法规的相关规定。</w:t>
      </w:r>
    </w:p>
    <w:p>
      <w:pPr>
        <w:rPr>
          <w:rFonts w:asciiTheme="minorEastAsia" w:hAnsiTheme="minorEastAsia" w:eastAsiaTheme="minorEastAsia"/>
          <w:b/>
          <w:bCs/>
          <w:color w:val="auto"/>
          <w:sz w:val="28"/>
          <w:szCs w:val="36"/>
        </w:rPr>
      </w:pPr>
      <w:bookmarkStart w:id="72" w:name="_Toc317237781"/>
      <w:bookmarkStart w:id="73" w:name="_Toc24675"/>
      <w:bookmarkStart w:id="74" w:name="_Toc317237606"/>
      <w:bookmarkStart w:id="75" w:name="_Toc26289797"/>
      <w:r>
        <w:rPr>
          <w:rFonts w:hint="eastAsia" w:asciiTheme="minorEastAsia" w:hAnsiTheme="minorEastAsia" w:eastAsiaTheme="minorEastAsia"/>
          <w:b/>
          <w:bCs/>
          <w:color w:val="auto"/>
          <w:sz w:val="28"/>
          <w:szCs w:val="36"/>
        </w:rPr>
        <w:t>（八）纪律和监督</w:t>
      </w:r>
      <w:bookmarkEnd w:id="72"/>
      <w:bookmarkEnd w:id="73"/>
      <w:bookmarkEnd w:id="74"/>
      <w:bookmarkEnd w:id="75"/>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37  对采购人的纪律要求</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采购人不得泄漏招标投标活动中应当保密的情况和资料，不得与供应商串通损害国家利益、社会公共利益或他人的合法权益。</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38  对供应商的纪律要求</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不得提供虚假材料谋取中标；不得采取不正当手段诋毁、排挤其他供应商；不得与招标采购单位、其他供应商恶意串通；不得向招标采购单位、评审委员会成员行贿或者提供其他不正当利益；不得拒不遵守开标纪律，故意扰乱开标会场秩序或其他无理取闹行为；不得在招标过程中与招标采购单位进行协商磋商；不得拒绝有关部门的监督检查或者向监督检查部门提供虚假情况。有上述情形之一的供应商，属于不合格供应商，其投标或中标资格将被取消。</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39  对评审委员会成员的纪律要求</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委员会成员不得收受他人的财物或者其他好处，不得向他人透漏对响应文件的评审和比较、成交候选人的推荐情况以及评标有关的其他情况。在评标活动中，评审委员会成员不得擅离职守，影响评标程序正常进行，不得使用本竞争性磋商文件第五部分“评标方法和标准”的规定之外的评审因素和标准进行评标。</w:t>
      </w:r>
    </w:p>
    <w:p>
      <w:pPr>
        <w:spacing w:line="360" w:lineRule="auto"/>
        <w:ind w:left="414" w:leftChars="197" w:firstLine="103" w:firstLineChars="49"/>
        <w:jc w:val="left"/>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40  对与评标活动有关的工作人员的纪律要求</w:t>
      </w:r>
    </w:p>
    <w:p>
      <w:pPr>
        <w:spacing w:line="360" w:lineRule="auto"/>
        <w:ind w:left="414" w:leftChars="197" w:firstLine="102" w:firstLineChars="49"/>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spacing w:line="360" w:lineRule="auto"/>
        <w:ind w:firstLine="403" w:firstLineChars="191"/>
        <w:rPr>
          <w:rFonts w:asciiTheme="minorEastAsia" w:hAnsiTheme="minorEastAsia" w:eastAsiaTheme="minorEastAsia"/>
          <w:b/>
          <w:color w:val="auto"/>
          <w:szCs w:val="21"/>
        </w:rPr>
      </w:pPr>
      <w:bookmarkStart w:id="76" w:name="_Toc468811121"/>
      <w:bookmarkStart w:id="77" w:name="_Toc516470722"/>
      <w:bookmarkStart w:id="78" w:name="_Toc501635358"/>
      <w:bookmarkStart w:id="79" w:name="_Toc318704165"/>
      <w:bookmarkStart w:id="80" w:name="_Toc220856263"/>
      <w:bookmarkStart w:id="81" w:name="_Toc497236368"/>
      <w:r>
        <w:rPr>
          <w:rFonts w:hint="eastAsia" w:asciiTheme="minorEastAsia" w:hAnsiTheme="minorEastAsia" w:eastAsiaTheme="minorEastAsia"/>
          <w:b/>
          <w:color w:val="auto"/>
          <w:szCs w:val="21"/>
        </w:rPr>
        <w:t>41．政策功能</w:t>
      </w:r>
      <w:bookmarkEnd w:id="76"/>
      <w:bookmarkEnd w:id="77"/>
      <w:bookmarkEnd w:id="78"/>
    </w:p>
    <w:p>
      <w:pPr>
        <w:tabs>
          <w:tab w:val="left" w:pos="7665"/>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41．</w:t>
      </w:r>
      <w:r>
        <w:rPr>
          <w:rFonts w:asciiTheme="minorEastAsia" w:hAnsiTheme="minorEastAsia" w:eastAsiaTheme="minorEastAsia"/>
          <w:color w:val="auto"/>
          <w:szCs w:val="21"/>
        </w:rPr>
        <w:t>1</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本次招标优先选购中华人民共和国财政部公布的《政府采购自主创新产品目录》和《节能环保产品目录》的标的物。</w:t>
      </w:r>
    </w:p>
    <w:p>
      <w:pPr>
        <w:tabs>
          <w:tab w:val="left" w:pos="7665"/>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41．</w:t>
      </w:r>
      <w:r>
        <w:rPr>
          <w:rFonts w:asciiTheme="minorEastAsia" w:hAnsiTheme="minorEastAsia" w:eastAsiaTheme="minorEastAsia"/>
          <w:color w:val="auto"/>
          <w:szCs w:val="21"/>
        </w:rPr>
        <w:t>2</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强制采购节能产品、信息安全产品，优先采购环境标志产品。节能产品是指列入财政部、国家发展和改革委员会制定的《节能产品政府采购清单》，且经过认定的节能产品；信息安全产品是指列入国家质检总局</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41．</w:t>
      </w:r>
      <w:r>
        <w:rPr>
          <w:rFonts w:asciiTheme="minorEastAsia" w:hAnsiTheme="minorEastAsia" w:eastAsiaTheme="minorEastAsia"/>
          <w:color w:val="auto"/>
          <w:szCs w:val="21"/>
        </w:rPr>
        <w:t>3</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投标产品属于信息安全产品的，供应商应当选择经国家认证的信息安全产品投标，并提供由中国信息安全认证中心按国家标准颁发的有效认证证书复印件。</w:t>
      </w:r>
    </w:p>
    <w:p>
      <w:pPr>
        <w:tabs>
          <w:tab w:val="left" w:pos="7665"/>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41．</w:t>
      </w:r>
      <w:r>
        <w:rPr>
          <w:rFonts w:asciiTheme="minorEastAsia" w:hAnsiTheme="minorEastAsia" w:eastAsiaTheme="minorEastAsia"/>
          <w:color w:val="auto"/>
          <w:szCs w:val="21"/>
        </w:rPr>
        <w:t>4</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投标产品属于政府强制采购节能产品的，供应商应当选择《节能产品政府采购清单》中的产品投标，并提供有效的节能产品认证证书复印件。</w:t>
      </w:r>
    </w:p>
    <w:p>
      <w:pPr>
        <w:tabs>
          <w:tab w:val="left" w:pos="7665"/>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41．</w:t>
      </w:r>
      <w:r>
        <w:rPr>
          <w:rFonts w:asciiTheme="minorEastAsia" w:hAnsiTheme="minorEastAsia" w:eastAsiaTheme="minorEastAsia"/>
          <w:color w:val="auto"/>
          <w:szCs w:val="21"/>
        </w:rPr>
        <w:t>5</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招标文件中提供的参考产品品牌或型号，是采购人根据项目所要实现的功能根据市场情况列出的品牌或型号，并不是限制条件。</w:t>
      </w:r>
    </w:p>
    <w:p>
      <w:pPr>
        <w:tabs>
          <w:tab w:val="left" w:pos="7665"/>
        </w:tabs>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41．</w:t>
      </w:r>
      <w:r>
        <w:rPr>
          <w:rFonts w:asciiTheme="minorEastAsia" w:hAnsiTheme="minorEastAsia" w:eastAsiaTheme="minorEastAsia"/>
          <w:color w:val="auto"/>
          <w:szCs w:val="21"/>
        </w:rPr>
        <w:t>6</w:t>
      </w:r>
      <w:r>
        <w:rPr>
          <w:rFonts w:hint="eastAsia" w:cs="宋体" w:asciiTheme="minorEastAsia" w:hAnsiTheme="minorEastAsia" w:eastAsiaTheme="minorEastAsia"/>
          <w:color w:val="auto"/>
          <w:szCs w:val="21"/>
        </w:rPr>
        <w:t> </w:t>
      </w:r>
      <w:r>
        <w:rPr>
          <w:rFonts w:hint="eastAsia" w:asciiTheme="minorEastAsia" w:hAnsiTheme="minorEastAsia" w:eastAsiaTheme="minorEastAsia"/>
          <w:color w:val="auto"/>
          <w:szCs w:val="21"/>
        </w:rPr>
        <w:t>对于非专门面向中小企业的项目，对小型和微型企业产品的价格给予10</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的扣除，用扣除后的价格参与评审。参加投标的中小企业，应当提供《中小企业声明函》（“中小企业划型标准”详见《关于印发中小企业划型标准规定的通知》工信部联企业（</w:t>
      </w:r>
      <w:r>
        <w:rPr>
          <w:rFonts w:asciiTheme="minorEastAsia" w:hAnsiTheme="minorEastAsia" w:eastAsiaTheme="minorEastAsia"/>
          <w:color w:val="auto"/>
          <w:szCs w:val="21"/>
        </w:rPr>
        <w:t>2011</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300</w:t>
      </w:r>
      <w:r>
        <w:rPr>
          <w:rFonts w:hint="eastAsia" w:asciiTheme="minorEastAsia" w:hAnsiTheme="minorEastAsia" w:eastAsiaTheme="minorEastAsia"/>
          <w:color w:val="auto"/>
          <w:szCs w:val="21"/>
        </w:rPr>
        <w:t>号）。</w:t>
      </w:r>
    </w:p>
    <w:bookmarkEnd w:id="79"/>
    <w:bookmarkEnd w:id="80"/>
    <w:bookmarkEnd w:id="81"/>
    <w:p>
      <w:pPr>
        <w:pStyle w:val="3"/>
        <w:spacing w:line="240" w:lineRule="auto"/>
        <w:jc w:val="center"/>
        <w:rPr>
          <w:rFonts w:asciiTheme="minorEastAsia" w:hAnsiTheme="minorEastAsia" w:eastAsiaTheme="minorEastAsia"/>
          <w:color w:val="auto"/>
          <w:sz w:val="32"/>
          <w:szCs w:val="32"/>
        </w:rPr>
        <w:sectPr>
          <w:footerReference r:id="rId8" w:type="default"/>
          <w:pgSz w:w="11850" w:h="16783"/>
          <w:pgMar w:top="1440" w:right="1080" w:bottom="1440" w:left="1080" w:header="851" w:footer="992" w:gutter="0"/>
          <w:pgNumType w:start="1"/>
          <w:cols w:space="425" w:num="1"/>
          <w:docGrid w:type="lines" w:linePitch="312" w:charSpace="0"/>
        </w:sectPr>
      </w:pPr>
      <w:bookmarkStart w:id="82" w:name="_Toc317237607"/>
      <w:bookmarkStart w:id="83" w:name="_Toc30186"/>
    </w:p>
    <w:bookmarkEnd w:id="82"/>
    <w:bookmarkEnd w:id="83"/>
    <w:p>
      <w:pPr>
        <w:pStyle w:val="3"/>
        <w:spacing w:line="240" w:lineRule="auto"/>
        <w:jc w:val="center"/>
        <w:rPr>
          <w:rFonts w:asciiTheme="minorEastAsia" w:hAnsiTheme="minorEastAsia" w:eastAsiaTheme="minorEastAsia"/>
          <w:color w:val="auto"/>
        </w:rPr>
      </w:pPr>
      <w:bookmarkStart w:id="84" w:name="_Toc89867398"/>
      <w:bookmarkStart w:id="85" w:name="_Toc317237621"/>
      <w:bookmarkStart w:id="86" w:name="_Toc511057633"/>
      <w:bookmarkStart w:id="87" w:name="_Toc26289800"/>
      <w:bookmarkStart w:id="88" w:name="_Toc3475"/>
      <w:bookmarkStart w:id="89" w:name="_Toc317237622"/>
      <w:bookmarkStart w:id="90" w:name="_Toc7278"/>
      <w:bookmarkStart w:id="91" w:name="_Toc19603"/>
      <w:r>
        <w:rPr>
          <w:rFonts w:hint="eastAsia" w:asciiTheme="minorEastAsia" w:hAnsiTheme="minorEastAsia" w:eastAsiaTheme="minorEastAsia"/>
          <w:color w:val="auto"/>
        </w:rPr>
        <w:t>第三章采购需求书</w:t>
      </w:r>
      <w:bookmarkEnd w:id="84"/>
    </w:p>
    <w:p>
      <w:pPr>
        <w:snapToGrid w:val="0"/>
        <w:spacing w:line="360" w:lineRule="auto"/>
        <w:outlineLvl w:val="0"/>
        <w:rPr>
          <w:rFonts w:ascii="黑体" w:hAnsi="黑体" w:eastAsia="黑体" w:cs="黑体"/>
          <w:b/>
          <w:color w:val="auto"/>
          <w:sz w:val="24"/>
        </w:rPr>
      </w:pPr>
      <w:bookmarkStart w:id="92" w:name="_Toc89867399"/>
      <w:r>
        <w:rPr>
          <w:rFonts w:hint="eastAsia" w:ascii="黑体" w:hAnsi="黑体" w:eastAsia="黑体" w:cs="黑体"/>
          <w:b/>
          <w:color w:val="auto"/>
          <w:sz w:val="24"/>
        </w:rPr>
        <w:t>一、项目概况</w:t>
      </w:r>
    </w:p>
    <w:p>
      <w:pPr>
        <w:snapToGrid w:val="0"/>
        <w:spacing w:line="360" w:lineRule="auto"/>
        <w:rPr>
          <w:rFonts w:ascii="黑体" w:hAnsi="黑体" w:eastAsia="黑体" w:cs="黑体"/>
          <w:color w:val="auto"/>
          <w:sz w:val="24"/>
        </w:rPr>
      </w:pPr>
      <w:r>
        <w:rPr>
          <w:rFonts w:hint="eastAsia" w:ascii="黑体" w:hAnsi="黑体" w:eastAsia="黑体" w:cs="黑体"/>
          <w:color w:val="auto"/>
          <w:sz w:val="24"/>
        </w:rPr>
        <w:t>（一）项目名称：昌洒镇2022年环卫作业服务外包项目</w:t>
      </w:r>
    </w:p>
    <w:p>
      <w:pPr>
        <w:snapToGrid w:val="0"/>
        <w:spacing w:line="360" w:lineRule="auto"/>
        <w:rPr>
          <w:rFonts w:ascii="黑体" w:hAnsi="黑体" w:eastAsia="黑体" w:cs="黑体"/>
          <w:color w:val="auto"/>
          <w:sz w:val="24"/>
        </w:rPr>
      </w:pPr>
      <w:r>
        <w:rPr>
          <w:rFonts w:hint="eastAsia" w:ascii="黑体" w:hAnsi="黑体" w:eastAsia="黑体" w:cs="黑体"/>
          <w:color w:val="auto"/>
          <w:sz w:val="24"/>
        </w:rPr>
        <w:t>（二）项目编号：HN-BL-2022-028</w:t>
      </w:r>
    </w:p>
    <w:p>
      <w:pPr>
        <w:snapToGrid w:val="0"/>
        <w:spacing w:line="360" w:lineRule="auto"/>
        <w:rPr>
          <w:rFonts w:ascii="黑体" w:hAnsi="黑体" w:eastAsia="黑体" w:cs="黑体"/>
          <w:color w:val="auto"/>
          <w:sz w:val="24"/>
        </w:rPr>
      </w:pPr>
      <w:r>
        <w:rPr>
          <w:rFonts w:hint="eastAsia" w:ascii="黑体" w:hAnsi="黑体" w:eastAsia="黑体" w:cs="黑体"/>
          <w:color w:val="auto"/>
          <w:sz w:val="24"/>
        </w:rPr>
        <w:t>（三）项目预算：272.15万元</w:t>
      </w:r>
    </w:p>
    <w:p>
      <w:pPr>
        <w:snapToGrid w:val="0"/>
        <w:spacing w:line="360" w:lineRule="auto"/>
        <w:rPr>
          <w:rFonts w:ascii="黑体" w:hAnsi="黑体" w:eastAsia="黑体" w:cs="黑体"/>
          <w:color w:val="auto"/>
          <w:sz w:val="24"/>
        </w:rPr>
      </w:pPr>
      <w:r>
        <w:rPr>
          <w:rFonts w:hint="eastAsia" w:ascii="黑体" w:hAnsi="黑体" w:eastAsia="黑体" w:cs="黑体"/>
          <w:color w:val="auto"/>
          <w:sz w:val="24"/>
        </w:rPr>
        <w:t>（四）服务期：1年</w:t>
      </w:r>
    </w:p>
    <w:p>
      <w:pPr>
        <w:snapToGrid w:val="0"/>
        <w:spacing w:line="360" w:lineRule="auto"/>
        <w:rPr>
          <w:rFonts w:ascii="黑体" w:hAnsi="黑体" w:eastAsia="黑体" w:cs="黑体"/>
          <w:color w:val="auto"/>
          <w:sz w:val="24"/>
        </w:rPr>
      </w:pPr>
      <w:r>
        <w:rPr>
          <w:rFonts w:hint="eastAsia" w:ascii="黑体" w:hAnsi="黑体" w:eastAsia="黑体" w:cs="黑体"/>
          <w:color w:val="auto"/>
          <w:sz w:val="24"/>
        </w:rPr>
        <w:t>(五) 付款方式：按月付款</w:t>
      </w:r>
    </w:p>
    <w:p>
      <w:pPr>
        <w:pStyle w:val="119"/>
        <w:ind w:firstLine="0" w:firstLineChars="0"/>
        <w:rPr>
          <w:rFonts w:ascii="黑体" w:hAnsi="黑体" w:eastAsia="黑体" w:cs="黑体"/>
          <w:b/>
          <w:color w:val="auto"/>
        </w:rPr>
      </w:pPr>
      <w:r>
        <w:rPr>
          <w:rFonts w:hint="eastAsia" w:ascii="黑体" w:hAnsi="黑体" w:eastAsia="黑体" w:cs="黑体"/>
          <w:b/>
          <w:color w:val="auto"/>
        </w:rPr>
        <w:t>二、项目内容及要求</w:t>
      </w:r>
    </w:p>
    <w:p>
      <w:pPr>
        <w:spacing w:line="360" w:lineRule="auto"/>
        <w:rPr>
          <w:rFonts w:ascii="黑体" w:hAnsi="黑体" w:eastAsia="黑体" w:cs="黑体"/>
          <w:color w:val="auto"/>
          <w:sz w:val="24"/>
        </w:rPr>
      </w:pPr>
      <w:r>
        <w:rPr>
          <w:rFonts w:hint="eastAsia" w:ascii="黑体" w:hAnsi="黑体" w:eastAsia="黑体" w:cs="黑体"/>
          <w:b/>
          <w:bCs/>
          <w:color w:val="auto"/>
          <w:sz w:val="24"/>
        </w:rPr>
        <w:t>（一）进场工作</w:t>
      </w:r>
    </w:p>
    <w:p>
      <w:pPr>
        <w:spacing w:line="360" w:lineRule="auto"/>
        <w:rPr>
          <w:rFonts w:ascii="黑体" w:hAnsi="黑体" w:eastAsia="黑体" w:cs="黑体"/>
          <w:color w:val="auto"/>
          <w:sz w:val="24"/>
        </w:rPr>
      </w:pPr>
      <w:r>
        <w:rPr>
          <w:rFonts w:hint="eastAsia" w:ascii="黑体" w:hAnsi="黑体" w:eastAsia="黑体" w:cs="黑体"/>
          <w:color w:val="auto"/>
          <w:sz w:val="24"/>
        </w:rPr>
        <w:t xml:space="preserve">   进场后，对道路的标识牌等公共设施进行全范围的清扫工作，并且安排人员对道路每天巡查，发现问题及时处理问题，遇到可以破坏公共的设施的群众进行劝阻工作，若遇到情形恶劣的，及时向上级反应进行处理。</w:t>
      </w:r>
    </w:p>
    <w:p>
      <w:pPr>
        <w:spacing w:line="360" w:lineRule="auto"/>
        <w:rPr>
          <w:rFonts w:ascii="黑体" w:hAnsi="黑体" w:eastAsia="黑体" w:cs="黑体"/>
          <w:b/>
          <w:color w:val="auto"/>
          <w:sz w:val="24"/>
        </w:rPr>
      </w:pPr>
      <w:r>
        <w:rPr>
          <w:rFonts w:hint="eastAsia" w:ascii="黑体" w:hAnsi="黑体" w:eastAsia="黑体" w:cs="黑体"/>
          <w:b/>
          <w:color w:val="auto"/>
          <w:sz w:val="24"/>
        </w:rPr>
        <w:t>（二）范围</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清洁范围：镇区（文教镇宋六交界处至公坡镇交界、龙马三角路至龙马交界处、奥林过境公路、奥林果菜市场、冷冻库支道、昌洒大门入口至昌白公路市东坑桥头、北架路口至石化加油站、宋氏祖居入口至祖居、宋氏祖居道路长春村路口至宝芳交界处。）、昌洒村委会、联成村委会、昌发村委会、昌兴村委会、更新村委会、庆龄村委会、凤元村委会、东群村委会、宝华村委会、昌茂村委会、居委会及所属村民小组。</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2、内容镇区</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负责各商铺“门前三包”以外区域的保洁工作，除街道路面保洁外，还要做好路旁至空旷宅基地前两米内定期清理杂草、居民楼之间杂草、杂物清理、未建设人行道道路两旁两米内的杂草杂物清除工作,负责把果皮箱每天清洁。</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负责奥林过境公路保洁工作。</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负责奥林瓜菜市场清洁及杂草清理工作，如遇特殊情况时，乙方应及时向甲方反映协商解决。</w:t>
      </w:r>
    </w:p>
    <w:p>
      <w:pPr>
        <w:spacing w:line="360" w:lineRule="auto"/>
        <w:rPr>
          <w:rFonts w:ascii="黑体" w:hAnsi="黑体" w:eastAsia="黑体" w:cs="黑体"/>
          <w:bCs/>
          <w:color w:val="auto"/>
          <w:sz w:val="24"/>
        </w:rPr>
      </w:pPr>
      <w:r>
        <w:rPr>
          <w:rFonts w:hint="eastAsia" w:ascii="黑体" w:hAnsi="黑体" w:eastAsia="黑体" w:cs="黑体"/>
          <w:b/>
          <w:color w:val="auto"/>
          <w:sz w:val="24"/>
        </w:rPr>
        <w:t>（三）本项目总体设想</w:t>
      </w:r>
    </w:p>
    <w:p>
      <w:pPr>
        <w:spacing w:line="360" w:lineRule="auto"/>
        <w:rPr>
          <w:rFonts w:ascii="黑体" w:hAnsi="黑体" w:eastAsia="黑体" w:cs="黑体"/>
          <w:bCs/>
          <w:color w:val="auto"/>
          <w:sz w:val="24"/>
        </w:rPr>
      </w:pPr>
      <w:r>
        <w:rPr>
          <w:rFonts w:hint="eastAsia" w:ascii="黑体" w:hAnsi="黑体" w:eastAsia="黑体" w:cs="黑体"/>
          <w:bCs/>
          <w:color w:val="auto"/>
          <w:sz w:val="24"/>
        </w:rPr>
        <w:t xml:space="preserve"> 本项目采取质量管理责任化，作业标准精细化，设备机械专业化，教育培训系统化的“四化”模式。</w:t>
      </w:r>
    </w:p>
    <w:p>
      <w:pPr>
        <w:numPr>
          <w:ilvl w:val="0"/>
          <w:numId w:val="3"/>
        </w:numPr>
        <w:spacing w:line="360" w:lineRule="auto"/>
        <w:rPr>
          <w:rFonts w:ascii="黑体" w:hAnsi="黑体" w:eastAsia="黑体" w:cs="黑体"/>
          <w:bCs/>
          <w:color w:val="auto"/>
          <w:sz w:val="24"/>
        </w:rPr>
      </w:pPr>
      <w:r>
        <w:rPr>
          <w:rFonts w:hint="eastAsia" w:ascii="黑体" w:hAnsi="黑体" w:eastAsia="黑体" w:cs="黑体"/>
          <w:b/>
          <w:color w:val="auto"/>
          <w:sz w:val="24"/>
        </w:rPr>
        <w:t xml:space="preserve"> 质量管理责任化</w:t>
      </w:r>
    </w:p>
    <w:p>
      <w:pPr>
        <w:spacing w:line="360" w:lineRule="auto"/>
        <w:rPr>
          <w:rFonts w:ascii="黑体" w:hAnsi="黑体" w:eastAsia="黑体" w:cs="黑体"/>
          <w:bCs/>
          <w:color w:val="auto"/>
          <w:sz w:val="24"/>
        </w:rPr>
      </w:pPr>
      <w:r>
        <w:rPr>
          <w:rFonts w:hint="eastAsia" w:ascii="黑体" w:hAnsi="黑体" w:eastAsia="黑体" w:cs="黑体"/>
          <w:bCs/>
          <w:color w:val="auto"/>
          <w:sz w:val="24"/>
        </w:rPr>
        <w:t xml:space="preserve"> 根据磋商文件的要求，结合本项目道路保洁的实际情况，实行项目经理质量问责制。选派具有丰富日常管理经验的管理人员组成本项目管理班子，配齐所有的职能人员。</w:t>
      </w:r>
    </w:p>
    <w:p>
      <w:pPr>
        <w:numPr>
          <w:ilvl w:val="0"/>
          <w:numId w:val="3"/>
        </w:numPr>
        <w:spacing w:line="360" w:lineRule="auto"/>
        <w:rPr>
          <w:rFonts w:ascii="黑体" w:hAnsi="黑体" w:eastAsia="黑体" w:cs="黑体"/>
          <w:b/>
          <w:color w:val="auto"/>
          <w:sz w:val="24"/>
        </w:rPr>
      </w:pPr>
      <w:r>
        <w:rPr>
          <w:rFonts w:hint="eastAsia" w:ascii="黑体" w:hAnsi="黑体" w:eastAsia="黑体" w:cs="黑体"/>
          <w:b/>
          <w:color w:val="auto"/>
          <w:sz w:val="24"/>
        </w:rPr>
        <w:t xml:space="preserve"> 作业标准精细化</w:t>
      </w:r>
    </w:p>
    <w:p>
      <w:pPr>
        <w:spacing w:line="360" w:lineRule="auto"/>
        <w:rPr>
          <w:rFonts w:ascii="黑体" w:hAnsi="黑体" w:eastAsia="黑体" w:cs="黑体"/>
          <w:bCs/>
          <w:color w:val="auto"/>
          <w:sz w:val="24"/>
        </w:rPr>
      </w:pPr>
      <w:r>
        <w:rPr>
          <w:rFonts w:hint="eastAsia" w:ascii="黑体" w:hAnsi="黑体" w:eastAsia="黑体" w:cs="黑体"/>
          <w:bCs/>
          <w:color w:val="auto"/>
          <w:sz w:val="24"/>
        </w:rPr>
        <w:t xml:space="preserve"> 以海南省市政和园林绿化管理办公室相关考核标准制定本项目的保洁作业标准。</w:t>
      </w:r>
    </w:p>
    <w:p>
      <w:pPr>
        <w:numPr>
          <w:ilvl w:val="0"/>
          <w:numId w:val="3"/>
        </w:numPr>
        <w:spacing w:line="360" w:lineRule="auto"/>
        <w:rPr>
          <w:rFonts w:ascii="黑体" w:hAnsi="黑体" w:eastAsia="黑体" w:cs="黑体"/>
          <w:b/>
          <w:color w:val="auto"/>
          <w:sz w:val="24"/>
        </w:rPr>
      </w:pPr>
      <w:r>
        <w:rPr>
          <w:rFonts w:hint="eastAsia" w:ascii="黑体" w:hAnsi="黑体" w:eastAsia="黑体" w:cs="黑体"/>
          <w:b/>
          <w:color w:val="auto"/>
          <w:sz w:val="24"/>
        </w:rPr>
        <w:t xml:space="preserve"> 设备机械专业化</w:t>
      </w:r>
    </w:p>
    <w:p>
      <w:pPr>
        <w:spacing w:line="360" w:lineRule="auto"/>
        <w:rPr>
          <w:rFonts w:ascii="黑体" w:hAnsi="黑体" w:eastAsia="黑体" w:cs="黑体"/>
          <w:bCs/>
          <w:color w:val="auto"/>
          <w:sz w:val="24"/>
        </w:rPr>
      </w:pPr>
      <w:r>
        <w:rPr>
          <w:rFonts w:hint="eastAsia" w:ascii="黑体" w:hAnsi="黑体" w:eastAsia="黑体" w:cs="黑体"/>
          <w:bCs/>
          <w:color w:val="auto"/>
          <w:sz w:val="24"/>
        </w:rPr>
        <w:t xml:space="preserve"> 根据本项目道路保洁的实际情况和磋商文件保洁的要求，配齐洒水车，扫地机，油污冲洗设备，渣土应急保障设备，快速保洁车及各类工具，物资等，能良好的提高保洁服务质量。</w:t>
      </w:r>
    </w:p>
    <w:p>
      <w:pPr>
        <w:numPr>
          <w:ilvl w:val="0"/>
          <w:numId w:val="3"/>
        </w:numPr>
        <w:spacing w:line="360" w:lineRule="auto"/>
        <w:rPr>
          <w:rFonts w:ascii="黑体" w:hAnsi="黑体" w:eastAsia="黑体" w:cs="黑体"/>
          <w:b/>
          <w:color w:val="auto"/>
          <w:sz w:val="24"/>
        </w:rPr>
      </w:pPr>
      <w:r>
        <w:rPr>
          <w:rFonts w:hint="eastAsia" w:ascii="黑体" w:hAnsi="黑体" w:eastAsia="黑体" w:cs="黑体"/>
          <w:b/>
          <w:color w:val="auto"/>
          <w:sz w:val="24"/>
        </w:rPr>
        <w:t xml:space="preserve"> 教育培训系统化</w:t>
      </w:r>
    </w:p>
    <w:p>
      <w:pPr>
        <w:spacing w:line="360" w:lineRule="auto"/>
        <w:rPr>
          <w:rFonts w:ascii="黑体" w:hAnsi="黑体" w:eastAsia="黑体" w:cs="黑体"/>
          <w:b/>
          <w:color w:val="auto"/>
          <w:sz w:val="24"/>
        </w:rPr>
      </w:pPr>
      <w:r>
        <w:rPr>
          <w:rFonts w:hint="eastAsia" w:ascii="黑体" w:hAnsi="黑体" w:eastAsia="黑体" w:cs="黑体"/>
          <w:bCs/>
          <w:color w:val="auto"/>
          <w:sz w:val="24"/>
        </w:rPr>
        <w:t xml:space="preserve"> 利用公司定期与不定期的联合环卫，街道社区及城市执法等相关部门，对员工进行专题讲座培训，提高本项目道路清扫保洁的整体质量水平</w:t>
      </w:r>
    </w:p>
    <w:p>
      <w:pPr>
        <w:spacing w:line="360" w:lineRule="auto"/>
        <w:rPr>
          <w:rFonts w:ascii="黑体" w:hAnsi="黑体" w:eastAsia="黑体" w:cs="黑体"/>
          <w:b/>
          <w:color w:val="auto"/>
          <w:sz w:val="24"/>
        </w:rPr>
      </w:pPr>
      <w:r>
        <w:rPr>
          <w:rFonts w:hint="eastAsia" w:ascii="黑体" w:hAnsi="黑体" w:eastAsia="黑体" w:cs="黑体"/>
          <w:b/>
          <w:color w:val="auto"/>
          <w:sz w:val="24"/>
        </w:rPr>
        <w:t>（四）作业内容</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负责所承包范围内的清扫保洁工作、上门收集垃圾工作、“牛皮癣”清理、下水口沉池清理、道路路面洒水和冲洗、闲置地的清扫保洁、环卫设施和设备的清洗、车行道和人行道等处的杂草清除、每天将承包范围内所清扫及收集的垃圾运到指定的垃圾中转站集中处理等工作。</w:t>
      </w:r>
    </w:p>
    <w:p>
      <w:pPr>
        <w:spacing w:line="360" w:lineRule="auto"/>
        <w:rPr>
          <w:rFonts w:ascii="黑体" w:hAnsi="黑体" w:eastAsia="黑体" w:cs="黑体"/>
          <w:b/>
          <w:color w:val="auto"/>
          <w:sz w:val="24"/>
        </w:rPr>
      </w:pPr>
      <w:r>
        <w:rPr>
          <w:rFonts w:hint="eastAsia" w:ascii="黑体" w:hAnsi="黑体" w:eastAsia="黑体" w:cs="黑体"/>
          <w:b/>
          <w:color w:val="auto"/>
          <w:sz w:val="24"/>
        </w:rPr>
        <w:t>（五）作业方法</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1、每日普扫两次，一级路18小时、二级路16小时、其他路段及小区10小时巡回保洁（无路灯区域保洁到晚上19：00点），保持路面干净，路面基本见本色，大街、大巷、横巷无卫生死角；</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2、每日（雨天除外）喷洒马路两次，小区一次；</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3、繁华路段要按期冲洗（要求每周冲洗三次），其它路段每周冲洗不少于一次，保持路面干净；</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4、每日普扫作业在早上7：00前完成，中午12至14时前完成；</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5、普扫作业要达到六净六无一通标准。六净：路面净，路缘石净，人行道净，墙基净，落水口净，果皮箱净。六无：无积水，无果皮，烟头等废弃物，无人畜粪便，无漏收垃圾堆，无往落水口、明沟、绿化带扫倒垃圾污物，无乱张贴广告纸和乱涂画。一通：下水道口通。</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6、人行道与道路路面的保洁质量要求相同，桥栏杆保持整洁；</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7、道路路面、人行道保洁率要达100%，保洁时间为18小时（即早上5时30分至晚上11时30分）；</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8、果皮箱清掏应及时（每天不少于两次），外壳及内胆每天擦洗一次，保持清洁；</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9、保洁人员必须统一标志服（需经甲方审定）上岗；</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10、对发现道路设施包括交通标志、公共汽车上落站、电箱、果皮箱、电话亭、花池、树木、高压电塔（杆）以及商铺、住宅、小区建筑立面有乱张贴（城市“牛皮癣”）、涂写、刻画笔迹及其他残留物现象的，要及时做好清理工作。</w:t>
      </w:r>
    </w:p>
    <w:p>
      <w:pPr>
        <w:spacing w:line="360" w:lineRule="auto"/>
        <w:rPr>
          <w:rFonts w:ascii="黑体" w:hAnsi="黑体" w:eastAsia="黑体" w:cs="黑体"/>
          <w:b/>
          <w:color w:val="auto"/>
          <w:sz w:val="24"/>
        </w:rPr>
      </w:pPr>
      <w:r>
        <w:rPr>
          <w:rFonts w:hint="eastAsia" w:ascii="黑体" w:hAnsi="黑体" w:eastAsia="黑体" w:cs="黑体"/>
          <w:b/>
          <w:color w:val="auto"/>
          <w:sz w:val="24"/>
        </w:rPr>
        <w:t>（六）质量要求</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1、道路面废弃物控制指标应符合下表规定：</w:t>
      </w:r>
    </w:p>
    <w:p>
      <w:pPr>
        <w:spacing w:line="360" w:lineRule="auto"/>
        <w:rPr>
          <w:rFonts w:ascii="黑体" w:hAnsi="黑体" w:eastAsia="黑体" w:cs="黑体"/>
          <w:color w:val="auto"/>
          <w:sz w:val="24"/>
        </w:rPr>
      </w:pPr>
      <w:r>
        <w:rPr>
          <w:rFonts w:hint="eastAsia" w:ascii="黑体" w:hAnsi="黑体" w:eastAsia="黑体" w:cs="黑体"/>
          <w:color w:val="auto"/>
          <w:sz w:val="24"/>
        </w:rPr>
        <w:t>附：路面废弃物控制指标表</w:t>
      </w:r>
    </w:p>
    <w:tbl>
      <w:tblPr>
        <w:tblStyle w:val="25"/>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1376"/>
        <w:gridCol w:w="1625"/>
        <w:gridCol w:w="1376"/>
        <w:gridCol w:w="1376"/>
        <w:gridCol w:w="1777"/>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590" w:type="dxa"/>
            <w:tcBorders>
              <w:top w:val="single" w:color="auto" w:sz="4" w:space="0"/>
              <w:left w:val="single" w:color="auto" w:sz="4" w:space="0"/>
              <w:bottom w:val="single" w:color="auto" w:sz="4" w:space="0"/>
              <w:right w:val="single" w:color="auto" w:sz="4" w:space="0"/>
            </w:tcBorders>
            <w:noWrap/>
          </w:tcPr>
          <w:p>
            <w:pPr>
              <w:spacing w:line="360" w:lineRule="auto"/>
              <w:rPr>
                <w:rFonts w:ascii="黑体" w:hAnsi="黑体" w:eastAsia="黑体" w:cs="黑体"/>
                <w:color w:val="auto"/>
                <w:sz w:val="24"/>
              </w:rPr>
            </w:pPr>
            <w:r>
              <w:rPr>
                <w:rFonts w:hint="eastAsia" w:ascii="黑体" w:hAnsi="黑体" w:eastAsia="黑体" w:cs="黑体"/>
                <w:color w:val="auto"/>
                <w:sz w:val="24"/>
              </w:rPr>
              <w:t>保洁</w:t>
            </w:r>
          </w:p>
          <w:p>
            <w:pPr>
              <w:spacing w:line="360" w:lineRule="auto"/>
              <w:rPr>
                <w:rFonts w:ascii="黑体" w:hAnsi="黑体" w:eastAsia="黑体" w:cs="黑体"/>
                <w:color w:val="auto"/>
                <w:sz w:val="24"/>
              </w:rPr>
            </w:pPr>
            <w:r>
              <w:rPr>
                <w:rFonts w:hint="eastAsia" w:ascii="黑体" w:hAnsi="黑体" w:eastAsia="黑体" w:cs="黑体"/>
                <w:color w:val="auto"/>
                <w:sz w:val="24"/>
              </w:rPr>
              <w:t>等级</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黑体" w:hAnsi="黑体" w:eastAsia="黑体" w:cs="黑体"/>
                <w:color w:val="auto"/>
                <w:sz w:val="24"/>
              </w:rPr>
            </w:pPr>
            <w:r>
              <w:rPr>
                <w:rFonts w:hint="eastAsia" w:ascii="黑体" w:hAnsi="黑体" w:eastAsia="黑体" w:cs="黑体"/>
                <w:color w:val="auto"/>
                <w:sz w:val="24"/>
              </w:rPr>
              <w:t>果皮（片/1000 m</w:t>
            </w:r>
            <w:r>
              <w:rPr>
                <w:rFonts w:hint="eastAsia" w:ascii="黑体" w:hAnsi="黑体" w:eastAsia="黑体" w:cs="黑体"/>
                <w:color w:val="auto"/>
                <w:sz w:val="24"/>
                <w:vertAlign w:val="superscript"/>
              </w:rPr>
              <w:t>2</w:t>
            </w:r>
            <w:r>
              <w:rPr>
                <w:rFonts w:hint="eastAsia" w:ascii="黑体" w:hAnsi="黑体" w:eastAsia="黑体" w:cs="黑体"/>
                <w:color w:val="auto"/>
                <w:sz w:val="24"/>
              </w:rPr>
              <w:t>）</w:t>
            </w:r>
          </w:p>
        </w:tc>
        <w:tc>
          <w:tcPr>
            <w:tcW w:w="1625"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黑体" w:hAnsi="黑体" w:eastAsia="黑体" w:cs="黑体"/>
                <w:color w:val="auto"/>
                <w:sz w:val="24"/>
              </w:rPr>
            </w:pPr>
            <w:r>
              <w:rPr>
                <w:rFonts w:hint="eastAsia" w:ascii="黑体" w:hAnsi="黑体" w:eastAsia="黑体" w:cs="黑体"/>
                <w:color w:val="auto"/>
                <w:sz w:val="24"/>
              </w:rPr>
              <w:t>纸屑、塑膜（片/1000 m</w:t>
            </w:r>
            <w:r>
              <w:rPr>
                <w:rFonts w:hint="eastAsia" w:ascii="黑体" w:hAnsi="黑体" w:eastAsia="黑体" w:cs="黑体"/>
                <w:color w:val="auto"/>
                <w:sz w:val="24"/>
                <w:vertAlign w:val="superscript"/>
              </w:rPr>
              <w:t>2</w:t>
            </w:r>
            <w:r>
              <w:rPr>
                <w:rFonts w:hint="eastAsia" w:ascii="黑体" w:hAnsi="黑体" w:eastAsia="黑体" w:cs="黑体"/>
                <w:color w:val="auto"/>
                <w:sz w:val="24"/>
              </w:rPr>
              <w:t>）</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黑体" w:hAnsi="黑体" w:eastAsia="黑体" w:cs="黑体"/>
                <w:color w:val="auto"/>
                <w:sz w:val="24"/>
              </w:rPr>
            </w:pPr>
            <w:r>
              <w:rPr>
                <w:rFonts w:hint="eastAsia" w:ascii="黑体" w:hAnsi="黑体" w:eastAsia="黑体" w:cs="黑体"/>
                <w:color w:val="auto"/>
                <w:sz w:val="24"/>
              </w:rPr>
              <w:t>烟蒂（个/1000 m</w:t>
            </w:r>
            <w:r>
              <w:rPr>
                <w:rFonts w:hint="eastAsia" w:ascii="黑体" w:hAnsi="黑体" w:eastAsia="黑体" w:cs="黑体"/>
                <w:color w:val="auto"/>
                <w:sz w:val="24"/>
                <w:vertAlign w:val="superscript"/>
              </w:rPr>
              <w:t>2</w:t>
            </w:r>
            <w:r>
              <w:rPr>
                <w:rFonts w:hint="eastAsia" w:ascii="黑体" w:hAnsi="黑体" w:eastAsia="黑体" w:cs="黑体"/>
                <w:color w:val="auto"/>
                <w:sz w:val="24"/>
              </w:rPr>
              <w:t>）</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黑体" w:hAnsi="黑体" w:eastAsia="黑体" w:cs="黑体"/>
                <w:color w:val="auto"/>
                <w:sz w:val="24"/>
              </w:rPr>
            </w:pPr>
            <w:r>
              <w:rPr>
                <w:rFonts w:hint="eastAsia" w:ascii="黑体" w:hAnsi="黑体" w:eastAsia="黑体" w:cs="黑体"/>
                <w:color w:val="auto"/>
                <w:sz w:val="24"/>
              </w:rPr>
              <w:t>痰迹（处/1000 m</w:t>
            </w:r>
            <w:r>
              <w:rPr>
                <w:rFonts w:hint="eastAsia" w:ascii="黑体" w:hAnsi="黑体" w:eastAsia="黑体" w:cs="黑体"/>
                <w:color w:val="auto"/>
                <w:sz w:val="24"/>
                <w:vertAlign w:val="superscript"/>
              </w:rPr>
              <w:t>2</w:t>
            </w:r>
            <w:r>
              <w:rPr>
                <w:rFonts w:hint="eastAsia" w:ascii="黑体" w:hAnsi="黑体" w:eastAsia="黑体" w:cs="黑体"/>
                <w:color w:val="auto"/>
                <w:sz w:val="24"/>
              </w:rPr>
              <w:t>）</w:t>
            </w:r>
          </w:p>
        </w:tc>
        <w:tc>
          <w:tcPr>
            <w:tcW w:w="1777"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黑体" w:hAnsi="黑体" w:eastAsia="黑体" w:cs="黑体"/>
                <w:color w:val="auto"/>
                <w:sz w:val="24"/>
              </w:rPr>
            </w:pPr>
            <w:r>
              <w:rPr>
                <w:rFonts w:hint="eastAsia" w:ascii="黑体" w:hAnsi="黑体" w:eastAsia="黑体" w:cs="黑体"/>
                <w:color w:val="auto"/>
                <w:sz w:val="24"/>
              </w:rPr>
              <w:t>污水（m</w:t>
            </w:r>
            <w:r>
              <w:rPr>
                <w:rFonts w:hint="eastAsia" w:ascii="黑体" w:hAnsi="黑体" w:eastAsia="黑体" w:cs="黑体"/>
                <w:color w:val="auto"/>
                <w:sz w:val="24"/>
                <w:vertAlign w:val="superscript"/>
              </w:rPr>
              <w:t>2</w:t>
            </w:r>
            <w:r>
              <w:rPr>
                <w:rFonts w:hint="eastAsia" w:ascii="黑体" w:hAnsi="黑体" w:eastAsia="黑体" w:cs="黑体"/>
                <w:color w:val="auto"/>
                <w:sz w:val="24"/>
              </w:rPr>
              <w:t>/1000 m</w:t>
            </w:r>
            <w:r>
              <w:rPr>
                <w:rFonts w:hint="eastAsia" w:ascii="黑体" w:hAnsi="黑体" w:eastAsia="黑体" w:cs="黑体"/>
                <w:color w:val="auto"/>
                <w:sz w:val="24"/>
                <w:vertAlign w:val="superscript"/>
              </w:rPr>
              <w:t>2</w:t>
            </w:r>
            <w:r>
              <w:rPr>
                <w:rFonts w:hint="eastAsia" w:ascii="黑体" w:hAnsi="黑体" w:eastAsia="黑体" w:cs="黑体"/>
                <w:color w:val="auto"/>
                <w:sz w:val="24"/>
              </w:rPr>
              <w:t>）</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黑体" w:hAnsi="黑体" w:eastAsia="黑体" w:cs="黑体"/>
                <w:color w:val="auto"/>
                <w:sz w:val="24"/>
              </w:rPr>
            </w:pPr>
            <w:r>
              <w:rPr>
                <w:rFonts w:hint="eastAsia" w:ascii="黑体" w:hAnsi="黑体" w:eastAsia="黑体" w:cs="黑体"/>
                <w:color w:val="auto"/>
                <w:sz w:val="24"/>
              </w:rPr>
              <w:t>其它（处/1000 m</w:t>
            </w:r>
            <w:r>
              <w:rPr>
                <w:rFonts w:hint="eastAsia" w:ascii="黑体" w:hAnsi="黑体" w:eastAsia="黑体" w:cs="黑体"/>
                <w:color w:val="auto"/>
                <w:sz w:val="24"/>
                <w:vertAlign w:val="superscript"/>
              </w:rPr>
              <w:t>2</w:t>
            </w:r>
            <w:r>
              <w:rPr>
                <w:rFonts w:hint="eastAsia" w:ascii="黑体" w:hAnsi="黑体" w:eastAsia="黑体" w:cs="黑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590" w:type="dxa"/>
            <w:tcBorders>
              <w:top w:val="single" w:color="auto" w:sz="4" w:space="0"/>
              <w:left w:val="single" w:color="auto" w:sz="4" w:space="0"/>
              <w:bottom w:val="single" w:color="auto" w:sz="4" w:space="0"/>
              <w:right w:val="single" w:color="auto" w:sz="4" w:space="0"/>
            </w:tcBorders>
            <w:noWrap/>
          </w:tcPr>
          <w:p>
            <w:pPr>
              <w:spacing w:line="360" w:lineRule="auto"/>
              <w:rPr>
                <w:rFonts w:ascii="黑体" w:hAnsi="黑体" w:eastAsia="黑体" w:cs="黑体"/>
                <w:color w:val="auto"/>
                <w:sz w:val="24"/>
              </w:rPr>
            </w:pPr>
            <w:r>
              <w:rPr>
                <w:rFonts w:hint="eastAsia" w:ascii="黑体" w:hAnsi="黑体" w:eastAsia="黑体" w:cs="黑体"/>
                <w:color w:val="auto"/>
                <w:sz w:val="24"/>
              </w:rPr>
              <w:t>一级</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≤4</w:t>
            </w:r>
          </w:p>
        </w:tc>
        <w:tc>
          <w:tcPr>
            <w:tcW w:w="16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≤4</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≤4</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≤4</w:t>
            </w:r>
          </w:p>
        </w:tc>
        <w:tc>
          <w:tcPr>
            <w:tcW w:w="17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无</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590" w:type="dxa"/>
            <w:tcBorders>
              <w:top w:val="single" w:color="auto" w:sz="4" w:space="0"/>
              <w:left w:val="single" w:color="auto" w:sz="4" w:space="0"/>
              <w:bottom w:val="single" w:color="auto" w:sz="4" w:space="0"/>
              <w:right w:val="single" w:color="auto" w:sz="4" w:space="0"/>
            </w:tcBorders>
            <w:noWrap/>
          </w:tcPr>
          <w:p>
            <w:pPr>
              <w:spacing w:line="360" w:lineRule="auto"/>
              <w:rPr>
                <w:rFonts w:ascii="黑体" w:hAnsi="黑体" w:eastAsia="黑体" w:cs="黑体"/>
                <w:color w:val="auto"/>
                <w:sz w:val="24"/>
              </w:rPr>
            </w:pPr>
            <w:r>
              <w:rPr>
                <w:rFonts w:hint="eastAsia" w:ascii="黑体" w:hAnsi="黑体" w:eastAsia="黑体" w:cs="黑体"/>
                <w:color w:val="auto"/>
                <w:sz w:val="24"/>
              </w:rPr>
              <w:t>二级</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≤6</w:t>
            </w:r>
          </w:p>
        </w:tc>
        <w:tc>
          <w:tcPr>
            <w:tcW w:w="162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≤6</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≤8</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≤8</w:t>
            </w:r>
          </w:p>
        </w:tc>
        <w:tc>
          <w:tcPr>
            <w:tcW w:w="177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≤0.5</w:t>
            </w:r>
          </w:p>
        </w:tc>
        <w:tc>
          <w:tcPr>
            <w:tcW w:w="1376"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黑体" w:hAnsi="黑体" w:eastAsia="黑体" w:cs="黑体"/>
                <w:color w:val="auto"/>
                <w:sz w:val="24"/>
              </w:rPr>
            </w:pPr>
            <w:r>
              <w:rPr>
                <w:rFonts w:hint="eastAsia" w:ascii="黑体" w:hAnsi="黑体" w:eastAsia="黑体" w:cs="黑体"/>
                <w:color w:val="auto"/>
                <w:sz w:val="24"/>
              </w:rPr>
              <w:t>≤2</w:t>
            </w:r>
          </w:p>
        </w:tc>
      </w:tr>
    </w:tbl>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2、道路清扫作业后路面、下水口、人行道等应整洁。</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3、保洁垃圾必须随车运走，不得漏收，不得在路面中转，严禁焚烧垃圾，保洁车要整洁完好。</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4、除每天完成普扫作业外，要全天巡回保洁，废弃物一出现在路面马上要清理干净。</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5、果皮箱应及时清掏、不得外溢；箱周围及地面应无抛撒及存留垃圾；箱体整洁卫生无污迹。</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6、严禁将垃圾扫入渠井、下水道。</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7、路面无淤泥、沙石、灰。夜间车辆洒漏沙石、灰或车轮带泥上路或漏油污等造成的路面污染应在早上7：00前清理干净，白天洒漏沙石、灰、油污或有关工程建设等造成的污染要及时行动解决（污染面积50平方米以内需在30分钟清理干净，污染面积超过50平方米的酌情延长清理时间）。</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8、无条件服从镇级组织的清洁活动及突击性的卫生清洁任务，按时、按标准、按要求完成所分配的工作。并在重要节假日做好应急预案，将工作落实到位。</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9、垃圾手推车等无乱停乱放。</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10、按指定地点倾倒垃圾。</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11、路段、人行道无杂草。</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12、专人负责清理“牛皮癣”。</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13、做好下水道沉沙井、明渠和防蚊闸的清理及疏通工作（沉沙井、明渠每月要清理不少于一次，防蚊闸每天清理一次），要保证沙井、地漏不堵塞。遇有大雨应及时组织人员上街清理下水口杂物，保持下水口正常排水。</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14、垃圾做到及时清运、日产日清、垃圾不得漏收、不得在路面中转，运输途中不准洒落污水、垃圾；严禁私自焚烧垃圾；</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15、果皮箱的养护做到摆放到位，及时清掏（每天不少于一次），外壳每天擦洗一次，保持周边地面清洁、无异味。</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16、定期清洗、保养车辆，保持车辆外观清洁。</w:t>
      </w:r>
    </w:p>
    <w:p>
      <w:pPr>
        <w:spacing w:line="360" w:lineRule="auto"/>
        <w:ind w:firstLine="480" w:firstLineChars="200"/>
        <w:rPr>
          <w:rFonts w:ascii="黑体" w:hAnsi="黑体" w:eastAsia="黑体" w:cs="黑体"/>
          <w:color w:val="auto"/>
          <w:sz w:val="24"/>
        </w:rPr>
      </w:pPr>
      <w:r>
        <w:rPr>
          <w:rFonts w:hint="eastAsia" w:ascii="黑体" w:hAnsi="黑体" w:eastAsia="黑体" w:cs="黑体"/>
          <w:color w:val="auto"/>
          <w:sz w:val="24"/>
        </w:rPr>
        <w:t>17、司机必须有相应的驾驶证。</w:t>
      </w:r>
    </w:p>
    <w:p>
      <w:pPr>
        <w:spacing w:line="360" w:lineRule="auto"/>
        <w:ind w:firstLine="470" w:firstLineChars="196"/>
        <w:rPr>
          <w:rFonts w:ascii="黑体" w:hAnsi="黑体" w:eastAsia="黑体" w:cs="黑体"/>
          <w:color w:val="auto"/>
          <w:sz w:val="24"/>
        </w:rPr>
      </w:pPr>
      <w:r>
        <w:rPr>
          <w:rFonts w:hint="eastAsia" w:ascii="黑体" w:hAnsi="黑体" w:eastAsia="黑体" w:cs="黑体"/>
          <w:color w:val="auto"/>
          <w:sz w:val="24"/>
        </w:rPr>
        <w:t>18、符合国务院《城市市容和环境卫生管理条例》、建设部《城镇市容环境卫生劳动定额》、《城市生活垃圾管理办法》以及《城市容貌标准》，</w:t>
      </w:r>
      <w:r>
        <w:rPr>
          <w:rFonts w:hint="eastAsia" w:ascii="黑体" w:hAnsi="黑体" w:eastAsia="黑体" w:cs="黑体"/>
          <w:bCs/>
          <w:color w:val="auto"/>
          <w:sz w:val="24"/>
        </w:rPr>
        <w:t>的要求，</w:t>
      </w:r>
      <w:r>
        <w:rPr>
          <w:rFonts w:hint="eastAsia" w:ascii="黑体" w:hAnsi="黑体" w:eastAsia="黑体" w:cs="黑体"/>
          <w:color w:val="auto"/>
          <w:sz w:val="24"/>
        </w:rPr>
        <w:t>如上级部门对环境卫生质量标准要求提高，本项目质量标准也随之提高。</w:t>
      </w:r>
    </w:p>
    <w:p>
      <w:pPr>
        <w:spacing w:line="360" w:lineRule="auto"/>
        <w:rPr>
          <w:rFonts w:ascii="黑体" w:hAnsi="黑体" w:eastAsia="黑体" w:cs="黑体"/>
          <w:b/>
          <w:color w:val="auto"/>
          <w:sz w:val="24"/>
        </w:rPr>
      </w:pPr>
      <w:r>
        <w:rPr>
          <w:rFonts w:hint="eastAsia" w:ascii="黑体" w:hAnsi="黑体" w:eastAsia="黑体" w:cs="黑体"/>
          <w:b/>
          <w:color w:val="auto"/>
          <w:sz w:val="24"/>
        </w:rPr>
        <w:t>（七）人员、设备配置最低要求</w:t>
      </w:r>
    </w:p>
    <w:tbl>
      <w:tblPr>
        <w:tblStyle w:val="25"/>
        <w:tblW w:w="8960" w:type="dxa"/>
        <w:tblInd w:w="93" w:type="dxa"/>
        <w:tblLayout w:type="autofit"/>
        <w:tblCellMar>
          <w:top w:w="0" w:type="dxa"/>
          <w:left w:w="108" w:type="dxa"/>
          <w:bottom w:w="0" w:type="dxa"/>
          <w:right w:w="108" w:type="dxa"/>
        </w:tblCellMar>
      </w:tblPr>
      <w:tblGrid>
        <w:gridCol w:w="827"/>
        <w:gridCol w:w="2197"/>
        <w:gridCol w:w="667"/>
        <w:gridCol w:w="658"/>
        <w:gridCol w:w="631"/>
        <w:gridCol w:w="1343"/>
        <w:gridCol w:w="2637"/>
      </w:tblGrid>
      <w:tr>
        <w:tblPrEx>
          <w:tblCellMar>
            <w:top w:w="0" w:type="dxa"/>
            <w:left w:w="108" w:type="dxa"/>
            <w:bottom w:w="0" w:type="dxa"/>
            <w:right w:w="108" w:type="dxa"/>
          </w:tblCellMar>
        </w:tblPrEx>
        <w:trPr>
          <w:trHeight w:val="1437" w:hRule="atLeast"/>
        </w:trPr>
        <w:tc>
          <w:tcPr>
            <w:tcW w:w="8960" w:type="dxa"/>
            <w:gridSpan w:val="7"/>
            <w:tcBorders>
              <w:top w:val="nil"/>
              <w:left w:val="nil"/>
              <w:bottom w:val="single" w:color="000000" w:sz="4" w:space="0"/>
              <w:right w:val="nil"/>
            </w:tcBorders>
            <w:shd w:val="clear" w:color="auto" w:fill="auto"/>
            <w:noWrap/>
            <w:vAlign w:val="center"/>
          </w:tcPr>
          <w:p>
            <w:pPr>
              <w:widowControl/>
              <w:jc w:val="center"/>
              <w:textAlignment w:val="center"/>
              <w:rPr>
                <w:rFonts w:ascii="黑体" w:hAnsi="黑体" w:eastAsia="黑体" w:cs="黑体"/>
                <w:color w:val="auto"/>
                <w:sz w:val="24"/>
              </w:rPr>
            </w:pPr>
            <w:r>
              <w:rPr>
                <w:rFonts w:hint="eastAsia" w:ascii="黑体" w:hAnsi="黑体" w:eastAsia="黑体" w:cs="黑体"/>
                <w:color w:val="auto"/>
                <w:sz w:val="24"/>
              </w:rPr>
              <w:t>人员配置：应按《全国城市市容环境卫生统一劳动定额》的有关标准安排清扫保洁人员，保洁时间内每段道路和每个小区分工负责的保洁人员必须在岗。</w:t>
            </w:r>
          </w:p>
          <w:p>
            <w:pPr>
              <w:widowControl/>
              <w:jc w:val="center"/>
              <w:textAlignment w:val="cente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 xml:space="preserve">昌洒镇2022年环卫作业服务外包项目 </w:t>
            </w:r>
          </w:p>
          <w:p>
            <w:pPr>
              <w:widowControl/>
              <w:jc w:val="center"/>
              <w:textAlignment w:val="center"/>
              <w:rPr>
                <w:rFonts w:ascii="仿宋" w:hAnsi="仿宋" w:eastAsia="仿宋" w:cs="仿宋"/>
                <w:b/>
                <w:bCs/>
                <w:color w:val="auto"/>
                <w:sz w:val="32"/>
                <w:szCs w:val="32"/>
              </w:rPr>
            </w:pPr>
            <w:r>
              <w:rPr>
                <w:rFonts w:hint="eastAsia" w:ascii="仿宋" w:hAnsi="仿宋" w:eastAsia="仿宋" w:cs="仿宋"/>
                <w:b/>
                <w:bCs/>
                <w:color w:val="auto"/>
                <w:kern w:val="0"/>
                <w:sz w:val="32"/>
                <w:szCs w:val="32"/>
              </w:rPr>
              <w:t>报价清单明细</w:t>
            </w:r>
          </w:p>
        </w:tc>
      </w:tr>
      <w:tr>
        <w:tblPrEx>
          <w:tblCellMar>
            <w:top w:w="0" w:type="dxa"/>
            <w:left w:w="108" w:type="dxa"/>
            <w:bottom w:w="0" w:type="dxa"/>
            <w:right w:w="108" w:type="dxa"/>
          </w:tblCellMar>
        </w:tblPrEx>
        <w:trPr>
          <w:trHeight w:val="832"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序号</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费用项目</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单位</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数量</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月份</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金额（元）</w:t>
            </w: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备注</w:t>
            </w:r>
          </w:p>
        </w:tc>
      </w:tr>
      <w:tr>
        <w:tblPrEx>
          <w:tblCellMar>
            <w:top w:w="0" w:type="dxa"/>
            <w:left w:w="108" w:type="dxa"/>
            <w:bottom w:w="0" w:type="dxa"/>
            <w:right w:w="108" w:type="dxa"/>
          </w:tblCellMar>
        </w:tblPrEx>
        <w:trPr>
          <w:trHeight w:val="634" w:hRule="atLeast"/>
        </w:trPr>
        <w:tc>
          <w:tcPr>
            <w:tcW w:w="89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一、保洁员相关费用</w:t>
            </w:r>
          </w:p>
        </w:tc>
      </w:tr>
      <w:tr>
        <w:tblPrEx>
          <w:tblCellMar>
            <w:top w:w="0" w:type="dxa"/>
            <w:left w:w="108" w:type="dxa"/>
            <w:bottom w:w="0" w:type="dxa"/>
            <w:right w:w="108" w:type="dxa"/>
          </w:tblCellMar>
        </w:tblPrEx>
        <w:trPr>
          <w:trHeight w:val="54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人员工资</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880"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员工五险</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按文昌市人社局规定单位最低缴纳980.90元</w:t>
            </w:r>
          </w:p>
        </w:tc>
      </w:tr>
      <w:tr>
        <w:tblPrEx>
          <w:tblCellMar>
            <w:top w:w="0" w:type="dxa"/>
            <w:left w:w="108" w:type="dxa"/>
            <w:bottom w:w="0" w:type="dxa"/>
            <w:right w:w="108" w:type="dxa"/>
          </w:tblCellMar>
        </w:tblPrEx>
        <w:trPr>
          <w:trHeight w:val="53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法定节假日加班</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53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员工福利</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53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全年出勤考核绩效</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38</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634" w:hRule="atLeast"/>
        </w:trPr>
        <w:tc>
          <w:tcPr>
            <w:tcW w:w="89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二、设备工器具使用</w:t>
            </w:r>
          </w:p>
        </w:tc>
      </w:tr>
      <w:tr>
        <w:tblPrEx>
          <w:tblCellMar>
            <w:top w:w="0" w:type="dxa"/>
            <w:left w:w="108" w:type="dxa"/>
            <w:bottom w:w="0" w:type="dxa"/>
            <w:right w:w="108" w:type="dxa"/>
          </w:tblCellMar>
        </w:tblPrEx>
        <w:trPr>
          <w:trHeight w:val="53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清洁保洁工具摊销费</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各类清洁工具摊销使用费</w:t>
            </w:r>
          </w:p>
        </w:tc>
      </w:tr>
      <w:tr>
        <w:tblPrEx>
          <w:tblCellMar>
            <w:top w:w="0" w:type="dxa"/>
            <w:left w:w="108" w:type="dxa"/>
            <w:bottom w:w="0" w:type="dxa"/>
            <w:right w:w="108" w:type="dxa"/>
          </w:tblCellMar>
        </w:tblPrEx>
        <w:trPr>
          <w:trHeight w:val="82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垃圾清运机械使用费</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项</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12</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机械设备运行、维护、折旧等摊销使用费</w:t>
            </w:r>
          </w:p>
        </w:tc>
      </w:tr>
      <w:tr>
        <w:tblPrEx>
          <w:tblCellMar>
            <w:top w:w="0" w:type="dxa"/>
            <w:left w:w="108" w:type="dxa"/>
            <w:bottom w:w="0" w:type="dxa"/>
            <w:right w:w="108" w:type="dxa"/>
          </w:tblCellMar>
        </w:tblPrEx>
        <w:trPr>
          <w:trHeight w:val="634" w:hRule="atLeast"/>
        </w:trPr>
        <w:tc>
          <w:tcPr>
            <w:tcW w:w="89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三、其他</w:t>
            </w:r>
          </w:p>
        </w:tc>
      </w:tr>
      <w:tr>
        <w:tblPrEx>
          <w:tblCellMar>
            <w:top w:w="0" w:type="dxa"/>
            <w:left w:w="108" w:type="dxa"/>
            <w:bottom w:w="0" w:type="dxa"/>
            <w:right w:w="108" w:type="dxa"/>
          </w:tblCellMar>
        </w:tblPrEx>
        <w:trPr>
          <w:trHeight w:val="539"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镇区范围绿化管理</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月</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r>
      <w:tr>
        <w:tblPrEx>
          <w:tblCellMar>
            <w:top w:w="0" w:type="dxa"/>
            <w:left w:w="108" w:type="dxa"/>
            <w:bottom w:w="0" w:type="dxa"/>
            <w:right w:w="108" w:type="dxa"/>
          </w:tblCellMar>
        </w:tblPrEx>
        <w:trPr>
          <w:trHeight w:val="63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四、</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管理费(约按9%费率)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r>
      <w:tr>
        <w:tblPrEx>
          <w:tblCellMar>
            <w:top w:w="0" w:type="dxa"/>
            <w:left w:w="108" w:type="dxa"/>
            <w:bottom w:w="0" w:type="dxa"/>
            <w:right w:w="108" w:type="dxa"/>
          </w:tblCellMar>
        </w:tblPrEx>
        <w:trPr>
          <w:trHeight w:val="634"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五、</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利润(约按6%费率)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r>
      <w:tr>
        <w:tblPrEx>
          <w:tblCellMar>
            <w:top w:w="0" w:type="dxa"/>
            <w:left w:w="108" w:type="dxa"/>
            <w:bottom w:w="0" w:type="dxa"/>
            <w:right w:w="108" w:type="dxa"/>
          </w:tblCellMar>
        </w:tblPrEx>
        <w:trPr>
          <w:trHeight w:val="643" w:hRule="atLeast"/>
        </w:trPr>
        <w:tc>
          <w:tcPr>
            <w:tcW w:w="8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六、</w:t>
            </w:r>
          </w:p>
        </w:tc>
        <w:tc>
          <w:tcPr>
            <w:tcW w:w="21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税金(约按5%费率)</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sz w:val="24"/>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auto"/>
                <w:sz w:val="24"/>
              </w:rPr>
            </w:pPr>
          </w:p>
        </w:tc>
        <w:tc>
          <w:tcPr>
            <w:tcW w:w="26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按照服务业一般纳税人计取</w:t>
            </w:r>
          </w:p>
        </w:tc>
      </w:tr>
      <w:tr>
        <w:tblPrEx>
          <w:tblCellMar>
            <w:top w:w="0" w:type="dxa"/>
            <w:left w:w="108" w:type="dxa"/>
            <w:bottom w:w="0" w:type="dxa"/>
            <w:right w:w="108" w:type="dxa"/>
          </w:tblCellMar>
        </w:tblPrEx>
        <w:trPr>
          <w:trHeight w:val="653" w:hRule="atLeast"/>
        </w:trPr>
        <w:tc>
          <w:tcPr>
            <w:tcW w:w="49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auto"/>
                <w:sz w:val="24"/>
              </w:rPr>
            </w:pPr>
            <w:r>
              <w:rPr>
                <w:rFonts w:hint="eastAsia" w:ascii="仿宋" w:hAnsi="仿宋" w:eastAsia="仿宋" w:cs="仿宋"/>
                <w:b/>
                <w:bCs/>
                <w:color w:val="auto"/>
                <w:kern w:val="0"/>
                <w:sz w:val="24"/>
              </w:rPr>
              <w:t>合计</w:t>
            </w:r>
          </w:p>
        </w:tc>
        <w:tc>
          <w:tcPr>
            <w:tcW w:w="39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b/>
                <w:bCs/>
                <w:color w:val="auto"/>
                <w:sz w:val="24"/>
              </w:rPr>
            </w:pPr>
          </w:p>
        </w:tc>
      </w:tr>
    </w:tbl>
    <w:p>
      <w:pPr>
        <w:rPr>
          <w:color w:val="auto"/>
        </w:rPr>
      </w:pPr>
    </w:p>
    <w:p>
      <w:pPr>
        <w:spacing w:line="360" w:lineRule="auto"/>
        <w:ind w:firstLine="420" w:firstLineChars="200"/>
        <w:rPr>
          <w:rFonts w:cs="仿宋_GB2312" w:asciiTheme="minorEastAsia" w:hAnsiTheme="minorEastAsia" w:eastAsiaTheme="minorEastAsia"/>
          <w:color w:val="auto"/>
          <w:kern w:val="0"/>
          <w:sz w:val="32"/>
          <w:szCs w:val="32"/>
        </w:rPr>
      </w:pPr>
      <w:r>
        <w:rPr>
          <w:rFonts w:hint="eastAsia" w:asciiTheme="minorEastAsia" w:hAnsiTheme="minorEastAsia" w:eastAsiaTheme="minorEastAsia"/>
          <w:color w:val="auto"/>
        </w:rPr>
        <w:br w:type="page"/>
      </w:r>
    </w:p>
    <w:p>
      <w:pPr>
        <w:rPr>
          <w:rFonts w:asciiTheme="minorEastAsia" w:hAnsiTheme="minorEastAsia" w:eastAsiaTheme="minorEastAsia"/>
          <w:color w:val="auto"/>
        </w:rPr>
      </w:pPr>
    </w:p>
    <w:p>
      <w:pPr>
        <w:rPr>
          <w:rFonts w:asciiTheme="minorEastAsia" w:hAnsiTheme="minorEastAsia" w:eastAsiaTheme="minorEastAsia"/>
          <w:color w:val="auto"/>
        </w:rPr>
      </w:pPr>
    </w:p>
    <w:p>
      <w:pPr>
        <w:pStyle w:val="3"/>
        <w:jc w:val="center"/>
        <w:rPr>
          <w:rFonts w:asciiTheme="minorEastAsia" w:hAnsiTheme="minorEastAsia" w:eastAsiaTheme="minorEastAsia"/>
          <w:color w:val="auto"/>
        </w:rPr>
      </w:pPr>
      <w:r>
        <w:rPr>
          <w:rFonts w:hint="eastAsia" w:asciiTheme="minorEastAsia" w:hAnsiTheme="minorEastAsia" w:eastAsiaTheme="minorEastAsia"/>
          <w:color w:val="auto"/>
        </w:rPr>
        <w:t>第四章</w:t>
      </w:r>
      <w:bookmarkEnd w:id="85"/>
      <w:r>
        <w:rPr>
          <w:rFonts w:hint="eastAsia" w:asciiTheme="minorEastAsia" w:hAnsiTheme="minorEastAsia" w:eastAsiaTheme="minorEastAsia"/>
          <w:color w:val="auto"/>
        </w:rPr>
        <w:t>合同协议书</w:t>
      </w:r>
      <w:bookmarkEnd w:id="86"/>
      <w:bookmarkEnd w:id="92"/>
    </w:p>
    <w:p>
      <w:pPr>
        <w:jc w:val="center"/>
        <w:outlineLvl w:val="0"/>
        <w:rPr>
          <w:rFonts w:cs="仿宋" w:asciiTheme="minorEastAsia" w:hAnsiTheme="minorEastAsia" w:eastAsiaTheme="minorEastAsia"/>
          <w:b/>
          <w:bCs/>
          <w:color w:val="auto"/>
          <w:kern w:val="44"/>
          <w:sz w:val="28"/>
          <w:szCs w:val="32"/>
        </w:rPr>
      </w:pPr>
      <w:bookmarkStart w:id="93" w:name="_Toc89867400"/>
      <w:bookmarkStart w:id="94" w:name="_Toc89867350"/>
      <w:r>
        <w:rPr>
          <w:rFonts w:hint="eastAsia" w:cs="仿宋" w:asciiTheme="minorEastAsia" w:hAnsiTheme="minorEastAsia" w:eastAsiaTheme="minorEastAsia"/>
          <w:b/>
          <w:bCs/>
          <w:color w:val="auto"/>
          <w:kern w:val="44"/>
          <w:sz w:val="28"/>
          <w:szCs w:val="32"/>
        </w:rPr>
        <w:t>（样本，仅供参考）</w:t>
      </w:r>
      <w:bookmarkEnd w:id="93"/>
      <w:bookmarkEnd w:id="94"/>
    </w:p>
    <w:p>
      <w:pPr>
        <w:rPr>
          <w:rFonts w:asciiTheme="minorEastAsia" w:hAnsiTheme="minorEastAsia" w:eastAsiaTheme="minorEastAsia"/>
          <w:color w:val="auto"/>
        </w:rPr>
      </w:pPr>
    </w:p>
    <w:p>
      <w:pPr>
        <w:pStyle w:val="15"/>
        <w:spacing w:line="500" w:lineRule="exact"/>
        <w:rPr>
          <w:rFonts w:cs="仿宋" w:asciiTheme="minorEastAsia" w:hAnsiTheme="minorEastAsia" w:eastAsiaTheme="minorEastAsia"/>
          <w:color w:val="auto"/>
          <w:sz w:val="20"/>
          <w:szCs w:val="21"/>
        </w:rPr>
      </w:pPr>
    </w:p>
    <w:p>
      <w:pPr>
        <w:pStyle w:val="15"/>
        <w:spacing w:line="500" w:lineRule="exact"/>
        <w:ind w:firstLine="400" w:firstLineChars="200"/>
        <w:rPr>
          <w:rFonts w:cs="仿宋" w:asciiTheme="minorEastAsia" w:hAnsiTheme="minorEastAsia" w:eastAsiaTheme="minorEastAsia"/>
          <w:color w:val="auto"/>
          <w:sz w:val="20"/>
          <w:szCs w:val="21"/>
        </w:rPr>
      </w:pPr>
    </w:p>
    <w:p>
      <w:pPr>
        <w:pStyle w:val="15"/>
        <w:spacing w:line="500" w:lineRule="exact"/>
        <w:ind w:firstLine="400" w:firstLineChars="200"/>
        <w:rPr>
          <w:rFonts w:cs="仿宋" w:asciiTheme="minorEastAsia" w:hAnsiTheme="minorEastAsia" w:eastAsiaTheme="minorEastAsia"/>
          <w:color w:val="auto"/>
          <w:sz w:val="20"/>
          <w:szCs w:val="21"/>
        </w:rPr>
      </w:pPr>
    </w:p>
    <w:p>
      <w:pPr>
        <w:pStyle w:val="15"/>
        <w:spacing w:line="500" w:lineRule="exact"/>
        <w:rPr>
          <w:rFonts w:cs="仿宋" w:asciiTheme="minorEastAsia" w:hAnsiTheme="minorEastAsia" w:eastAsiaTheme="minorEastAsia"/>
          <w:color w:val="auto"/>
          <w:sz w:val="20"/>
          <w:szCs w:val="21"/>
        </w:rPr>
      </w:pPr>
    </w:p>
    <w:p>
      <w:pPr>
        <w:pStyle w:val="15"/>
        <w:spacing w:line="500" w:lineRule="exact"/>
        <w:ind w:firstLine="720" w:firstLineChars="200"/>
        <w:jc w:val="center"/>
        <w:rPr>
          <w:rFonts w:cs="仿宋" w:asciiTheme="minorEastAsia" w:hAnsiTheme="minorEastAsia" w:eastAsiaTheme="minorEastAsia"/>
          <w:color w:val="auto"/>
          <w:sz w:val="36"/>
          <w:szCs w:val="24"/>
        </w:rPr>
      </w:pPr>
      <w:r>
        <w:rPr>
          <w:rFonts w:hint="eastAsia" w:cs="仿宋" w:asciiTheme="minorEastAsia" w:hAnsiTheme="minorEastAsia" w:eastAsiaTheme="minorEastAsia"/>
          <w:color w:val="auto"/>
          <w:sz w:val="36"/>
          <w:szCs w:val="24"/>
        </w:rPr>
        <w:t>______________项目合同</w:t>
      </w:r>
    </w:p>
    <w:p>
      <w:pPr>
        <w:pStyle w:val="15"/>
        <w:spacing w:line="500" w:lineRule="exact"/>
        <w:ind w:firstLine="480" w:firstLineChars="200"/>
        <w:jc w:val="center"/>
        <w:rPr>
          <w:rFonts w:cs="仿宋" w:asciiTheme="minorEastAsia" w:hAnsiTheme="minorEastAsia" w:eastAsiaTheme="minorEastAsia"/>
          <w:color w:val="auto"/>
          <w:sz w:val="24"/>
          <w:szCs w:val="24"/>
        </w:rPr>
      </w:pPr>
    </w:p>
    <w:p>
      <w:pPr>
        <w:pStyle w:val="15"/>
        <w:spacing w:line="500" w:lineRule="exact"/>
        <w:ind w:firstLine="480" w:firstLineChars="200"/>
        <w:jc w:val="center"/>
        <w:rPr>
          <w:rFonts w:cs="仿宋" w:asciiTheme="minorEastAsia" w:hAnsiTheme="minorEastAsia" w:eastAsiaTheme="minorEastAsia"/>
          <w:color w:val="auto"/>
          <w:sz w:val="24"/>
          <w:szCs w:val="24"/>
        </w:rPr>
      </w:pPr>
    </w:p>
    <w:p>
      <w:pPr>
        <w:pStyle w:val="15"/>
        <w:spacing w:line="500" w:lineRule="exact"/>
        <w:ind w:firstLine="480" w:firstLineChars="200"/>
        <w:jc w:val="center"/>
        <w:rPr>
          <w:rFonts w:cs="仿宋" w:asciiTheme="minorEastAsia" w:hAnsiTheme="minorEastAsia" w:eastAsiaTheme="minorEastAsia"/>
          <w:color w:val="auto"/>
          <w:sz w:val="24"/>
          <w:szCs w:val="24"/>
        </w:rPr>
      </w:pPr>
    </w:p>
    <w:p>
      <w:pPr>
        <w:pStyle w:val="15"/>
        <w:spacing w:line="500" w:lineRule="exact"/>
        <w:ind w:firstLine="480" w:firstLineChars="200"/>
        <w:jc w:val="center"/>
        <w:rPr>
          <w:rFonts w:cs="仿宋" w:asciiTheme="minorEastAsia" w:hAnsiTheme="minorEastAsia" w:eastAsiaTheme="minorEastAsia"/>
          <w:color w:val="auto"/>
          <w:sz w:val="24"/>
          <w:szCs w:val="24"/>
        </w:rPr>
      </w:pPr>
    </w:p>
    <w:p>
      <w:pPr>
        <w:pStyle w:val="15"/>
        <w:spacing w:line="500" w:lineRule="exact"/>
        <w:rPr>
          <w:rFonts w:cs="仿宋" w:asciiTheme="minorEastAsia" w:hAnsiTheme="minorEastAsia" w:eastAsiaTheme="minorEastAsia"/>
          <w:color w:val="auto"/>
          <w:sz w:val="24"/>
          <w:szCs w:val="24"/>
        </w:rPr>
      </w:pPr>
    </w:p>
    <w:p>
      <w:pPr>
        <w:pStyle w:val="15"/>
        <w:spacing w:line="500" w:lineRule="exact"/>
        <w:rPr>
          <w:rFonts w:cs="仿宋" w:asciiTheme="minorEastAsia" w:hAnsiTheme="minorEastAsia" w:eastAsiaTheme="minorEastAsia"/>
          <w:color w:val="auto"/>
          <w:sz w:val="24"/>
          <w:szCs w:val="24"/>
        </w:rPr>
      </w:pPr>
    </w:p>
    <w:p>
      <w:pPr>
        <w:pStyle w:val="15"/>
        <w:spacing w:line="500" w:lineRule="exact"/>
        <w:rPr>
          <w:rFonts w:cs="仿宋" w:asciiTheme="minorEastAsia" w:hAnsiTheme="minorEastAsia" w:eastAsiaTheme="minorEastAsia"/>
          <w:color w:val="auto"/>
          <w:sz w:val="24"/>
          <w:szCs w:val="24"/>
        </w:rPr>
      </w:pPr>
    </w:p>
    <w:p>
      <w:pPr>
        <w:pStyle w:val="15"/>
        <w:spacing w:line="500" w:lineRule="exact"/>
        <w:rPr>
          <w:rFonts w:cs="仿宋" w:asciiTheme="minorEastAsia" w:hAnsiTheme="minorEastAsia" w:eastAsiaTheme="minorEastAsia"/>
          <w:color w:val="auto"/>
          <w:sz w:val="24"/>
          <w:szCs w:val="24"/>
        </w:rPr>
      </w:pPr>
    </w:p>
    <w:p>
      <w:pPr>
        <w:pStyle w:val="15"/>
        <w:spacing w:line="500" w:lineRule="exact"/>
        <w:rPr>
          <w:rFonts w:cs="仿宋" w:asciiTheme="minorEastAsia" w:hAnsiTheme="minorEastAsia" w:eastAsiaTheme="minorEastAsia"/>
          <w:color w:val="auto"/>
          <w:sz w:val="24"/>
          <w:szCs w:val="24"/>
        </w:rPr>
      </w:pPr>
    </w:p>
    <w:p>
      <w:pPr>
        <w:pStyle w:val="15"/>
        <w:spacing w:line="500" w:lineRule="exact"/>
        <w:jc w:val="left"/>
        <w:rPr>
          <w:rFonts w:cs="仿宋" w:asciiTheme="minorEastAsia" w:hAnsiTheme="minorEastAsia" w:eastAsiaTheme="minorEastAsia"/>
          <w:color w:val="auto"/>
          <w:sz w:val="24"/>
          <w:szCs w:val="24"/>
        </w:rPr>
      </w:pPr>
    </w:p>
    <w:p>
      <w:pPr>
        <w:pStyle w:val="15"/>
        <w:ind w:firstLine="480" w:firstLineChars="200"/>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合同编号：________________</w:t>
      </w:r>
    </w:p>
    <w:p>
      <w:pPr>
        <w:pStyle w:val="15"/>
        <w:ind w:firstLine="2916" w:firstLineChars="1215"/>
        <w:rPr>
          <w:rFonts w:cs="仿宋" w:asciiTheme="minorEastAsia" w:hAnsiTheme="minorEastAsia" w:eastAsiaTheme="minorEastAsia"/>
          <w:color w:val="auto"/>
          <w:sz w:val="24"/>
          <w:szCs w:val="24"/>
        </w:rPr>
      </w:pPr>
    </w:p>
    <w:p>
      <w:pPr>
        <w:pStyle w:val="15"/>
        <w:ind w:firstLine="480" w:firstLineChars="200"/>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甲　　方：________________(采购人名称)</w:t>
      </w:r>
    </w:p>
    <w:p>
      <w:pPr>
        <w:pStyle w:val="15"/>
        <w:ind w:firstLine="2916" w:firstLineChars="1215"/>
        <w:rPr>
          <w:rFonts w:cs="仿宋" w:asciiTheme="minorEastAsia" w:hAnsiTheme="minorEastAsia" w:eastAsiaTheme="minorEastAsia"/>
          <w:color w:val="auto"/>
          <w:sz w:val="24"/>
          <w:szCs w:val="24"/>
        </w:rPr>
      </w:pPr>
    </w:p>
    <w:p>
      <w:pPr>
        <w:pStyle w:val="15"/>
        <w:ind w:firstLine="480" w:firstLineChars="200"/>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乙　　方：________________(成交供应商名称)</w:t>
      </w:r>
    </w:p>
    <w:p>
      <w:pPr>
        <w:pStyle w:val="15"/>
        <w:ind w:firstLine="2916" w:firstLineChars="1215"/>
        <w:rPr>
          <w:rFonts w:cs="仿宋" w:asciiTheme="minorEastAsia" w:hAnsiTheme="minorEastAsia" w:eastAsiaTheme="minorEastAsia"/>
          <w:color w:val="auto"/>
          <w:sz w:val="24"/>
          <w:szCs w:val="24"/>
        </w:rPr>
      </w:pPr>
    </w:p>
    <w:p>
      <w:pPr>
        <w:pStyle w:val="15"/>
        <w:ind w:firstLine="480" w:firstLineChars="200"/>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日　　期：______年______月______日</w:t>
      </w:r>
    </w:p>
    <w:p>
      <w:pPr>
        <w:pStyle w:val="15"/>
        <w:spacing w:line="500" w:lineRule="exact"/>
        <w:ind w:firstLine="440" w:firstLineChars="200"/>
        <w:rPr>
          <w:rFonts w:cs="宋体"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br w:type="page"/>
      </w:r>
      <w:r>
        <w:rPr>
          <w:rFonts w:hint="eastAsia" w:cs="宋体" w:asciiTheme="minorEastAsia" w:hAnsiTheme="minorEastAsia" w:eastAsiaTheme="minorEastAsia"/>
          <w:color w:val="auto"/>
          <w:sz w:val="22"/>
          <w:szCs w:val="24"/>
        </w:rPr>
        <w:t>　　</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________(采购人名称)(以下简称：“甲方”)通过____采购(采购方式)确定____(成交供应商名称)(以下简称：“乙方”)为____项目(项目名称)的____供应商。甲乙双方同意签署《____项目(项目名称)合同》(合同编号：____，以下简称：“合同”)。</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一、合同文件</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下列文件是构成本合同不可分割的部分：</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(一)合同条款；</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(二)报价表；</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(三)响应文件技术部分；</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(四)其他(根据实际情况需要增加的内容)。</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二、合同范围和条件</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本合同的范围和条件应与上述合同文件的规定相一致。</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三、服务内容</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根据实际情况填写</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四、合同总金额</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本合同总金额为人民币______元(￥______)。</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五、服务时间及地点</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（一）服务时间</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（二）服务地点</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六、履约保证金</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根据实际情况填写。</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七、付款方式</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根据实际情况填写。</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八、合同有效期</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根据实际情况填写。</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九、合同纠纷的解决方式</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首先通过双方协商解决，协商解决不成，则通过以下途径之一解决纠纷(请在方框内画“√”选择)：</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□提请仲裁委员会(根据实际情况填写)仲裁</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□向人民法院提起诉讼</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十合同生效</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本合同一式______份，经甲乙双方法定代表人或被授权代表签字盖章，并在甲方收到乙方提交的履约保证金后生效。</w:t>
      </w: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甲方：(采购人名称)                乙方：(成交供应商名称)</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签字：__________________  　　　　签字：__________________</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盖章：__________________  　　　　盖章：__________________</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日期：____年____月____日　　　　日期：____年____月____日</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纳税识别号：</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开户行：</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户名：</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账号：</w:t>
      </w:r>
    </w:p>
    <w:p>
      <w:pPr>
        <w:pStyle w:val="15"/>
        <w:spacing w:line="500" w:lineRule="exact"/>
        <w:rPr>
          <w:rFonts w:cs="仿宋" w:asciiTheme="minorEastAsia" w:hAnsiTheme="minorEastAsia" w:eastAsiaTheme="minorEastAsia"/>
          <w:color w:val="auto"/>
          <w:sz w:val="22"/>
          <w:szCs w:val="24"/>
        </w:rPr>
      </w:pPr>
    </w:p>
    <w:p>
      <w:pPr>
        <w:pStyle w:val="15"/>
        <w:spacing w:line="500" w:lineRule="exact"/>
        <w:rPr>
          <w:rFonts w:cs="仿宋" w:asciiTheme="minorEastAsia" w:hAnsiTheme="minorEastAsia" w:eastAsiaTheme="minorEastAsia"/>
          <w:color w:val="auto"/>
          <w:sz w:val="22"/>
          <w:szCs w:val="24"/>
        </w:rPr>
      </w:pP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招标代理机构：海南博林项目管理有限责任公司</w:t>
      </w:r>
    </w:p>
    <w:p>
      <w:pPr>
        <w:pStyle w:val="15"/>
        <w:spacing w:line="500" w:lineRule="exact"/>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日期：____年____月____日</w:t>
      </w: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440" w:firstLineChars="200"/>
        <w:rPr>
          <w:rFonts w:cs="仿宋" w:asciiTheme="minorEastAsia" w:hAnsiTheme="minorEastAsia" w:eastAsiaTheme="minorEastAsia"/>
          <w:color w:val="auto"/>
          <w:sz w:val="22"/>
          <w:szCs w:val="24"/>
        </w:rPr>
        <w:sectPr>
          <w:footerReference r:id="rId9" w:type="default"/>
          <w:pgSz w:w="11907" w:h="16840"/>
          <w:pgMar w:top="1440" w:right="1800" w:bottom="1701" w:left="1800" w:header="964" w:footer="992" w:gutter="0"/>
          <w:cols w:space="720" w:num="1"/>
          <w:docGrid w:linePitch="312" w:charSpace="0"/>
        </w:sectPr>
      </w:pPr>
    </w:p>
    <w:p>
      <w:pPr>
        <w:pStyle w:val="15"/>
        <w:spacing w:line="500" w:lineRule="exact"/>
        <w:ind w:firstLine="440" w:firstLineChars="200"/>
        <w:rPr>
          <w:rFonts w:cs="仿宋" w:asciiTheme="minorEastAsia" w:hAnsiTheme="minorEastAsia" w:eastAsiaTheme="minorEastAsia"/>
          <w:color w:val="auto"/>
          <w:sz w:val="22"/>
          <w:szCs w:val="24"/>
        </w:rPr>
      </w:pPr>
    </w:p>
    <w:p>
      <w:pPr>
        <w:pStyle w:val="15"/>
        <w:spacing w:line="500" w:lineRule="exact"/>
        <w:ind w:firstLine="560" w:firstLineChars="200"/>
        <w:jc w:val="center"/>
        <w:rPr>
          <w:rFonts w:cs="仿宋" w:asciiTheme="minorEastAsia" w:hAnsiTheme="minorEastAsia" w:eastAsiaTheme="minorEastAsia"/>
          <w:color w:val="auto"/>
          <w:sz w:val="28"/>
          <w:szCs w:val="24"/>
        </w:rPr>
      </w:pPr>
      <w:r>
        <w:rPr>
          <w:rFonts w:hint="eastAsia" w:cs="仿宋" w:asciiTheme="minorEastAsia" w:hAnsiTheme="minorEastAsia" w:eastAsiaTheme="minorEastAsia"/>
          <w:color w:val="auto"/>
          <w:sz w:val="28"/>
          <w:szCs w:val="24"/>
        </w:rPr>
        <w:t>合同条款</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一、定义</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本合同下列术语应解释为：</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（一）“甲方”是指采购人。</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（二）“乙方”是指成交供应商。</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（三）“合同”系指甲乙双方签署的、合同中载明的甲乙双方所达成的协议，包括所有的附件、附录和上述文件所提到的构成合同的所有文件。</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（四）“服务”是指根据本合同规定，乙方承担与本项目有关的相关服务，包括但不限于差旅、薪资、税费、加班、文件编制、打印和合同中规定乙方应承担的其他义务等。</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（六）除非特别指出，“天”均为自然天。</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二、标准和质量保证</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（一）标准</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1.乙方为甲方交付的服务应符合磋商文件所述的内容，如果没有提及适用标准，则应符合相应的国家标准。这些标准必须是有关机构发布的最新版本的标准。</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2.除非技术要求中另有规定，计量单位均采用中华人民共和国法定计量单位。</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（二）质量保证</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1.乙方应保证所提供服务是符合甲方的要求。</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2.在服务质量保证期内所发现的缺陷，甲方应尽快以书面形式通知乙方。</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3.乙方收到通知后应在合同规定的响应时间内，以合理的速度完成服务品质提升。</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4.乙方在约定的时间内未能弥补缺陷，甲方可采取必要的补救措施，但其风险和费用将由乙方承担，甲方根据合同规定对乙方行使的其他权利不受影响。</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三、知识产权</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（一）如果各采购人在使用乙方服务的任何一部分过程中，第三方提出服务过程侵犯其专利权、使用权等知识产权，乙方应当修正以避免侵权。</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（二）如果甲方在使用乙方服务的任何一部分过程中，第三方指控服务侵犯其专利权使用权等知识产权，乙方将自费为甲方、各采购人答辩，并支付法院最终判决的甲方应支付第三方的一切费用。</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（三）甲方委托乙方开发的服务，甲方享有知识产权，未经甲方许可不得转让任何第三人。</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五、权利瑕疵担保</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（一）乙方保证对其提供的服务享有合法的权利。</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（二）如甲方使用该服务构成侵权的，则由乙方承担全部责任。</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六、保密义务</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6.1　甲乙双方在采购和履行合同过程中所获悉的对方属于保密的内容，双方均有保密义务。</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七、履约保证金</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（一）乙方应在签署合同的同时，以银行保函、银行电汇或履约担保函形式向甲方提供。</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（二）履约保证金具体金额及返还要求见合同附表。</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（三）如乙方未能履行合同规定的其他义务，甲方有权按照本合同的约定从履约保证金中进行相应扣除。乙方应在甲方扣除履约保证金后15天内，及时补充扣除部分金额。</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（四）乙方不履行合同、或者履行合同义务不符合约定使得合同目的不能实现，履约保证金不予退还，给甲方造成的损失超过履约保证金数额的，还应当对超过部分予以赔偿。</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八、验收方式</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按照甲乙双方约定的标准或者行业标准进行验收。</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九、合同修改或变更</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（一）除了双方签署书面修改或变更协议，并成为本合同不可分割的一部分的情况之外，本合同的条款不得有任何变化或修改。</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（二）在不改变合同其他条款的前提下，甲方有权在合同价款10%的范围内追加与合同标的相同的货物或服务，并就此与乙方签订补充合同，乙方不得拒绝。</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十、违约责任</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双方协商</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十一、不可抗力</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（一）如果合同双方因不可抗力而导致合同实施延误或合同无法实施，不应该承担误期赔偿或不能履行合同义务的责任。</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（二）本条所述的“不可抗力”系指那些双方不可预见、不可避免、不可克服的客观情况，但不包括双方的违约或疏忽。这些事件包括但不限于：战争、严重火灾、洪水、台风、地震等。</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在不可抗力事件发生后，当事方应及时将不可抗力情况通知合同对方，在不可抗力事件结束后3日内以书面形式将不可抗力的情况和原因通知合同对方，并提供相应的证明文件。合同各方应尽可能继续履行合同义务，并积极寻求采取合理的措施履行不受不可抗力影响的其他事项。合同各方应通过友好协商在合理的时间内达成进一步履行的协议。</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十二、合同纠纷的解决方式</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（一）合同各方应通过友好协商，解决在执行合同过程中所发生的或与合同有关的一切争端。如协商30日内(根据实际情况设定)不能解决，可以按合同规定的方式提起仲裁或诉讼。</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（二）仲裁裁决应为最终裁决，对双方均具有约束力。</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（三）仲裁费除仲裁机关另有裁决外应由败诉方负担。</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（四）如仲裁或诉讼事项不影响合同其他部分的履行，则在仲裁或诉讼期间，除正在进行仲裁或诉讼的部分外，合同的其他部分应继续执行。</w:t>
      </w:r>
    </w:p>
    <w:p>
      <w:pPr>
        <w:pStyle w:val="15"/>
        <w:spacing w:line="500" w:lineRule="exact"/>
        <w:ind w:firstLine="442"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b/>
          <w:bCs/>
          <w:color w:val="auto"/>
          <w:sz w:val="22"/>
          <w:szCs w:val="24"/>
        </w:rPr>
        <w:t>十三、合同中止与终止</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（一）合同的中止</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合同在履行过程中，因采购计划调整，甲方可以要求中止履行，待计划确定后继续履行；合同履行过程中因供应商就采购过程或结果提起投诉的，甲方认为有必要或财政部责令中止的，应当中止合同的履行。</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（二）合同的终止</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1.若出现如下情形，在甲方对乙方违约行为而采取的任何补救措施不受影响的情况下，甲方可向乙方发出书面通知书，提出终止部分或全部合同：</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1.1如果乙方未能在合同规定的期限或甲方同意延长的期限内提供货物或服务；</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1.2如果乙方未能履行合同规定的其他任何义务；</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1.3如果甲方认为乙方在本合同的竞争或实施中有腐败和欺诈行为。</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2.如果甲方根据上述第1.条第一款的规定，终止了全部或部分合同，甲方可以适当的条件和方法购买乙方未能提供的货物或服务，乙方应对甲方购买类似货物或服务所超出的费用负责。同时，乙方应继续执行合同中未终止的部分。</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3.如果乙方破产或无清偿能力，甲方可在任何时候以书面形式通知乙方终止合同而不给乙方补偿。</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4.该终止协议将不损害或影响甲方已经采取或将要采取的任何行动或补救措施的权利。</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十四、合同转让和分包</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（一）乙方不得以任何形式将合同转包。</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（二）除经甲方事先书面同意外，乙方不得以任何形式将合同分包。</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十五、适用法律</w:t>
      </w:r>
    </w:p>
    <w:p>
      <w:pPr>
        <w:pStyle w:val="15"/>
        <w:spacing w:line="500" w:lineRule="exact"/>
        <w:ind w:firstLine="440" w:firstLineChars="2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本合同适用中华人民共和国现行法律、行政法规和规章，如合同条款与法律、行政法规和规章不一致的，按照法律、行政法规和规章修改本合同。</w:t>
      </w:r>
    </w:p>
    <w:p>
      <w:pPr>
        <w:pStyle w:val="15"/>
        <w:spacing w:line="500" w:lineRule="exact"/>
        <w:ind w:firstLine="442" w:firstLineChars="200"/>
        <w:rPr>
          <w:rFonts w:cs="仿宋" w:asciiTheme="minorEastAsia" w:hAnsiTheme="minorEastAsia" w:eastAsiaTheme="minorEastAsia"/>
          <w:b/>
          <w:bCs/>
          <w:color w:val="auto"/>
          <w:sz w:val="22"/>
          <w:szCs w:val="24"/>
        </w:rPr>
      </w:pPr>
      <w:r>
        <w:rPr>
          <w:rFonts w:hint="eastAsia" w:cs="仿宋" w:asciiTheme="minorEastAsia" w:hAnsiTheme="minorEastAsia" w:eastAsiaTheme="minorEastAsia"/>
          <w:b/>
          <w:bCs/>
          <w:color w:val="auto"/>
          <w:sz w:val="22"/>
          <w:szCs w:val="24"/>
        </w:rPr>
        <w:t>十六、合同语言</w:t>
      </w:r>
    </w:p>
    <w:p>
      <w:pPr>
        <w:pStyle w:val="15"/>
        <w:spacing w:line="500" w:lineRule="exact"/>
        <w:ind w:firstLine="660" w:firstLineChars="3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（一）本合同语言为中文。</w:t>
      </w:r>
    </w:p>
    <w:p>
      <w:pPr>
        <w:pStyle w:val="15"/>
        <w:spacing w:line="500" w:lineRule="exact"/>
        <w:ind w:firstLine="660" w:firstLineChars="300"/>
        <w:rPr>
          <w:rFonts w:cs="仿宋" w:asciiTheme="minorEastAsia" w:hAnsiTheme="minorEastAsia" w:eastAsiaTheme="minorEastAsia"/>
          <w:color w:val="auto"/>
          <w:sz w:val="22"/>
          <w:szCs w:val="24"/>
        </w:rPr>
      </w:pPr>
      <w:r>
        <w:rPr>
          <w:rFonts w:hint="eastAsia" w:cs="仿宋" w:asciiTheme="minorEastAsia" w:hAnsiTheme="minorEastAsia" w:eastAsiaTheme="minorEastAsia"/>
          <w:color w:val="auto"/>
          <w:sz w:val="22"/>
          <w:szCs w:val="24"/>
        </w:rPr>
        <w:t>（二）双方交换的与合同有关的信件和其他文件应用合同语言书写。</w:t>
      </w:r>
    </w:p>
    <w:p>
      <w:pPr>
        <w:pStyle w:val="15"/>
        <w:spacing w:line="500" w:lineRule="exact"/>
        <w:ind w:firstLine="440" w:firstLineChars="200"/>
        <w:rPr>
          <w:rFonts w:cs="仿宋" w:asciiTheme="minorEastAsia" w:hAnsiTheme="minorEastAsia" w:eastAsiaTheme="minorEastAsia"/>
          <w:color w:val="auto"/>
          <w:sz w:val="22"/>
          <w:szCs w:val="24"/>
        </w:rPr>
      </w:pPr>
    </w:p>
    <w:p>
      <w:pPr>
        <w:spacing w:line="500" w:lineRule="exact"/>
        <w:jc w:val="center"/>
        <w:rPr>
          <w:rFonts w:cs="宋体" w:asciiTheme="minorEastAsia" w:hAnsiTheme="minorEastAsia" w:eastAsiaTheme="minorEastAsia"/>
          <w:b/>
          <w:bCs/>
          <w:color w:val="auto"/>
          <w:sz w:val="20"/>
          <w:szCs w:val="21"/>
        </w:rPr>
        <w:sectPr>
          <w:pgSz w:w="11907" w:h="16840"/>
          <w:pgMar w:top="1440" w:right="1800" w:bottom="1701" w:left="1800" w:header="964" w:footer="992" w:gutter="0"/>
          <w:cols w:space="720" w:num="1"/>
          <w:docGrid w:linePitch="312" w:charSpace="0"/>
        </w:sectPr>
      </w:pPr>
      <w:r>
        <w:rPr>
          <w:rFonts w:hint="eastAsia" w:cs="仿宋" w:asciiTheme="minorEastAsia" w:hAnsiTheme="minorEastAsia" w:eastAsiaTheme="minorEastAsia"/>
          <w:b/>
          <w:bCs/>
          <w:color w:val="auto"/>
          <w:sz w:val="22"/>
        </w:rPr>
        <w:t>以上合同格式仅供参考，具体以甲乙双方签订的合同为准</w:t>
      </w:r>
    </w:p>
    <w:p>
      <w:pPr>
        <w:pStyle w:val="3"/>
        <w:jc w:val="center"/>
        <w:rPr>
          <w:rFonts w:asciiTheme="minorEastAsia" w:hAnsiTheme="minorEastAsia" w:eastAsiaTheme="minorEastAsia"/>
          <w:bCs w:val="0"/>
          <w:color w:val="auto"/>
          <w:kern w:val="2"/>
          <w:sz w:val="48"/>
          <w:szCs w:val="48"/>
        </w:rPr>
      </w:pPr>
      <w:bookmarkStart w:id="95" w:name="_Toc89867401"/>
      <w:r>
        <w:rPr>
          <w:rFonts w:hint="eastAsia" w:asciiTheme="minorEastAsia" w:hAnsiTheme="minorEastAsia" w:eastAsiaTheme="minorEastAsia"/>
          <w:bCs w:val="0"/>
          <w:color w:val="auto"/>
          <w:kern w:val="2"/>
          <w:sz w:val="48"/>
          <w:szCs w:val="48"/>
        </w:rPr>
        <w:t>第五章评标方法和标准</w:t>
      </w:r>
      <w:bookmarkEnd w:id="87"/>
      <w:bookmarkEnd w:id="88"/>
      <w:bookmarkEnd w:id="89"/>
      <w:bookmarkEnd w:id="90"/>
      <w:bookmarkEnd w:id="91"/>
      <w:bookmarkEnd w:id="95"/>
    </w:p>
    <w:p>
      <w:pPr>
        <w:rPr>
          <w:rFonts w:asciiTheme="minorEastAsia" w:hAnsiTheme="minorEastAsia" w:eastAsiaTheme="minorEastAsia"/>
          <w:b/>
          <w:bCs/>
          <w:color w:val="auto"/>
          <w:sz w:val="24"/>
          <w:szCs w:val="32"/>
        </w:rPr>
      </w:pPr>
      <w:bookmarkStart w:id="96" w:name="_Toc26289801"/>
      <w:r>
        <w:rPr>
          <w:rFonts w:hint="eastAsia" w:asciiTheme="minorEastAsia" w:hAnsiTheme="minorEastAsia" w:eastAsiaTheme="minorEastAsia"/>
          <w:b/>
          <w:bCs/>
          <w:color w:val="auto"/>
          <w:sz w:val="24"/>
          <w:szCs w:val="32"/>
        </w:rPr>
        <w:t>一、总则</w:t>
      </w:r>
      <w:bookmarkEnd w:id="96"/>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1.1 根据《中华人民共和国政府采购法》、《政府采购货物和服务招标投标管理办法》（财政部第87号令）、《政府采购竞争性磋商采购方式管理暂行办法》财库【2014】214号等法律和规章，结合本采购项目特点制定本评标办法。</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 评标工作由招标采购单位负责组织，具体评标事务由招标采购单位依法组建的评审委员会负责。评审委员会由采购人代表和有关技术、经济等方面的专家组成。</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1.3遵循公平、公正、科学、择优的原则，以相同的评审程序和标准对待所有的供应商。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1.4反对不正当竞争，反对恶意压低投标价格。</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1.5评审委员会按照竞争性磋商文件规定的评标方法和标准进行评标，并独立履行下列职责：</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（1）审查响应文件是否符合竞争性磋商文件要求，并作出评价；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（2）要求投标供应商对响应文件有关事项作出解释或者澄清；</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（3）推荐中标候选供应商名单，或者受采购人委托按照事先确定的办法直接确定成交供应商；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（4）向招标采购单位或者有关部门报告非法干预评审工作的行为。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1.6评标过程严格保密。供应商对评审委员会的评标过程或合同授予决定施加影响的任何行为都可能导致其投标被拒绝。</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1.7评审委员会决定响应文件的响应性依据响应文件本身的内容，而不寻求外部的证据。</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1.8评审委员会发现竞争性磋商文件表述不明确或需要说明的事项，可提请招标采购单位书面解释说明。</w:t>
      </w:r>
    </w:p>
    <w:p>
      <w:pPr>
        <w:pStyle w:val="4"/>
        <w:rPr>
          <w:rFonts w:asciiTheme="minorEastAsia" w:hAnsiTheme="minorEastAsia" w:eastAsiaTheme="minorEastAsia"/>
          <w:color w:val="auto"/>
        </w:rPr>
      </w:pPr>
      <w:bookmarkStart w:id="97" w:name="_Toc26289802"/>
      <w:r>
        <w:rPr>
          <w:rFonts w:hint="eastAsia" w:asciiTheme="minorEastAsia" w:hAnsiTheme="minorEastAsia" w:eastAsiaTheme="minorEastAsia"/>
          <w:color w:val="auto"/>
        </w:rPr>
        <w:t>二、评标办法</w:t>
      </w:r>
      <w:bookmarkEnd w:id="97"/>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（一）评审规则</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2.1.1、本招标项目的评审办法采用综合评分法，满分为100分。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2.1.2、综合评分的因素包括以下内容：价格、服务、业绩、人员、对竞争性磋商文件的响应程度等。</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2.1.3、评审步骤：先进行初步评审，再进行详细评审。初步评审包括资格性审查和符合性审查，详细评审是对技术、商务及价格因素的评审。只有通过初步评审的供应商才能进入详细评审。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2.1.4、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2.1.5、综合得分按由高到低顺序排列。综合得分相同的，按投标报价由低到高顺序排列。综合得分和投标报价均相同的，按技术指标由优至劣顺序排列。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2.1.6、综合得分最高的供应商为第一成交候选人，综合得分次高的供应商为第二成交候选人，依次类推。</w:t>
      </w:r>
    </w:p>
    <w:p>
      <w:pPr>
        <w:spacing w:before="240" w:line="480" w:lineRule="auto"/>
        <w:ind w:firstLine="310" w:firstLineChars="147"/>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（二）初步评审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评审委员会根据磋商文件要求，对供应商的资格和响应文件的资格性、符合性进行评审。只有对《审查表》所列各项目做出实质性响应的响应文件才能通过初步评审。对投标是否实质性响应竞争性磋商文件的要求产生争议的，评审委员会以记名方式票决。得票超过半数的供应商有资格进入下一阶段的评审，否则被淘汰。</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2、评审委员会将审查响应文件是否完整、有关资料证明文件是否真实有效、是否提交响应保证金、文件签署是否合格、投标有效期是否满足要求、响应文件的总体编排是否基本有序等。</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4、无效投标的认定</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评审过程中，响应文件出现（但不限于）下列情况的，将被认定为无效投标：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1）供应商未提交响应保证金或响应保证金金额不足的；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2）投标有效期不足的；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3）响应文件未按竞争性磋商文件规定要求填写投标内容及签名盖章的；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4）投标报价均超过了采购预算，采购人不能支付的；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5）投标报价明显过低，可能低于其成本，而供应商不能作出合理说明的；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6）供应商未按竞争性磋商文件要求提供下列有效证明文件的：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未按第一章第四条供应商资格与资质要求须提供证明材料而未提供的。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7）评审委员会认为投标未实质性响应竞争性磋商文件要求的。</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（三）详细评审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详细评审是对通过初步评审的投标进行商务和价格的评审。</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1、价格评审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1.1投标报价不得高于该采购预算价，磋商实行两次报价，第一次报价供应商必须按照磋商文件的报价格式填报竞标报价，第二次报价为磋商文件通过评审合格后由评审委员会分别组织竞标人进行的最后一次报价，即为最终报价，磋商结果以竞标人的最终报价为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1.2以第二次投标报价最低的为基准价。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1.3价格分按（基准价/投标报价）*价格权值计算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2、技术商务评审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评审委员会对供应商的资质、技术队伍、专业水平、设计方案、公司业绩、设计方案等情况进行比较和评价。</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注：商务评标因素的分值取小数点后2位，小数点后第三位四舍五入。</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3、编写评审报告</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评审报告是评审委员会根据全体评标成员签字的原始评标记录和评标结果编写的报告，其主要内容包括：</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（1）招标公告刊登的媒体名称、开标日期和地点；</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（2）获取竞争性磋商文件的供应商名单和评审委员会成员名单；</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（3）评标方法和标准；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（4）开标记录和评标情况及说明，包括投标无效供应商名单及原因；</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（5）评审结果和中标候选供应商排序表；</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评审委员会的授标建议。</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4、废标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本次政府采购活动中，出现下列情形之一的，予以废标：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（1）符合专业条件的供应商或者对竞争性磋商文件作实质响应的供应商不足三家的；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（2）出现影响采购公正的违法、违规行为的；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（3）供应商的报价均超过了采购预算，采购人不能支付的；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（4）因重大变故，采购任务取消的。</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废标后，招采购代理机构将在指定媒体发布公告，并公告废标的理由。</w:t>
      </w:r>
    </w:p>
    <w:p>
      <w:pPr>
        <w:tabs>
          <w:tab w:val="left" w:pos="426"/>
          <w:tab w:val="left" w:pos="1701"/>
        </w:tabs>
        <w:autoSpaceDE w:val="0"/>
        <w:autoSpaceDN w:val="0"/>
        <w:adjustRightInd w:val="0"/>
        <w:snapToGrid w:val="0"/>
        <w:spacing w:beforeLines="50" w:afterLines="50" w:line="400" w:lineRule="exact"/>
        <w:ind w:firstLine="422" w:firstLineChars="200"/>
        <w:jc w:val="left"/>
        <w:rPr>
          <w:rFonts w:asciiTheme="minorEastAsia" w:hAnsiTheme="minorEastAsia" w:eastAsiaTheme="minorEastAsia"/>
          <w:b/>
          <w:bCs/>
          <w:color w:val="auto"/>
          <w:szCs w:val="21"/>
        </w:rPr>
      </w:pPr>
      <w:r>
        <w:rPr>
          <w:rFonts w:hint="eastAsia" w:asciiTheme="minorEastAsia" w:hAnsiTheme="minorEastAsia" w:eastAsiaTheme="minorEastAsia"/>
          <w:b/>
          <w:bCs/>
          <w:color w:val="auto"/>
          <w:szCs w:val="21"/>
        </w:rPr>
        <w:t>5、定标</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5.1定标原则：评审委员会依据评审结论推荐 3 名中标候选供应商。采购人根据评审委员会推荐的成交候选人名单，按顺序确定成交供应商。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 定标程序</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5.2.2采购代理机构在评标结束后2个工作日内将评审报告送采购人。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5.2.3采购人在收到评审报告后5个工作日内，按照评审报告中推荐的成交候选人顺序确定成交供应商。</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5.2.4根据采购人确定的成交供应商，采购代理机构同时在中国采购与招标网、中国海南政府采购网上发布成交公告，向成交供应商发出成交通知书。</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5.2.5招标采购单位不解释中标或落标原因，不退回响应文件和其他投标资料。</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5.2.6标人放弃中标或因故不能履行合同的，按照政府采购相关法律法规的规定处理。</w:t>
      </w:r>
    </w:p>
    <w:p>
      <w:pPr>
        <w:tabs>
          <w:tab w:val="left" w:pos="945"/>
        </w:tabs>
        <w:spacing w:before="240" w:line="480" w:lineRule="auto"/>
        <w:ind w:firstLine="310" w:firstLineChars="147"/>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6、评审委员会承担以下义务</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6.1遵纪守法，客观、公正、廉洁地履行职责。</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6.3保守秘密。不得透露采购文件咨询情况，不得泄漏供应商的响应文件及知悉的商业秘密，不得向供应商透露评审情况。</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6.4发现供应商在政府采购活动中有不正当竞争或恶意串通等违规行为，及时向政府采购评审工作的组织者或财政部门报告并加以制止。</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6.5解答有关方面对政府采购评审工作中有关问题的询问，配合采购人或者采购代理机构答复供应商质疑，配合财政部门的投诉处理工作等事宜。</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6.6法律、法规和规章规定的其他义务。</w:t>
      </w:r>
    </w:p>
    <w:p>
      <w:pPr>
        <w:pStyle w:val="36"/>
        <w:numPr>
          <w:ilvl w:val="0"/>
          <w:numId w:val="4"/>
        </w:numPr>
        <w:tabs>
          <w:tab w:val="left" w:pos="945"/>
        </w:tabs>
        <w:spacing w:before="240" w:line="480" w:lineRule="auto"/>
        <w:ind w:firstLineChars="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评审委员应当遵守以下工作纪律：</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7.3评审或咨询过程中关闭通讯设备，不得与外界联系。因发生不可预见情况，确实需要与外界联系的，应当在现场工作人员陪同下联系。</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utoSpaceDE w:val="0"/>
        <w:autoSpaceDN w:val="0"/>
        <w:adjustRightInd w:val="0"/>
        <w:snapToGrid w:val="0"/>
        <w:spacing w:beforeLines="50" w:afterLines="50" w:line="400" w:lineRule="exact"/>
        <w:ind w:firstLine="420" w:firstLineChars="200"/>
        <w:jc w:val="left"/>
        <w:rPr>
          <w:rFonts w:asciiTheme="minorEastAsia" w:hAnsiTheme="minorEastAsia" w:eastAsiaTheme="minorEastAsia"/>
          <w:color w:val="auto"/>
        </w:rPr>
      </w:pPr>
      <w:r>
        <w:rPr>
          <w:rFonts w:hint="eastAsia" w:asciiTheme="minorEastAsia" w:hAnsiTheme="minorEastAsia" w:eastAsiaTheme="minorEastAsia"/>
          <w:color w:val="auto"/>
          <w:szCs w:val="21"/>
        </w:rPr>
        <w:t>7.5有关部门规定的其他评审工作纪律。</w:t>
      </w:r>
      <w:bookmarkStart w:id="98" w:name="_Toc10112"/>
    </w:p>
    <w:p>
      <w:pPr>
        <w:pStyle w:val="36"/>
        <w:numPr>
          <w:ilvl w:val="0"/>
          <w:numId w:val="4"/>
        </w:numPr>
        <w:tabs>
          <w:tab w:val="left" w:pos="945"/>
        </w:tabs>
        <w:spacing w:before="240" w:line="480" w:lineRule="auto"/>
        <w:ind w:firstLineChars="0"/>
        <w:rPr>
          <w:rFonts w:asciiTheme="minorEastAsia" w:hAnsiTheme="minorEastAsia" w:eastAsiaTheme="minorEastAsia"/>
          <w:b/>
          <w:color w:val="auto"/>
          <w:szCs w:val="21"/>
        </w:rPr>
      </w:pPr>
      <w:r>
        <w:rPr>
          <w:rFonts w:hint="eastAsia" w:asciiTheme="minorEastAsia" w:hAnsiTheme="minorEastAsia" w:eastAsiaTheme="minorEastAsia"/>
          <w:b/>
          <w:color w:val="auto"/>
          <w:szCs w:val="21"/>
        </w:rPr>
        <w:t>评标方法附表</w:t>
      </w:r>
      <w:bookmarkEnd w:id="98"/>
    </w:p>
    <w:p>
      <w:pPr>
        <w:adjustRightInd w:val="0"/>
        <w:snapToGrid w:val="0"/>
        <w:rPr>
          <w:rFonts w:asciiTheme="minorEastAsia" w:hAnsiTheme="minorEastAsia" w:eastAsiaTheme="minorEastAsia"/>
          <w:b/>
          <w:color w:val="auto"/>
          <w:sz w:val="32"/>
          <w:szCs w:val="32"/>
        </w:rPr>
      </w:pPr>
      <w:r>
        <w:rPr>
          <w:rFonts w:hint="eastAsia" w:asciiTheme="minorEastAsia" w:hAnsiTheme="minorEastAsia" w:eastAsiaTheme="minorEastAsia"/>
          <w:color w:val="auto"/>
          <w:szCs w:val="21"/>
        </w:rPr>
        <w:br w:type="page"/>
      </w:r>
      <w:bookmarkStart w:id="99" w:name="_Toc31013"/>
      <w:bookmarkStart w:id="100" w:name="_Toc212102881"/>
      <w:bookmarkStart w:id="101" w:name="_Toc26289805"/>
      <w:bookmarkStart w:id="102" w:name="_Toc20787"/>
      <w:bookmarkStart w:id="103" w:name="_Toc317237629"/>
      <w:bookmarkStart w:id="104" w:name="_Toc11141"/>
      <w:r>
        <w:rPr>
          <w:rFonts w:hint="eastAsia" w:asciiTheme="minorEastAsia" w:hAnsiTheme="minorEastAsia" w:eastAsiaTheme="minorEastAsia"/>
          <w:b/>
          <w:bCs/>
          <w:color w:val="auto"/>
          <w:sz w:val="28"/>
          <w:szCs w:val="28"/>
        </w:rPr>
        <w:t>附件1：</w:t>
      </w:r>
    </w:p>
    <w:p>
      <w:pPr>
        <w:spacing w:line="360" w:lineRule="auto"/>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初步审查表(资格审查)</w:t>
      </w:r>
    </w:p>
    <w:p>
      <w:pPr>
        <w:spacing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项目名称：项目编号：</w:t>
      </w:r>
    </w:p>
    <w:tbl>
      <w:tblPr>
        <w:tblStyle w:val="25"/>
        <w:tblW w:w="97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25"/>
        <w:gridCol w:w="4819"/>
        <w:gridCol w:w="1134"/>
        <w:gridCol w:w="993"/>
        <w:gridCol w:w="99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序号</w:t>
            </w:r>
          </w:p>
        </w:tc>
        <w:tc>
          <w:tcPr>
            <w:tcW w:w="5244"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审查项目</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审查标准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投标人</w:t>
            </w: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425" w:type="dxa"/>
            <w:vMerge w:val="restart"/>
            <w:tcBorders>
              <w:left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资格</w:t>
            </w:r>
          </w:p>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检查</w:t>
            </w:r>
          </w:p>
        </w:tc>
        <w:tc>
          <w:tcPr>
            <w:tcW w:w="481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具有独立承担民事责任能力的在中华人民共和国境内注册的法人或其他组织或自然人，投标时提交有效的营业执照（或事业法人登记证或身份证等相关证明）副本复印件加盖公章；</w:t>
            </w:r>
          </w:p>
        </w:tc>
        <w:tc>
          <w:tcPr>
            <w:tcW w:w="113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425"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color w:val="auto"/>
                <w:szCs w:val="21"/>
              </w:rPr>
            </w:pPr>
          </w:p>
        </w:tc>
        <w:tc>
          <w:tcPr>
            <w:tcW w:w="481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asciiTheme="minorEastAsia" w:hAnsiTheme="minorEastAsia" w:eastAsiaTheme="minorEastAsia"/>
                <w:color w:val="auto"/>
                <w:szCs w:val="21"/>
              </w:rPr>
              <w:t>投标人必须具有良好的商业信誉和健全的财务会计制度【须提供2021年度经会计事务所审计的财务报告或202</w:t>
            </w:r>
            <w:r>
              <w:rPr>
                <w:rFonts w:hint="eastAsia" w:asciiTheme="minorEastAsia" w:hAnsiTheme="minorEastAsia" w:eastAsiaTheme="minorEastAsia"/>
                <w:color w:val="auto"/>
                <w:szCs w:val="21"/>
                <w:lang w:val="en-US" w:eastAsia="zh-CN"/>
              </w:rPr>
              <w:t>2</w:t>
            </w:r>
            <w:r>
              <w:rPr>
                <w:rFonts w:hint="eastAsia" w:asciiTheme="minorEastAsia" w:hAnsiTheme="minorEastAsia" w:eastAsiaTheme="minorEastAsia"/>
                <w:color w:val="auto"/>
                <w:szCs w:val="21"/>
              </w:rPr>
              <w:t>年1月至今任意一个月的财务报表；企业注册时间不足一年的，须提供注册时间起至今任意一个月的财务报表（含资产负债表、利润表）】。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w:t>
            </w:r>
          </w:p>
        </w:tc>
        <w:tc>
          <w:tcPr>
            <w:tcW w:w="425" w:type="dxa"/>
            <w:vMerge w:val="continue"/>
            <w:tcBorders>
              <w:left w:val="single" w:color="auto" w:sz="4" w:space="0"/>
              <w:right w:val="single" w:color="auto" w:sz="4" w:space="0"/>
            </w:tcBorders>
            <w:vAlign w:val="center"/>
          </w:tcPr>
          <w:p>
            <w:pPr>
              <w:jc w:val="center"/>
              <w:rPr>
                <w:rFonts w:cs="宋体" w:asciiTheme="minorEastAsia" w:hAnsiTheme="minorEastAsia" w:eastAsiaTheme="minorEastAsia"/>
                <w:color w:val="auto"/>
                <w:szCs w:val="21"/>
              </w:rPr>
            </w:pPr>
          </w:p>
        </w:tc>
        <w:tc>
          <w:tcPr>
            <w:tcW w:w="4819"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投标人必须具有依法缴纳税收和社会保障资金的良好记录【投标人须提供202</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年1月至今任意一个月的纳税证明和社保缴费记录证明；企业注册时间不足三个月的，按企业注册时间实际缴纳提供证明（证明材料复印件加盖公章）】（投标人是零报税的，应提供由税务部门盖章的 纳税申报表；依法免税或不需要缴纳社会保障资金的投标人，提供相应文件证明其依法免税或不需要缴纳社会 保障资金））。</w:t>
            </w:r>
          </w:p>
        </w:tc>
        <w:tc>
          <w:tcPr>
            <w:tcW w:w="1134" w:type="dxa"/>
            <w:tcBorders>
              <w:top w:val="single" w:color="auto" w:sz="4" w:space="0"/>
              <w:left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是否满足招标文件要求</w:t>
            </w:r>
          </w:p>
        </w:tc>
        <w:tc>
          <w:tcPr>
            <w:tcW w:w="993" w:type="dxa"/>
            <w:tcBorders>
              <w:top w:val="single" w:color="auto" w:sz="4" w:space="0"/>
              <w:left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right w:val="single" w:color="auto" w:sz="4" w:space="0"/>
            </w:tcBorders>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p>
        </w:tc>
        <w:tc>
          <w:tcPr>
            <w:tcW w:w="425" w:type="dxa"/>
            <w:vMerge w:val="continue"/>
            <w:tcBorders>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p>
        </w:tc>
        <w:tc>
          <w:tcPr>
            <w:tcW w:w="4819" w:type="dxa"/>
            <w:tcBorders>
              <w:left w:val="single" w:color="auto" w:sz="4" w:space="0"/>
              <w:bottom w:val="single" w:color="auto" w:sz="4" w:space="0"/>
              <w:right w:val="single" w:color="auto" w:sz="4" w:space="0"/>
            </w:tcBorders>
            <w:vAlign w:val="center"/>
          </w:tcPr>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投标人未被列入“中国执行信息公开网”（http://zxgk.court.gov.cn/shixin/）的“失信被执行人”、信用中国网站(www.creditchina.gov.cn)的“税收违法黑名单”和中国政府采购网(www.ccgp.gov.cn) 的“政府采购严重违法失信行为记录名单”。对属于失信被执行人的投标活动依法予以限制。签订合同前或执行合同中，投标人为失信被执行人的，采购人依法取消其中标资格或中止合同（提供开标时间前7天内的查询结果网页截图并加盖单位公章）</w:t>
            </w:r>
          </w:p>
        </w:tc>
        <w:tc>
          <w:tcPr>
            <w:tcW w:w="1134" w:type="dxa"/>
            <w:tcBorders>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是否满足招标文件要求</w:t>
            </w:r>
          </w:p>
        </w:tc>
        <w:tc>
          <w:tcPr>
            <w:tcW w:w="993" w:type="dxa"/>
            <w:tcBorders>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26"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w:t>
            </w:r>
          </w:p>
        </w:tc>
        <w:tc>
          <w:tcPr>
            <w:tcW w:w="6378" w:type="dxa"/>
            <w:gridSpan w:val="3"/>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b/>
                <w:color w:val="auto"/>
                <w:szCs w:val="21"/>
              </w:rPr>
              <w:t>结论</w:t>
            </w: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c>
          <w:tcPr>
            <w:tcW w:w="993" w:type="dxa"/>
            <w:tcBorders>
              <w:top w:val="single" w:color="auto" w:sz="4" w:space="0"/>
              <w:left w:val="single" w:color="auto" w:sz="4" w:space="0"/>
              <w:bottom w:val="single" w:color="auto" w:sz="4" w:space="0"/>
              <w:right w:val="single" w:color="auto" w:sz="4" w:space="0"/>
            </w:tcBorders>
          </w:tcPr>
          <w:p>
            <w:pPr>
              <w:jc w:val="center"/>
              <w:rPr>
                <w:rFonts w:cs="宋体" w:asciiTheme="minorEastAsia" w:hAnsiTheme="minorEastAsia" w:eastAsiaTheme="minorEastAsia"/>
                <w:b/>
                <w:color w:val="auto"/>
                <w:szCs w:val="21"/>
              </w:rPr>
            </w:pP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1、表中只需填写“√/通过”或“×/不通过”。</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2、在结论中按“一项否决”的原则，只有全部是√/通过的，填写“合格”；只要其中有一项是×/不通过的，填写“不合格”。</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3、结论是合格的，才能进入下一轮；不合格的被淘汰。</w:t>
      </w: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磋商小组成员签名：</w:t>
      </w:r>
      <w:bookmarkStart w:id="105" w:name="_Toc244516221"/>
      <w:bookmarkStart w:id="106" w:name="_Toc244314080"/>
    </w:p>
    <w:p>
      <w:pPr>
        <w:spacing w:line="360" w:lineRule="auto"/>
        <w:rPr>
          <w:rFonts w:cs="宋体" w:asciiTheme="minorEastAsia" w:hAnsiTheme="minorEastAsia" w:eastAsiaTheme="minorEastAsia"/>
          <w:color w:val="auto"/>
          <w:sz w:val="24"/>
        </w:rPr>
      </w:pPr>
    </w:p>
    <w:p>
      <w:pPr>
        <w:widowControl/>
        <w:jc w:val="center"/>
        <w:rPr>
          <w:rFonts w:cs="宋体" w:asciiTheme="minorEastAsia" w:hAnsiTheme="minorEastAsia" w:eastAsiaTheme="minorEastAsia"/>
          <w:b/>
          <w:color w:val="auto"/>
          <w:sz w:val="36"/>
          <w:szCs w:val="36"/>
        </w:rPr>
      </w:pPr>
      <w:r>
        <w:rPr>
          <w:rFonts w:cs="宋体" w:asciiTheme="minorEastAsia" w:hAnsiTheme="minorEastAsia" w:eastAsiaTheme="minorEastAsia"/>
          <w:b/>
          <w:color w:val="auto"/>
          <w:sz w:val="36"/>
          <w:szCs w:val="36"/>
        </w:rPr>
        <w:br w:type="page"/>
      </w:r>
      <w:r>
        <w:rPr>
          <w:rFonts w:hint="eastAsia" w:cs="宋体" w:asciiTheme="minorEastAsia" w:hAnsiTheme="minorEastAsia" w:eastAsiaTheme="minorEastAsia"/>
          <w:b/>
          <w:color w:val="auto"/>
          <w:sz w:val="36"/>
          <w:szCs w:val="36"/>
        </w:rPr>
        <w:t>符合性审查</w:t>
      </w:r>
    </w:p>
    <w:p>
      <w:pPr>
        <w:spacing w:line="560" w:lineRule="exact"/>
        <w:jc w:val="center"/>
        <w:rPr>
          <w:rFonts w:cs="宋体" w:asciiTheme="minorEastAsia" w:hAnsiTheme="minorEastAsia" w:eastAsiaTheme="minorEastAsia"/>
          <w:color w:val="auto"/>
          <w:sz w:val="24"/>
        </w:rPr>
      </w:pP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606"/>
        <w:gridCol w:w="5198"/>
        <w:gridCol w:w="540"/>
        <w:gridCol w:w="540"/>
        <w:gridCol w:w="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5" w:type="dxa"/>
            <w:vMerge w:val="restart"/>
            <w:tcBorders>
              <w:top w:val="single" w:color="auto" w:sz="4" w:space="0"/>
              <w:left w:val="single" w:color="auto" w:sz="4" w:space="0"/>
              <w:right w:val="single" w:color="auto" w:sz="4" w:space="0"/>
            </w:tcBorders>
            <w:vAlign w:val="center"/>
          </w:tcPr>
          <w:p>
            <w:pPr>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序号</w:t>
            </w:r>
          </w:p>
        </w:tc>
        <w:tc>
          <w:tcPr>
            <w:tcW w:w="1606" w:type="dxa"/>
            <w:vMerge w:val="restart"/>
            <w:tcBorders>
              <w:top w:val="single" w:color="auto" w:sz="4" w:space="0"/>
              <w:left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审查项目</w:t>
            </w:r>
          </w:p>
        </w:tc>
        <w:tc>
          <w:tcPr>
            <w:tcW w:w="5198" w:type="dxa"/>
            <w:vMerge w:val="restart"/>
            <w:tcBorders>
              <w:top w:val="single" w:color="auto" w:sz="4" w:space="0"/>
              <w:left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有效投标认定条件</w:t>
            </w:r>
          </w:p>
        </w:tc>
        <w:tc>
          <w:tcPr>
            <w:tcW w:w="1701"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75" w:type="dxa"/>
            <w:vMerge w:val="continue"/>
            <w:tcBorders>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 w:val="24"/>
              </w:rPr>
            </w:pPr>
          </w:p>
        </w:tc>
        <w:tc>
          <w:tcPr>
            <w:tcW w:w="1606" w:type="dxa"/>
            <w:vMerge w:val="continue"/>
            <w:tcBorders>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p>
        </w:tc>
        <w:tc>
          <w:tcPr>
            <w:tcW w:w="5198" w:type="dxa"/>
            <w:vMerge w:val="continue"/>
            <w:tcBorders>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1#</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2#</w:t>
            </w:r>
          </w:p>
        </w:tc>
        <w:tc>
          <w:tcPr>
            <w:tcW w:w="6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1606" w:type="dxa"/>
            <w:tcBorders>
              <w:top w:val="single" w:color="auto" w:sz="4" w:space="0"/>
              <w:left w:val="single" w:color="auto" w:sz="4" w:space="0"/>
              <w:bottom w:val="single" w:color="auto" w:sz="4" w:space="0"/>
              <w:right w:val="single" w:color="auto" w:sz="4" w:space="0"/>
            </w:tcBorders>
            <w:vAlign w:val="center"/>
          </w:tcPr>
          <w:p>
            <w:pPr>
              <w:spacing w:line="48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服务期</w:t>
            </w:r>
          </w:p>
        </w:tc>
        <w:tc>
          <w:tcPr>
            <w:tcW w:w="5198" w:type="dxa"/>
            <w:tcBorders>
              <w:top w:val="single" w:color="auto" w:sz="4" w:space="0"/>
              <w:left w:val="single" w:color="auto" w:sz="4" w:space="0"/>
              <w:bottom w:val="single" w:color="auto" w:sz="4" w:space="0"/>
              <w:right w:val="single" w:color="auto" w:sz="4" w:space="0"/>
            </w:tcBorders>
            <w:vAlign w:val="center"/>
          </w:tcPr>
          <w:p>
            <w:pPr>
              <w:spacing w:line="48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符合招标文件要求</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1606" w:type="dxa"/>
            <w:tcBorders>
              <w:top w:val="single" w:color="auto" w:sz="4" w:space="0"/>
              <w:left w:val="single" w:color="auto" w:sz="4" w:space="0"/>
              <w:bottom w:val="single" w:color="auto" w:sz="4" w:space="0"/>
              <w:right w:val="single" w:color="auto" w:sz="4" w:space="0"/>
            </w:tcBorders>
            <w:vAlign w:val="center"/>
          </w:tcPr>
          <w:p>
            <w:pPr>
              <w:spacing w:line="48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投标文件递交</w:t>
            </w:r>
          </w:p>
        </w:tc>
        <w:tc>
          <w:tcPr>
            <w:tcW w:w="5198" w:type="dxa"/>
            <w:tcBorders>
              <w:top w:val="single" w:color="auto" w:sz="4" w:space="0"/>
              <w:left w:val="single" w:color="auto" w:sz="4" w:space="0"/>
              <w:bottom w:val="single" w:color="auto" w:sz="4" w:space="0"/>
              <w:right w:val="single" w:color="auto" w:sz="4" w:space="0"/>
            </w:tcBorders>
            <w:vAlign w:val="center"/>
          </w:tcPr>
          <w:p>
            <w:pPr>
              <w:spacing w:line="48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投标文件壹式叁份，其中正本壹份，副本贰份</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1606"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w:t>
            </w:r>
          </w:p>
        </w:tc>
        <w:tc>
          <w:tcPr>
            <w:tcW w:w="5198"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投标报价唯一；未超出预算(最高限价）</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w:t>
            </w:r>
          </w:p>
        </w:tc>
        <w:tc>
          <w:tcPr>
            <w:tcW w:w="16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投标有效期</w:t>
            </w:r>
          </w:p>
        </w:tc>
        <w:tc>
          <w:tcPr>
            <w:tcW w:w="51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投标有效期满足90天</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trPr>
        <w:tc>
          <w:tcPr>
            <w:tcW w:w="675"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w:t>
            </w:r>
          </w:p>
        </w:tc>
        <w:tc>
          <w:tcPr>
            <w:tcW w:w="1606"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投标保证金</w:t>
            </w:r>
          </w:p>
        </w:tc>
        <w:tc>
          <w:tcPr>
            <w:tcW w:w="5198"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需提供符合要求的投标保证金缴费凭证加盖公章复印件</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c>
          <w:tcPr>
            <w:tcW w:w="621" w:type="dxa"/>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7479"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color w:val="auto"/>
                <w:szCs w:val="21"/>
              </w:rPr>
            </w:pPr>
            <w:r>
              <w:rPr>
                <w:rFonts w:hint="eastAsia" w:cs="宋体" w:asciiTheme="minorEastAsia" w:hAnsiTheme="minorEastAsia" w:eastAsiaTheme="minorEastAsia"/>
                <w:b/>
                <w:color w:val="auto"/>
                <w:szCs w:val="21"/>
              </w:rPr>
              <w:t>结论</w:t>
            </w: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Cs w:val="21"/>
              </w:rPr>
            </w:pPr>
          </w:p>
        </w:tc>
        <w:tc>
          <w:tcPr>
            <w:tcW w:w="6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9180"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宋体" w:asciiTheme="minorEastAsia" w:hAnsiTheme="minorEastAsia" w:eastAsiaTheme="minorEastAsia"/>
                <w:b/>
                <w:color w:val="auto"/>
                <w:sz w:val="24"/>
              </w:rPr>
            </w:pPr>
            <w:r>
              <w:rPr>
                <w:rFonts w:hint="eastAsia" w:cs="宋体" w:asciiTheme="minorEastAsia" w:hAnsiTheme="minorEastAsia" w:eastAsiaTheme="minorEastAsia"/>
                <w:b/>
                <w:color w:val="auto"/>
                <w:sz w:val="24"/>
              </w:rPr>
              <w:t>备注：经初步审查，投标人数量须不少于三家，否则项目招标失败。</w:t>
            </w:r>
          </w:p>
        </w:tc>
      </w:tr>
    </w:tbl>
    <w:p>
      <w:pPr>
        <w:spacing w:line="360" w:lineRule="auto"/>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说明：</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1、表中只需填写“√、合格”或“×、不合格”。</w:t>
      </w:r>
    </w:p>
    <w:p>
      <w:pPr>
        <w:spacing w:line="360" w:lineRule="auto"/>
        <w:ind w:firstLine="480" w:firstLineChars="200"/>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2、只有结论是合格的投标人，才能进入下一轮评审；不合格的投标人被淘汰。</w:t>
      </w:r>
    </w:p>
    <w:bookmarkEnd w:id="105"/>
    <w:bookmarkEnd w:id="106"/>
    <w:p>
      <w:pPr>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3、结论是合格的，才能进入下一轮；不合格的被淘汰。</w:t>
      </w:r>
    </w:p>
    <w:p>
      <w:pPr>
        <w:rPr>
          <w:rFonts w:cs="宋体" w:asciiTheme="minorEastAsia" w:hAnsiTheme="minorEastAsia" w:eastAsiaTheme="minorEastAsia"/>
          <w:color w:val="auto"/>
          <w:sz w:val="24"/>
        </w:rPr>
        <w:sectPr>
          <w:pgSz w:w="11906" w:h="16838"/>
          <w:pgMar w:top="1440" w:right="1080" w:bottom="1440" w:left="1080" w:header="851" w:footer="851" w:gutter="0"/>
          <w:cols w:space="720" w:num="1"/>
          <w:titlePg/>
          <w:docGrid w:type="lines" w:linePitch="312" w:charSpace="0"/>
        </w:sectPr>
      </w:pPr>
    </w:p>
    <w:p>
      <w:pPr>
        <w:widowControl/>
        <w:jc w:val="center"/>
        <w:rPr>
          <w:rFonts w:cs="宋体" w:asciiTheme="minorEastAsia" w:hAnsiTheme="minorEastAsia" w:eastAsiaTheme="minorEastAsia"/>
          <w:b/>
          <w:color w:val="auto"/>
          <w:sz w:val="28"/>
          <w:szCs w:val="36"/>
        </w:rPr>
      </w:pPr>
      <w:r>
        <w:rPr>
          <w:rFonts w:hint="eastAsia" w:cs="宋体" w:asciiTheme="minorEastAsia" w:hAnsiTheme="minorEastAsia" w:eastAsiaTheme="minorEastAsia"/>
          <w:b/>
          <w:color w:val="auto"/>
          <w:sz w:val="28"/>
          <w:szCs w:val="36"/>
        </w:rPr>
        <w:t>附件2：评审标准和方法</w:t>
      </w:r>
    </w:p>
    <w:p>
      <w:pPr>
        <w:pStyle w:val="44"/>
        <w:spacing w:line="360" w:lineRule="exact"/>
        <w:ind w:firstLineChars="0"/>
        <w:rPr>
          <w:rFonts w:cs="华文中宋" w:asciiTheme="minorEastAsia" w:hAnsiTheme="minorEastAsia" w:eastAsiaTheme="minorEastAsia"/>
          <w:b/>
          <w:color w:val="auto"/>
          <w:sz w:val="24"/>
        </w:rPr>
      </w:pPr>
      <w:r>
        <w:rPr>
          <w:rFonts w:hint="eastAsia" w:ascii="仿宋_GB2312" w:hAnsi="仿宋_GB2312" w:eastAsia="仿宋_GB2312" w:cs="仿宋_GB2312"/>
          <w:b/>
          <w:color w:val="auto"/>
          <w:szCs w:val="21"/>
        </w:rPr>
        <w:t>（一）基本评分标准</w:t>
      </w:r>
    </w:p>
    <w:tbl>
      <w:tblPr>
        <w:tblStyle w:val="25"/>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6468"/>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80" w:type="dxa"/>
            <w:noWrap/>
            <w:vAlign w:val="center"/>
          </w:tcPr>
          <w:p>
            <w:pPr>
              <w:pStyle w:val="15"/>
              <w:jc w:val="center"/>
              <w:rPr>
                <w:rFonts w:ascii="仿宋" w:hAnsi="仿宋" w:cs="宋体"/>
                <w:b/>
                <w:color w:val="auto"/>
                <w:kern w:val="1"/>
                <w:szCs w:val="24"/>
              </w:rPr>
            </w:pPr>
            <w:r>
              <w:rPr>
                <w:rFonts w:hint="eastAsia" w:ascii="仿宋" w:hAnsi="仿宋" w:cs="宋体"/>
                <w:b/>
                <w:color w:val="auto"/>
                <w:kern w:val="1"/>
                <w:sz w:val="24"/>
                <w:szCs w:val="24"/>
              </w:rPr>
              <w:t>内容</w:t>
            </w:r>
          </w:p>
        </w:tc>
        <w:tc>
          <w:tcPr>
            <w:tcW w:w="6468" w:type="dxa"/>
            <w:noWrap/>
            <w:vAlign w:val="center"/>
          </w:tcPr>
          <w:p>
            <w:pPr>
              <w:pStyle w:val="15"/>
              <w:jc w:val="center"/>
              <w:rPr>
                <w:rFonts w:ascii="仿宋" w:hAnsi="仿宋" w:cs="宋体"/>
                <w:b/>
                <w:color w:val="auto"/>
                <w:kern w:val="1"/>
                <w:szCs w:val="24"/>
              </w:rPr>
            </w:pPr>
            <w:r>
              <w:rPr>
                <w:rFonts w:hint="eastAsia" w:ascii="仿宋" w:hAnsi="仿宋" w:cs="宋体"/>
                <w:b/>
                <w:color w:val="auto"/>
                <w:kern w:val="1"/>
                <w:sz w:val="24"/>
                <w:szCs w:val="24"/>
              </w:rPr>
              <w:t>评审要素</w:t>
            </w:r>
          </w:p>
        </w:tc>
        <w:tc>
          <w:tcPr>
            <w:tcW w:w="850" w:type="dxa"/>
            <w:noWrap/>
            <w:vAlign w:val="center"/>
          </w:tcPr>
          <w:p>
            <w:pPr>
              <w:pStyle w:val="15"/>
              <w:jc w:val="center"/>
              <w:rPr>
                <w:rFonts w:ascii="仿宋" w:hAnsi="仿宋" w:cs="宋体"/>
                <w:b/>
                <w:color w:val="auto"/>
                <w:kern w:val="1"/>
                <w:szCs w:val="24"/>
              </w:rPr>
            </w:pPr>
            <w:r>
              <w:rPr>
                <w:rFonts w:hint="eastAsia" w:ascii="仿宋" w:hAnsi="仿宋" w:cs="宋体"/>
                <w:b/>
                <w:color w:val="auto"/>
                <w:kern w:val="1"/>
                <w:sz w:val="24"/>
                <w:szCs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580" w:type="dxa"/>
            <w:noWrap/>
            <w:vAlign w:val="center"/>
          </w:tcPr>
          <w:p>
            <w:pPr>
              <w:pStyle w:val="15"/>
              <w:jc w:val="center"/>
              <w:rPr>
                <w:rFonts w:ascii="仿宋" w:hAnsi="仿宋"/>
                <w:color w:val="auto"/>
              </w:rPr>
            </w:pPr>
            <w:r>
              <w:rPr>
                <w:rFonts w:hint="eastAsia" w:ascii="仿宋" w:hAnsi="仿宋"/>
                <w:color w:val="auto"/>
              </w:rPr>
              <w:t>投标报价</w:t>
            </w:r>
          </w:p>
          <w:p>
            <w:pPr>
              <w:pStyle w:val="15"/>
              <w:jc w:val="center"/>
              <w:rPr>
                <w:rFonts w:ascii="仿宋" w:hAnsi="仿宋"/>
                <w:color w:val="auto"/>
              </w:rPr>
            </w:pPr>
          </w:p>
        </w:tc>
        <w:tc>
          <w:tcPr>
            <w:tcW w:w="6468" w:type="dxa"/>
            <w:noWrap/>
            <w:vAlign w:val="center"/>
          </w:tcPr>
          <w:p>
            <w:pPr>
              <w:jc w:val="left"/>
              <w:rPr>
                <w:rFonts w:ascii="仿宋" w:hAnsi="仿宋"/>
                <w:color w:val="auto"/>
                <w:szCs w:val="20"/>
              </w:rPr>
            </w:pPr>
            <w:r>
              <w:rPr>
                <w:rFonts w:hint="eastAsia" w:ascii="仿宋" w:hAnsi="仿宋"/>
                <w:color w:val="auto"/>
                <w:szCs w:val="20"/>
              </w:rPr>
              <w:t>评标基准价：系指满足招标文件要求且投标价格最低的投标报价。</w:t>
            </w:r>
          </w:p>
          <w:p>
            <w:pPr>
              <w:pStyle w:val="15"/>
              <w:jc w:val="left"/>
              <w:rPr>
                <w:rFonts w:ascii="仿宋" w:hAnsi="仿宋"/>
                <w:color w:val="auto"/>
              </w:rPr>
            </w:pPr>
            <w:r>
              <w:rPr>
                <w:rFonts w:hint="eastAsia" w:ascii="仿宋" w:hAnsi="仿宋"/>
                <w:color w:val="auto"/>
              </w:rPr>
              <w:t>投标报价得分＝（评标基准价／投标报价）×10，得分保留至小数点后两位。</w:t>
            </w:r>
          </w:p>
        </w:tc>
        <w:tc>
          <w:tcPr>
            <w:tcW w:w="850" w:type="dxa"/>
            <w:noWrap/>
            <w:vAlign w:val="center"/>
          </w:tcPr>
          <w:p>
            <w:pPr>
              <w:pStyle w:val="15"/>
              <w:jc w:val="center"/>
              <w:rPr>
                <w:rFonts w:ascii="仿宋" w:hAnsi="仿宋"/>
                <w:color w:val="auto"/>
              </w:rPr>
            </w:pPr>
            <w:r>
              <w:rPr>
                <w:rFonts w:hint="eastAsia" w:ascii="仿宋" w:hAnsi="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58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采购需求</w:t>
            </w:r>
          </w:p>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响应</w:t>
            </w:r>
          </w:p>
        </w:tc>
        <w:tc>
          <w:tcPr>
            <w:tcW w:w="6468" w:type="dxa"/>
            <w:noWrap/>
            <w:vAlign w:val="center"/>
          </w:tcPr>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根据供应商对采购需求的响应程度进行打分，10-0 分；完全响应采购需求内容及要求得 10 分，不满足一项扣 2.5 分，扣完为止。证明材料：详见响应文件“需求响应表”</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58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业绩</w:t>
            </w:r>
          </w:p>
        </w:tc>
        <w:tc>
          <w:tcPr>
            <w:tcW w:w="6468" w:type="dxa"/>
            <w:noWrap/>
            <w:vAlign w:val="center"/>
          </w:tcPr>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投标人自2019 年 1 月 1 日始至招标公告发布之日止，承接过类似业绩，每提供一个得3分，满分15分，（以合同签订时间为准）。</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 xml:space="preserve"> 证明材料：提供合同以及政府公开招标网站中标公示复印件并加盖公章</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580" w:type="dxa"/>
            <w:vMerge w:val="restart"/>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服务实施</w:t>
            </w:r>
          </w:p>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方案</w:t>
            </w:r>
          </w:p>
        </w:tc>
        <w:tc>
          <w:tcPr>
            <w:tcW w:w="6468" w:type="dxa"/>
            <w:noWrap/>
            <w:vAlign w:val="center"/>
          </w:tcPr>
          <w:p>
            <w:pPr>
              <w:rPr>
                <w:rFonts w:ascii="仿宋" w:hAnsi="仿宋"/>
                <w:color w:val="auto"/>
                <w:szCs w:val="20"/>
              </w:rPr>
            </w:pPr>
            <w:r>
              <w:rPr>
                <w:rFonts w:hint="eastAsia" w:ascii="仿宋" w:hAnsi="仿宋"/>
                <w:color w:val="auto"/>
                <w:szCs w:val="20"/>
              </w:rPr>
              <w:t>1、供应商根据项目要求提供总体服务实施方案。</w:t>
            </w:r>
          </w:p>
          <w:p>
            <w:pPr>
              <w:rPr>
                <w:rFonts w:ascii="仿宋" w:hAnsi="仿宋"/>
                <w:color w:val="auto"/>
                <w:szCs w:val="20"/>
              </w:rPr>
            </w:pPr>
            <w:r>
              <w:rPr>
                <w:rFonts w:hint="eastAsia" w:ascii="仿宋" w:hAnsi="仿宋"/>
                <w:color w:val="auto"/>
                <w:szCs w:val="20"/>
              </w:rPr>
              <w:t>（1）实施方案科学合理，操作性强，思路清晰，方案全面，内容完善，满足采购需求，对服务区域非常熟悉：20-0分；</w:t>
            </w:r>
          </w:p>
          <w:p>
            <w:pPr>
              <w:rPr>
                <w:rFonts w:ascii="仿宋" w:hAnsi="仿宋"/>
                <w:color w:val="auto"/>
                <w:szCs w:val="20"/>
              </w:rPr>
            </w:pPr>
            <w:r>
              <w:rPr>
                <w:rFonts w:hint="eastAsia" w:ascii="仿宋" w:hAnsi="仿宋"/>
                <w:color w:val="auto"/>
                <w:szCs w:val="20"/>
              </w:rPr>
              <w:t>（2）实施方案基本满足项目要求，但内容不够全面、科学，合理性及操作性一般，对服务所在地熟悉度一般：10—5分；</w:t>
            </w:r>
          </w:p>
          <w:p>
            <w:pPr>
              <w:rPr>
                <w:rFonts w:ascii="仿宋" w:hAnsi="仿宋"/>
                <w:color w:val="auto"/>
                <w:szCs w:val="20"/>
              </w:rPr>
            </w:pPr>
            <w:r>
              <w:rPr>
                <w:rFonts w:hint="eastAsia" w:ascii="仿宋" w:hAnsi="仿宋"/>
                <w:color w:val="auto"/>
                <w:szCs w:val="20"/>
              </w:rPr>
              <w:t>（3）实施方案内容缺失明显，服务质量没有保障，不具备科学合理性：4.9—0分；</w:t>
            </w:r>
          </w:p>
          <w:p>
            <w:pPr>
              <w:rPr>
                <w:rFonts w:ascii="仿宋" w:hAnsi="仿宋"/>
                <w:color w:val="auto"/>
                <w:szCs w:val="20"/>
              </w:rPr>
            </w:pPr>
            <w:r>
              <w:rPr>
                <w:rFonts w:hint="eastAsia" w:ascii="仿宋" w:hAnsi="仿宋"/>
                <w:color w:val="auto"/>
                <w:szCs w:val="20"/>
              </w:rPr>
              <w:t>（4）不提供者不得分</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580" w:type="dxa"/>
            <w:vMerge w:val="continue"/>
            <w:noWrap/>
            <w:vAlign w:val="center"/>
          </w:tcPr>
          <w:p>
            <w:pPr>
              <w:pStyle w:val="35"/>
              <w:jc w:val="center"/>
              <w:rPr>
                <w:rFonts w:ascii="仿宋" w:hAnsi="仿宋" w:eastAsia="宋体" w:cs="Times New Roman"/>
                <w:color w:val="auto"/>
                <w:kern w:val="2"/>
                <w:sz w:val="21"/>
                <w:szCs w:val="20"/>
              </w:rPr>
            </w:pPr>
          </w:p>
        </w:tc>
        <w:tc>
          <w:tcPr>
            <w:tcW w:w="6468" w:type="dxa"/>
            <w:noWrap/>
            <w:vAlign w:val="center"/>
          </w:tcPr>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2、个性化服务方案</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 根据供应商提供的个性化服务方案进行比较赋分，10-0 分：</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A.个性化服务方案科学合理，适用性强，思路清晰，内容全面，满足</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 xml:space="preserve">采购人的需要，考虑问题周全，实施过程务实；10-5 分 </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B.个性化服务方案基本能够满足采购需要，操作性一般；4.9-2 分 C.个性化服务方案不合理；2-1 分 D.不提供者得 0 分。该项满分 5 分。</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580" w:type="dxa"/>
            <w:vMerge w:val="continue"/>
            <w:noWrap/>
            <w:vAlign w:val="center"/>
          </w:tcPr>
          <w:p>
            <w:pPr>
              <w:pStyle w:val="35"/>
              <w:jc w:val="center"/>
              <w:rPr>
                <w:rFonts w:ascii="仿宋" w:hAnsi="仿宋" w:eastAsia="宋体" w:cs="Times New Roman"/>
                <w:color w:val="auto"/>
                <w:kern w:val="2"/>
                <w:sz w:val="21"/>
                <w:szCs w:val="20"/>
              </w:rPr>
            </w:pPr>
          </w:p>
        </w:tc>
        <w:tc>
          <w:tcPr>
            <w:tcW w:w="6468" w:type="dxa"/>
            <w:noWrap/>
            <w:vAlign w:val="center"/>
          </w:tcPr>
          <w:p>
            <w:pPr>
              <w:rPr>
                <w:rFonts w:ascii="仿宋" w:hAnsi="仿宋"/>
                <w:color w:val="auto"/>
                <w:szCs w:val="20"/>
              </w:rPr>
            </w:pPr>
            <w:r>
              <w:rPr>
                <w:rFonts w:hint="eastAsia" w:ascii="仿宋" w:hAnsi="仿宋"/>
                <w:color w:val="auto"/>
                <w:szCs w:val="20"/>
              </w:rPr>
              <w:t>3、内部管理制度</w:t>
            </w:r>
          </w:p>
          <w:p>
            <w:pPr>
              <w:rPr>
                <w:rFonts w:ascii="仿宋" w:hAnsi="仿宋"/>
                <w:color w:val="auto"/>
                <w:szCs w:val="20"/>
              </w:rPr>
            </w:pPr>
            <w:r>
              <w:rPr>
                <w:rFonts w:hint="eastAsia" w:ascii="仿宋" w:hAnsi="仿宋"/>
                <w:color w:val="auto"/>
                <w:szCs w:val="20"/>
              </w:rPr>
              <w:t xml:space="preserve">根据供应商提供的内部管理制度进行比较赋分，10-0 分： </w:t>
            </w:r>
          </w:p>
          <w:p>
            <w:pPr>
              <w:rPr>
                <w:rFonts w:ascii="仿宋" w:hAnsi="仿宋"/>
                <w:color w:val="auto"/>
                <w:szCs w:val="20"/>
              </w:rPr>
            </w:pPr>
            <w:r>
              <w:rPr>
                <w:rFonts w:hint="eastAsia" w:ascii="仿宋" w:hAnsi="仿宋"/>
                <w:color w:val="auto"/>
                <w:szCs w:val="20"/>
              </w:rPr>
              <w:t>A 内部管理制度科学合理，适用性强，思路清晰，内容全面，考虑问题周全，实施过程务实；10-5 分</w:t>
            </w:r>
          </w:p>
          <w:p>
            <w:pPr>
              <w:numPr>
                <w:ilvl w:val="0"/>
                <w:numId w:val="5"/>
              </w:numPr>
              <w:rPr>
                <w:rFonts w:ascii="仿宋" w:hAnsi="仿宋"/>
                <w:color w:val="auto"/>
                <w:szCs w:val="20"/>
              </w:rPr>
            </w:pPr>
            <w:r>
              <w:rPr>
                <w:rFonts w:hint="eastAsia" w:ascii="仿宋" w:hAnsi="仿宋"/>
                <w:color w:val="auto"/>
                <w:szCs w:val="20"/>
              </w:rPr>
              <w:t>内部管理制度基本满足项目需要，操作性一般；4.9-3 分</w:t>
            </w:r>
          </w:p>
          <w:p>
            <w:pPr>
              <w:rPr>
                <w:rFonts w:ascii="仿宋" w:hAnsi="仿宋"/>
                <w:color w:val="auto"/>
                <w:szCs w:val="20"/>
              </w:rPr>
            </w:pPr>
            <w:r>
              <w:rPr>
                <w:rFonts w:hint="eastAsia" w:ascii="仿宋" w:hAnsi="仿宋"/>
                <w:color w:val="auto"/>
                <w:szCs w:val="20"/>
              </w:rPr>
              <w:t xml:space="preserve"> C.内部管理制度不合理；2.9-1 分 D.不提供者得 0</w:t>
            </w:r>
          </w:p>
          <w:p>
            <w:pPr>
              <w:rPr>
                <w:rFonts w:ascii="仿宋" w:hAnsi="仿宋"/>
                <w:color w:val="auto"/>
                <w:szCs w:val="20"/>
              </w:rPr>
            </w:pPr>
            <w:r>
              <w:rPr>
                <w:rFonts w:hint="eastAsia" w:ascii="仿宋" w:hAnsi="仿宋"/>
                <w:color w:val="auto"/>
                <w:szCs w:val="20"/>
              </w:rPr>
              <w:t>分。</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580" w:type="dxa"/>
            <w:vMerge w:val="continue"/>
            <w:noWrap/>
            <w:vAlign w:val="center"/>
          </w:tcPr>
          <w:p>
            <w:pPr>
              <w:pStyle w:val="35"/>
              <w:jc w:val="center"/>
              <w:rPr>
                <w:rFonts w:ascii="仿宋" w:hAnsi="仿宋" w:eastAsia="宋体" w:cs="Times New Roman"/>
                <w:color w:val="auto"/>
                <w:kern w:val="2"/>
                <w:sz w:val="21"/>
                <w:szCs w:val="20"/>
              </w:rPr>
            </w:pPr>
          </w:p>
        </w:tc>
        <w:tc>
          <w:tcPr>
            <w:tcW w:w="6468" w:type="dxa"/>
            <w:noWrap/>
            <w:vAlign w:val="center"/>
          </w:tcPr>
          <w:p>
            <w:pPr>
              <w:rPr>
                <w:rFonts w:ascii="仿宋" w:hAnsi="仿宋"/>
                <w:color w:val="auto"/>
                <w:szCs w:val="20"/>
              </w:rPr>
            </w:pPr>
            <w:r>
              <w:rPr>
                <w:rFonts w:hint="eastAsia" w:ascii="仿宋" w:hAnsi="仿宋"/>
                <w:color w:val="auto"/>
                <w:szCs w:val="20"/>
              </w:rPr>
              <w:t>4、安全保障措施</w:t>
            </w:r>
          </w:p>
          <w:p>
            <w:pPr>
              <w:rPr>
                <w:rFonts w:ascii="仿宋" w:hAnsi="仿宋"/>
                <w:color w:val="auto"/>
                <w:szCs w:val="20"/>
              </w:rPr>
            </w:pPr>
            <w:r>
              <w:rPr>
                <w:rFonts w:hint="eastAsia" w:ascii="仿宋" w:hAnsi="仿宋"/>
                <w:color w:val="auto"/>
                <w:szCs w:val="20"/>
              </w:rPr>
              <w:t>根据供应商提供安全保障措施进行比较赋分，10-0 分：</w:t>
            </w:r>
          </w:p>
          <w:p>
            <w:pPr>
              <w:numPr>
                <w:ilvl w:val="0"/>
                <w:numId w:val="6"/>
              </w:numPr>
              <w:rPr>
                <w:rFonts w:ascii="仿宋" w:hAnsi="仿宋"/>
                <w:color w:val="auto"/>
                <w:szCs w:val="20"/>
              </w:rPr>
            </w:pPr>
            <w:r>
              <w:rPr>
                <w:rFonts w:hint="eastAsia" w:ascii="仿宋" w:hAnsi="仿宋"/>
                <w:color w:val="auto"/>
                <w:szCs w:val="20"/>
              </w:rPr>
              <w:t>安全保障措施科学合理，适用性强，思路清晰，内容全面，满足项目需要，考虑问题周全，实施过程务实；10-5 分</w:t>
            </w:r>
          </w:p>
          <w:p>
            <w:pPr>
              <w:numPr>
                <w:ilvl w:val="0"/>
                <w:numId w:val="6"/>
              </w:numPr>
              <w:rPr>
                <w:rFonts w:ascii="仿宋" w:hAnsi="仿宋"/>
                <w:color w:val="auto"/>
                <w:szCs w:val="20"/>
              </w:rPr>
            </w:pPr>
            <w:r>
              <w:rPr>
                <w:rFonts w:hint="eastAsia" w:ascii="仿宋" w:hAnsi="仿宋"/>
                <w:color w:val="auto"/>
                <w:szCs w:val="20"/>
              </w:rPr>
              <w:t xml:space="preserve">安全保障措施基本满足项目需要，操作性一般；4.9-3 分 </w:t>
            </w:r>
          </w:p>
          <w:p>
            <w:pPr>
              <w:ind w:left="105"/>
              <w:rPr>
                <w:rFonts w:ascii="仿宋" w:hAnsi="仿宋"/>
                <w:color w:val="auto"/>
                <w:szCs w:val="20"/>
              </w:rPr>
            </w:pPr>
            <w:r>
              <w:rPr>
                <w:rFonts w:hint="eastAsia" w:ascii="仿宋" w:hAnsi="仿宋"/>
                <w:color w:val="auto"/>
                <w:szCs w:val="20"/>
              </w:rPr>
              <w:t>C.安全保障措施不合理；2.9-1 分 D.不提供者得 0 分。</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580" w:type="dxa"/>
            <w:vMerge w:val="continue"/>
            <w:noWrap/>
            <w:vAlign w:val="center"/>
          </w:tcPr>
          <w:p>
            <w:pPr>
              <w:pStyle w:val="35"/>
              <w:jc w:val="center"/>
              <w:rPr>
                <w:rFonts w:ascii="仿宋" w:hAnsi="仿宋" w:eastAsia="宋体" w:cs="Times New Roman"/>
                <w:color w:val="auto"/>
                <w:kern w:val="2"/>
                <w:sz w:val="21"/>
                <w:szCs w:val="20"/>
              </w:rPr>
            </w:pPr>
          </w:p>
        </w:tc>
        <w:tc>
          <w:tcPr>
            <w:tcW w:w="6468" w:type="dxa"/>
            <w:noWrap/>
            <w:vAlign w:val="center"/>
          </w:tcPr>
          <w:p>
            <w:pPr>
              <w:pStyle w:val="15"/>
              <w:jc w:val="left"/>
              <w:rPr>
                <w:rFonts w:ascii="仿宋" w:hAnsi="仿宋"/>
                <w:color w:val="auto"/>
              </w:rPr>
            </w:pPr>
            <w:r>
              <w:rPr>
                <w:rFonts w:hint="eastAsia" w:ascii="仿宋" w:hAnsi="仿宋"/>
                <w:color w:val="auto"/>
              </w:rPr>
              <w:t>5、应急预案</w:t>
            </w:r>
          </w:p>
          <w:p>
            <w:pPr>
              <w:pStyle w:val="15"/>
              <w:jc w:val="left"/>
              <w:rPr>
                <w:rFonts w:ascii="仿宋" w:hAnsi="仿宋"/>
                <w:color w:val="auto"/>
              </w:rPr>
            </w:pPr>
            <w:r>
              <w:rPr>
                <w:rFonts w:hint="eastAsia" w:ascii="仿宋" w:hAnsi="仿宋"/>
                <w:color w:val="auto"/>
              </w:rPr>
              <w:t xml:space="preserve">根据供应商提供的应急预案进行比较赋分，10-0 分： </w:t>
            </w:r>
          </w:p>
          <w:p>
            <w:pPr>
              <w:pStyle w:val="15"/>
              <w:numPr>
                <w:ilvl w:val="0"/>
                <w:numId w:val="7"/>
              </w:numPr>
              <w:jc w:val="left"/>
              <w:rPr>
                <w:rFonts w:ascii="仿宋" w:hAnsi="仿宋"/>
                <w:color w:val="auto"/>
              </w:rPr>
            </w:pPr>
            <w:r>
              <w:rPr>
                <w:rFonts w:hint="eastAsia" w:ascii="仿宋" w:hAnsi="仿宋"/>
                <w:color w:val="auto"/>
              </w:rPr>
              <w:t>应急预案科学合理，适用性强，思路清晰，内容全面，满足采购人的需要，考虑问题周全，实施过程务实；10-5 分</w:t>
            </w:r>
          </w:p>
          <w:p>
            <w:pPr>
              <w:pStyle w:val="15"/>
              <w:numPr>
                <w:ilvl w:val="0"/>
                <w:numId w:val="7"/>
              </w:numPr>
              <w:jc w:val="left"/>
              <w:rPr>
                <w:rFonts w:ascii="仿宋" w:hAnsi="仿宋"/>
                <w:color w:val="auto"/>
              </w:rPr>
            </w:pPr>
            <w:r>
              <w:rPr>
                <w:rFonts w:hint="eastAsia" w:ascii="仿宋" w:hAnsi="仿宋"/>
                <w:color w:val="auto"/>
              </w:rPr>
              <w:t>应急预案基本能够满足采购需要，操作性一般；4.9-3 分</w:t>
            </w:r>
          </w:p>
          <w:p>
            <w:pPr>
              <w:pStyle w:val="15"/>
              <w:jc w:val="left"/>
              <w:rPr>
                <w:rFonts w:ascii="仿宋" w:hAnsi="仿宋"/>
                <w:color w:val="auto"/>
              </w:rPr>
            </w:pPr>
            <w:r>
              <w:rPr>
                <w:rFonts w:hint="eastAsia" w:ascii="仿宋" w:hAnsi="仿宋"/>
                <w:color w:val="auto"/>
              </w:rPr>
              <w:t>C.应急预案不合理；2.9-1 分</w:t>
            </w:r>
          </w:p>
          <w:p>
            <w:pPr>
              <w:pStyle w:val="15"/>
              <w:jc w:val="left"/>
              <w:rPr>
                <w:rFonts w:ascii="仿宋" w:hAnsi="仿宋"/>
                <w:color w:val="auto"/>
              </w:rPr>
            </w:pPr>
            <w:r>
              <w:rPr>
                <w:rFonts w:hint="eastAsia" w:ascii="仿宋" w:hAnsi="仿宋"/>
                <w:color w:val="auto"/>
              </w:rPr>
              <w:t>D.不提供者得 0 分。</w:t>
            </w:r>
          </w:p>
        </w:tc>
        <w:tc>
          <w:tcPr>
            <w:tcW w:w="850" w:type="dxa"/>
            <w:noWrap/>
            <w:vAlign w:val="center"/>
          </w:tcPr>
          <w:p>
            <w:pPr>
              <w:pStyle w:val="15"/>
              <w:jc w:val="center"/>
              <w:rPr>
                <w:rFonts w:ascii="仿宋" w:hAnsi="仿宋"/>
                <w:color w:val="auto"/>
              </w:rPr>
            </w:pPr>
            <w:r>
              <w:rPr>
                <w:rFonts w:hint="eastAsia" w:ascii="仿宋" w:hAnsi="仿宋"/>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158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响应文件</w:t>
            </w:r>
          </w:p>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编制（5分）</w:t>
            </w:r>
          </w:p>
        </w:tc>
        <w:tc>
          <w:tcPr>
            <w:tcW w:w="6468" w:type="dxa"/>
            <w:noWrap/>
            <w:vAlign w:val="center"/>
          </w:tcPr>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根据供应商编制响应文件进行比较赋分；5-0 分，内容完整、装订整</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齐，无错字漏字，目录清晰便于查阅，优的得 5-4.25 分，良的得</w:t>
            </w:r>
          </w:p>
          <w:p>
            <w:pPr>
              <w:pStyle w:val="35"/>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4.24-3.75 分，中的得 3.74-3 分，差的得 2.9-0 分。</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048" w:type="dxa"/>
            <w:gridSpan w:val="2"/>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合计</w:t>
            </w:r>
          </w:p>
        </w:tc>
        <w:tc>
          <w:tcPr>
            <w:tcW w:w="850" w:type="dxa"/>
            <w:noWrap/>
            <w:vAlign w:val="center"/>
          </w:tcPr>
          <w:p>
            <w:pPr>
              <w:pStyle w:val="35"/>
              <w:jc w:val="center"/>
              <w:rPr>
                <w:rFonts w:ascii="仿宋" w:hAnsi="仿宋" w:eastAsia="宋体" w:cs="Times New Roman"/>
                <w:color w:val="auto"/>
                <w:kern w:val="2"/>
                <w:sz w:val="21"/>
                <w:szCs w:val="20"/>
              </w:rPr>
            </w:pPr>
            <w:r>
              <w:rPr>
                <w:rFonts w:hint="eastAsia" w:ascii="仿宋" w:hAnsi="仿宋" w:eastAsia="宋体" w:cs="Times New Roman"/>
                <w:color w:val="auto"/>
                <w:kern w:val="2"/>
                <w:sz w:val="21"/>
                <w:szCs w:val="20"/>
              </w:rPr>
              <w:t>100分</w:t>
            </w:r>
          </w:p>
        </w:tc>
      </w:tr>
    </w:tbl>
    <w:p>
      <w:pPr>
        <w:pStyle w:val="44"/>
        <w:spacing w:line="360" w:lineRule="exact"/>
        <w:ind w:firstLineChars="0"/>
        <w:rPr>
          <w:rFonts w:cs="华文中宋" w:asciiTheme="minorEastAsia" w:hAnsiTheme="minorEastAsia" w:eastAsiaTheme="minorEastAsia"/>
          <w:b/>
          <w:color w:val="auto"/>
          <w:sz w:val="24"/>
        </w:rPr>
      </w:pPr>
    </w:p>
    <w:p>
      <w:pPr>
        <w:pStyle w:val="24"/>
        <w:ind w:left="0" w:leftChars="0" w:firstLine="0" w:firstLineChars="0"/>
        <w:rPr>
          <w:rFonts w:asciiTheme="minorEastAsia" w:hAnsiTheme="minorEastAsia" w:eastAsiaTheme="minorEastAsia"/>
          <w:color w:val="auto"/>
          <w:lang w:eastAsia="zh-CN"/>
        </w:rPr>
        <w:sectPr>
          <w:pgSz w:w="11906" w:h="16838"/>
          <w:pgMar w:top="1247" w:right="1247" w:bottom="1134" w:left="1644" w:header="851" w:footer="851" w:gutter="0"/>
          <w:cols w:space="720" w:num="1"/>
          <w:titlePg/>
          <w:docGrid w:type="lines" w:linePitch="312" w:charSpace="0"/>
        </w:sectPr>
      </w:pPr>
      <w:r>
        <w:rPr>
          <w:rFonts w:hint="eastAsia" w:asciiTheme="minorEastAsia" w:hAnsiTheme="minorEastAsia" w:eastAsiaTheme="minorEastAsia"/>
          <w:color w:val="auto"/>
          <w:lang w:eastAsia="zh-CN"/>
        </w:rPr>
        <w:t>评委签字：</w:t>
      </w:r>
    </w:p>
    <w:p>
      <w:pPr>
        <w:pStyle w:val="3"/>
        <w:jc w:val="center"/>
        <w:rPr>
          <w:rFonts w:asciiTheme="minorEastAsia" w:hAnsiTheme="minorEastAsia" w:eastAsiaTheme="minorEastAsia"/>
          <w:color w:val="auto"/>
          <w:sz w:val="36"/>
          <w:szCs w:val="36"/>
        </w:rPr>
      </w:pPr>
      <w:bookmarkStart w:id="107" w:name="_Toc89867402"/>
      <w:r>
        <w:rPr>
          <w:rFonts w:hint="eastAsia" w:cs="仿宋" w:asciiTheme="minorEastAsia" w:hAnsiTheme="minorEastAsia" w:eastAsiaTheme="minorEastAsia"/>
          <w:color w:val="auto"/>
          <w:sz w:val="32"/>
          <w:szCs w:val="32"/>
        </w:rPr>
        <w:t>第六章响应文件格式</w:t>
      </w:r>
      <w:bookmarkEnd w:id="99"/>
      <w:bookmarkEnd w:id="100"/>
      <w:bookmarkEnd w:id="101"/>
      <w:bookmarkEnd w:id="102"/>
      <w:bookmarkEnd w:id="103"/>
      <w:bookmarkEnd w:id="104"/>
      <w:bookmarkEnd w:id="107"/>
    </w:p>
    <w:p>
      <w:pPr>
        <w:widowControl/>
        <w:spacing w:before="240" w:line="480" w:lineRule="auto"/>
        <w:ind w:firstLine="2108" w:firstLineChars="700"/>
        <w:jc w:val="left"/>
        <w:rPr>
          <w:rFonts w:asciiTheme="minorEastAsia" w:hAnsiTheme="minorEastAsia" w:eastAsiaTheme="minorEastAsia"/>
          <w:b/>
          <w:bCs/>
          <w:color w:val="auto"/>
          <w:sz w:val="30"/>
          <w:szCs w:val="30"/>
          <w:u w:val="single"/>
        </w:rPr>
      </w:pPr>
      <w:bookmarkStart w:id="108" w:name="_Toc212102882"/>
    </w:p>
    <w:p>
      <w:pPr>
        <w:widowControl/>
        <w:spacing w:before="240" w:line="480" w:lineRule="auto"/>
        <w:ind w:firstLine="2108" w:firstLineChars="700"/>
        <w:jc w:val="left"/>
        <w:rPr>
          <w:rFonts w:asciiTheme="minorEastAsia" w:hAnsiTheme="minorEastAsia" w:eastAsiaTheme="minorEastAsia"/>
          <w:b/>
          <w:bCs/>
          <w:color w:val="auto"/>
          <w:sz w:val="30"/>
          <w:szCs w:val="30"/>
          <w:u w:val="single"/>
        </w:rPr>
      </w:pPr>
    </w:p>
    <w:p>
      <w:pPr>
        <w:jc w:val="center"/>
        <w:rPr>
          <w:rFonts w:asciiTheme="minorEastAsia" w:hAnsiTheme="minorEastAsia" w:eastAsiaTheme="minorEastAsia"/>
          <w:color w:val="auto"/>
          <w:sz w:val="28"/>
          <w:szCs w:val="28"/>
        </w:rPr>
      </w:pPr>
      <w:bookmarkStart w:id="109" w:name="_Toc23708"/>
      <w:bookmarkStart w:id="110" w:name="_Toc17808"/>
      <w:bookmarkStart w:id="111" w:name="_Toc13652"/>
      <w:bookmarkStart w:id="112" w:name="_Toc3949"/>
      <w:r>
        <w:rPr>
          <w:rFonts w:hint="eastAsia" w:asciiTheme="minorEastAsia" w:hAnsiTheme="minorEastAsia" w:eastAsiaTheme="minorEastAsia"/>
          <w:color w:val="auto"/>
          <w:sz w:val="52"/>
          <w:szCs w:val="28"/>
        </w:rPr>
        <w:t>项目</w:t>
      </w:r>
      <w:bookmarkEnd w:id="109"/>
      <w:bookmarkEnd w:id="110"/>
      <w:bookmarkEnd w:id="111"/>
      <w:bookmarkEnd w:id="112"/>
    </w:p>
    <w:p>
      <w:pPr>
        <w:spacing w:before="240" w:line="480" w:lineRule="auto"/>
        <w:rPr>
          <w:rFonts w:asciiTheme="minorEastAsia" w:hAnsiTheme="minorEastAsia" w:eastAsiaTheme="minorEastAsia"/>
          <w:color w:val="auto"/>
          <w:sz w:val="30"/>
          <w:szCs w:val="30"/>
        </w:rPr>
      </w:pPr>
    </w:p>
    <w:p>
      <w:pPr>
        <w:spacing w:before="240" w:line="480" w:lineRule="auto"/>
        <w:rPr>
          <w:rFonts w:asciiTheme="minorEastAsia" w:hAnsiTheme="minorEastAsia" w:eastAsiaTheme="minorEastAsia"/>
          <w:color w:val="auto"/>
          <w:sz w:val="30"/>
          <w:szCs w:val="30"/>
        </w:rPr>
      </w:pPr>
    </w:p>
    <w:p>
      <w:pPr>
        <w:jc w:val="center"/>
        <w:rPr>
          <w:rFonts w:asciiTheme="minorEastAsia" w:hAnsiTheme="minorEastAsia" w:eastAsiaTheme="minorEastAsia"/>
          <w:color w:val="auto"/>
          <w:sz w:val="52"/>
          <w:szCs w:val="28"/>
        </w:rPr>
      </w:pPr>
      <w:bookmarkStart w:id="113" w:name="_Toc24074"/>
      <w:bookmarkStart w:id="114" w:name="_Toc19607"/>
      <w:bookmarkStart w:id="115" w:name="_Toc32473"/>
      <w:bookmarkStart w:id="116" w:name="_Toc28908"/>
      <w:r>
        <w:rPr>
          <w:rFonts w:hint="eastAsia" w:asciiTheme="minorEastAsia" w:hAnsiTheme="minorEastAsia" w:eastAsiaTheme="minorEastAsia"/>
          <w:color w:val="auto"/>
          <w:sz w:val="52"/>
          <w:szCs w:val="28"/>
        </w:rPr>
        <w:t>响应文件</w:t>
      </w:r>
      <w:bookmarkEnd w:id="113"/>
      <w:bookmarkEnd w:id="114"/>
      <w:bookmarkEnd w:id="115"/>
      <w:bookmarkEnd w:id="116"/>
    </w:p>
    <w:p>
      <w:pPr>
        <w:spacing w:before="240" w:line="480" w:lineRule="auto"/>
        <w:rPr>
          <w:rFonts w:asciiTheme="minorEastAsia" w:hAnsiTheme="minorEastAsia" w:eastAsiaTheme="minorEastAsia"/>
          <w:color w:val="auto"/>
          <w:sz w:val="28"/>
          <w:szCs w:val="28"/>
        </w:rPr>
      </w:pPr>
    </w:p>
    <w:p>
      <w:pPr>
        <w:spacing w:before="240" w:line="480" w:lineRule="auto"/>
        <w:rPr>
          <w:rFonts w:asciiTheme="minorEastAsia" w:hAnsiTheme="minorEastAsia" w:eastAsiaTheme="minorEastAsia"/>
          <w:color w:val="auto"/>
          <w:sz w:val="28"/>
          <w:szCs w:val="28"/>
        </w:rPr>
      </w:pPr>
    </w:p>
    <w:p>
      <w:pPr>
        <w:spacing w:before="240" w:line="480" w:lineRule="auto"/>
        <w:rPr>
          <w:rFonts w:asciiTheme="minorEastAsia" w:hAnsiTheme="minorEastAsia" w:eastAsiaTheme="minorEastAsia"/>
          <w:color w:val="auto"/>
          <w:sz w:val="28"/>
          <w:szCs w:val="28"/>
        </w:rPr>
      </w:pPr>
    </w:p>
    <w:p>
      <w:pPr>
        <w:spacing w:before="240" w:line="480" w:lineRule="auto"/>
        <w:rPr>
          <w:rFonts w:asciiTheme="minorEastAsia" w:hAnsiTheme="minorEastAsia" w:eastAsiaTheme="minorEastAsia"/>
          <w:color w:val="auto"/>
          <w:sz w:val="28"/>
          <w:szCs w:val="28"/>
        </w:rPr>
      </w:pPr>
    </w:p>
    <w:p>
      <w:pPr>
        <w:spacing w:before="240" w:line="480" w:lineRule="auto"/>
        <w:rPr>
          <w:rFonts w:asciiTheme="minorEastAsia" w:hAnsiTheme="minorEastAsia" w:eastAsiaTheme="minorEastAsia"/>
          <w:color w:val="auto"/>
          <w:sz w:val="28"/>
          <w:szCs w:val="28"/>
        </w:rPr>
      </w:pPr>
    </w:p>
    <w:p>
      <w:pPr>
        <w:rPr>
          <w:rFonts w:asciiTheme="minorEastAsia" w:hAnsiTheme="minorEastAsia" w:eastAsiaTheme="minorEastAsia"/>
          <w:color w:val="auto"/>
          <w:sz w:val="28"/>
          <w:szCs w:val="28"/>
          <w:u w:val="single"/>
        </w:rPr>
      </w:pPr>
      <w:bookmarkStart w:id="117" w:name="_Toc21393"/>
      <w:bookmarkStart w:id="118" w:name="_Toc3409"/>
      <w:bookmarkStart w:id="119" w:name="_Toc13943"/>
      <w:bookmarkStart w:id="120" w:name="_Toc23528"/>
      <w:r>
        <w:rPr>
          <w:rFonts w:hint="eastAsia" w:asciiTheme="minorEastAsia" w:hAnsiTheme="minorEastAsia" w:eastAsiaTheme="minorEastAsia"/>
          <w:color w:val="auto"/>
          <w:sz w:val="28"/>
          <w:szCs w:val="28"/>
        </w:rPr>
        <w:t>供应商名称：</w:t>
      </w:r>
      <w:bookmarkEnd w:id="117"/>
      <w:bookmarkEnd w:id="118"/>
      <w:bookmarkEnd w:id="119"/>
      <w:bookmarkEnd w:id="120"/>
    </w:p>
    <w:p>
      <w:pPr>
        <w:rPr>
          <w:rFonts w:asciiTheme="minorEastAsia" w:hAnsiTheme="minorEastAsia" w:eastAsiaTheme="minorEastAsia"/>
          <w:color w:val="auto"/>
          <w:sz w:val="28"/>
          <w:szCs w:val="28"/>
        </w:rPr>
      </w:pPr>
      <w:bookmarkStart w:id="121" w:name="_Toc32542"/>
      <w:bookmarkStart w:id="122" w:name="_Toc22035"/>
      <w:bookmarkStart w:id="123" w:name="_Toc12981"/>
      <w:bookmarkStart w:id="124" w:name="_Toc24636"/>
      <w:r>
        <w:rPr>
          <w:rFonts w:hint="eastAsia" w:asciiTheme="minorEastAsia" w:hAnsiTheme="minorEastAsia" w:eastAsiaTheme="minorEastAsia"/>
          <w:color w:val="auto"/>
          <w:sz w:val="28"/>
          <w:szCs w:val="28"/>
        </w:rPr>
        <w:t>法定代表人或其委托代理人</w:t>
      </w:r>
      <w:r>
        <w:rPr>
          <w:rFonts w:hint="eastAsia" w:asciiTheme="minorEastAsia" w:hAnsiTheme="minorEastAsia" w:eastAsiaTheme="minorEastAsia"/>
          <w:color w:val="auto"/>
          <w:sz w:val="28"/>
          <w:szCs w:val="28"/>
          <w:u w:val="single"/>
        </w:rPr>
        <w:t>：</w:t>
      </w:r>
      <w:r>
        <w:rPr>
          <w:rFonts w:hint="eastAsia" w:asciiTheme="minorEastAsia" w:hAnsiTheme="minorEastAsia" w:eastAsiaTheme="minorEastAsia"/>
          <w:color w:val="auto"/>
          <w:sz w:val="28"/>
          <w:szCs w:val="28"/>
        </w:rPr>
        <w:t>（</w:t>
      </w:r>
      <w:r>
        <w:rPr>
          <w:rFonts w:hint="eastAsia" w:asciiTheme="minorEastAsia" w:hAnsiTheme="minorEastAsia" w:eastAsiaTheme="minorEastAsia"/>
          <w:iCs/>
          <w:color w:val="auto"/>
          <w:sz w:val="28"/>
          <w:szCs w:val="28"/>
        </w:rPr>
        <w:t>签字或盖章</w:t>
      </w:r>
      <w:r>
        <w:rPr>
          <w:rFonts w:hint="eastAsia" w:asciiTheme="minorEastAsia" w:hAnsiTheme="minorEastAsia" w:eastAsiaTheme="minorEastAsia"/>
          <w:color w:val="auto"/>
          <w:sz w:val="28"/>
          <w:szCs w:val="28"/>
        </w:rPr>
        <w:t>）</w:t>
      </w:r>
      <w:bookmarkEnd w:id="121"/>
      <w:bookmarkEnd w:id="122"/>
      <w:bookmarkEnd w:id="123"/>
      <w:bookmarkEnd w:id="124"/>
    </w:p>
    <w:p>
      <w:pPr>
        <w:rPr>
          <w:rFonts w:asciiTheme="minorEastAsia" w:hAnsiTheme="minorEastAsia" w:eastAsiaTheme="minorEastAsia"/>
          <w:color w:val="auto"/>
          <w:sz w:val="28"/>
          <w:szCs w:val="28"/>
        </w:rPr>
      </w:pPr>
      <w:bookmarkStart w:id="125" w:name="_Toc25642"/>
      <w:bookmarkStart w:id="126" w:name="_Toc26536"/>
      <w:bookmarkStart w:id="127" w:name="_Toc30352"/>
      <w:bookmarkStart w:id="128" w:name="_Toc15628"/>
      <w:r>
        <w:rPr>
          <w:rFonts w:hint="eastAsia" w:asciiTheme="minorEastAsia" w:hAnsiTheme="minorEastAsia" w:eastAsiaTheme="minorEastAsia"/>
          <w:color w:val="auto"/>
          <w:sz w:val="28"/>
          <w:szCs w:val="28"/>
        </w:rPr>
        <w:t>日期：</w:t>
      </w:r>
      <w:r>
        <w:rPr>
          <w:rFonts w:asciiTheme="minorEastAsia" w:hAnsiTheme="minorEastAsia" w:eastAsiaTheme="minorEastAsia"/>
          <w:color w:val="auto"/>
          <w:sz w:val="28"/>
          <w:szCs w:val="28"/>
        </w:rPr>
        <w:t>年</w:t>
      </w:r>
      <w:r>
        <w:rPr>
          <w:rFonts w:hint="eastAsia" w:asciiTheme="minorEastAsia" w:hAnsiTheme="minorEastAsia" w:eastAsiaTheme="minorEastAsia"/>
          <w:color w:val="auto"/>
          <w:sz w:val="28"/>
          <w:szCs w:val="28"/>
        </w:rPr>
        <w:t>月日</w:t>
      </w:r>
      <w:bookmarkEnd w:id="125"/>
      <w:bookmarkEnd w:id="126"/>
      <w:bookmarkEnd w:id="127"/>
      <w:bookmarkEnd w:id="128"/>
    </w:p>
    <w:p>
      <w:pPr>
        <w:spacing w:beforeLines="50" w:afterLines="50" w:line="480" w:lineRule="auto"/>
        <w:ind w:left="1344" w:leftChars="640" w:firstLine="2800" w:firstLineChars="1000"/>
        <w:rPr>
          <w:rFonts w:asciiTheme="minorEastAsia" w:hAnsiTheme="minorEastAsia" w:eastAsiaTheme="minorEastAsia"/>
          <w:color w:val="auto"/>
          <w:sz w:val="28"/>
          <w:szCs w:val="28"/>
        </w:rPr>
      </w:pPr>
    </w:p>
    <w:p>
      <w:pPr>
        <w:jc w:val="center"/>
        <w:rPr>
          <w:rFonts w:cs="仿宋" w:asciiTheme="minorEastAsia" w:hAnsiTheme="minorEastAsia" w:eastAsiaTheme="minorEastAsia"/>
          <w:b/>
          <w:bCs/>
          <w:color w:val="auto"/>
          <w:kern w:val="44"/>
          <w:sz w:val="40"/>
          <w:szCs w:val="32"/>
        </w:rPr>
      </w:pPr>
      <w:bookmarkStart w:id="129" w:name="_Toc18546"/>
      <w:bookmarkStart w:id="130" w:name="_Toc25516"/>
      <w:r>
        <w:rPr>
          <w:rFonts w:hint="eastAsia" w:cs="仿宋" w:asciiTheme="minorEastAsia" w:hAnsiTheme="minorEastAsia" w:eastAsiaTheme="minorEastAsia"/>
          <w:b/>
          <w:bCs/>
          <w:color w:val="auto"/>
          <w:kern w:val="44"/>
          <w:sz w:val="40"/>
          <w:szCs w:val="32"/>
        </w:rPr>
        <w:t>目录</w:t>
      </w:r>
      <w:bookmarkEnd w:id="129"/>
      <w:bookmarkEnd w:id="130"/>
    </w:p>
    <w:p>
      <w:pPr>
        <w:numPr>
          <w:ilvl w:val="0"/>
          <w:numId w:val="8"/>
        </w:numPr>
        <w:spacing w:line="480" w:lineRule="auto"/>
        <w:rPr>
          <w:rFonts w:asciiTheme="minorEastAsia" w:hAnsiTheme="minorEastAsia" w:eastAsiaTheme="minorEastAsia"/>
          <w:color w:val="auto"/>
          <w:sz w:val="24"/>
          <w:szCs w:val="21"/>
        </w:rPr>
      </w:pPr>
      <w:bookmarkStart w:id="131" w:name="_Toc479"/>
      <w:bookmarkStart w:id="132" w:name="_Toc2814"/>
      <w:r>
        <w:rPr>
          <w:rFonts w:hint="eastAsia" w:asciiTheme="minorEastAsia" w:hAnsiTheme="minorEastAsia" w:eastAsiaTheme="minorEastAsia"/>
          <w:color w:val="auto"/>
          <w:sz w:val="24"/>
          <w:szCs w:val="21"/>
        </w:rPr>
        <w:t>磋商函</w:t>
      </w:r>
      <w:bookmarkEnd w:id="131"/>
      <w:bookmarkEnd w:id="132"/>
      <w:bookmarkStart w:id="133" w:name="_Toc304"/>
      <w:bookmarkStart w:id="134" w:name="_Toc16137"/>
    </w:p>
    <w:p>
      <w:pPr>
        <w:numPr>
          <w:ilvl w:val="0"/>
          <w:numId w:val="8"/>
        </w:numPr>
        <w:spacing w:line="480" w:lineRule="auto"/>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开标一览表</w:t>
      </w:r>
      <w:bookmarkEnd w:id="133"/>
      <w:bookmarkEnd w:id="134"/>
    </w:p>
    <w:p>
      <w:pPr>
        <w:numPr>
          <w:ilvl w:val="0"/>
          <w:numId w:val="8"/>
        </w:numPr>
        <w:spacing w:line="480" w:lineRule="auto"/>
        <w:rPr>
          <w:rFonts w:asciiTheme="minorEastAsia" w:hAnsiTheme="minorEastAsia" w:eastAsiaTheme="minorEastAsia"/>
          <w:color w:val="auto"/>
          <w:sz w:val="24"/>
          <w:szCs w:val="21"/>
        </w:rPr>
      </w:pPr>
      <w:bookmarkStart w:id="135" w:name="_Toc1312"/>
      <w:bookmarkStart w:id="136" w:name="_Toc786"/>
      <w:r>
        <w:rPr>
          <w:rFonts w:hint="eastAsia" w:asciiTheme="minorEastAsia" w:hAnsiTheme="minorEastAsia" w:eastAsiaTheme="minorEastAsia"/>
          <w:color w:val="auto"/>
          <w:sz w:val="24"/>
          <w:szCs w:val="21"/>
        </w:rPr>
        <w:t>分项报价明细表</w:t>
      </w:r>
      <w:bookmarkEnd w:id="135"/>
      <w:bookmarkEnd w:id="136"/>
      <w:bookmarkStart w:id="137" w:name="_Toc15337"/>
      <w:bookmarkStart w:id="138" w:name="_Toc9621"/>
    </w:p>
    <w:p>
      <w:pPr>
        <w:spacing w:line="480" w:lineRule="auto"/>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4、需求响应偏离表</w:t>
      </w:r>
      <w:bookmarkEnd w:id="137"/>
      <w:bookmarkEnd w:id="138"/>
    </w:p>
    <w:p>
      <w:pPr>
        <w:spacing w:line="480" w:lineRule="auto"/>
        <w:rPr>
          <w:rFonts w:asciiTheme="minorEastAsia" w:hAnsiTheme="minorEastAsia" w:eastAsiaTheme="minorEastAsia"/>
          <w:color w:val="auto"/>
          <w:sz w:val="24"/>
          <w:szCs w:val="21"/>
        </w:rPr>
      </w:pPr>
      <w:bookmarkStart w:id="139" w:name="_Toc21058"/>
      <w:bookmarkStart w:id="140" w:name="_Toc27031"/>
      <w:r>
        <w:rPr>
          <w:rFonts w:hint="eastAsia" w:asciiTheme="minorEastAsia" w:hAnsiTheme="minorEastAsia" w:eastAsiaTheme="minorEastAsia"/>
          <w:color w:val="auto"/>
          <w:sz w:val="24"/>
          <w:szCs w:val="21"/>
        </w:rPr>
        <w:t>5、法定代表人身份证明</w:t>
      </w:r>
      <w:bookmarkEnd w:id="139"/>
      <w:bookmarkEnd w:id="140"/>
    </w:p>
    <w:p>
      <w:pPr>
        <w:spacing w:line="480" w:lineRule="auto"/>
        <w:rPr>
          <w:rFonts w:asciiTheme="minorEastAsia" w:hAnsiTheme="minorEastAsia" w:eastAsiaTheme="minorEastAsia"/>
          <w:color w:val="auto"/>
          <w:sz w:val="24"/>
          <w:szCs w:val="21"/>
        </w:rPr>
      </w:pPr>
      <w:bookmarkStart w:id="141" w:name="_Toc7560"/>
      <w:bookmarkStart w:id="142" w:name="_Toc28381"/>
      <w:r>
        <w:rPr>
          <w:rFonts w:hint="eastAsia" w:asciiTheme="minorEastAsia" w:hAnsiTheme="minorEastAsia" w:eastAsiaTheme="minorEastAsia"/>
          <w:color w:val="auto"/>
          <w:sz w:val="24"/>
          <w:szCs w:val="21"/>
        </w:rPr>
        <w:t>6、授权委托书</w:t>
      </w:r>
      <w:bookmarkEnd w:id="141"/>
      <w:bookmarkEnd w:id="142"/>
    </w:p>
    <w:p>
      <w:pPr>
        <w:spacing w:line="480" w:lineRule="auto"/>
        <w:rPr>
          <w:rFonts w:asciiTheme="minorEastAsia" w:hAnsiTheme="minorEastAsia" w:eastAsiaTheme="minorEastAsia"/>
          <w:color w:val="auto"/>
          <w:sz w:val="24"/>
          <w:szCs w:val="21"/>
        </w:rPr>
      </w:pPr>
      <w:bookmarkStart w:id="143" w:name="_Toc24051"/>
      <w:bookmarkStart w:id="144" w:name="_Toc26329"/>
      <w:r>
        <w:rPr>
          <w:rFonts w:hint="eastAsia" w:asciiTheme="minorEastAsia" w:hAnsiTheme="minorEastAsia" w:eastAsiaTheme="minorEastAsia"/>
          <w:color w:val="auto"/>
          <w:sz w:val="24"/>
          <w:szCs w:val="21"/>
        </w:rPr>
        <w:t>7、供应商基本情况表</w:t>
      </w:r>
      <w:bookmarkEnd w:id="143"/>
      <w:bookmarkEnd w:id="144"/>
    </w:p>
    <w:p>
      <w:pPr>
        <w:spacing w:line="480" w:lineRule="auto"/>
        <w:rPr>
          <w:rFonts w:asciiTheme="minorEastAsia" w:hAnsiTheme="minorEastAsia" w:eastAsiaTheme="minorEastAsia"/>
          <w:color w:val="auto"/>
          <w:sz w:val="24"/>
          <w:szCs w:val="21"/>
        </w:rPr>
      </w:pPr>
      <w:bookmarkStart w:id="145" w:name="_Toc13419"/>
      <w:bookmarkStart w:id="146" w:name="_Toc3694"/>
      <w:r>
        <w:rPr>
          <w:rFonts w:hint="eastAsia" w:asciiTheme="minorEastAsia" w:hAnsiTheme="minorEastAsia" w:eastAsiaTheme="minorEastAsia"/>
          <w:color w:val="auto"/>
          <w:sz w:val="24"/>
          <w:szCs w:val="21"/>
        </w:rPr>
        <w:t>8、磋商保证金</w:t>
      </w:r>
      <w:bookmarkEnd w:id="145"/>
      <w:bookmarkEnd w:id="146"/>
    </w:p>
    <w:p>
      <w:pPr>
        <w:spacing w:line="480" w:lineRule="auto"/>
        <w:rPr>
          <w:rFonts w:asciiTheme="minorEastAsia" w:hAnsiTheme="minorEastAsia" w:eastAsiaTheme="minorEastAsia"/>
          <w:color w:val="auto"/>
          <w:sz w:val="24"/>
          <w:szCs w:val="21"/>
        </w:rPr>
      </w:pPr>
      <w:bookmarkStart w:id="147" w:name="_Toc1112"/>
      <w:bookmarkStart w:id="148" w:name="_Toc24179"/>
      <w:r>
        <w:rPr>
          <w:rFonts w:hint="eastAsia" w:asciiTheme="minorEastAsia" w:hAnsiTheme="minorEastAsia" w:eastAsiaTheme="minorEastAsia"/>
          <w:color w:val="auto"/>
          <w:sz w:val="24"/>
          <w:szCs w:val="21"/>
        </w:rPr>
        <w:t>9、无重大违法记录的书面声明</w:t>
      </w:r>
      <w:bookmarkEnd w:id="147"/>
      <w:bookmarkEnd w:id="148"/>
    </w:p>
    <w:p>
      <w:pPr>
        <w:spacing w:line="480" w:lineRule="auto"/>
        <w:rPr>
          <w:rFonts w:asciiTheme="minorEastAsia" w:hAnsiTheme="minorEastAsia" w:eastAsiaTheme="minorEastAsia"/>
          <w:color w:val="auto"/>
          <w:sz w:val="24"/>
          <w:szCs w:val="21"/>
        </w:rPr>
      </w:pPr>
      <w:bookmarkStart w:id="149" w:name="_Toc7961"/>
      <w:bookmarkStart w:id="150" w:name="_Toc26098"/>
      <w:r>
        <w:rPr>
          <w:rFonts w:hint="eastAsia" w:asciiTheme="minorEastAsia" w:hAnsiTheme="minorEastAsia" w:eastAsiaTheme="minorEastAsia"/>
          <w:color w:val="auto"/>
          <w:sz w:val="24"/>
          <w:szCs w:val="21"/>
        </w:rPr>
        <w:t>10、信用查询记录</w:t>
      </w:r>
      <w:bookmarkEnd w:id="149"/>
      <w:bookmarkEnd w:id="150"/>
    </w:p>
    <w:p>
      <w:pPr>
        <w:spacing w:line="480" w:lineRule="auto"/>
        <w:rPr>
          <w:rFonts w:asciiTheme="minorEastAsia" w:hAnsiTheme="minorEastAsia" w:eastAsiaTheme="minorEastAsia"/>
          <w:color w:val="auto"/>
          <w:sz w:val="24"/>
          <w:szCs w:val="21"/>
        </w:rPr>
      </w:pPr>
      <w:bookmarkStart w:id="151" w:name="_Toc20971"/>
      <w:bookmarkStart w:id="152" w:name="_Toc21759"/>
      <w:r>
        <w:rPr>
          <w:rFonts w:hint="eastAsia" w:asciiTheme="minorEastAsia" w:hAnsiTheme="minorEastAsia" w:eastAsiaTheme="minorEastAsia"/>
          <w:color w:val="auto"/>
          <w:sz w:val="24"/>
          <w:szCs w:val="21"/>
        </w:rPr>
        <w:t>11、反商业贿赂承诺书</w:t>
      </w:r>
      <w:bookmarkEnd w:id="151"/>
      <w:bookmarkEnd w:id="152"/>
    </w:p>
    <w:p>
      <w:pPr>
        <w:spacing w:line="480" w:lineRule="auto"/>
        <w:rPr>
          <w:rFonts w:asciiTheme="minorEastAsia" w:hAnsiTheme="minorEastAsia" w:eastAsiaTheme="minorEastAsia"/>
          <w:color w:val="auto"/>
          <w:sz w:val="24"/>
          <w:szCs w:val="21"/>
        </w:rPr>
      </w:pPr>
      <w:bookmarkStart w:id="153" w:name="_Toc2084"/>
      <w:bookmarkStart w:id="154" w:name="_Toc29358"/>
      <w:r>
        <w:rPr>
          <w:rFonts w:hint="eastAsia" w:asciiTheme="minorEastAsia" w:hAnsiTheme="minorEastAsia" w:eastAsiaTheme="minorEastAsia"/>
          <w:color w:val="auto"/>
          <w:sz w:val="24"/>
          <w:szCs w:val="21"/>
        </w:rPr>
        <w:t>12、诚信投标、诚信履约承诺书</w:t>
      </w:r>
      <w:bookmarkEnd w:id="153"/>
      <w:bookmarkEnd w:id="154"/>
    </w:p>
    <w:p>
      <w:pPr>
        <w:spacing w:line="480" w:lineRule="auto"/>
        <w:rPr>
          <w:rFonts w:asciiTheme="minorEastAsia" w:hAnsiTheme="minorEastAsia" w:eastAsiaTheme="minorEastAsia"/>
          <w:color w:val="auto"/>
          <w:sz w:val="24"/>
          <w:szCs w:val="21"/>
        </w:rPr>
      </w:pPr>
      <w:bookmarkStart w:id="155" w:name="_Toc14826"/>
      <w:bookmarkStart w:id="156" w:name="_Toc26702"/>
      <w:r>
        <w:rPr>
          <w:rFonts w:hint="eastAsia" w:asciiTheme="minorEastAsia" w:hAnsiTheme="minorEastAsia" w:eastAsiaTheme="minorEastAsia"/>
          <w:color w:val="auto"/>
          <w:sz w:val="24"/>
          <w:szCs w:val="21"/>
        </w:rPr>
        <w:t>13、</w:t>
      </w:r>
      <w:bookmarkEnd w:id="155"/>
      <w:bookmarkEnd w:id="156"/>
      <w:bookmarkStart w:id="157" w:name="_Toc9382"/>
      <w:bookmarkStart w:id="158" w:name="_Toc11611"/>
      <w:r>
        <w:rPr>
          <w:rFonts w:hint="eastAsia" w:asciiTheme="minorEastAsia" w:hAnsiTheme="minorEastAsia" w:eastAsiaTheme="minorEastAsia"/>
          <w:color w:val="auto"/>
          <w:sz w:val="24"/>
          <w:szCs w:val="21"/>
        </w:rPr>
        <w:t>项目实施服务方案</w:t>
      </w:r>
      <w:bookmarkEnd w:id="157"/>
      <w:bookmarkEnd w:id="158"/>
    </w:p>
    <w:p>
      <w:pPr>
        <w:spacing w:line="480" w:lineRule="auto"/>
        <w:rPr>
          <w:rFonts w:asciiTheme="minorEastAsia" w:hAnsiTheme="minorEastAsia" w:eastAsiaTheme="minorEastAsia"/>
          <w:color w:val="auto"/>
          <w:sz w:val="24"/>
          <w:szCs w:val="21"/>
        </w:rPr>
      </w:pPr>
      <w:bookmarkStart w:id="159" w:name="_Toc8486"/>
      <w:bookmarkStart w:id="160" w:name="_Toc23301"/>
      <w:r>
        <w:rPr>
          <w:rFonts w:hint="eastAsia" w:asciiTheme="minorEastAsia" w:hAnsiTheme="minorEastAsia" w:eastAsiaTheme="minorEastAsia"/>
          <w:color w:val="auto"/>
          <w:sz w:val="24"/>
          <w:szCs w:val="21"/>
        </w:rPr>
        <w:t>14、</w:t>
      </w:r>
      <w:bookmarkEnd w:id="159"/>
      <w:bookmarkEnd w:id="160"/>
      <w:r>
        <w:rPr>
          <w:rFonts w:hint="eastAsia" w:asciiTheme="minorEastAsia" w:hAnsiTheme="minorEastAsia" w:eastAsiaTheme="minorEastAsia"/>
          <w:color w:val="auto"/>
          <w:sz w:val="24"/>
          <w:szCs w:val="21"/>
        </w:rPr>
        <w:t>中小企业声明函</w:t>
      </w:r>
    </w:p>
    <w:p>
      <w:pPr>
        <w:spacing w:line="480" w:lineRule="auto"/>
        <w:rPr>
          <w:rFonts w:asciiTheme="minorEastAsia" w:hAnsiTheme="minorEastAsia" w:eastAsiaTheme="minorEastAsia"/>
          <w:color w:val="auto"/>
          <w:sz w:val="24"/>
          <w:szCs w:val="21"/>
        </w:rPr>
      </w:pPr>
      <w:bookmarkStart w:id="161" w:name="_Toc20159"/>
      <w:bookmarkStart w:id="162" w:name="_Toc24124"/>
      <w:r>
        <w:rPr>
          <w:rFonts w:hint="eastAsia" w:asciiTheme="minorEastAsia" w:hAnsiTheme="minorEastAsia" w:eastAsiaTheme="minorEastAsia"/>
          <w:color w:val="auto"/>
          <w:sz w:val="24"/>
          <w:szCs w:val="21"/>
        </w:rPr>
        <w:t>15、残疾人福利性单位声明函</w:t>
      </w:r>
    </w:p>
    <w:p>
      <w:pPr>
        <w:spacing w:line="480" w:lineRule="auto"/>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16、其他材料</w:t>
      </w:r>
    </w:p>
    <w:p>
      <w:pPr>
        <w:spacing w:line="480" w:lineRule="auto"/>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附件一、</w:t>
      </w:r>
      <w:r>
        <w:rPr>
          <w:rFonts w:asciiTheme="minorEastAsia" w:hAnsiTheme="minorEastAsia" w:eastAsiaTheme="minorEastAsia"/>
          <w:color w:val="auto"/>
          <w:sz w:val="24"/>
          <w:szCs w:val="21"/>
        </w:rPr>
        <w:t>第二次报价（格式）</w:t>
      </w:r>
      <w:bookmarkEnd w:id="161"/>
      <w:bookmarkEnd w:id="162"/>
    </w:p>
    <w:p>
      <w:pPr>
        <w:spacing w:line="480" w:lineRule="auto"/>
        <w:rPr>
          <w:rFonts w:asciiTheme="minorEastAsia" w:hAnsiTheme="minorEastAsia" w:eastAsiaTheme="minorEastAsia"/>
          <w:color w:val="auto"/>
          <w:sz w:val="24"/>
          <w:szCs w:val="21"/>
        </w:rPr>
      </w:pPr>
      <w:r>
        <w:rPr>
          <w:rFonts w:hint="eastAsia" w:asciiTheme="minorEastAsia" w:hAnsiTheme="minorEastAsia" w:eastAsiaTheme="minorEastAsia"/>
          <w:color w:val="auto"/>
          <w:sz w:val="24"/>
          <w:szCs w:val="21"/>
        </w:rPr>
        <w:t>附件二：保证金退还账户信息确认表</w:t>
      </w:r>
    </w:p>
    <w:p>
      <w:pPr>
        <w:rPr>
          <w:rFonts w:asciiTheme="minorEastAsia" w:hAnsiTheme="minorEastAsia" w:eastAsiaTheme="minorEastAsia"/>
          <w:color w:val="auto"/>
          <w:sz w:val="22"/>
          <w:szCs w:val="28"/>
        </w:rPr>
      </w:pPr>
    </w:p>
    <w:p>
      <w:pPr>
        <w:pStyle w:val="4"/>
        <w:jc w:val="center"/>
        <w:rPr>
          <w:rFonts w:asciiTheme="minorEastAsia" w:hAnsiTheme="minorEastAsia" w:eastAsiaTheme="minorEastAsia"/>
          <w:color w:val="auto"/>
          <w:sz w:val="28"/>
          <w:szCs w:val="36"/>
        </w:rPr>
      </w:pPr>
      <w:r>
        <w:rPr>
          <w:rFonts w:asciiTheme="minorEastAsia" w:hAnsiTheme="minorEastAsia" w:eastAsiaTheme="minorEastAsia"/>
          <w:color w:val="auto"/>
          <w:szCs w:val="21"/>
        </w:rPr>
        <w:br w:type="page"/>
      </w:r>
      <w:bookmarkStart w:id="163" w:name="_Toc32602"/>
      <w:bookmarkStart w:id="164" w:name="_Toc26289806"/>
      <w:bookmarkStart w:id="165" w:name="_Toc31139"/>
      <w:r>
        <w:rPr>
          <w:rFonts w:hint="eastAsia" w:asciiTheme="minorEastAsia" w:hAnsiTheme="minorEastAsia" w:eastAsiaTheme="minorEastAsia"/>
          <w:b w:val="0"/>
          <w:bCs w:val="0"/>
          <w:color w:val="auto"/>
          <w:sz w:val="28"/>
          <w:szCs w:val="28"/>
        </w:rPr>
        <w:t>1、磋商函</w:t>
      </w:r>
      <w:bookmarkEnd w:id="163"/>
      <w:bookmarkEnd w:id="164"/>
      <w:bookmarkEnd w:id="165"/>
    </w:p>
    <w:p>
      <w:pPr>
        <w:pStyle w:val="8"/>
        <w:overflowPunct w:val="0"/>
        <w:spacing w:before="240" w:line="480" w:lineRule="auto"/>
        <w:ind w:left="465" w:firstLine="0"/>
        <w:rPr>
          <w:rFonts w:asciiTheme="minorEastAsia" w:hAnsiTheme="minorEastAsia" w:eastAsiaTheme="minorEastAsia"/>
          <w:color w:val="auto"/>
          <w:sz w:val="21"/>
          <w:szCs w:val="21"/>
        </w:rPr>
      </w:pPr>
      <w:r>
        <w:rPr>
          <w:rFonts w:hint="eastAsia" w:asciiTheme="minorEastAsia" w:hAnsiTheme="minorEastAsia" w:eastAsiaTheme="minorEastAsia"/>
          <w:color w:val="auto"/>
          <w:szCs w:val="24"/>
        </w:rPr>
        <w:t>致</w:t>
      </w:r>
      <w:r>
        <w:rPr>
          <w:rFonts w:hint="eastAsia" w:asciiTheme="minorEastAsia" w:hAnsiTheme="minorEastAsia" w:eastAsiaTheme="minorEastAsia"/>
          <w:color w:val="auto"/>
          <w:sz w:val="21"/>
          <w:szCs w:val="21"/>
        </w:rPr>
        <w:t>：（采购人名称）</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我方仔细阅读并全面研究了</w:t>
      </w:r>
      <w:r>
        <w:rPr>
          <w:rFonts w:hint="eastAsia" w:asciiTheme="minorEastAsia" w:hAnsiTheme="minorEastAsia" w:eastAsiaTheme="minorEastAsia"/>
          <w:color w:val="auto"/>
          <w:sz w:val="21"/>
          <w:szCs w:val="21"/>
          <w:u w:val="single"/>
        </w:rPr>
        <w:t>项目（项目编号：）</w:t>
      </w:r>
      <w:r>
        <w:rPr>
          <w:rFonts w:hint="eastAsia" w:asciiTheme="minorEastAsia" w:hAnsiTheme="minorEastAsia" w:eastAsiaTheme="minorEastAsia"/>
          <w:color w:val="auto"/>
          <w:sz w:val="21"/>
          <w:szCs w:val="21"/>
        </w:rPr>
        <w:t>磋商文件，决定响应磋商文件的邀请，参加本项目投标。</w:t>
      </w:r>
    </w:p>
    <w:p>
      <w:pPr>
        <w:spacing w:before="240" w:line="480" w:lineRule="auto"/>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1</w:t>
      </w:r>
      <w:r>
        <w:rPr>
          <w:rFonts w:hint="eastAsia" w:asciiTheme="minorEastAsia" w:hAnsiTheme="minorEastAsia" w:eastAsiaTheme="minorEastAsia"/>
          <w:color w:val="auto"/>
          <w:szCs w:val="21"/>
        </w:rPr>
        <w:t>、我方自愿按照磋商文件规定的各项要求向采购人提供所需承接主体内的服务。我方提供的《开标一览表》的报价，包括了完成该项目服务期内全部内容的一切费用。我方的投标价为(人民币): （大写）（￥）。</w:t>
      </w:r>
    </w:p>
    <w:p>
      <w:pPr>
        <w:pStyle w:val="45"/>
        <w:spacing w:before="240" w:line="480" w:lineRule="auto"/>
        <w:ind w:firstLine="420" w:firstLineChars="20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2</w:t>
      </w:r>
      <w:r>
        <w:rPr>
          <w:rFonts w:hint="eastAsia" w:asciiTheme="minorEastAsia" w:hAnsiTheme="minorEastAsia" w:eastAsiaTheme="minorEastAsia"/>
          <w:color w:val="auto"/>
          <w:sz w:val="21"/>
          <w:szCs w:val="21"/>
        </w:rPr>
        <w:t>、我方充分理解并完全接受磋商文件的各项规定和要求，没有任何异议，不附加任何条件。</w:t>
      </w:r>
    </w:p>
    <w:p>
      <w:pPr>
        <w:pStyle w:val="45"/>
        <w:spacing w:before="240" w:line="480" w:lineRule="auto"/>
        <w:ind w:firstLine="420" w:firstLineChars="20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w:t>
      </w:r>
      <w:r>
        <w:rPr>
          <w:rFonts w:hint="eastAsia" w:asciiTheme="minorEastAsia" w:hAnsiTheme="minorEastAsia" w:eastAsiaTheme="minorEastAsia"/>
          <w:color w:val="auto"/>
          <w:sz w:val="21"/>
          <w:szCs w:val="21"/>
        </w:rPr>
        <w:t>、如果我方被授予合同，我方将严格履行合同规定的责任和义务，保证按期、按质、按量完成合同义务。</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4、我方同意按照磋商文件的要求，交纳人民币（大写</w:t>
      </w:r>
      <w:r>
        <w:rPr>
          <w:rFonts w:hint="eastAsia" w:asciiTheme="minorEastAsia" w:hAnsiTheme="minorEastAsia" w:eastAsiaTheme="minorEastAsia"/>
          <w:color w:val="auto"/>
          <w:sz w:val="21"/>
          <w:szCs w:val="21"/>
          <w:u w:val="single"/>
        </w:rPr>
        <w:t>）</w:t>
      </w:r>
      <w:r>
        <w:rPr>
          <w:rFonts w:hint="eastAsia" w:asciiTheme="minorEastAsia" w:hAnsiTheme="minorEastAsia" w:eastAsiaTheme="minorEastAsia"/>
          <w:color w:val="auto"/>
          <w:sz w:val="21"/>
          <w:szCs w:val="21"/>
        </w:rPr>
        <w:t>：元的响应保证金。并承诺如果发生下列情况，我方无权要求退还响应保证金：</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（1）我方在投标有效期内撤回投标；</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（2）我方提供了虚假响应磋商文件的响应文件；</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（3）在投标过程中有违反法律法规和相关纪律的行为；</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（4）在收到成交通知书后并在投标有效期内，由于我方原因未能按照磋商文件要求提交履约保证金或未与采购人签订并履行合同。</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5、我方同意按磋商文件中的规定，本响应文件的有效期限为开标后</w:t>
      </w:r>
      <w:r>
        <w:rPr>
          <w:rFonts w:hint="eastAsia" w:asciiTheme="minorEastAsia" w:hAnsiTheme="minorEastAsia" w:eastAsiaTheme="minorEastAsia"/>
          <w:color w:val="auto"/>
          <w:sz w:val="21"/>
          <w:szCs w:val="21"/>
          <w:u w:val="single"/>
        </w:rPr>
        <w:t>90</w:t>
      </w:r>
      <w:r>
        <w:rPr>
          <w:rFonts w:hint="eastAsia" w:asciiTheme="minorEastAsia" w:hAnsiTheme="minorEastAsia" w:eastAsiaTheme="minorEastAsia"/>
          <w:color w:val="auto"/>
          <w:sz w:val="21"/>
          <w:szCs w:val="21"/>
        </w:rPr>
        <w:t>天。</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6、我方愿意提供采购方在磋商文件中要求的所有资料。</w:t>
      </w:r>
    </w:p>
    <w:p>
      <w:pPr>
        <w:pStyle w:val="45"/>
        <w:spacing w:before="240" w:line="480" w:lineRule="auto"/>
        <w:ind w:firstLine="420" w:firstLineChars="20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7</w:t>
      </w:r>
      <w:r>
        <w:rPr>
          <w:rFonts w:hint="eastAsia" w:asciiTheme="minorEastAsia" w:hAnsiTheme="minorEastAsia" w:eastAsiaTheme="minorEastAsia"/>
          <w:color w:val="auto"/>
          <w:sz w:val="21"/>
          <w:szCs w:val="21"/>
        </w:rPr>
        <w:t>、我方愿意遵守磋商公告及磋商文件中明示的收费标准。</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8、我方承诺该项投标在开标后至投标有效期截止前保持有效，不作任何更改和变动。</w:t>
      </w:r>
    </w:p>
    <w:p>
      <w:pPr>
        <w:pStyle w:val="45"/>
        <w:spacing w:before="240" w:line="480" w:lineRule="auto"/>
        <w:ind w:left="3399" w:leftChars="200" w:hanging="2979" w:hangingChars="1419"/>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供应商名称：（供应商单位名称并加盖公章）</w:t>
      </w:r>
    </w:p>
    <w:p>
      <w:pPr>
        <w:pStyle w:val="45"/>
        <w:spacing w:before="240" w:line="480" w:lineRule="auto"/>
        <w:ind w:left="3399" w:leftChars="200" w:hanging="2979" w:hangingChars="1419"/>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法定代表人或其委托代理人：</w:t>
      </w:r>
      <w:r>
        <w:rPr>
          <w:rFonts w:hint="eastAsia" w:asciiTheme="minorEastAsia" w:hAnsiTheme="minorEastAsia" w:eastAsiaTheme="minorEastAsia"/>
          <w:iCs/>
          <w:color w:val="auto"/>
          <w:sz w:val="21"/>
          <w:szCs w:val="21"/>
        </w:rPr>
        <w:t>（签字或盖章）</w:t>
      </w:r>
    </w:p>
    <w:p>
      <w:pPr>
        <w:pStyle w:val="45"/>
        <w:tabs>
          <w:tab w:val="left" w:pos="5040"/>
        </w:tabs>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地址：</w:t>
      </w:r>
      <w:r>
        <w:rPr>
          <w:rFonts w:hint="eastAsia" w:asciiTheme="minorEastAsia" w:hAnsiTheme="minorEastAsia" w:eastAsiaTheme="minorEastAsia"/>
          <w:color w:val="auto"/>
          <w:sz w:val="21"/>
          <w:szCs w:val="21"/>
          <w:u w:val="single"/>
        </w:rPr>
        <w:tab/>
      </w:r>
    </w:p>
    <w:p>
      <w:pPr>
        <w:pStyle w:val="45"/>
        <w:tabs>
          <w:tab w:val="left" w:pos="5040"/>
        </w:tabs>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u w:val="single"/>
        </w:rPr>
        <w:tab/>
      </w:r>
    </w:p>
    <w:p>
      <w:pPr>
        <w:pStyle w:val="45"/>
        <w:tabs>
          <w:tab w:val="left" w:pos="5040"/>
        </w:tabs>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电子邮件：</w:t>
      </w:r>
      <w:r>
        <w:rPr>
          <w:rFonts w:hint="eastAsia" w:asciiTheme="minorEastAsia" w:hAnsiTheme="minorEastAsia" w:eastAsiaTheme="minorEastAsia"/>
          <w:color w:val="auto"/>
          <w:sz w:val="21"/>
          <w:szCs w:val="21"/>
          <w:u w:val="single"/>
        </w:rPr>
        <w:tab/>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邮政编码：</w:t>
      </w:r>
    </w:p>
    <w:p>
      <w:pPr>
        <w:pStyle w:val="45"/>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联系电话：</w:t>
      </w:r>
    </w:p>
    <w:p>
      <w:pPr>
        <w:pStyle w:val="45"/>
        <w:tabs>
          <w:tab w:val="left" w:pos="5040"/>
        </w:tabs>
        <w:spacing w:before="240" w:line="480" w:lineRule="auto"/>
        <w:ind w:firstLine="420" w:firstLineChars="200"/>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传真：</w:t>
      </w:r>
    </w:p>
    <w:p>
      <w:pPr>
        <w:pStyle w:val="45"/>
        <w:spacing w:before="240" w:line="480" w:lineRule="auto"/>
        <w:rPr>
          <w:rFonts w:asciiTheme="minorEastAsia" w:hAnsiTheme="minorEastAsia" w:eastAsiaTheme="minorEastAsia"/>
          <w:color w:val="auto"/>
          <w:sz w:val="21"/>
          <w:szCs w:val="21"/>
        </w:rPr>
      </w:pPr>
    </w:p>
    <w:p>
      <w:pPr>
        <w:pStyle w:val="45"/>
        <w:spacing w:before="240" w:line="480" w:lineRule="auto"/>
        <w:ind w:firstLine="4410" w:firstLineChars="2100"/>
        <w:rPr>
          <w:rFonts w:asciiTheme="minorEastAsia" w:hAnsiTheme="minorEastAsia" w:eastAsiaTheme="minorEastAsia"/>
          <w:color w:val="auto"/>
          <w:sz w:val="21"/>
          <w:szCs w:val="21"/>
        </w:rPr>
        <w:sectPr>
          <w:footerReference r:id="rId12" w:type="first"/>
          <w:headerReference r:id="rId10" w:type="default"/>
          <w:footerReference r:id="rId11" w:type="default"/>
          <w:pgSz w:w="11906" w:h="16838"/>
          <w:pgMar w:top="1418" w:right="1418" w:bottom="1418" w:left="1588" w:header="851" w:footer="851" w:gutter="0"/>
          <w:cols w:space="720" w:num="1"/>
          <w:titlePg/>
          <w:docGrid w:type="lines" w:linePitch="312" w:charSpace="0"/>
        </w:sectPr>
      </w:pPr>
      <w:r>
        <w:rPr>
          <w:rFonts w:hint="eastAsia" w:asciiTheme="minorEastAsia" w:hAnsiTheme="minorEastAsia" w:eastAsiaTheme="minorEastAsia"/>
          <w:color w:val="auto"/>
          <w:sz w:val="21"/>
          <w:szCs w:val="21"/>
        </w:rPr>
        <w:t>日期：年月日</w:t>
      </w:r>
    </w:p>
    <w:p>
      <w:pPr>
        <w:pStyle w:val="4"/>
        <w:jc w:val="center"/>
        <w:rPr>
          <w:rFonts w:asciiTheme="minorEastAsia" w:hAnsiTheme="minorEastAsia" w:eastAsiaTheme="minorEastAsia"/>
          <w:b w:val="0"/>
          <w:bCs w:val="0"/>
          <w:color w:val="auto"/>
          <w:sz w:val="28"/>
          <w:szCs w:val="28"/>
        </w:rPr>
      </w:pPr>
      <w:bookmarkStart w:id="166" w:name="_Toc12325"/>
      <w:bookmarkStart w:id="167" w:name="_Toc26289807"/>
      <w:bookmarkStart w:id="168" w:name="_Toc1119"/>
      <w:r>
        <w:rPr>
          <w:rFonts w:hint="eastAsia" w:asciiTheme="minorEastAsia" w:hAnsiTheme="minorEastAsia" w:eastAsiaTheme="minorEastAsia"/>
          <w:b w:val="0"/>
          <w:bCs w:val="0"/>
          <w:color w:val="auto"/>
          <w:sz w:val="28"/>
          <w:szCs w:val="28"/>
        </w:rPr>
        <w:t>2、开标一览表</w:t>
      </w:r>
      <w:bookmarkEnd w:id="166"/>
      <w:bookmarkEnd w:id="167"/>
      <w:bookmarkEnd w:id="168"/>
    </w:p>
    <w:p>
      <w:pPr>
        <w:rPr>
          <w:rFonts w:asciiTheme="minorEastAsia" w:hAnsiTheme="minorEastAsia" w:eastAsiaTheme="minorEastAsia"/>
          <w:color w:val="auto"/>
        </w:rPr>
      </w:pPr>
      <w:bookmarkStart w:id="169" w:name="_Toc201465544"/>
      <w:bookmarkStart w:id="170" w:name="_Toc317237633"/>
      <w:bookmarkStart w:id="171" w:name="_Toc202875604"/>
      <w:bookmarkStart w:id="172" w:name="_Toc27021"/>
      <w:r>
        <w:rPr>
          <w:rFonts w:hint="eastAsia" w:asciiTheme="minorEastAsia" w:hAnsiTheme="minorEastAsia" w:eastAsiaTheme="minorEastAsia"/>
          <w:color w:val="auto"/>
        </w:rPr>
        <w:t>项目名称：</w:t>
      </w:r>
    </w:p>
    <w:p>
      <w:pPr>
        <w:rPr>
          <w:rFonts w:asciiTheme="minorEastAsia" w:hAnsiTheme="minorEastAsia" w:eastAsiaTheme="minorEastAsia"/>
          <w:color w:val="auto"/>
        </w:rPr>
      </w:pPr>
      <w:r>
        <w:rPr>
          <w:rFonts w:hint="eastAsia" w:asciiTheme="minorEastAsia" w:hAnsiTheme="minorEastAsia" w:eastAsiaTheme="minorEastAsia"/>
          <w:color w:val="auto"/>
        </w:rPr>
        <w:t>项目编号：</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3576"/>
        <w:gridCol w:w="1914"/>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494" w:type="dxa"/>
            <w:vAlign w:val="center"/>
          </w:tcPr>
          <w:p>
            <w:pPr>
              <w:rPr>
                <w:rFonts w:asciiTheme="minorEastAsia" w:hAnsiTheme="minorEastAsia" w:eastAsiaTheme="minorEastAsia"/>
                <w:color w:val="auto"/>
              </w:rPr>
            </w:pPr>
            <w:r>
              <w:rPr>
                <w:rFonts w:hint="eastAsia" w:asciiTheme="minorEastAsia" w:hAnsiTheme="minorEastAsia" w:eastAsiaTheme="minorEastAsia"/>
                <w:color w:val="auto"/>
              </w:rPr>
              <w:t>供应商名称</w:t>
            </w:r>
          </w:p>
        </w:tc>
        <w:tc>
          <w:tcPr>
            <w:tcW w:w="7403" w:type="dxa"/>
            <w:gridSpan w:val="3"/>
            <w:vAlign w:val="center"/>
          </w:tcPr>
          <w:p>
            <w:pP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4" w:type="dxa"/>
            <w:vMerge w:val="restart"/>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供应商投标报价（含税）</w:t>
            </w:r>
          </w:p>
        </w:tc>
        <w:tc>
          <w:tcPr>
            <w:tcW w:w="3576" w:type="dxa"/>
            <w:vAlign w:val="center"/>
          </w:tcPr>
          <w:p>
            <w:pPr>
              <w:rPr>
                <w:rFonts w:asciiTheme="minorEastAsia" w:hAnsiTheme="minorEastAsia" w:eastAsiaTheme="minorEastAsia"/>
                <w:color w:val="auto"/>
              </w:rPr>
            </w:pPr>
            <w:r>
              <w:rPr>
                <w:rFonts w:hint="eastAsia" w:asciiTheme="minorEastAsia" w:hAnsiTheme="minorEastAsia" w:eastAsiaTheme="minorEastAsia"/>
                <w:color w:val="auto"/>
              </w:rPr>
              <w:t>大写：</w:t>
            </w:r>
          </w:p>
        </w:tc>
        <w:tc>
          <w:tcPr>
            <w:tcW w:w="1914"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服务期</w:t>
            </w:r>
          </w:p>
        </w:tc>
        <w:tc>
          <w:tcPr>
            <w:tcW w:w="1913" w:type="dxa"/>
            <w:vAlign w:val="center"/>
          </w:tcPr>
          <w:p>
            <w:pPr>
              <w:jc w:val="center"/>
              <w:rPr>
                <w:rFonts w:asciiTheme="minorEastAsia" w:hAnsiTheme="minorEastAsia" w:eastAsiaTheme="minorEastAsia"/>
                <w:color w:val="auto"/>
              </w:rPr>
            </w:pPr>
            <w:r>
              <w:rPr>
                <w:rFonts w:hint="eastAsia" w:asciiTheme="minorEastAsia" w:hAnsiTheme="minorEastAsia" w:eastAsiaTheme="minorEastAsia"/>
                <w:color w:val="auto"/>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494" w:type="dxa"/>
            <w:vMerge w:val="continue"/>
            <w:vAlign w:val="center"/>
          </w:tcPr>
          <w:p>
            <w:pPr>
              <w:rPr>
                <w:rFonts w:asciiTheme="minorEastAsia" w:hAnsiTheme="minorEastAsia" w:eastAsiaTheme="minorEastAsia"/>
                <w:color w:val="auto"/>
              </w:rPr>
            </w:pPr>
          </w:p>
        </w:tc>
        <w:tc>
          <w:tcPr>
            <w:tcW w:w="3576" w:type="dxa"/>
            <w:vAlign w:val="center"/>
          </w:tcPr>
          <w:p>
            <w:pPr>
              <w:rPr>
                <w:rFonts w:asciiTheme="minorEastAsia" w:hAnsiTheme="minorEastAsia" w:eastAsiaTheme="minorEastAsia"/>
                <w:color w:val="auto"/>
              </w:rPr>
            </w:pPr>
            <w:r>
              <w:rPr>
                <w:rFonts w:hint="eastAsia" w:asciiTheme="minorEastAsia" w:hAnsiTheme="minorEastAsia" w:eastAsiaTheme="minorEastAsia"/>
                <w:color w:val="auto"/>
              </w:rPr>
              <w:t>小写：</w:t>
            </w:r>
          </w:p>
        </w:tc>
        <w:tc>
          <w:tcPr>
            <w:tcW w:w="1914" w:type="dxa"/>
            <w:vAlign w:val="center"/>
          </w:tcPr>
          <w:p>
            <w:pPr>
              <w:rPr>
                <w:rFonts w:asciiTheme="minorEastAsia" w:hAnsiTheme="minorEastAsia" w:eastAsiaTheme="minorEastAsia"/>
                <w:color w:val="auto"/>
              </w:rPr>
            </w:pPr>
          </w:p>
        </w:tc>
        <w:tc>
          <w:tcPr>
            <w:tcW w:w="1913" w:type="dxa"/>
            <w:vAlign w:val="center"/>
          </w:tcPr>
          <w:p>
            <w:pP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8897" w:type="dxa"/>
            <w:gridSpan w:val="4"/>
            <w:vAlign w:val="center"/>
          </w:tcPr>
          <w:p>
            <w:pPr>
              <w:rPr>
                <w:rFonts w:asciiTheme="minorEastAsia" w:hAnsiTheme="minorEastAsia" w:eastAsiaTheme="minorEastAsia"/>
                <w:color w:val="auto"/>
              </w:rPr>
            </w:pPr>
            <w:r>
              <w:rPr>
                <w:rFonts w:hint="eastAsia" w:asciiTheme="minorEastAsia" w:hAnsiTheme="minorEastAsia" w:eastAsiaTheme="minorEastAsia"/>
                <w:color w:val="auto"/>
              </w:rPr>
              <w:t>备注：</w:t>
            </w:r>
          </w:p>
        </w:tc>
      </w:tr>
    </w:tbl>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bookmarkStart w:id="173" w:name="_Toc12395"/>
      <w:bookmarkStart w:id="174" w:name="_Toc16961"/>
      <w:r>
        <w:rPr>
          <w:rFonts w:hint="eastAsia" w:asciiTheme="minorEastAsia" w:hAnsiTheme="minorEastAsia" w:eastAsiaTheme="minorEastAsia"/>
          <w:color w:val="auto"/>
        </w:rPr>
        <w:t>供应商名称(公章)：</w:t>
      </w:r>
      <w:bookmarkEnd w:id="173"/>
      <w:bookmarkEnd w:id="174"/>
    </w:p>
    <w:p>
      <w:pPr>
        <w:rPr>
          <w:rFonts w:asciiTheme="minorEastAsia" w:hAnsiTheme="minorEastAsia" w:eastAsiaTheme="minorEastAsia"/>
          <w:color w:val="auto"/>
        </w:rPr>
      </w:pPr>
    </w:p>
    <w:p>
      <w:pPr>
        <w:rPr>
          <w:rFonts w:asciiTheme="minorEastAsia" w:hAnsiTheme="minorEastAsia" w:eastAsiaTheme="minorEastAsia"/>
          <w:color w:val="auto"/>
        </w:rPr>
      </w:pPr>
      <w:bookmarkStart w:id="175" w:name="_Toc19046"/>
      <w:bookmarkStart w:id="176" w:name="_Toc11644"/>
      <w:r>
        <w:rPr>
          <w:rFonts w:hint="eastAsia" w:asciiTheme="minorEastAsia" w:hAnsiTheme="minorEastAsia" w:eastAsiaTheme="minorEastAsia"/>
          <w:color w:val="auto"/>
        </w:rPr>
        <w:t>法定代表人(签字或盖章)：</w:t>
      </w:r>
      <w:bookmarkEnd w:id="175"/>
      <w:bookmarkEnd w:id="176"/>
    </w:p>
    <w:p>
      <w:pPr>
        <w:rPr>
          <w:rFonts w:asciiTheme="minorEastAsia" w:hAnsiTheme="minorEastAsia" w:eastAsiaTheme="minorEastAsia"/>
          <w:color w:val="auto"/>
        </w:rPr>
      </w:pPr>
    </w:p>
    <w:p>
      <w:pPr>
        <w:rPr>
          <w:rFonts w:asciiTheme="minorEastAsia" w:hAnsiTheme="minorEastAsia" w:eastAsiaTheme="minorEastAsia"/>
          <w:color w:val="auto"/>
        </w:rPr>
      </w:pPr>
      <w:bookmarkStart w:id="177" w:name="_Toc22910"/>
      <w:bookmarkStart w:id="178" w:name="_Toc6676"/>
      <w:r>
        <w:rPr>
          <w:rFonts w:hint="eastAsia" w:asciiTheme="minorEastAsia" w:hAnsiTheme="minorEastAsia" w:eastAsiaTheme="minorEastAsia"/>
          <w:color w:val="auto"/>
        </w:rPr>
        <w:t>日期：_______年_______月_______日</w:t>
      </w:r>
      <w:bookmarkEnd w:id="177"/>
      <w:bookmarkEnd w:id="178"/>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bookmarkStart w:id="179" w:name="_Toc19657"/>
      <w:bookmarkStart w:id="180" w:name="_Toc12963"/>
      <w:r>
        <w:rPr>
          <w:rFonts w:hint="eastAsia" w:asciiTheme="minorEastAsia" w:hAnsiTheme="minorEastAsia" w:eastAsiaTheme="minorEastAsia"/>
          <w:color w:val="auto"/>
        </w:rPr>
        <w:t>说明：</w:t>
      </w:r>
      <w:bookmarkEnd w:id="179"/>
      <w:bookmarkEnd w:id="180"/>
    </w:p>
    <w:p>
      <w:pPr>
        <w:rPr>
          <w:rFonts w:asciiTheme="minorEastAsia" w:hAnsiTheme="minorEastAsia" w:eastAsiaTheme="minorEastAsia"/>
          <w:color w:val="auto"/>
        </w:rPr>
      </w:pPr>
      <w:r>
        <w:rPr>
          <w:rFonts w:hint="eastAsia" w:asciiTheme="minorEastAsia" w:hAnsiTheme="minorEastAsia" w:eastAsiaTheme="minorEastAsia"/>
          <w:color w:val="auto"/>
        </w:rPr>
        <w:t>1.开标一览表按格式填列；</w:t>
      </w:r>
    </w:p>
    <w:p>
      <w:pPr>
        <w:rPr>
          <w:rFonts w:asciiTheme="minorEastAsia" w:hAnsiTheme="minorEastAsia" w:eastAsiaTheme="minorEastAsia"/>
          <w:color w:val="auto"/>
        </w:rPr>
      </w:pPr>
      <w:r>
        <w:rPr>
          <w:rFonts w:hint="eastAsia" w:asciiTheme="minorEastAsia" w:hAnsiTheme="minorEastAsia" w:eastAsiaTheme="minorEastAsia"/>
          <w:color w:val="auto"/>
        </w:rPr>
        <w:t>2.开标一览表在开标大会上当众宣读，务必填写清楚，准确无误，此表单独进行封装一份，响应文件里面也需要放置。</w:t>
      </w:r>
    </w:p>
    <w:p>
      <w:pPr>
        <w:rPr>
          <w:rFonts w:asciiTheme="minorEastAsia" w:hAnsiTheme="minorEastAsia" w:eastAsiaTheme="minorEastAsia"/>
          <w:color w:val="auto"/>
        </w:rPr>
      </w:pPr>
      <w:r>
        <w:rPr>
          <w:rFonts w:hint="eastAsia" w:asciiTheme="minorEastAsia" w:hAnsiTheme="minorEastAsia" w:eastAsiaTheme="minorEastAsia"/>
          <w:color w:val="auto"/>
        </w:rPr>
        <w:t>3.此报价应不超过采购预算，且为项目的总体报价。</w:t>
      </w:r>
    </w:p>
    <w:p>
      <w:pPr>
        <w:rPr>
          <w:rFonts w:asciiTheme="minorEastAsia" w:hAnsiTheme="minorEastAsia" w:eastAsiaTheme="minorEastAsia"/>
          <w:color w:val="auto"/>
        </w:rPr>
      </w:pPr>
      <w:r>
        <w:rPr>
          <w:rFonts w:hint="eastAsia" w:asciiTheme="minorEastAsia" w:hAnsiTheme="minorEastAsia" w:eastAsiaTheme="minorEastAsia"/>
          <w:color w:val="auto"/>
        </w:rPr>
        <w:br w:type="page"/>
      </w:r>
      <w:bookmarkEnd w:id="169"/>
      <w:bookmarkEnd w:id="170"/>
      <w:bookmarkEnd w:id="171"/>
      <w:bookmarkEnd w:id="172"/>
    </w:p>
    <w:p>
      <w:pPr>
        <w:pStyle w:val="4"/>
        <w:jc w:val="center"/>
        <w:rPr>
          <w:rFonts w:asciiTheme="minorEastAsia" w:hAnsiTheme="minorEastAsia" w:eastAsiaTheme="minorEastAsia"/>
          <w:b w:val="0"/>
          <w:bCs w:val="0"/>
          <w:color w:val="auto"/>
          <w:sz w:val="28"/>
          <w:szCs w:val="28"/>
        </w:rPr>
      </w:pPr>
      <w:r>
        <w:rPr>
          <w:rFonts w:hint="eastAsia" w:asciiTheme="minorEastAsia" w:hAnsiTheme="minorEastAsia" w:eastAsiaTheme="minorEastAsia"/>
          <w:b w:val="0"/>
          <w:bCs w:val="0"/>
          <w:color w:val="auto"/>
          <w:sz w:val="28"/>
          <w:szCs w:val="28"/>
        </w:rPr>
        <w:t>3、分项报价明细表</w:t>
      </w:r>
    </w:p>
    <w:p>
      <w:pPr>
        <w:tabs>
          <w:tab w:val="left" w:pos="7200"/>
        </w:tabs>
        <w:adjustRightInd w:val="0"/>
        <w:snapToGrid w:val="0"/>
        <w:spacing w:beforeLines="50" w:afterLines="50"/>
        <w:rPr>
          <w:rFonts w:asciiTheme="minorEastAsia" w:hAnsiTheme="minorEastAsia" w:eastAsiaTheme="minorEastAsia"/>
          <w:color w:val="auto"/>
          <w:szCs w:val="21"/>
          <w:u w:val="single"/>
        </w:rPr>
      </w:pPr>
      <w:r>
        <w:rPr>
          <w:rFonts w:hint="eastAsia" w:asciiTheme="minorEastAsia" w:hAnsiTheme="minorEastAsia" w:eastAsiaTheme="minorEastAsia"/>
          <w:color w:val="auto"/>
          <w:szCs w:val="21"/>
        </w:rPr>
        <w:t>项目名称：</w:t>
      </w:r>
    </w:p>
    <w:tbl>
      <w:tblPr>
        <w:tblStyle w:val="25"/>
        <w:tblpPr w:leftFromText="180" w:rightFromText="180" w:vertAnchor="text" w:horzAnchor="margin" w:tblpY="1730"/>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3009"/>
        <w:gridCol w:w="1223"/>
        <w:gridCol w:w="1221"/>
        <w:gridCol w:w="1464"/>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序号</w:t>
            </w:r>
          </w:p>
        </w:tc>
        <w:tc>
          <w:tcPr>
            <w:tcW w:w="3009"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名称</w:t>
            </w:r>
          </w:p>
        </w:tc>
        <w:tc>
          <w:tcPr>
            <w:tcW w:w="1223"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单位</w:t>
            </w:r>
          </w:p>
        </w:tc>
        <w:tc>
          <w:tcPr>
            <w:tcW w:w="1221"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数量</w:t>
            </w:r>
          </w:p>
        </w:tc>
        <w:tc>
          <w:tcPr>
            <w:tcW w:w="1464"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单价</w:t>
            </w:r>
          </w:p>
        </w:tc>
        <w:tc>
          <w:tcPr>
            <w:tcW w:w="1933"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c>
          <w:tcPr>
            <w:tcW w:w="3009" w:type="dxa"/>
            <w:vAlign w:val="center"/>
          </w:tcPr>
          <w:p>
            <w:pPr>
              <w:spacing w:before="240"/>
              <w:jc w:val="center"/>
              <w:rPr>
                <w:rFonts w:asciiTheme="minorEastAsia" w:hAnsiTheme="minorEastAsia" w:eastAsiaTheme="minorEastAsia"/>
                <w:color w:val="auto"/>
                <w:szCs w:val="21"/>
              </w:rPr>
            </w:pPr>
          </w:p>
        </w:tc>
        <w:tc>
          <w:tcPr>
            <w:tcW w:w="1223" w:type="dxa"/>
            <w:vAlign w:val="center"/>
          </w:tcPr>
          <w:p>
            <w:pPr>
              <w:spacing w:before="240"/>
              <w:jc w:val="center"/>
              <w:rPr>
                <w:rFonts w:asciiTheme="minorEastAsia" w:hAnsiTheme="minorEastAsia" w:eastAsiaTheme="minorEastAsia"/>
                <w:color w:val="auto"/>
                <w:szCs w:val="21"/>
              </w:rPr>
            </w:pPr>
          </w:p>
        </w:tc>
        <w:tc>
          <w:tcPr>
            <w:tcW w:w="1221" w:type="dxa"/>
            <w:vAlign w:val="center"/>
          </w:tcPr>
          <w:p>
            <w:pPr>
              <w:spacing w:before="240"/>
              <w:jc w:val="center"/>
              <w:rPr>
                <w:rFonts w:asciiTheme="minorEastAsia" w:hAnsiTheme="minorEastAsia" w:eastAsiaTheme="minorEastAsia"/>
                <w:color w:val="auto"/>
                <w:szCs w:val="21"/>
              </w:rPr>
            </w:pPr>
          </w:p>
        </w:tc>
        <w:tc>
          <w:tcPr>
            <w:tcW w:w="1464" w:type="dxa"/>
            <w:vAlign w:val="center"/>
          </w:tcPr>
          <w:p>
            <w:pPr>
              <w:spacing w:before="240"/>
              <w:jc w:val="center"/>
              <w:rPr>
                <w:rFonts w:asciiTheme="minorEastAsia" w:hAnsiTheme="minorEastAsia" w:eastAsiaTheme="minorEastAsia"/>
                <w:color w:val="auto"/>
                <w:szCs w:val="21"/>
              </w:rPr>
            </w:pPr>
          </w:p>
        </w:tc>
        <w:tc>
          <w:tcPr>
            <w:tcW w:w="1933" w:type="dxa"/>
            <w:vAlign w:val="center"/>
          </w:tcPr>
          <w:p>
            <w:pPr>
              <w:spacing w:before="240"/>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c>
          <w:tcPr>
            <w:tcW w:w="3009" w:type="dxa"/>
          </w:tcPr>
          <w:p>
            <w:pPr>
              <w:spacing w:before="240"/>
              <w:jc w:val="center"/>
              <w:rPr>
                <w:rFonts w:asciiTheme="minorEastAsia" w:hAnsiTheme="minorEastAsia" w:eastAsiaTheme="minorEastAsia"/>
                <w:color w:val="auto"/>
                <w:szCs w:val="21"/>
              </w:rPr>
            </w:pPr>
          </w:p>
        </w:tc>
        <w:tc>
          <w:tcPr>
            <w:tcW w:w="1223" w:type="dxa"/>
            <w:vAlign w:val="center"/>
          </w:tcPr>
          <w:p>
            <w:pPr>
              <w:spacing w:before="240"/>
              <w:jc w:val="center"/>
              <w:rPr>
                <w:rFonts w:asciiTheme="minorEastAsia" w:hAnsiTheme="minorEastAsia" w:eastAsiaTheme="minorEastAsia"/>
                <w:color w:val="auto"/>
                <w:szCs w:val="21"/>
              </w:rPr>
            </w:pPr>
          </w:p>
        </w:tc>
        <w:tc>
          <w:tcPr>
            <w:tcW w:w="1221" w:type="dxa"/>
            <w:vAlign w:val="center"/>
          </w:tcPr>
          <w:p>
            <w:pPr>
              <w:spacing w:before="240"/>
              <w:jc w:val="center"/>
              <w:rPr>
                <w:rFonts w:asciiTheme="minorEastAsia" w:hAnsiTheme="minorEastAsia" w:eastAsiaTheme="minorEastAsia"/>
                <w:color w:val="auto"/>
                <w:szCs w:val="21"/>
              </w:rPr>
            </w:pPr>
          </w:p>
        </w:tc>
        <w:tc>
          <w:tcPr>
            <w:tcW w:w="1464" w:type="dxa"/>
            <w:vAlign w:val="center"/>
          </w:tcPr>
          <w:p>
            <w:pPr>
              <w:spacing w:before="240"/>
              <w:jc w:val="center"/>
              <w:rPr>
                <w:rFonts w:asciiTheme="minorEastAsia" w:hAnsiTheme="minorEastAsia" w:eastAsiaTheme="minorEastAsia"/>
                <w:color w:val="auto"/>
                <w:szCs w:val="21"/>
              </w:rPr>
            </w:pPr>
          </w:p>
        </w:tc>
        <w:tc>
          <w:tcPr>
            <w:tcW w:w="1933" w:type="dxa"/>
            <w:vAlign w:val="center"/>
          </w:tcPr>
          <w:p>
            <w:pPr>
              <w:spacing w:before="240"/>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c>
          <w:tcPr>
            <w:tcW w:w="3009" w:type="dxa"/>
            <w:vAlign w:val="center"/>
          </w:tcPr>
          <w:p>
            <w:pPr>
              <w:spacing w:before="240"/>
              <w:jc w:val="center"/>
              <w:rPr>
                <w:rFonts w:asciiTheme="minorEastAsia" w:hAnsiTheme="minorEastAsia" w:eastAsiaTheme="minorEastAsia"/>
                <w:color w:val="auto"/>
                <w:szCs w:val="21"/>
              </w:rPr>
            </w:pPr>
          </w:p>
        </w:tc>
        <w:tc>
          <w:tcPr>
            <w:tcW w:w="1223" w:type="dxa"/>
            <w:vAlign w:val="center"/>
          </w:tcPr>
          <w:p>
            <w:pPr>
              <w:spacing w:before="240"/>
              <w:jc w:val="center"/>
              <w:rPr>
                <w:rFonts w:asciiTheme="minorEastAsia" w:hAnsiTheme="minorEastAsia" w:eastAsiaTheme="minorEastAsia"/>
                <w:color w:val="auto"/>
                <w:szCs w:val="21"/>
              </w:rPr>
            </w:pPr>
          </w:p>
        </w:tc>
        <w:tc>
          <w:tcPr>
            <w:tcW w:w="1221" w:type="dxa"/>
            <w:vAlign w:val="center"/>
          </w:tcPr>
          <w:p>
            <w:pPr>
              <w:spacing w:before="240"/>
              <w:jc w:val="center"/>
              <w:rPr>
                <w:rFonts w:asciiTheme="minorEastAsia" w:hAnsiTheme="minorEastAsia" w:eastAsiaTheme="minorEastAsia"/>
                <w:color w:val="auto"/>
                <w:szCs w:val="21"/>
              </w:rPr>
            </w:pPr>
          </w:p>
        </w:tc>
        <w:tc>
          <w:tcPr>
            <w:tcW w:w="1464" w:type="dxa"/>
            <w:vAlign w:val="center"/>
          </w:tcPr>
          <w:p>
            <w:pPr>
              <w:spacing w:before="240"/>
              <w:jc w:val="center"/>
              <w:rPr>
                <w:rFonts w:asciiTheme="minorEastAsia" w:hAnsiTheme="minorEastAsia" w:eastAsiaTheme="minorEastAsia"/>
                <w:color w:val="auto"/>
                <w:szCs w:val="21"/>
              </w:rPr>
            </w:pPr>
          </w:p>
        </w:tc>
        <w:tc>
          <w:tcPr>
            <w:tcW w:w="1933" w:type="dxa"/>
            <w:vAlign w:val="center"/>
          </w:tcPr>
          <w:p>
            <w:pPr>
              <w:spacing w:before="240" w:line="48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c>
          <w:tcPr>
            <w:tcW w:w="3009" w:type="dxa"/>
            <w:vAlign w:val="center"/>
          </w:tcPr>
          <w:p>
            <w:pPr>
              <w:spacing w:before="240"/>
              <w:jc w:val="center"/>
              <w:rPr>
                <w:rFonts w:asciiTheme="minorEastAsia" w:hAnsiTheme="minorEastAsia" w:eastAsiaTheme="minorEastAsia"/>
                <w:color w:val="auto"/>
                <w:szCs w:val="21"/>
              </w:rPr>
            </w:pPr>
          </w:p>
        </w:tc>
        <w:tc>
          <w:tcPr>
            <w:tcW w:w="1223" w:type="dxa"/>
            <w:vAlign w:val="center"/>
          </w:tcPr>
          <w:p>
            <w:pPr>
              <w:spacing w:before="240"/>
              <w:jc w:val="center"/>
              <w:rPr>
                <w:rFonts w:asciiTheme="minorEastAsia" w:hAnsiTheme="minorEastAsia" w:eastAsiaTheme="minorEastAsia"/>
                <w:color w:val="auto"/>
                <w:szCs w:val="21"/>
              </w:rPr>
            </w:pPr>
          </w:p>
        </w:tc>
        <w:tc>
          <w:tcPr>
            <w:tcW w:w="1221" w:type="dxa"/>
            <w:vAlign w:val="center"/>
          </w:tcPr>
          <w:p>
            <w:pPr>
              <w:spacing w:before="240"/>
              <w:jc w:val="center"/>
              <w:rPr>
                <w:rFonts w:asciiTheme="minorEastAsia" w:hAnsiTheme="minorEastAsia" w:eastAsiaTheme="minorEastAsia"/>
                <w:color w:val="auto"/>
                <w:szCs w:val="21"/>
              </w:rPr>
            </w:pPr>
          </w:p>
        </w:tc>
        <w:tc>
          <w:tcPr>
            <w:tcW w:w="1464" w:type="dxa"/>
            <w:vAlign w:val="center"/>
          </w:tcPr>
          <w:p>
            <w:pPr>
              <w:spacing w:before="240"/>
              <w:jc w:val="center"/>
              <w:rPr>
                <w:rFonts w:asciiTheme="minorEastAsia" w:hAnsiTheme="minorEastAsia" w:eastAsiaTheme="minorEastAsia"/>
                <w:color w:val="auto"/>
                <w:szCs w:val="21"/>
              </w:rPr>
            </w:pPr>
          </w:p>
        </w:tc>
        <w:tc>
          <w:tcPr>
            <w:tcW w:w="1933" w:type="dxa"/>
            <w:vAlign w:val="center"/>
          </w:tcPr>
          <w:p>
            <w:pPr>
              <w:spacing w:before="240" w:line="48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w:t>
            </w:r>
          </w:p>
        </w:tc>
        <w:tc>
          <w:tcPr>
            <w:tcW w:w="3009" w:type="dxa"/>
            <w:vAlign w:val="center"/>
          </w:tcPr>
          <w:p>
            <w:pPr>
              <w:spacing w:before="240"/>
              <w:jc w:val="center"/>
              <w:rPr>
                <w:rFonts w:asciiTheme="minorEastAsia" w:hAnsiTheme="minorEastAsia" w:eastAsiaTheme="minorEastAsia"/>
                <w:color w:val="auto"/>
                <w:szCs w:val="21"/>
              </w:rPr>
            </w:pPr>
          </w:p>
        </w:tc>
        <w:tc>
          <w:tcPr>
            <w:tcW w:w="1223" w:type="dxa"/>
            <w:vAlign w:val="center"/>
          </w:tcPr>
          <w:p>
            <w:pPr>
              <w:spacing w:before="240"/>
              <w:jc w:val="center"/>
              <w:rPr>
                <w:rFonts w:asciiTheme="minorEastAsia" w:hAnsiTheme="minorEastAsia" w:eastAsiaTheme="minorEastAsia"/>
                <w:color w:val="auto"/>
                <w:szCs w:val="21"/>
              </w:rPr>
            </w:pPr>
          </w:p>
        </w:tc>
        <w:tc>
          <w:tcPr>
            <w:tcW w:w="1221" w:type="dxa"/>
            <w:vAlign w:val="center"/>
          </w:tcPr>
          <w:p>
            <w:pPr>
              <w:spacing w:before="240"/>
              <w:jc w:val="center"/>
              <w:rPr>
                <w:rFonts w:asciiTheme="minorEastAsia" w:hAnsiTheme="minorEastAsia" w:eastAsiaTheme="minorEastAsia"/>
                <w:color w:val="auto"/>
                <w:szCs w:val="21"/>
              </w:rPr>
            </w:pPr>
          </w:p>
        </w:tc>
        <w:tc>
          <w:tcPr>
            <w:tcW w:w="1464" w:type="dxa"/>
            <w:vAlign w:val="center"/>
          </w:tcPr>
          <w:p>
            <w:pPr>
              <w:spacing w:before="240"/>
              <w:jc w:val="center"/>
              <w:rPr>
                <w:rFonts w:asciiTheme="minorEastAsia" w:hAnsiTheme="minorEastAsia" w:eastAsiaTheme="minorEastAsia"/>
                <w:color w:val="auto"/>
                <w:szCs w:val="21"/>
              </w:rPr>
            </w:pPr>
          </w:p>
        </w:tc>
        <w:tc>
          <w:tcPr>
            <w:tcW w:w="1933" w:type="dxa"/>
            <w:vAlign w:val="center"/>
          </w:tcPr>
          <w:p>
            <w:pPr>
              <w:spacing w:before="240" w:line="48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962" w:type="dxa"/>
            <w:vAlign w:val="center"/>
          </w:tcPr>
          <w:p>
            <w:pPr>
              <w:spacing w:before="24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p>
        </w:tc>
        <w:tc>
          <w:tcPr>
            <w:tcW w:w="3009" w:type="dxa"/>
            <w:vAlign w:val="center"/>
          </w:tcPr>
          <w:p>
            <w:pPr>
              <w:spacing w:before="240"/>
              <w:jc w:val="center"/>
              <w:rPr>
                <w:rFonts w:asciiTheme="minorEastAsia" w:hAnsiTheme="minorEastAsia" w:eastAsiaTheme="minorEastAsia"/>
                <w:color w:val="auto"/>
                <w:szCs w:val="21"/>
              </w:rPr>
            </w:pPr>
          </w:p>
        </w:tc>
        <w:tc>
          <w:tcPr>
            <w:tcW w:w="1223" w:type="dxa"/>
            <w:vAlign w:val="center"/>
          </w:tcPr>
          <w:p>
            <w:pPr>
              <w:spacing w:before="240"/>
              <w:jc w:val="center"/>
              <w:rPr>
                <w:rFonts w:asciiTheme="minorEastAsia" w:hAnsiTheme="minorEastAsia" w:eastAsiaTheme="minorEastAsia"/>
                <w:color w:val="auto"/>
                <w:szCs w:val="21"/>
              </w:rPr>
            </w:pPr>
          </w:p>
        </w:tc>
        <w:tc>
          <w:tcPr>
            <w:tcW w:w="1221" w:type="dxa"/>
            <w:vAlign w:val="center"/>
          </w:tcPr>
          <w:p>
            <w:pPr>
              <w:spacing w:before="240"/>
              <w:jc w:val="center"/>
              <w:rPr>
                <w:rFonts w:asciiTheme="minorEastAsia" w:hAnsiTheme="minorEastAsia" w:eastAsiaTheme="minorEastAsia"/>
                <w:color w:val="auto"/>
                <w:szCs w:val="21"/>
              </w:rPr>
            </w:pPr>
          </w:p>
        </w:tc>
        <w:tc>
          <w:tcPr>
            <w:tcW w:w="1464" w:type="dxa"/>
            <w:vAlign w:val="center"/>
          </w:tcPr>
          <w:p>
            <w:pPr>
              <w:spacing w:before="240"/>
              <w:jc w:val="center"/>
              <w:rPr>
                <w:rFonts w:asciiTheme="minorEastAsia" w:hAnsiTheme="minorEastAsia" w:eastAsiaTheme="minorEastAsia"/>
                <w:color w:val="auto"/>
                <w:szCs w:val="21"/>
              </w:rPr>
            </w:pPr>
          </w:p>
        </w:tc>
        <w:tc>
          <w:tcPr>
            <w:tcW w:w="1933" w:type="dxa"/>
            <w:vAlign w:val="center"/>
          </w:tcPr>
          <w:p>
            <w:pPr>
              <w:spacing w:before="240" w:line="480" w:lineRule="auto"/>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194" w:type="dxa"/>
            <w:gridSpan w:val="3"/>
            <w:vAlign w:val="center"/>
          </w:tcPr>
          <w:p>
            <w:pPr>
              <w:spacing w:before="240"/>
              <w:jc w:val="center"/>
              <w:rPr>
                <w:rFonts w:asciiTheme="minorEastAsia" w:hAnsiTheme="minorEastAsia" w:eastAsiaTheme="minorEastAsia"/>
                <w:color w:val="auto"/>
                <w:szCs w:val="21"/>
              </w:rPr>
            </w:pPr>
            <w:r>
              <w:rPr>
                <w:rFonts w:asciiTheme="minorEastAsia" w:hAnsiTheme="minorEastAsia" w:eastAsiaTheme="minorEastAsia"/>
                <w:color w:val="auto"/>
                <w:szCs w:val="21"/>
              </w:rPr>
              <w:t>总计</w:t>
            </w:r>
            <w:r>
              <w:rPr>
                <w:rFonts w:hint="eastAsia" w:asciiTheme="minorEastAsia" w:hAnsiTheme="minorEastAsia" w:eastAsiaTheme="minorEastAsia"/>
                <w:color w:val="auto"/>
                <w:szCs w:val="21"/>
              </w:rPr>
              <w:t>（含税）</w:t>
            </w:r>
          </w:p>
        </w:tc>
        <w:tc>
          <w:tcPr>
            <w:tcW w:w="4618" w:type="dxa"/>
            <w:gridSpan w:val="3"/>
            <w:vAlign w:val="center"/>
          </w:tcPr>
          <w:p>
            <w:pPr>
              <w:spacing w:before="240"/>
              <w:jc w:val="cente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trPr>
        <w:tc>
          <w:tcPr>
            <w:tcW w:w="5194" w:type="dxa"/>
            <w:gridSpan w:val="3"/>
            <w:vAlign w:val="center"/>
          </w:tcPr>
          <w:p>
            <w:pPr>
              <w:spacing w:before="240"/>
              <w:jc w:val="center"/>
              <w:rPr>
                <w:rFonts w:asciiTheme="minorEastAsia" w:hAnsiTheme="minorEastAsia" w:eastAsiaTheme="minorEastAsia"/>
                <w:color w:val="auto"/>
                <w:szCs w:val="21"/>
              </w:rPr>
            </w:pPr>
            <w:r>
              <w:rPr>
                <w:rFonts w:asciiTheme="minorEastAsia" w:hAnsiTheme="minorEastAsia" w:eastAsiaTheme="minorEastAsia"/>
                <w:color w:val="auto"/>
                <w:szCs w:val="21"/>
              </w:rPr>
              <w:t>总计</w:t>
            </w:r>
            <w:r>
              <w:rPr>
                <w:rFonts w:hint="eastAsia" w:asciiTheme="minorEastAsia" w:hAnsiTheme="minorEastAsia" w:eastAsiaTheme="minorEastAsia"/>
                <w:color w:val="auto"/>
                <w:szCs w:val="21"/>
              </w:rPr>
              <w:t>（含税）大写</w:t>
            </w:r>
          </w:p>
        </w:tc>
        <w:tc>
          <w:tcPr>
            <w:tcW w:w="4618" w:type="dxa"/>
            <w:gridSpan w:val="3"/>
            <w:vAlign w:val="center"/>
          </w:tcPr>
          <w:p>
            <w:pPr>
              <w:spacing w:before="240"/>
              <w:jc w:val="center"/>
              <w:rPr>
                <w:rFonts w:asciiTheme="minorEastAsia" w:hAnsiTheme="minorEastAsia" w:eastAsiaTheme="minorEastAsia"/>
                <w:color w:val="auto"/>
                <w:szCs w:val="21"/>
              </w:rPr>
            </w:pPr>
          </w:p>
        </w:tc>
      </w:tr>
    </w:tbl>
    <w:p>
      <w:pPr>
        <w:tabs>
          <w:tab w:val="left" w:pos="7200"/>
        </w:tabs>
        <w:adjustRightInd w:val="0"/>
        <w:snapToGrid w:val="0"/>
        <w:spacing w:beforeLines="50" w:afterLines="50" w:line="48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项目编号：</w:t>
      </w:r>
    </w:p>
    <w:p>
      <w:pPr>
        <w:tabs>
          <w:tab w:val="left" w:pos="7200"/>
        </w:tabs>
        <w:adjustRightInd w:val="0"/>
        <w:snapToGrid w:val="0"/>
        <w:spacing w:beforeLines="50" w:afterLines="50" w:line="48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金额单位：元</w:t>
      </w:r>
    </w:p>
    <w:p>
      <w:pPr>
        <w:adjustRightInd w:val="0"/>
        <w:snapToGrid w:val="0"/>
        <w:spacing w:beforeLines="50" w:afterLines="50"/>
        <w:rPr>
          <w:rFonts w:asciiTheme="minorEastAsia" w:hAnsiTheme="minorEastAsia" w:eastAsiaTheme="minorEastAsia"/>
          <w:color w:val="auto"/>
          <w:szCs w:val="21"/>
        </w:rPr>
      </w:pPr>
    </w:p>
    <w:p>
      <w:pPr>
        <w:adjustRightInd w:val="0"/>
        <w:snapToGrid w:val="0"/>
        <w:spacing w:beforeLines="50" w:afterLines="5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注：“分项报价明细表”各分项报价合计应当与“开标一览表”报价合计相等</w:t>
      </w:r>
    </w:p>
    <w:p>
      <w:pPr>
        <w:adjustRightInd w:val="0"/>
        <w:snapToGrid w:val="0"/>
        <w:spacing w:beforeLines="50" w:afterLines="5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1.请供应商完整填写本表。</w:t>
      </w:r>
    </w:p>
    <w:p>
      <w:pPr>
        <w:adjustRightInd w:val="0"/>
        <w:snapToGrid w:val="0"/>
        <w:spacing w:beforeLines="50" w:afterLines="5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2.该表可扩展，并逐页签字或盖章。</w:t>
      </w:r>
    </w:p>
    <w:p>
      <w:pPr>
        <w:adjustRightInd w:val="0"/>
        <w:snapToGrid w:val="0"/>
        <w:spacing w:beforeLines="50" w:afterLines="5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3.填写不全或超过投标最高限价或未按规定签字或者盖章的，视为无效投标。</w:t>
      </w:r>
    </w:p>
    <w:p>
      <w:pPr>
        <w:adjustRightInd w:val="0"/>
        <w:snapToGrid w:val="0"/>
        <w:spacing w:beforeLines="50" w:afterLines="5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供应商名称</w:t>
      </w:r>
      <w:r>
        <w:rPr>
          <w:rFonts w:hint="eastAsia" w:asciiTheme="minorEastAsia" w:hAnsiTheme="minorEastAsia" w:eastAsiaTheme="minorEastAsia"/>
          <w:color w:val="auto"/>
          <w:szCs w:val="21"/>
          <w:u w:val="single"/>
        </w:rPr>
        <w:t>：</w:t>
      </w:r>
      <w:r>
        <w:rPr>
          <w:rFonts w:hint="eastAsia" w:asciiTheme="minorEastAsia" w:hAnsiTheme="minorEastAsia" w:eastAsiaTheme="minorEastAsia"/>
          <w:color w:val="auto"/>
          <w:szCs w:val="21"/>
        </w:rPr>
        <w:t>（供应商名称并加盖公章）</w:t>
      </w:r>
    </w:p>
    <w:p>
      <w:pPr>
        <w:adjustRightInd w:val="0"/>
        <w:snapToGrid w:val="0"/>
        <w:spacing w:beforeLines="5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供应商授权代表</w:t>
      </w:r>
      <w:r>
        <w:rPr>
          <w:rFonts w:hint="eastAsia" w:asciiTheme="minorEastAsia" w:hAnsiTheme="minorEastAsia" w:eastAsiaTheme="minorEastAsia"/>
          <w:color w:val="auto"/>
          <w:szCs w:val="21"/>
          <w:u w:val="single"/>
        </w:rPr>
        <w:t>：</w:t>
      </w:r>
      <w:r>
        <w:rPr>
          <w:rFonts w:hint="eastAsia" w:asciiTheme="minorEastAsia" w:hAnsiTheme="minorEastAsia" w:eastAsiaTheme="minorEastAsia"/>
          <w:iCs/>
          <w:color w:val="auto"/>
          <w:szCs w:val="21"/>
        </w:rPr>
        <w:t>（签字或盖章）</w:t>
      </w:r>
    </w:p>
    <w:p>
      <w:pPr>
        <w:spacing w:line="360" w:lineRule="auto"/>
        <w:rPr>
          <w:rFonts w:asciiTheme="minorEastAsia" w:hAnsiTheme="minorEastAsia" w:eastAsiaTheme="minorEastAsia"/>
          <w:color w:val="auto"/>
        </w:rPr>
      </w:pPr>
      <w:r>
        <w:rPr>
          <w:rFonts w:hint="eastAsia" w:asciiTheme="minorEastAsia" w:hAnsiTheme="minorEastAsia" w:eastAsiaTheme="minorEastAsia"/>
          <w:color w:val="auto"/>
        </w:rPr>
        <w:t>日期：_______年_______月_______日</w:t>
      </w:r>
    </w:p>
    <w:p>
      <w:pPr>
        <w:pStyle w:val="4"/>
        <w:jc w:val="center"/>
        <w:rPr>
          <w:rFonts w:asciiTheme="minorEastAsia" w:hAnsiTheme="minorEastAsia" w:eastAsiaTheme="minorEastAsia"/>
          <w:b w:val="0"/>
          <w:bCs w:val="0"/>
          <w:color w:val="auto"/>
          <w:sz w:val="28"/>
          <w:szCs w:val="28"/>
        </w:rPr>
      </w:pPr>
      <w:bookmarkStart w:id="181" w:name="_Toc26289809"/>
      <w:r>
        <w:rPr>
          <w:rFonts w:hint="eastAsia" w:asciiTheme="minorEastAsia" w:hAnsiTheme="minorEastAsia" w:eastAsiaTheme="minorEastAsia"/>
          <w:b w:val="0"/>
          <w:bCs w:val="0"/>
          <w:color w:val="auto"/>
          <w:sz w:val="28"/>
          <w:szCs w:val="28"/>
        </w:rPr>
        <w:t>4、需求响应偏离表</w:t>
      </w:r>
      <w:bookmarkEnd w:id="181"/>
    </w:p>
    <w:p>
      <w:pPr>
        <w:jc w:val="center"/>
        <w:rPr>
          <w:rFonts w:asciiTheme="minorEastAsia" w:hAnsiTheme="minorEastAsia" w:eastAsiaTheme="minorEastAsia"/>
          <w:color w:val="auto"/>
          <w:sz w:val="28"/>
          <w:szCs w:val="28"/>
        </w:rPr>
      </w:pPr>
      <w:bookmarkStart w:id="182" w:name="_Toc27025"/>
      <w:bookmarkStart w:id="183" w:name="_Toc9530"/>
      <w:bookmarkStart w:id="184" w:name="_Toc10654"/>
      <w:bookmarkStart w:id="185" w:name="_Toc24975"/>
      <w:r>
        <w:rPr>
          <w:rFonts w:hint="eastAsia" w:asciiTheme="minorEastAsia" w:hAnsiTheme="minorEastAsia" w:eastAsiaTheme="minorEastAsia"/>
          <w:color w:val="auto"/>
          <w:sz w:val="28"/>
          <w:szCs w:val="28"/>
        </w:rPr>
        <w:t>（一）</w:t>
      </w:r>
      <w:bookmarkEnd w:id="182"/>
      <w:bookmarkEnd w:id="183"/>
      <w:bookmarkEnd w:id="184"/>
      <w:bookmarkEnd w:id="185"/>
      <w:r>
        <w:rPr>
          <w:rFonts w:hint="eastAsia" w:asciiTheme="minorEastAsia" w:hAnsiTheme="minorEastAsia" w:eastAsiaTheme="minorEastAsia"/>
          <w:color w:val="auto"/>
          <w:sz w:val="28"/>
          <w:szCs w:val="28"/>
        </w:rPr>
        <w:t>服务/技术条款响应表</w:t>
      </w:r>
    </w:p>
    <w:p>
      <w:pPr>
        <w:shd w:val="clear" w:color="auto" w:fill="FFFFFF"/>
        <w:snapToGrid w:val="0"/>
        <w:spacing w:line="360" w:lineRule="auto"/>
        <w:ind w:firstLine="480" w:firstLineChars="200"/>
        <w:rPr>
          <w:rFonts w:asciiTheme="minorEastAsia" w:hAnsiTheme="minorEastAsia" w:eastAsiaTheme="minorEastAsia"/>
          <w:color w:val="auto"/>
          <w:sz w:val="24"/>
          <w:u w:val="single"/>
        </w:rPr>
      </w:pPr>
      <w:r>
        <w:rPr>
          <w:rFonts w:hint="eastAsia" w:asciiTheme="minorEastAsia" w:hAnsiTheme="minorEastAsia" w:eastAsiaTheme="minorEastAsia"/>
          <w:color w:val="auto"/>
          <w:sz w:val="24"/>
        </w:rPr>
        <w:t>说明：供应商必须仔细阅读招标文件中所有规范条款和相关功能要求，并对所有规范、功能条目及资质要求列入下表，未列入下表的视作供应商不响应。如有带▲或★的指标列入下表时，必须在指标前面保留▲或★。</w:t>
      </w:r>
      <w:r>
        <w:rPr>
          <w:rFonts w:hint="eastAsia" w:asciiTheme="minorEastAsia" w:hAnsiTheme="minorEastAsia" w:eastAsiaTheme="minorEastAsia"/>
          <w:color w:val="auto"/>
          <w:sz w:val="24"/>
          <w:u w:val="single"/>
        </w:rPr>
        <w:t>供应商必须根据所投项目的实际情况如实填写。</w:t>
      </w:r>
    </w:p>
    <w:tbl>
      <w:tblPr>
        <w:tblStyle w:val="25"/>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设备/项目</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招标文件技术参数/功能描述</w:t>
            </w: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供应商技术参数/功能描述</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偏离情况</w:t>
            </w: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1</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color w:val="auto"/>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2</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color w:val="auto"/>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3</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color w:val="auto"/>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4</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color w:val="auto"/>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5</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color w:val="auto"/>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Theme="minorEastAsia" w:hAnsiTheme="minorEastAsia" w:eastAsiaTheme="minorEastAsia"/>
                <w:color w:val="auto"/>
                <w:sz w:val="24"/>
              </w:rPr>
            </w:pP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Theme="minorEastAsia" w:hAnsiTheme="minorEastAsia" w:eastAsiaTheme="minorEastAsia"/>
                <w:color w:val="auto"/>
                <w:sz w:val="24"/>
              </w:rPr>
            </w:pPr>
          </w:p>
        </w:tc>
      </w:tr>
    </w:tbl>
    <w:p>
      <w:pPr>
        <w:shd w:val="clear" w:color="auto" w:fill="FFFFFF"/>
        <w:snapToGrid w:val="0"/>
        <w:spacing w:line="360" w:lineRule="auto"/>
        <w:rPr>
          <w:rFonts w:asciiTheme="minorEastAsia" w:hAnsiTheme="minorEastAsia" w:eastAsiaTheme="minorEastAsia"/>
          <w:color w:val="auto"/>
          <w:sz w:val="24"/>
        </w:rPr>
      </w:pPr>
    </w:p>
    <w:p>
      <w:pPr>
        <w:shd w:val="clear" w:color="auto" w:fill="FFFFFF"/>
        <w:snapToGrid w:val="0"/>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供应商全称：（公章）授权代表：（签字或私章）</w:t>
      </w:r>
    </w:p>
    <w:p>
      <w:pPr>
        <w:shd w:val="clear" w:color="auto" w:fill="FFFFFF"/>
        <w:tabs>
          <w:tab w:val="left" w:pos="11130"/>
        </w:tabs>
        <w:snapToGrid w:val="0"/>
        <w:spacing w:line="360" w:lineRule="auto"/>
        <w:rPr>
          <w:rFonts w:asciiTheme="minorEastAsia" w:hAnsiTheme="minorEastAsia" w:eastAsiaTheme="minorEastAsia"/>
          <w:color w:val="auto"/>
          <w:sz w:val="24"/>
        </w:rPr>
      </w:pPr>
    </w:p>
    <w:p>
      <w:pPr>
        <w:pStyle w:val="15"/>
        <w:spacing w:line="500" w:lineRule="exact"/>
        <w:rPr>
          <w:rFonts w:cs="仿宋" w:asciiTheme="minorEastAsia" w:hAnsiTheme="minorEastAsia" w:eastAsiaTheme="minorEastAsia"/>
          <w:color w:val="auto"/>
          <w:sz w:val="28"/>
          <w:szCs w:val="28"/>
        </w:rPr>
      </w:pPr>
      <w:r>
        <w:rPr>
          <w:rFonts w:hint="eastAsia" w:asciiTheme="minorEastAsia" w:hAnsiTheme="minorEastAsia" w:eastAsiaTheme="minorEastAsia"/>
          <w:color w:val="auto"/>
          <w:szCs w:val="21"/>
        </w:rPr>
        <w:t>注：</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1.授权用招标专用章的，与公章具有相同法律效力。</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2.本表即为对本项目“第三章用户需求”中所列项目技术要求进行比较和响应；</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3.该表必须按照磋商文件要求逐条如实填写，根据投标情况在“偏离”项填写正偏离或负偏离及原因，完全符合的填写“无偏离”；</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4.该表可扩展；</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5.可附相关技术支撑材料。（格式自定）</w:t>
      </w:r>
    </w:p>
    <w:p>
      <w:pPr>
        <w:shd w:val="clear" w:color="auto" w:fill="FFFFFF"/>
        <w:snapToGrid w:val="0"/>
        <w:spacing w:line="360" w:lineRule="auto"/>
        <w:rPr>
          <w:rFonts w:asciiTheme="minorEastAsia" w:hAnsiTheme="minorEastAsia" w:eastAsiaTheme="minorEastAsia"/>
          <w:color w:val="auto"/>
        </w:rPr>
      </w:pPr>
      <w:r>
        <w:rPr>
          <w:rFonts w:asciiTheme="minorEastAsia" w:hAnsiTheme="minorEastAsia" w:eastAsiaTheme="minorEastAsia"/>
          <w:color w:val="auto"/>
        </w:rPr>
        <w:br w:type="page"/>
      </w:r>
    </w:p>
    <w:p>
      <w:pPr>
        <w:jc w:val="center"/>
        <w:rPr>
          <w:rFonts w:asciiTheme="minorEastAsia" w:hAnsiTheme="minorEastAsia" w:eastAsiaTheme="minorEastAsia"/>
          <w:color w:val="auto"/>
          <w:sz w:val="28"/>
          <w:szCs w:val="28"/>
        </w:rPr>
      </w:pPr>
      <w:bookmarkStart w:id="186" w:name="_Toc29372"/>
      <w:bookmarkStart w:id="187" w:name="_Toc11591"/>
      <w:bookmarkStart w:id="188" w:name="_Toc26805"/>
      <w:bookmarkStart w:id="189" w:name="_Toc23223"/>
      <w:r>
        <w:rPr>
          <w:rFonts w:hint="eastAsia" w:asciiTheme="minorEastAsia" w:hAnsiTheme="minorEastAsia" w:eastAsiaTheme="minorEastAsia"/>
          <w:color w:val="auto"/>
          <w:sz w:val="28"/>
          <w:szCs w:val="28"/>
        </w:rPr>
        <w:t>（二）商务条款偏离表</w:t>
      </w:r>
      <w:bookmarkEnd w:id="186"/>
      <w:bookmarkEnd w:id="187"/>
      <w:bookmarkEnd w:id="188"/>
      <w:bookmarkEnd w:id="189"/>
    </w:p>
    <w:p>
      <w:pPr>
        <w:spacing w:line="500" w:lineRule="exact"/>
        <w:rPr>
          <w:rFonts w:cs="仿宋" w:asciiTheme="minorEastAsia" w:hAnsiTheme="minorEastAsia" w:eastAsiaTheme="minorEastAsia"/>
          <w:color w:val="auto"/>
          <w:szCs w:val="28"/>
        </w:rPr>
      </w:pPr>
      <w:r>
        <w:rPr>
          <w:rFonts w:hint="eastAsia" w:cs="仿宋" w:asciiTheme="minorEastAsia" w:hAnsiTheme="minorEastAsia" w:eastAsiaTheme="minorEastAsia"/>
          <w:color w:val="auto"/>
          <w:szCs w:val="28"/>
        </w:rPr>
        <w:t>项目名称：</w:t>
      </w:r>
    </w:p>
    <w:p>
      <w:pPr>
        <w:spacing w:line="500" w:lineRule="exact"/>
        <w:rPr>
          <w:rFonts w:cs="仿宋" w:asciiTheme="minorEastAsia" w:hAnsiTheme="minorEastAsia" w:eastAsiaTheme="minorEastAsia"/>
          <w:color w:val="auto"/>
          <w:szCs w:val="28"/>
        </w:rPr>
      </w:pPr>
      <w:r>
        <w:rPr>
          <w:rFonts w:hint="eastAsia" w:cs="仿宋" w:asciiTheme="minorEastAsia" w:hAnsiTheme="minorEastAsia" w:eastAsiaTheme="minorEastAsia"/>
          <w:color w:val="auto"/>
          <w:szCs w:val="28"/>
        </w:rPr>
        <w:t>项目编号：</w:t>
      </w:r>
    </w:p>
    <w:tbl>
      <w:tblPr>
        <w:tblStyle w:val="25"/>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768"/>
        <w:gridCol w:w="2737"/>
        <w:gridCol w:w="1335"/>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序</w:t>
            </w: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磋商文件的商务条款</w:t>
            </w: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响应文件的商务条款</w:t>
            </w: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偏离</w:t>
            </w: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73" w:type="dxa"/>
            <w:vAlign w:val="center"/>
          </w:tcPr>
          <w:p>
            <w:pPr>
              <w:pStyle w:val="15"/>
              <w:spacing w:line="360" w:lineRule="auto"/>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w:t>
            </w:r>
          </w:p>
        </w:tc>
        <w:tc>
          <w:tcPr>
            <w:tcW w:w="2768"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2737"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335" w:type="dxa"/>
            <w:vAlign w:val="center"/>
          </w:tcPr>
          <w:p>
            <w:pPr>
              <w:pStyle w:val="15"/>
              <w:spacing w:line="360" w:lineRule="auto"/>
              <w:jc w:val="center"/>
              <w:rPr>
                <w:rFonts w:cs="仿宋" w:asciiTheme="minorEastAsia" w:hAnsiTheme="minorEastAsia" w:eastAsiaTheme="minorEastAsia"/>
                <w:color w:val="auto"/>
                <w:sz w:val="24"/>
                <w:szCs w:val="24"/>
              </w:rPr>
            </w:pPr>
          </w:p>
        </w:tc>
        <w:tc>
          <w:tcPr>
            <w:tcW w:w="1127" w:type="dxa"/>
            <w:vAlign w:val="center"/>
          </w:tcPr>
          <w:p>
            <w:pPr>
              <w:pStyle w:val="15"/>
              <w:spacing w:line="360" w:lineRule="auto"/>
              <w:jc w:val="center"/>
              <w:rPr>
                <w:rFonts w:cs="仿宋" w:asciiTheme="minorEastAsia" w:hAnsiTheme="minorEastAsia" w:eastAsiaTheme="minorEastAsia"/>
                <w:color w:val="auto"/>
                <w:sz w:val="24"/>
                <w:szCs w:val="24"/>
              </w:rPr>
            </w:pPr>
          </w:p>
        </w:tc>
      </w:tr>
    </w:tbl>
    <w:p>
      <w:pPr>
        <w:pStyle w:val="15"/>
        <w:spacing w:line="500" w:lineRule="exact"/>
        <w:ind w:firstLine="560" w:firstLineChars="200"/>
        <w:rPr>
          <w:rFonts w:cs="仿宋" w:asciiTheme="minorEastAsia" w:hAnsiTheme="minorEastAsia" w:eastAsiaTheme="minorEastAsia"/>
          <w:color w:val="auto"/>
          <w:sz w:val="28"/>
          <w:szCs w:val="28"/>
        </w:rPr>
      </w:pPr>
    </w:p>
    <w:p>
      <w:pPr>
        <w:pStyle w:val="15"/>
        <w:spacing w:line="500" w:lineRule="exact"/>
        <w:ind w:firstLine="560" w:firstLineChars="200"/>
        <w:rPr>
          <w:rFonts w:cs="仿宋" w:asciiTheme="minorEastAsia" w:hAnsiTheme="minorEastAsia" w:eastAsiaTheme="minorEastAsia"/>
          <w:color w:val="auto"/>
          <w:sz w:val="28"/>
          <w:szCs w:val="28"/>
        </w:rPr>
      </w:pPr>
    </w:p>
    <w:p>
      <w:pPr>
        <w:rPr>
          <w:rFonts w:asciiTheme="minorEastAsia" w:hAnsiTheme="minorEastAsia" w:eastAsiaTheme="minorEastAsia"/>
          <w:color w:val="auto"/>
          <w:sz w:val="28"/>
          <w:szCs w:val="28"/>
        </w:rPr>
      </w:pPr>
      <w:bookmarkStart w:id="190" w:name="_Toc8210"/>
      <w:bookmarkStart w:id="191" w:name="_Toc9066"/>
      <w:bookmarkStart w:id="192" w:name="_Toc4838"/>
      <w:bookmarkStart w:id="193" w:name="_Toc25949"/>
      <w:r>
        <w:rPr>
          <w:rFonts w:hint="eastAsia" w:asciiTheme="minorEastAsia" w:hAnsiTheme="minorEastAsia" w:eastAsiaTheme="minorEastAsia"/>
          <w:color w:val="auto"/>
          <w:sz w:val="28"/>
          <w:szCs w:val="28"/>
        </w:rPr>
        <w:t>供应商名称(公章)：</w:t>
      </w:r>
      <w:bookmarkEnd w:id="190"/>
      <w:bookmarkEnd w:id="191"/>
      <w:bookmarkEnd w:id="192"/>
      <w:bookmarkEnd w:id="193"/>
    </w:p>
    <w:p>
      <w:pPr>
        <w:rPr>
          <w:rFonts w:asciiTheme="minorEastAsia" w:hAnsiTheme="minorEastAsia" w:eastAsiaTheme="minorEastAsia"/>
          <w:color w:val="auto"/>
          <w:sz w:val="28"/>
          <w:szCs w:val="28"/>
        </w:rPr>
      </w:pPr>
    </w:p>
    <w:p>
      <w:pPr>
        <w:rPr>
          <w:rFonts w:asciiTheme="minorEastAsia" w:hAnsiTheme="minorEastAsia" w:eastAsiaTheme="minorEastAsia"/>
          <w:color w:val="auto"/>
          <w:sz w:val="28"/>
          <w:szCs w:val="28"/>
        </w:rPr>
      </w:pPr>
      <w:bookmarkStart w:id="194" w:name="_Toc16045"/>
      <w:bookmarkStart w:id="195" w:name="_Toc12937"/>
      <w:bookmarkStart w:id="196" w:name="_Toc27555"/>
      <w:bookmarkStart w:id="197" w:name="_Toc26781"/>
      <w:r>
        <w:rPr>
          <w:rFonts w:hint="eastAsia" w:asciiTheme="minorEastAsia" w:hAnsiTheme="minorEastAsia" w:eastAsiaTheme="minorEastAsia"/>
          <w:color w:val="auto"/>
          <w:sz w:val="28"/>
          <w:szCs w:val="28"/>
        </w:rPr>
        <w:t>法定代表人或其授权代表(签字或盖章)：</w:t>
      </w:r>
      <w:bookmarkEnd w:id="194"/>
      <w:bookmarkEnd w:id="195"/>
      <w:bookmarkEnd w:id="196"/>
      <w:bookmarkEnd w:id="197"/>
    </w:p>
    <w:p>
      <w:pPr>
        <w:rPr>
          <w:rFonts w:asciiTheme="minorEastAsia" w:hAnsiTheme="minorEastAsia" w:eastAsiaTheme="minorEastAsia"/>
          <w:color w:val="auto"/>
          <w:sz w:val="28"/>
          <w:szCs w:val="28"/>
        </w:rPr>
      </w:pPr>
    </w:p>
    <w:p>
      <w:pPr>
        <w:rPr>
          <w:rFonts w:asciiTheme="minorEastAsia" w:hAnsiTheme="minorEastAsia" w:eastAsiaTheme="minorEastAsia"/>
          <w:color w:val="auto"/>
          <w:sz w:val="28"/>
          <w:szCs w:val="28"/>
        </w:rPr>
      </w:pPr>
      <w:bookmarkStart w:id="198" w:name="_Toc22741"/>
      <w:bookmarkStart w:id="199" w:name="_Toc4598"/>
      <w:bookmarkStart w:id="200" w:name="_Toc30330"/>
      <w:bookmarkStart w:id="201" w:name="_Toc31977"/>
      <w:r>
        <w:rPr>
          <w:rFonts w:hint="eastAsia" w:asciiTheme="minorEastAsia" w:hAnsiTheme="minorEastAsia" w:eastAsiaTheme="minorEastAsia"/>
          <w:color w:val="auto"/>
          <w:sz w:val="28"/>
          <w:szCs w:val="28"/>
        </w:rPr>
        <w:t>日期：______年____月____日</w:t>
      </w:r>
      <w:bookmarkEnd w:id="198"/>
      <w:bookmarkEnd w:id="199"/>
      <w:bookmarkEnd w:id="200"/>
      <w:bookmarkEnd w:id="201"/>
    </w:p>
    <w:p>
      <w:pPr>
        <w:pStyle w:val="15"/>
        <w:spacing w:line="500" w:lineRule="exact"/>
        <w:ind w:firstLine="560" w:firstLineChars="200"/>
        <w:rPr>
          <w:rFonts w:cs="仿宋" w:asciiTheme="minorEastAsia" w:hAnsiTheme="minorEastAsia" w:eastAsiaTheme="minorEastAsia"/>
          <w:color w:val="auto"/>
          <w:sz w:val="28"/>
          <w:szCs w:val="28"/>
        </w:rPr>
      </w:pPr>
    </w:p>
    <w:p>
      <w:pPr>
        <w:pStyle w:val="15"/>
        <w:spacing w:line="500" w:lineRule="exact"/>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注：</w:t>
      </w:r>
    </w:p>
    <w:p>
      <w:pPr>
        <w:pStyle w:val="15"/>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1.授权用招标专用章的，与公章具有相同法律效力。</w:t>
      </w:r>
    </w:p>
    <w:p>
      <w:pPr>
        <w:pStyle w:val="15"/>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2.本表即为对本项目“第三章用户需求”中所列商务要求进行比较和响应；</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3.该表必须按照磋商文件要求逐条如实填写，根据投标情况在“偏离”栏填写正偏离或负偏离及原因，完全符合的填写“无偏离”。</w:t>
      </w:r>
    </w:p>
    <w:p>
      <w:pPr>
        <w:spacing w:line="500" w:lineRule="exact"/>
        <w:ind w:firstLine="420" w:firstLineChars="200"/>
        <w:rPr>
          <w:rFonts w:cs="仿宋" w:asciiTheme="minorEastAsia" w:hAnsiTheme="minorEastAsia" w:eastAsiaTheme="minorEastAsia"/>
          <w:color w:val="auto"/>
          <w:szCs w:val="21"/>
        </w:rPr>
      </w:pPr>
      <w:r>
        <w:rPr>
          <w:rFonts w:hint="eastAsia" w:cs="仿宋" w:asciiTheme="minorEastAsia" w:hAnsiTheme="minorEastAsia" w:eastAsiaTheme="minorEastAsia"/>
          <w:color w:val="auto"/>
          <w:szCs w:val="21"/>
        </w:rPr>
        <w:t>4.该表可扩展。</w:t>
      </w:r>
    </w:p>
    <w:p>
      <w:pPr>
        <w:rPr>
          <w:rFonts w:asciiTheme="minorEastAsia" w:hAnsiTheme="minorEastAsia" w:eastAsiaTheme="minorEastAsia"/>
          <w:color w:val="auto"/>
          <w:sz w:val="28"/>
          <w:szCs w:val="36"/>
        </w:rPr>
      </w:pPr>
      <w:r>
        <w:rPr>
          <w:rFonts w:hint="eastAsia" w:asciiTheme="minorEastAsia" w:hAnsiTheme="minorEastAsia" w:eastAsiaTheme="minorEastAsia"/>
          <w:color w:val="auto"/>
        </w:rPr>
        <w:br w:type="page"/>
      </w:r>
      <w:bookmarkEnd w:id="108"/>
    </w:p>
    <w:p>
      <w:pPr>
        <w:pStyle w:val="4"/>
        <w:jc w:val="center"/>
        <w:rPr>
          <w:rFonts w:asciiTheme="minorEastAsia" w:hAnsiTheme="minorEastAsia" w:eastAsiaTheme="minorEastAsia"/>
          <w:b w:val="0"/>
          <w:bCs w:val="0"/>
          <w:color w:val="auto"/>
          <w:sz w:val="28"/>
          <w:szCs w:val="28"/>
        </w:rPr>
      </w:pPr>
      <w:r>
        <w:rPr>
          <w:rFonts w:hint="eastAsia" w:asciiTheme="minorEastAsia" w:hAnsiTheme="minorEastAsia" w:eastAsiaTheme="minorEastAsia"/>
          <w:b w:val="0"/>
          <w:bCs w:val="0"/>
          <w:color w:val="auto"/>
          <w:sz w:val="28"/>
          <w:szCs w:val="28"/>
        </w:rPr>
        <w:t>5、法人代表身份证明（法定代表人参加投标）</w:t>
      </w:r>
    </w:p>
    <w:p>
      <w:pPr>
        <w:rPr>
          <w:rFonts w:asciiTheme="minorEastAsia" w:hAnsiTheme="minorEastAsia" w:eastAsiaTheme="minorEastAsia"/>
          <w:color w:val="auto"/>
        </w:rPr>
      </w:pPr>
    </w:p>
    <w:p>
      <w:pPr>
        <w:spacing w:line="480" w:lineRule="auto"/>
        <w:rPr>
          <w:rFonts w:asciiTheme="minorEastAsia" w:hAnsiTheme="minorEastAsia" w:eastAsiaTheme="minorEastAsia"/>
          <w:color w:val="auto"/>
          <w:u w:val="single"/>
        </w:rPr>
      </w:pPr>
      <w:bookmarkStart w:id="202" w:name="_Toc488335969"/>
      <w:bookmarkStart w:id="203" w:name="_Toc33"/>
      <w:bookmarkStart w:id="204" w:name="_Toc18707"/>
      <w:r>
        <w:rPr>
          <w:rFonts w:hint="eastAsia" w:asciiTheme="minorEastAsia" w:hAnsiTheme="minorEastAsia" w:eastAsiaTheme="minorEastAsia"/>
          <w:color w:val="auto"/>
        </w:rPr>
        <w:t>供应商名称：</w:t>
      </w:r>
      <w:bookmarkEnd w:id="202"/>
      <w:bookmarkEnd w:id="203"/>
      <w:bookmarkEnd w:id="204"/>
    </w:p>
    <w:p>
      <w:pPr>
        <w:spacing w:line="480" w:lineRule="auto"/>
        <w:rPr>
          <w:rFonts w:asciiTheme="minorEastAsia" w:hAnsiTheme="minorEastAsia" w:eastAsiaTheme="minorEastAsia"/>
          <w:color w:val="auto"/>
        </w:rPr>
      </w:pPr>
      <w:bookmarkStart w:id="205" w:name="_Toc32609"/>
      <w:bookmarkStart w:id="206" w:name="_Toc15482"/>
      <w:bookmarkStart w:id="207" w:name="_Toc488335970"/>
      <w:r>
        <w:rPr>
          <w:rFonts w:hint="eastAsia" w:asciiTheme="minorEastAsia" w:hAnsiTheme="minorEastAsia" w:eastAsiaTheme="minorEastAsia"/>
          <w:color w:val="auto"/>
        </w:rPr>
        <w:t>注册号：</w:t>
      </w:r>
      <w:bookmarkEnd w:id="205"/>
      <w:bookmarkEnd w:id="206"/>
      <w:bookmarkEnd w:id="207"/>
    </w:p>
    <w:p>
      <w:pPr>
        <w:spacing w:line="480" w:lineRule="auto"/>
        <w:rPr>
          <w:rFonts w:asciiTheme="minorEastAsia" w:hAnsiTheme="minorEastAsia" w:eastAsiaTheme="minorEastAsia"/>
          <w:color w:val="auto"/>
        </w:rPr>
      </w:pPr>
      <w:bookmarkStart w:id="208" w:name="_Toc193"/>
      <w:bookmarkStart w:id="209" w:name="_Toc488335971"/>
      <w:bookmarkStart w:id="210" w:name="_Toc9523"/>
      <w:r>
        <w:rPr>
          <w:rFonts w:hint="eastAsia" w:asciiTheme="minorEastAsia" w:hAnsiTheme="minorEastAsia" w:eastAsiaTheme="minorEastAsia"/>
          <w:color w:val="auto"/>
        </w:rPr>
        <w:t>注册地址：</w:t>
      </w:r>
      <w:bookmarkEnd w:id="208"/>
      <w:bookmarkEnd w:id="209"/>
      <w:bookmarkEnd w:id="210"/>
    </w:p>
    <w:p>
      <w:pPr>
        <w:spacing w:line="480" w:lineRule="auto"/>
        <w:rPr>
          <w:rFonts w:asciiTheme="minorEastAsia" w:hAnsiTheme="minorEastAsia" w:eastAsiaTheme="minorEastAsia"/>
          <w:color w:val="auto"/>
        </w:rPr>
      </w:pPr>
      <w:bookmarkStart w:id="211" w:name="_Toc29502"/>
      <w:bookmarkStart w:id="212" w:name="_Toc31523"/>
      <w:bookmarkStart w:id="213" w:name="_Toc488335972"/>
      <w:r>
        <w:rPr>
          <w:rFonts w:hint="eastAsia" w:asciiTheme="minorEastAsia" w:hAnsiTheme="minorEastAsia" w:eastAsiaTheme="minorEastAsia"/>
          <w:color w:val="auto"/>
        </w:rPr>
        <w:t>成立时间：年月日</w:t>
      </w:r>
      <w:bookmarkEnd w:id="211"/>
      <w:bookmarkEnd w:id="212"/>
      <w:bookmarkEnd w:id="213"/>
    </w:p>
    <w:p>
      <w:pPr>
        <w:spacing w:line="480" w:lineRule="auto"/>
        <w:rPr>
          <w:rFonts w:asciiTheme="minorEastAsia" w:hAnsiTheme="minorEastAsia" w:eastAsiaTheme="minorEastAsia"/>
          <w:color w:val="auto"/>
          <w:u w:val="single"/>
        </w:rPr>
      </w:pPr>
      <w:bookmarkStart w:id="214" w:name="_Toc15756"/>
      <w:bookmarkStart w:id="215" w:name="_Toc23755"/>
      <w:bookmarkStart w:id="216" w:name="_Toc488335973"/>
      <w:r>
        <w:rPr>
          <w:rFonts w:hint="eastAsia" w:asciiTheme="minorEastAsia" w:hAnsiTheme="minorEastAsia" w:eastAsiaTheme="minorEastAsia"/>
          <w:color w:val="auto"/>
        </w:rPr>
        <w:t>经营范围：</w:t>
      </w:r>
      <w:bookmarkEnd w:id="214"/>
      <w:bookmarkEnd w:id="215"/>
      <w:bookmarkEnd w:id="216"/>
    </w:p>
    <w:p>
      <w:pPr>
        <w:spacing w:line="480" w:lineRule="auto"/>
        <w:rPr>
          <w:rFonts w:asciiTheme="minorEastAsia" w:hAnsiTheme="minorEastAsia" w:eastAsiaTheme="minorEastAsia"/>
          <w:color w:val="auto"/>
        </w:rPr>
      </w:pPr>
      <w:bookmarkStart w:id="217" w:name="_Toc4639"/>
      <w:bookmarkStart w:id="218" w:name="_Toc10370"/>
      <w:bookmarkStart w:id="219" w:name="_Toc488335974"/>
      <w:r>
        <w:rPr>
          <w:rFonts w:hint="eastAsia" w:asciiTheme="minorEastAsia" w:hAnsiTheme="minorEastAsia" w:eastAsiaTheme="minorEastAsia"/>
          <w:color w:val="auto"/>
        </w:rPr>
        <w:t>姓名：性别：年龄：系</w:t>
      </w:r>
      <w:r>
        <w:rPr>
          <w:rFonts w:hint="eastAsia" w:asciiTheme="minorEastAsia" w:hAnsiTheme="minorEastAsia" w:eastAsiaTheme="minorEastAsia"/>
          <w:color w:val="auto"/>
          <w:u w:val="single"/>
        </w:rPr>
        <w:t>（供应商名称）</w:t>
      </w:r>
      <w:r>
        <w:rPr>
          <w:rFonts w:hint="eastAsia" w:asciiTheme="minorEastAsia" w:hAnsiTheme="minorEastAsia" w:eastAsiaTheme="minorEastAsia"/>
          <w:color w:val="auto"/>
        </w:rPr>
        <w:t>的法定代表人（负责人）。</w:t>
      </w:r>
      <w:bookmarkEnd w:id="217"/>
      <w:bookmarkEnd w:id="218"/>
      <w:bookmarkEnd w:id="219"/>
    </w:p>
    <w:p>
      <w:pPr>
        <w:spacing w:line="480" w:lineRule="auto"/>
        <w:rPr>
          <w:rFonts w:asciiTheme="minorEastAsia" w:hAnsiTheme="minorEastAsia" w:eastAsiaTheme="minorEastAsia"/>
          <w:color w:val="auto"/>
        </w:rPr>
      </w:pPr>
      <w:bookmarkStart w:id="220" w:name="_Toc15656"/>
      <w:bookmarkStart w:id="221" w:name="_Toc488335975"/>
      <w:bookmarkStart w:id="222" w:name="_Toc5232"/>
      <w:r>
        <w:rPr>
          <w:rFonts w:hint="eastAsia" w:asciiTheme="minorEastAsia" w:hAnsiTheme="minorEastAsia" w:eastAsiaTheme="minorEastAsia"/>
          <w:color w:val="auto"/>
        </w:rPr>
        <w:t>特此说明。</w:t>
      </w:r>
      <w:bookmarkEnd w:id="220"/>
      <w:bookmarkEnd w:id="221"/>
      <w:bookmarkEnd w:id="222"/>
    </w:p>
    <w:p>
      <w:pPr>
        <w:spacing w:line="480" w:lineRule="auto"/>
        <w:rPr>
          <w:rFonts w:asciiTheme="minorEastAsia" w:hAnsiTheme="minorEastAsia" w:eastAsiaTheme="minorEastAsia"/>
          <w:color w:val="auto"/>
        </w:rPr>
      </w:pPr>
    </w:p>
    <w:p>
      <w:pPr>
        <w:spacing w:line="480" w:lineRule="auto"/>
        <w:rPr>
          <w:rFonts w:asciiTheme="minorEastAsia" w:hAnsiTheme="minorEastAsia" w:eastAsiaTheme="minorEastAsia"/>
          <w:color w:val="auto"/>
        </w:rPr>
      </w:pPr>
      <w:r>
        <w:rPr>
          <w:rFonts w:hint="eastAsia" w:asciiTheme="minorEastAsia" w:hAnsiTheme="minorEastAsia" w:eastAsiaTheme="minorEastAsia"/>
          <w:color w:val="auto"/>
        </w:rPr>
        <w:t>供应商名称：（盖章）</w:t>
      </w:r>
    </w:p>
    <w:p>
      <w:pPr>
        <w:spacing w:line="480" w:lineRule="auto"/>
        <w:rPr>
          <w:rFonts w:asciiTheme="minorEastAsia" w:hAnsiTheme="minorEastAsia" w:eastAsiaTheme="minorEastAsia"/>
          <w:color w:val="auto"/>
        </w:rPr>
      </w:pPr>
      <w:r>
        <w:rPr>
          <w:rFonts w:hint="eastAsia" w:asciiTheme="minorEastAsia" w:hAnsiTheme="minorEastAsia" w:eastAsiaTheme="minorEastAsia"/>
          <w:color w:val="auto"/>
        </w:rPr>
        <w:t>日期：</w:t>
      </w:r>
    </w:p>
    <w:p>
      <w:pPr>
        <w:spacing w:line="480" w:lineRule="auto"/>
        <w:rPr>
          <w:rFonts w:asciiTheme="minorEastAsia" w:hAnsiTheme="minorEastAsia" w:eastAsiaTheme="minorEastAsia"/>
          <w:color w:val="auto"/>
        </w:rPr>
      </w:pPr>
      <w:bookmarkStart w:id="223" w:name="_Toc3369"/>
      <w:bookmarkStart w:id="224" w:name="_Toc27366"/>
      <w:bookmarkStart w:id="225" w:name="_Toc488335976"/>
      <w:r>
        <w:rPr>
          <w:rFonts w:hint="eastAsia" w:asciiTheme="minorEastAsia" w:hAnsiTheme="minorEastAsia" w:eastAsiaTheme="minorEastAsia"/>
          <w:color w:val="auto"/>
        </w:rPr>
        <w:t>附件：法定代表人（负责人）身份证复印件</w:t>
      </w:r>
      <w:bookmarkEnd w:id="223"/>
      <w:bookmarkEnd w:id="224"/>
      <w:bookmarkEnd w:id="225"/>
    </w:p>
    <w:p>
      <w:pPr>
        <w:rPr>
          <w:rFonts w:asciiTheme="minorEastAsia" w:hAnsiTheme="minorEastAsia" w:eastAsiaTheme="minorEastAsia"/>
          <w:color w:val="auto"/>
        </w:rPr>
      </w:pPr>
      <w:bookmarkStart w:id="226" w:name="_Toc19031184"/>
      <w:bookmarkStart w:id="227" w:name="_Toc19031429"/>
      <w:bookmarkStart w:id="228" w:name="_Toc19031295"/>
      <w:bookmarkStart w:id="229" w:name="_Toc19030540"/>
      <w:bookmarkStart w:id="230" w:name="_Toc19030609"/>
      <w:r>
        <w:rPr>
          <w:rFonts w:asciiTheme="minorEastAsia" w:hAnsiTheme="minorEastAsia" w:eastAsiaTheme="minorEastAsia"/>
          <w:color w:val="auto"/>
        </w:rPr>
        <w:pict>
          <v:rect id="矩形 5" o:spid="_x0000_s1026" o:spt="1" style="position:absolute;left:0pt;margin-left:246.35pt;margin-top:26.45pt;height:150.4pt;width:234pt;z-index:251665408;mso-width-relative:page;mso-height-relative:page;" coordsize="21600,21600" o:gfxdata="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ZEFX2QAAAAoBAAAPAAAAAAAAAAEAIAAAACIA&#10;AABkcnMvZG93bnJldi54bWxQSwECFAAUAAAACACHTuJA/28KzggCAAA4BAAADgAAAAAAAAABACAA&#10;AAAoAQAAZHJzL2Uyb0RvYy54bWxQSwUGAAAAAAYABgBZAQAAogUAAAAA&#10;">
            <v:path/>
            <v:fill focussize="0,0"/>
            <v:stroke/>
            <v:imagedata o:title=""/>
            <o:lock v:ext="edit"/>
            <v:textbo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ind w:left="2"/>
                    <w:jc w:val="center"/>
                    <w:rPr>
                      <w:rFonts w:ascii="仿宋" w:hAnsi="仿宋" w:eastAsia="仿宋"/>
                      <w:sz w:val="28"/>
                    </w:rPr>
                  </w:pPr>
                  <w:r>
                    <w:rPr>
                      <w:rFonts w:hint="eastAsia" w:ascii="仿宋" w:hAnsi="仿宋" w:eastAsia="仿宋"/>
                      <w:b/>
                      <w:sz w:val="28"/>
                    </w:rPr>
                    <w:t>居民身份证复印件反面粘贴处</w:t>
                  </w:r>
                </w:p>
              </w:txbxContent>
            </v:textbox>
          </v:rect>
        </w:pict>
      </w:r>
      <w:r>
        <w:rPr>
          <w:rFonts w:asciiTheme="minorEastAsia" w:hAnsiTheme="minorEastAsia" w:eastAsiaTheme="minorEastAsia"/>
          <w:color w:val="auto"/>
        </w:rPr>
        <w:pict>
          <v:rect id="矩形 1" o:spid="_x0000_s1031" o:spt="1" style="position:absolute;left:0pt;margin-left:-4.8pt;margin-top:27pt;height:150.4pt;width:234pt;z-index:251664384;mso-width-relative:page;mso-height-relative:page;" coordsize="21600,21600" o:gfxdata="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VuY3nYAAAACQEAAA8AAAAAAAAAAQAgAAAAIgAA&#10;AGRycy9kb3ducmV2LnhtbFBLAQIUABQAAAAIAIdO4kBn1P3WCAIAADgEAAAOAAAAAAAAAAEAIAAA&#10;ACcBAABkcnMvZTJvRG9jLnhtbFBLBQYAAAAABgAGAFkBAAChBQAAAAA=&#10;">
            <v:path/>
            <v:fill focussize="0,0"/>
            <v:stroke/>
            <v:imagedata o:title=""/>
            <o:lock v:ext="edit"/>
            <v:textbox>
              <w:txbxContent>
                <w:p>
                  <w:pPr>
                    <w:ind w:left="-1079" w:leftChars="-514"/>
                    <w:jc w:val="center"/>
                    <w:rPr>
                      <w:rFonts w:eastAsia="黑体"/>
                      <w:b/>
                      <w:sz w:val="30"/>
                    </w:rPr>
                  </w:pPr>
                </w:p>
                <w:p>
                  <w:pPr>
                    <w:ind w:left="-1079" w:leftChars="-514"/>
                    <w:jc w:val="center"/>
                    <w:rPr>
                      <w:rFonts w:ascii="仿宋" w:hAnsi="仿宋" w:eastAsia="仿宋"/>
                      <w:b/>
                      <w:sz w:val="28"/>
                    </w:rPr>
                  </w:pPr>
                  <w:r>
                    <w:rPr>
                      <w:rFonts w:hint="eastAsia" w:ascii="仿宋" w:hAnsi="仿宋" w:eastAsia="仿宋"/>
                      <w:b/>
                      <w:sz w:val="28"/>
                    </w:rPr>
                    <w:t>法定代表人</w:t>
                  </w:r>
                </w:p>
                <w:p>
                  <w:pPr>
                    <w:jc w:val="center"/>
                    <w:rPr>
                      <w:rFonts w:ascii="仿宋" w:hAnsi="仿宋" w:eastAsia="仿宋"/>
                      <w:sz w:val="28"/>
                    </w:rPr>
                  </w:pPr>
                  <w:r>
                    <w:rPr>
                      <w:rFonts w:hint="eastAsia" w:ascii="仿宋" w:hAnsi="仿宋" w:eastAsia="仿宋"/>
                      <w:b/>
                      <w:sz w:val="28"/>
                    </w:rPr>
                    <w:t>居民身份证复印件正面粘贴处</w:t>
                  </w:r>
                </w:p>
              </w:txbxContent>
            </v:textbox>
          </v:rect>
        </w:pict>
      </w:r>
      <w:bookmarkEnd w:id="226"/>
      <w:bookmarkEnd w:id="227"/>
      <w:bookmarkEnd w:id="228"/>
      <w:bookmarkEnd w:id="229"/>
      <w:bookmarkEnd w:id="230"/>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p>
    <w:p>
      <w:pPr>
        <w:pStyle w:val="4"/>
        <w:jc w:val="center"/>
        <w:rPr>
          <w:rFonts w:asciiTheme="minorEastAsia" w:hAnsiTheme="minorEastAsia" w:eastAsiaTheme="minorEastAsia"/>
          <w:b w:val="0"/>
          <w:bCs w:val="0"/>
          <w:color w:val="auto"/>
          <w:sz w:val="44"/>
        </w:rPr>
      </w:pPr>
      <w:r>
        <w:rPr>
          <w:rFonts w:hint="eastAsia" w:asciiTheme="minorEastAsia" w:hAnsiTheme="minorEastAsia" w:eastAsiaTheme="minorEastAsia"/>
          <w:b w:val="0"/>
          <w:bCs w:val="0"/>
          <w:color w:val="auto"/>
        </w:rPr>
        <w:br w:type="page"/>
      </w:r>
      <w:bookmarkStart w:id="231" w:name="_Toc25456_WPSOffice_Level1"/>
      <w:bookmarkStart w:id="232" w:name="_Toc19413"/>
      <w:bookmarkStart w:id="233" w:name="_Toc26289811"/>
      <w:bookmarkStart w:id="234" w:name="_Toc8779"/>
      <w:bookmarkStart w:id="235" w:name="_Toc18869_WPSOffice_Level1"/>
      <w:bookmarkStart w:id="236" w:name="_Toc7990_WPSOffice_Level2"/>
      <w:r>
        <w:rPr>
          <w:rFonts w:hint="eastAsia" w:asciiTheme="minorEastAsia" w:hAnsiTheme="minorEastAsia" w:eastAsiaTheme="minorEastAsia"/>
          <w:b w:val="0"/>
          <w:bCs w:val="0"/>
          <w:color w:val="auto"/>
          <w:sz w:val="28"/>
          <w:szCs w:val="28"/>
        </w:rPr>
        <w:t>6、法定代表人授权书（委托代理人参加投标）</w:t>
      </w:r>
      <w:bookmarkEnd w:id="231"/>
      <w:bookmarkEnd w:id="232"/>
      <w:bookmarkEnd w:id="233"/>
      <w:bookmarkEnd w:id="234"/>
      <w:bookmarkEnd w:id="235"/>
      <w:bookmarkEnd w:id="236"/>
    </w:p>
    <w:p>
      <w:pPr>
        <w:spacing w:line="480" w:lineRule="auto"/>
        <w:rPr>
          <w:rFonts w:asciiTheme="minorEastAsia" w:hAnsiTheme="minorEastAsia" w:eastAsiaTheme="minorEastAsia"/>
          <w:color w:val="auto"/>
          <w:sz w:val="24"/>
        </w:rPr>
      </w:pPr>
      <w:r>
        <w:rPr>
          <w:rFonts w:hint="eastAsia" w:cs="宋体" w:asciiTheme="minorEastAsia" w:hAnsiTheme="minorEastAsia" w:eastAsiaTheme="minorEastAsia"/>
          <w:color w:val="auto"/>
          <w:sz w:val="24"/>
          <w:u w:val="single"/>
        </w:rPr>
        <w:t>致</w:t>
      </w:r>
      <w:r>
        <w:rPr>
          <w:rFonts w:hint="eastAsia" w:asciiTheme="minorEastAsia" w:hAnsiTheme="minorEastAsia" w:eastAsiaTheme="minorEastAsia"/>
          <w:color w:val="auto"/>
          <w:sz w:val="24"/>
        </w:rPr>
        <w:t>：</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本授权声明：（供应商名称）（法定代表人姓名、职务）授权（被授权人姓名、职务）为我方“”（项目编号：）投标活动的合法代表，以我方名义全权处理该项目有关投标、签订合同以及执行合同等一切事宜。</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特此声明。</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法定代表人签字：</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授权代表签字：</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供应商名称：（盖章）</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日期：</w:t>
      </w:r>
    </w:p>
    <w:p>
      <w:pPr>
        <w:spacing w:line="48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附：法定代表人（负责人）身份证复印件及被授权人身份证复印件</w:t>
      </w:r>
    </w:p>
    <w:p>
      <w:pPr>
        <w:spacing w:line="360" w:lineRule="auto"/>
        <w:rPr>
          <w:rFonts w:asciiTheme="minorEastAsia" w:hAnsiTheme="minorEastAsia" w:eastAsiaTheme="minorEastAsia"/>
          <w:color w:val="auto"/>
          <w:sz w:val="28"/>
          <w:szCs w:val="28"/>
        </w:rPr>
      </w:pPr>
      <w:r>
        <w:rPr>
          <w:rFonts w:asciiTheme="minorEastAsia" w:hAnsiTheme="minorEastAsia" w:eastAsiaTheme="minorEastAsia"/>
          <w:color w:val="auto"/>
          <w:sz w:val="32"/>
        </w:rPr>
        <w:pict>
          <v:rect id="矩形 8" o:spid="_x0000_s1030" o:spt="1" style="position:absolute;left:0pt;margin-left:237.9pt;margin-top:12.65pt;height:150.4pt;width:225pt;z-index:251661312;mso-width-relative:page;mso-height-relative:page;" coordsize="21600,21600" o:gfxdata="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3O7U9kAAAAKAQAADwAAAAAAAAABACAAAAAi&#10;AAAAZHJzL2Rvd25yZXYueG1sUEsBAhQAFAAAAAgAh07iQGK6QuUJAgAAOAQAAA4AAAAAAAAAAQAg&#10;AAAAKAEAAGRycy9lMm9Eb2MueG1sUEsFBgAAAAAGAAYAWQEAAKMFAAAAAA==&#10;">
            <v:path/>
            <v:fill focussize="0,0"/>
            <v:stroke/>
            <v:imagedata o:title=""/>
            <o:lock v:ext="edit"/>
            <v:textbox>
              <w:txbxContent>
                <w:p>
                  <w:pPr>
                    <w:jc w:val="cente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居民身份证复印件正面粘贴处</w:t>
                  </w:r>
                </w:p>
              </w:txbxContent>
            </v:textbox>
          </v:rect>
        </w:pict>
      </w:r>
      <w:r>
        <w:rPr>
          <w:rFonts w:asciiTheme="minorEastAsia" w:hAnsiTheme="minorEastAsia" w:eastAsiaTheme="minorEastAsia"/>
          <w:color w:val="auto"/>
          <w:sz w:val="32"/>
        </w:rPr>
        <w:pict>
          <v:rect id="矩形 9" o:spid="_x0000_s1029" o:spt="1" style="position:absolute;left:0pt;margin-left:-4.8pt;margin-top:12.7pt;height:150.4pt;width:234pt;z-index:251660288;mso-width-relative:page;mso-height-relative:page;" coordsize="21600,21600" o:gfxdata="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GGkp22QAAAAkBAAAPAAAAAAAAAAEAIAAAACIA&#10;AABkcnMvZG93bnJldi54bWxQSwECFAAUAAAACACHTuJARrNkYAgCAAA4BAAADgAAAAAAAAABACAA&#10;AAAoAQAAZHJzL2Uyb0RvYy54bWxQSwUGAAAAAAYABgBZAQAAogU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ind w:left="-141" w:leftChars="-67"/>
                    <w:jc w:val="center"/>
                    <w:rPr>
                      <w:rFonts w:eastAsia="华文中宋"/>
                      <w:sz w:val="28"/>
                    </w:rPr>
                  </w:pPr>
                  <w:r>
                    <w:rPr>
                      <w:rFonts w:hint="eastAsia" w:eastAsia="华文中宋"/>
                      <w:b/>
                      <w:sz w:val="28"/>
                    </w:rPr>
                    <w:t>居民身份证复印件正面粘贴处</w:t>
                  </w:r>
                </w:p>
              </w:txbxContent>
            </v:textbox>
          </v:rect>
        </w:pict>
      </w:r>
    </w:p>
    <w:p>
      <w:pPr>
        <w:spacing w:line="360" w:lineRule="auto"/>
        <w:rPr>
          <w:rFonts w:asciiTheme="minorEastAsia" w:hAnsiTheme="minorEastAsia" w:eastAsiaTheme="minorEastAsia"/>
          <w:color w:val="auto"/>
          <w:sz w:val="28"/>
          <w:szCs w:val="28"/>
        </w:rPr>
      </w:pPr>
    </w:p>
    <w:p>
      <w:pPr>
        <w:spacing w:line="360" w:lineRule="auto"/>
        <w:rPr>
          <w:rFonts w:asciiTheme="minorEastAsia" w:hAnsiTheme="minorEastAsia" w:eastAsiaTheme="minorEastAsia"/>
          <w:color w:val="auto"/>
          <w:sz w:val="28"/>
          <w:szCs w:val="28"/>
        </w:rPr>
      </w:pPr>
    </w:p>
    <w:p>
      <w:pPr>
        <w:spacing w:line="360" w:lineRule="auto"/>
        <w:rPr>
          <w:rFonts w:asciiTheme="minorEastAsia" w:hAnsiTheme="minorEastAsia" w:eastAsiaTheme="minorEastAsia"/>
          <w:color w:val="auto"/>
          <w:sz w:val="28"/>
          <w:szCs w:val="28"/>
        </w:rPr>
      </w:pPr>
    </w:p>
    <w:p>
      <w:pPr>
        <w:spacing w:line="360" w:lineRule="auto"/>
        <w:rPr>
          <w:rFonts w:asciiTheme="minorEastAsia" w:hAnsiTheme="minorEastAsia" w:eastAsiaTheme="minorEastAsia"/>
          <w:color w:val="auto"/>
        </w:rPr>
      </w:pPr>
    </w:p>
    <w:p>
      <w:pPr>
        <w:spacing w:line="360" w:lineRule="auto"/>
        <w:rPr>
          <w:rFonts w:asciiTheme="minorEastAsia" w:hAnsiTheme="minorEastAsia" w:eastAsiaTheme="minorEastAsia"/>
          <w:color w:val="auto"/>
        </w:rPr>
      </w:pPr>
      <w:r>
        <w:rPr>
          <w:rFonts w:asciiTheme="minorEastAsia" w:hAnsiTheme="minorEastAsia" w:eastAsiaTheme="minorEastAsia"/>
          <w:color w:val="auto"/>
          <w:sz w:val="32"/>
        </w:rPr>
        <w:pict>
          <v:rect id="矩形 7" o:spid="_x0000_s1028" o:spt="1" style="position:absolute;left:0pt;margin-left:239.05pt;margin-top:20.4pt;height:150.4pt;width:225pt;z-index:251663360;mso-width-relative:page;mso-height-relative:page;" coordsize="21600,21600" o:gfxdata="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x6sY2AAAAAoBAAAPAAAAAAAAAAEAIAAAACIA&#10;AABkcnMvZG93bnJldi54bWxQSwECFAAUAAAACACHTuJAO7fqagkCAAA4BAAADgAAAAAAAAABACAA&#10;AAAnAQAAZHJzL2Uyb0RvYy54bWxQSwUGAAAAAAYABgBZAQAAogUAAAAA&#10;">
            <v:path/>
            <v:fill focussize="0,0"/>
            <v:stroke/>
            <v:imagedata o:title=""/>
            <o:lock v:ext="edit"/>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sz w:val="28"/>
                    </w:rPr>
                  </w:pPr>
                  <w:r>
                    <w:rPr>
                      <w:rFonts w:hint="eastAsia" w:eastAsia="华文中宋"/>
                      <w:b/>
                      <w:sz w:val="28"/>
                    </w:rPr>
                    <w:t>居民身份证复印件反面粘贴处</w:t>
                  </w:r>
                </w:p>
              </w:txbxContent>
            </v:textbox>
          </v:rect>
        </w:pict>
      </w:r>
      <w:r>
        <w:rPr>
          <w:rFonts w:asciiTheme="minorEastAsia" w:hAnsiTheme="minorEastAsia" w:eastAsiaTheme="minorEastAsia"/>
          <w:color w:val="auto"/>
          <w:sz w:val="32"/>
        </w:rPr>
        <w:pict>
          <v:rect id="矩形 6" o:spid="_x0000_s1027" o:spt="1" style="position:absolute;left:0pt;margin-left:-4.45pt;margin-top:22.05pt;height:150.4pt;width:234pt;z-index:251662336;mso-width-relative:page;mso-height-relative:page;" coordsize="21600,21600" o:gfxdata="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Kvmgk2AAAAAkBAAAPAAAAAAAAAAEAIAAAACIA&#10;AABkcnMvZG93bnJldi54bWxQSwECFAAUAAAACACHTuJAfJhROgkCAAA4BAAADgAAAAAAAAABACAA&#10;AAAnAQAAZHJzL2Uyb0RvYy54bWxQSwUGAAAAAAYABgBZAQAAogUAAAAA&#10;">
            <v:path/>
            <v:fill focussize="0,0"/>
            <v:stroke/>
            <v:imagedata o:title=""/>
            <o:lock v:ext="edit"/>
            <v:textbox>
              <w:txbxContent>
                <w:p>
                  <w:pPr>
                    <w:ind w:left="-1079" w:leftChars="-514"/>
                    <w:jc w:val="center"/>
                    <w:rPr>
                      <w:rFonts w:eastAsia="黑体"/>
                      <w:b/>
                      <w:sz w:val="30"/>
                    </w:rPr>
                  </w:pPr>
                </w:p>
                <w:p>
                  <w:pPr>
                    <w:ind w:left="-1079" w:leftChars="-514"/>
                    <w:jc w:val="center"/>
                    <w:rPr>
                      <w:rFonts w:eastAsia="华文中宋"/>
                      <w:b/>
                      <w:sz w:val="28"/>
                    </w:rPr>
                  </w:pPr>
                  <w:r>
                    <w:rPr>
                      <w:rFonts w:hint="eastAsia" w:eastAsia="华文中宋"/>
                      <w:b/>
                      <w:sz w:val="28"/>
                    </w:rPr>
                    <w:t>法定代表人</w:t>
                  </w:r>
                </w:p>
                <w:p>
                  <w:pPr>
                    <w:jc w:val="center"/>
                    <w:rPr>
                      <w:rFonts w:eastAsia="华文中宋"/>
                      <w:sz w:val="28"/>
                    </w:rPr>
                  </w:pPr>
                  <w:r>
                    <w:rPr>
                      <w:rFonts w:hint="eastAsia" w:eastAsia="华文中宋"/>
                      <w:b/>
                      <w:sz w:val="28"/>
                    </w:rPr>
                    <w:t>居民身份证复印件反面粘贴处</w:t>
                  </w:r>
                </w:p>
              </w:txbxContent>
            </v:textbox>
          </v:rect>
        </w:pict>
      </w:r>
    </w:p>
    <w:p>
      <w:pPr>
        <w:spacing w:line="360" w:lineRule="auto"/>
        <w:rPr>
          <w:rFonts w:asciiTheme="minorEastAsia" w:hAnsiTheme="minorEastAsia" w:eastAsiaTheme="minorEastAsia"/>
          <w:color w:val="auto"/>
        </w:rPr>
      </w:pPr>
    </w:p>
    <w:p>
      <w:pPr>
        <w:spacing w:line="360" w:lineRule="auto"/>
        <w:rPr>
          <w:rFonts w:asciiTheme="minorEastAsia" w:hAnsiTheme="minorEastAsia" w:eastAsiaTheme="minorEastAsia"/>
          <w:color w:val="auto"/>
        </w:rPr>
      </w:pPr>
    </w:p>
    <w:p>
      <w:pPr>
        <w:spacing w:line="360" w:lineRule="auto"/>
        <w:rPr>
          <w:rFonts w:asciiTheme="minorEastAsia" w:hAnsiTheme="minorEastAsia" w:eastAsiaTheme="minorEastAsia"/>
          <w:color w:val="auto"/>
        </w:rPr>
      </w:pPr>
    </w:p>
    <w:p>
      <w:pPr>
        <w:rPr>
          <w:rStyle w:val="109"/>
          <w:rFonts w:asciiTheme="minorEastAsia" w:hAnsiTheme="minorEastAsia" w:eastAsiaTheme="minorEastAsia"/>
          <w:b w:val="0"/>
          <w:bCs w:val="0"/>
          <w:color w:val="auto"/>
        </w:rPr>
      </w:pPr>
      <w:r>
        <w:rPr>
          <w:rFonts w:asciiTheme="minorEastAsia" w:hAnsiTheme="minorEastAsia" w:eastAsiaTheme="minorEastAsia"/>
          <w:color w:val="auto"/>
        </w:rPr>
        <w:br w:type="page"/>
      </w:r>
    </w:p>
    <w:p>
      <w:pPr>
        <w:jc w:val="center"/>
        <w:rPr>
          <w:rFonts w:asciiTheme="minorEastAsia" w:hAnsiTheme="minorEastAsia" w:eastAsiaTheme="minorEastAsia"/>
          <w:color w:val="auto"/>
          <w:kern w:val="0"/>
          <w:sz w:val="28"/>
          <w:szCs w:val="28"/>
        </w:rPr>
      </w:pPr>
      <w:bookmarkStart w:id="237" w:name="_Toc26289812"/>
      <w:bookmarkStart w:id="238" w:name="_Toc317237638"/>
      <w:bookmarkStart w:id="239" w:name="_Toc13189"/>
      <w:bookmarkStart w:id="240" w:name="_Toc212102886"/>
      <w:r>
        <w:rPr>
          <w:rFonts w:hint="eastAsia" w:asciiTheme="minorEastAsia" w:hAnsiTheme="minorEastAsia" w:eastAsiaTheme="minorEastAsia"/>
          <w:b/>
          <w:bCs/>
          <w:color w:val="auto"/>
          <w:sz w:val="28"/>
          <w:szCs w:val="28"/>
        </w:rPr>
        <w:t>7、</w:t>
      </w:r>
      <w:bookmarkEnd w:id="237"/>
      <w:bookmarkEnd w:id="238"/>
      <w:bookmarkEnd w:id="239"/>
      <w:bookmarkStart w:id="241" w:name="_Toc26289813"/>
      <w:bookmarkStart w:id="242" w:name="_Toc17411"/>
      <w:r>
        <w:rPr>
          <w:rFonts w:hint="eastAsia" w:asciiTheme="minorEastAsia" w:hAnsiTheme="minorEastAsia" w:eastAsiaTheme="minorEastAsia"/>
          <w:color w:val="auto"/>
          <w:kern w:val="0"/>
          <w:sz w:val="28"/>
          <w:szCs w:val="28"/>
        </w:rPr>
        <w:t>供应商基本情况表</w:t>
      </w:r>
    </w:p>
    <w:tbl>
      <w:tblPr>
        <w:tblStyle w:val="25"/>
        <w:tblW w:w="911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861"/>
        <w:gridCol w:w="171"/>
        <w:gridCol w:w="1468"/>
        <w:gridCol w:w="733"/>
        <w:gridCol w:w="439"/>
        <w:gridCol w:w="9"/>
        <w:gridCol w:w="463"/>
        <w:gridCol w:w="948"/>
        <w:gridCol w:w="693"/>
        <w:gridCol w:w="17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供应商名称</w:t>
            </w:r>
          </w:p>
        </w:tc>
        <w:tc>
          <w:tcPr>
            <w:tcW w:w="7501" w:type="dxa"/>
            <w:gridSpan w:val="10"/>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注册地址</w:t>
            </w:r>
          </w:p>
        </w:tc>
        <w:tc>
          <w:tcPr>
            <w:tcW w:w="3681" w:type="dxa"/>
            <w:gridSpan w:val="6"/>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411"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邮政编码</w:t>
            </w:r>
          </w:p>
        </w:tc>
        <w:tc>
          <w:tcPr>
            <w:tcW w:w="2409"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Merge w:val="restart"/>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联系方式</w:t>
            </w:r>
          </w:p>
        </w:tc>
        <w:tc>
          <w:tcPr>
            <w:tcW w:w="1032"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联系人</w:t>
            </w:r>
          </w:p>
        </w:tc>
        <w:tc>
          <w:tcPr>
            <w:tcW w:w="2640" w:type="dxa"/>
            <w:gridSpan w:val="3"/>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420" w:type="dxa"/>
            <w:gridSpan w:val="3"/>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电话</w:t>
            </w:r>
          </w:p>
        </w:tc>
        <w:tc>
          <w:tcPr>
            <w:tcW w:w="2409"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615" w:type="dxa"/>
            <w:vMerge w:val="continue"/>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032"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传真</w:t>
            </w:r>
          </w:p>
        </w:tc>
        <w:tc>
          <w:tcPr>
            <w:tcW w:w="2640" w:type="dxa"/>
            <w:gridSpan w:val="3"/>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420" w:type="dxa"/>
            <w:gridSpan w:val="3"/>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网址</w:t>
            </w:r>
          </w:p>
        </w:tc>
        <w:tc>
          <w:tcPr>
            <w:tcW w:w="2409"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法定代表人</w:t>
            </w:r>
          </w:p>
        </w:tc>
        <w:tc>
          <w:tcPr>
            <w:tcW w:w="861" w:type="dxa"/>
            <w:vAlign w:val="center"/>
          </w:tcPr>
          <w:p>
            <w:pPr>
              <w:autoSpaceDE w:val="0"/>
              <w:autoSpaceDN w:val="0"/>
              <w:adjustRightInd w:val="0"/>
              <w:spacing w:before="240" w:line="480" w:lineRule="auto"/>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姓名</w:t>
            </w:r>
          </w:p>
        </w:tc>
        <w:tc>
          <w:tcPr>
            <w:tcW w:w="1639"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172"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技术职称</w:t>
            </w:r>
          </w:p>
        </w:tc>
        <w:tc>
          <w:tcPr>
            <w:tcW w:w="1420" w:type="dxa"/>
            <w:gridSpan w:val="3"/>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693"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电话</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技术负责人</w:t>
            </w:r>
          </w:p>
        </w:tc>
        <w:tc>
          <w:tcPr>
            <w:tcW w:w="861" w:type="dxa"/>
            <w:vAlign w:val="center"/>
          </w:tcPr>
          <w:p>
            <w:pPr>
              <w:autoSpaceDE w:val="0"/>
              <w:autoSpaceDN w:val="0"/>
              <w:adjustRightInd w:val="0"/>
              <w:spacing w:before="240" w:line="480" w:lineRule="auto"/>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姓名</w:t>
            </w:r>
          </w:p>
        </w:tc>
        <w:tc>
          <w:tcPr>
            <w:tcW w:w="1639"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172"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技术职称</w:t>
            </w:r>
          </w:p>
        </w:tc>
        <w:tc>
          <w:tcPr>
            <w:tcW w:w="1420" w:type="dxa"/>
            <w:gridSpan w:val="3"/>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693"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电话</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成立时间</w:t>
            </w:r>
          </w:p>
        </w:tc>
        <w:tc>
          <w:tcPr>
            <w:tcW w:w="3233" w:type="dxa"/>
            <w:gridSpan w:val="4"/>
            <w:tcBorders>
              <w:right w:val="single" w:color="auto" w:sz="4" w:space="0"/>
            </w:tcBorders>
            <w:vAlign w:val="center"/>
          </w:tcPr>
          <w:p>
            <w:pPr>
              <w:autoSpaceDE w:val="0"/>
              <w:autoSpaceDN w:val="0"/>
              <w:adjustRightInd w:val="0"/>
              <w:spacing w:before="240" w:line="480" w:lineRule="auto"/>
              <w:ind w:firstLine="1470" w:firstLineChars="700"/>
              <w:jc w:val="left"/>
              <w:rPr>
                <w:rFonts w:asciiTheme="minorEastAsia" w:hAnsiTheme="minorEastAsia" w:eastAsiaTheme="minorEastAsia"/>
                <w:color w:val="auto"/>
                <w:kern w:val="0"/>
                <w:szCs w:val="21"/>
              </w:rPr>
            </w:pPr>
          </w:p>
        </w:tc>
        <w:tc>
          <w:tcPr>
            <w:tcW w:w="4268" w:type="dxa"/>
            <w:gridSpan w:val="6"/>
            <w:tcBorders>
              <w:lef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企业资质等级</w:t>
            </w:r>
          </w:p>
        </w:tc>
        <w:tc>
          <w:tcPr>
            <w:tcW w:w="3233" w:type="dxa"/>
            <w:gridSpan w:val="4"/>
            <w:tcBorders>
              <w:righ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911" w:type="dxa"/>
            <w:gridSpan w:val="3"/>
            <w:vMerge w:val="restart"/>
            <w:tcBorders>
              <w:left w:val="single" w:color="auto" w:sz="4" w:space="0"/>
            </w:tcBorders>
            <w:vAlign w:val="center"/>
          </w:tcPr>
          <w:p>
            <w:pPr>
              <w:autoSpaceDE w:val="0"/>
              <w:autoSpaceDN w:val="0"/>
              <w:adjustRightInd w:val="0"/>
              <w:spacing w:before="240" w:line="480" w:lineRule="auto"/>
              <w:jc w:val="center"/>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其中</w:t>
            </w:r>
          </w:p>
        </w:tc>
        <w:tc>
          <w:tcPr>
            <w:tcW w:w="1641"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项目经理</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执业许可证</w:t>
            </w:r>
          </w:p>
        </w:tc>
        <w:tc>
          <w:tcPr>
            <w:tcW w:w="3233" w:type="dxa"/>
            <w:gridSpan w:val="4"/>
            <w:tcBorders>
              <w:righ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641"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高级职称人员</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注册资金</w:t>
            </w:r>
          </w:p>
        </w:tc>
        <w:tc>
          <w:tcPr>
            <w:tcW w:w="3233" w:type="dxa"/>
            <w:gridSpan w:val="4"/>
            <w:tcBorders>
              <w:righ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641"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中级职称人员</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开户银行</w:t>
            </w:r>
          </w:p>
        </w:tc>
        <w:tc>
          <w:tcPr>
            <w:tcW w:w="3233" w:type="dxa"/>
            <w:gridSpan w:val="4"/>
            <w:tcBorders>
              <w:righ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641"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初级职称人员</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账号</w:t>
            </w:r>
          </w:p>
        </w:tc>
        <w:tc>
          <w:tcPr>
            <w:tcW w:w="3233" w:type="dxa"/>
            <w:gridSpan w:val="4"/>
            <w:tcBorders>
              <w:righ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c>
          <w:tcPr>
            <w:tcW w:w="1641" w:type="dxa"/>
            <w:gridSpan w:val="2"/>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普通职工</w:t>
            </w:r>
          </w:p>
        </w:tc>
        <w:tc>
          <w:tcPr>
            <w:tcW w:w="1716"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54" w:hRule="atLeast"/>
          <w:jc w:val="center"/>
        </w:trPr>
        <w:tc>
          <w:tcPr>
            <w:tcW w:w="1615" w:type="dxa"/>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经营范围</w:t>
            </w:r>
          </w:p>
        </w:tc>
        <w:tc>
          <w:tcPr>
            <w:tcW w:w="7501" w:type="dxa"/>
            <w:gridSpan w:val="10"/>
            <w:vAlign w:val="center"/>
          </w:tcPr>
          <w:p>
            <w:pPr>
              <w:autoSpaceDE w:val="0"/>
              <w:autoSpaceDN w:val="0"/>
              <w:adjustRightInd w:val="0"/>
              <w:spacing w:before="240" w:line="480" w:lineRule="auto"/>
              <w:rPr>
                <w:rFonts w:asciiTheme="minorEastAsia" w:hAnsiTheme="minorEastAsia" w:eastAsiaTheme="minorEastAsia"/>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38" w:hRule="atLeast"/>
          <w:jc w:val="center"/>
        </w:trPr>
        <w:tc>
          <w:tcPr>
            <w:tcW w:w="1615" w:type="dxa"/>
          </w:tcPr>
          <w:p>
            <w:pPr>
              <w:autoSpaceDE w:val="0"/>
              <w:autoSpaceDN w:val="0"/>
              <w:adjustRightInd w:val="0"/>
              <w:spacing w:before="240" w:line="480" w:lineRule="auto"/>
              <w:rPr>
                <w:rFonts w:asciiTheme="minorEastAsia" w:hAnsiTheme="minorEastAsia" w:eastAsiaTheme="minorEastAsia"/>
                <w:color w:val="auto"/>
                <w:kern w:val="0"/>
                <w:szCs w:val="21"/>
              </w:rPr>
            </w:pPr>
            <w:r>
              <w:rPr>
                <w:rFonts w:hint="eastAsia" w:asciiTheme="minorEastAsia" w:hAnsiTheme="minorEastAsia" w:eastAsiaTheme="minorEastAsia"/>
                <w:color w:val="auto"/>
                <w:kern w:val="0"/>
                <w:szCs w:val="21"/>
              </w:rPr>
              <w:t>备注</w:t>
            </w:r>
          </w:p>
        </w:tc>
        <w:tc>
          <w:tcPr>
            <w:tcW w:w="7501" w:type="dxa"/>
            <w:gridSpan w:val="10"/>
          </w:tcPr>
          <w:p>
            <w:pPr>
              <w:autoSpaceDE w:val="0"/>
              <w:autoSpaceDN w:val="0"/>
              <w:adjustRightInd w:val="0"/>
              <w:spacing w:before="240" w:line="480" w:lineRule="auto"/>
              <w:rPr>
                <w:rFonts w:asciiTheme="minorEastAsia" w:hAnsiTheme="minorEastAsia" w:eastAsiaTheme="minorEastAsia"/>
                <w:color w:val="auto"/>
                <w:kern w:val="0"/>
                <w:szCs w:val="21"/>
              </w:rPr>
            </w:pPr>
          </w:p>
        </w:tc>
      </w:tr>
    </w:tbl>
    <w:p>
      <w:pPr>
        <w:rPr>
          <w:rFonts w:asciiTheme="minorEastAsia" w:hAnsiTheme="minorEastAsia" w:eastAsiaTheme="minorEastAsia"/>
          <w:color w:val="auto"/>
        </w:rPr>
      </w:pPr>
    </w:p>
    <w:p>
      <w:pPr>
        <w:pStyle w:val="4"/>
        <w:jc w:val="center"/>
        <w:rPr>
          <w:rFonts w:asciiTheme="minorEastAsia" w:hAnsiTheme="minorEastAsia" w:eastAsiaTheme="minorEastAsia"/>
          <w:b w:val="0"/>
          <w:bCs w:val="0"/>
          <w:color w:val="auto"/>
          <w:sz w:val="28"/>
          <w:szCs w:val="28"/>
        </w:rPr>
      </w:pPr>
      <w:r>
        <w:rPr>
          <w:rFonts w:hint="eastAsia" w:asciiTheme="minorEastAsia" w:hAnsiTheme="minorEastAsia" w:eastAsiaTheme="minorEastAsia"/>
          <w:b w:val="0"/>
          <w:bCs w:val="0"/>
          <w:color w:val="auto"/>
          <w:sz w:val="28"/>
          <w:szCs w:val="28"/>
        </w:rPr>
        <w:br w:type="page"/>
      </w:r>
    </w:p>
    <w:p>
      <w:pPr>
        <w:pStyle w:val="4"/>
        <w:jc w:val="center"/>
        <w:rPr>
          <w:rFonts w:asciiTheme="minorEastAsia" w:hAnsiTheme="minorEastAsia" w:eastAsiaTheme="minorEastAsia"/>
          <w:b w:val="0"/>
          <w:bCs w:val="0"/>
          <w:color w:val="auto"/>
          <w:sz w:val="28"/>
          <w:szCs w:val="28"/>
        </w:rPr>
      </w:pPr>
      <w:r>
        <w:rPr>
          <w:rFonts w:hint="eastAsia" w:asciiTheme="minorEastAsia" w:hAnsiTheme="minorEastAsia" w:eastAsiaTheme="minorEastAsia"/>
          <w:b w:val="0"/>
          <w:bCs w:val="0"/>
          <w:color w:val="auto"/>
          <w:sz w:val="28"/>
          <w:szCs w:val="28"/>
        </w:rPr>
        <w:t>8、磋商保证金</w:t>
      </w:r>
      <w:bookmarkEnd w:id="241"/>
    </w:p>
    <w:p>
      <w:pPr>
        <w:ind w:firstLine="420" w:firstLineChars="200"/>
        <w:rPr>
          <w:rFonts w:asciiTheme="minorEastAsia" w:hAnsiTheme="minorEastAsia" w:eastAsiaTheme="minorEastAsia"/>
          <w:color w:val="auto"/>
        </w:rPr>
      </w:pPr>
    </w:p>
    <w:p>
      <w:pPr>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1、附银行转账凭证或银行转账证明材料复印件加盖公章。</w:t>
      </w:r>
    </w:p>
    <w:p>
      <w:pPr>
        <w:ind w:firstLine="420" w:firstLineChars="200"/>
        <w:rPr>
          <w:rFonts w:asciiTheme="minorEastAsia" w:hAnsiTheme="minorEastAsia" w:eastAsiaTheme="minorEastAsia"/>
          <w:color w:val="auto"/>
        </w:rPr>
      </w:pPr>
    </w:p>
    <w:p>
      <w:pPr>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2、附基本账户许可证复印件加盖公章。</w:t>
      </w:r>
    </w:p>
    <w:p>
      <w:pPr>
        <w:pStyle w:val="4"/>
        <w:jc w:val="center"/>
        <w:rPr>
          <w:rFonts w:asciiTheme="minorEastAsia" w:hAnsiTheme="minorEastAsia" w:eastAsiaTheme="minorEastAsia"/>
          <w:b w:val="0"/>
          <w:bCs w:val="0"/>
          <w:color w:val="auto"/>
        </w:rPr>
      </w:pPr>
      <w:r>
        <w:rPr>
          <w:rFonts w:hint="eastAsia" w:asciiTheme="minorEastAsia" w:hAnsiTheme="minorEastAsia" w:eastAsiaTheme="minorEastAsia"/>
          <w:b w:val="0"/>
          <w:bCs w:val="0"/>
          <w:color w:val="auto"/>
        </w:rPr>
        <w:br w:type="page"/>
      </w:r>
      <w:bookmarkEnd w:id="242"/>
      <w:bookmarkStart w:id="243" w:name="_Toc2341"/>
      <w:bookmarkStart w:id="244" w:name="_Toc17648_WPSOffice_Level1"/>
      <w:bookmarkStart w:id="245" w:name="_Toc24841_WPSOffice_Level1"/>
      <w:bookmarkStart w:id="246" w:name="_Toc12336"/>
      <w:bookmarkStart w:id="247" w:name="_Toc5704_WPSOffice_Level1"/>
      <w:bookmarkStart w:id="248" w:name="_Toc26289814"/>
      <w:bookmarkStart w:id="249" w:name="_Toc317237642"/>
      <w:bookmarkStart w:id="250" w:name="_Toc30314"/>
      <w:bookmarkStart w:id="251" w:name="_Toc212102898"/>
      <w:r>
        <w:rPr>
          <w:rFonts w:hint="eastAsia" w:asciiTheme="minorEastAsia" w:hAnsiTheme="minorEastAsia" w:eastAsiaTheme="minorEastAsia"/>
          <w:b w:val="0"/>
          <w:bCs w:val="0"/>
          <w:color w:val="auto"/>
          <w:sz w:val="28"/>
          <w:szCs w:val="28"/>
        </w:rPr>
        <w:t>9、无重大违法记录的声明函</w:t>
      </w:r>
      <w:bookmarkEnd w:id="243"/>
      <w:bookmarkEnd w:id="244"/>
      <w:bookmarkEnd w:id="245"/>
      <w:bookmarkEnd w:id="246"/>
      <w:bookmarkEnd w:id="247"/>
      <w:bookmarkEnd w:id="248"/>
    </w:p>
    <w:p>
      <w:pPr>
        <w:spacing w:line="360" w:lineRule="auto"/>
        <w:ind w:right="480"/>
        <w:jc w:val="center"/>
        <w:rPr>
          <w:rFonts w:asciiTheme="minorEastAsia" w:hAnsiTheme="minorEastAsia" w:eastAsiaTheme="minorEastAsia"/>
          <w:color w:val="auto"/>
        </w:rPr>
      </w:pPr>
    </w:p>
    <w:p>
      <w:pPr>
        <w:tabs>
          <w:tab w:val="left" w:pos="1050"/>
        </w:tabs>
        <w:spacing w:line="48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致：</w:t>
      </w:r>
    </w:p>
    <w:p>
      <w:pPr>
        <w:pStyle w:val="53"/>
        <w:spacing w:line="480" w:lineRule="auto"/>
        <w:ind w:left="210" w:leftChars="100" w:firstLine="300" w:firstLineChars="125"/>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本公司</w:t>
      </w:r>
      <w:r>
        <w:rPr>
          <w:rFonts w:hint="eastAsia" w:asciiTheme="minorEastAsia" w:hAnsiTheme="minorEastAsia" w:eastAsiaTheme="minorEastAsia"/>
          <w:color w:val="auto"/>
          <w:sz w:val="24"/>
          <w:szCs w:val="24"/>
          <w:u w:val="single"/>
        </w:rPr>
        <w:t>（公司名称）</w:t>
      </w:r>
      <w:r>
        <w:rPr>
          <w:rFonts w:hint="eastAsia" w:asciiTheme="minorEastAsia" w:hAnsiTheme="minorEastAsia" w:eastAsiaTheme="minorEastAsia"/>
          <w:color w:val="auto"/>
          <w:sz w:val="24"/>
          <w:szCs w:val="24"/>
        </w:rPr>
        <w:t>参加的采购活动，现承诺：</w:t>
      </w:r>
    </w:p>
    <w:p>
      <w:pPr>
        <w:pStyle w:val="53"/>
        <w:spacing w:line="480" w:lineRule="auto"/>
        <w:ind w:left="42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我公司参加政府采购活动近三年内，在经营活动中没有重大违法记录。</w:t>
      </w:r>
    </w:p>
    <w:p>
      <w:pPr>
        <w:pStyle w:val="53"/>
        <w:spacing w:line="480" w:lineRule="auto"/>
        <w:ind w:left="0" w:leftChars="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同时也满足本项目法律法规规章规定关于供应商的其他资格性条件，未参与本采购项目前期咨询论证，不属于禁止参加投标的供应商。</w:t>
      </w:r>
    </w:p>
    <w:p>
      <w:pPr>
        <w:pStyle w:val="53"/>
        <w:spacing w:line="480" w:lineRule="auto"/>
        <w:ind w:left="0" w:leftChars="0" w:firstLine="540" w:firstLineChars="225"/>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如违反以上承诺，本公司愿承担一切法律责任。</w:t>
      </w:r>
    </w:p>
    <w:p>
      <w:pPr>
        <w:spacing w:line="360" w:lineRule="auto"/>
        <w:ind w:firstLine="480" w:firstLineChars="200"/>
        <w:rPr>
          <w:rFonts w:asciiTheme="minorEastAsia" w:hAnsiTheme="minorEastAsia" w:eastAsiaTheme="minorEastAsia"/>
          <w:color w:val="auto"/>
          <w:sz w:val="24"/>
        </w:rPr>
      </w:pPr>
    </w:p>
    <w:p>
      <w:pPr>
        <w:spacing w:line="360" w:lineRule="auto"/>
        <w:ind w:firstLine="480" w:firstLineChars="200"/>
        <w:rPr>
          <w:rFonts w:asciiTheme="minorEastAsia" w:hAnsiTheme="minorEastAsia" w:eastAsiaTheme="minorEastAsia"/>
          <w:color w:val="auto"/>
          <w:sz w:val="24"/>
        </w:rPr>
      </w:pPr>
    </w:p>
    <w:p>
      <w:pPr>
        <w:spacing w:line="360" w:lineRule="auto"/>
        <w:ind w:firstLine="480" w:firstLineChars="200"/>
        <w:rPr>
          <w:rFonts w:asciiTheme="minorEastAsia" w:hAnsiTheme="minorEastAsia" w:eastAsiaTheme="minorEastAsia"/>
          <w:color w:val="auto"/>
          <w:sz w:val="24"/>
        </w:rPr>
      </w:pPr>
    </w:p>
    <w:p>
      <w:pPr>
        <w:spacing w:line="360" w:lineRule="auto"/>
        <w:ind w:firstLine="480" w:firstLineChars="200"/>
        <w:rPr>
          <w:rFonts w:asciiTheme="minorEastAsia" w:hAnsiTheme="minorEastAsia" w:eastAsiaTheme="minorEastAsia"/>
          <w:color w:val="auto"/>
          <w:sz w:val="24"/>
        </w:rPr>
      </w:pPr>
    </w:p>
    <w:p>
      <w:pPr>
        <w:spacing w:line="360" w:lineRule="auto"/>
        <w:rPr>
          <w:rFonts w:asciiTheme="minorEastAsia" w:hAnsiTheme="minorEastAsia" w:eastAsiaTheme="minorEastAsia"/>
          <w:color w:val="auto"/>
          <w:sz w:val="24"/>
        </w:rPr>
      </w:pPr>
    </w:p>
    <w:p>
      <w:pPr>
        <w:adjustRightInd w:val="0"/>
        <w:spacing w:line="400" w:lineRule="exact"/>
        <w:jc w:val="left"/>
        <w:rPr>
          <w:rFonts w:asciiTheme="minorEastAsia" w:hAnsiTheme="minorEastAsia" w:eastAsiaTheme="minorEastAsia"/>
          <w:color w:val="auto"/>
          <w:sz w:val="24"/>
          <w:u w:val="single"/>
        </w:rPr>
      </w:pPr>
      <w:r>
        <w:rPr>
          <w:rFonts w:asciiTheme="minorEastAsia" w:hAnsiTheme="minorEastAsia" w:eastAsiaTheme="minorEastAsia"/>
          <w:color w:val="auto"/>
          <w:sz w:val="24"/>
        </w:rPr>
        <w:t>供应商名称：</w:t>
      </w:r>
      <w:r>
        <w:rPr>
          <w:rFonts w:hint="eastAsia" w:asciiTheme="minorEastAsia" w:hAnsiTheme="minorEastAsia" w:eastAsiaTheme="minorEastAsia"/>
          <w:color w:val="auto"/>
          <w:sz w:val="24"/>
          <w:u w:val="single"/>
        </w:rPr>
        <w:t>（</w:t>
      </w:r>
      <w:r>
        <w:rPr>
          <w:rFonts w:asciiTheme="minorEastAsia" w:hAnsiTheme="minorEastAsia" w:eastAsiaTheme="minorEastAsia"/>
          <w:color w:val="auto"/>
          <w:sz w:val="24"/>
          <w:u w:val="single"/>
        </w:rPr>
        <w:t>盖公章）</w:t>
      </w:r>
    </w:p>
    <w:p>
      <w:pPr>
        <w:adjustRightInd w:val="0"/>
        <w:spacing w:line="400" w:lineRule="exact"/>
        <w:ind w:firstLine="480" w:firstLineChars="200"/>
        <w:jc w:val="left"/>
        <w:rPr>
          <w:rFonts w:asciiTheme="minorEastAsia" w:hAnsiTheme="minorEastAsia" w:eastAsiaTheme="minorEastAsia"/>
          <w:color w:val="auto"/>
          <w:sz w:val="24"/>
          <w:u w:val="single"/>
        </w:rPr>
      </w:pPr>
    </w:p>
    <w:p>
      <w:pPr>
        <w:spacing w:line="360" w:lineRule="auto"/>
        <w:rPr>
          <w:rFonts w:asciiTheme="minorEastAsia" w:hAnsiTheme="minorEastAsia" w:eastAsiaTheme="minorEastAsia"/>
          <w:color w:val="auto"/>
          <w:sz w:val="24"/>
        </w:rPr>
      </w:pPr>
      <w:r>
        <w:rPr>
          <w:rFonts w:asciiTheme="minorEastAsia" w:hAnsiTheme="minorEastAsia" w:eastAsiaTheme="minorEastAsia"/>
          <w:color w:val="auto"/>
          <w:sz w:val="24"/>
        </w:rPr>
        <w:t>法定代表人</w:t>
      </w:r>
      <w:r>
        <w:rPr>
          <w:rFonts w:hint="eastAsia" w:asciiTheme="minorEastAsia" w:hAnsiTheme="minorEastAsia" w:eastAsiaTheme="minorEastAsia"/>
          <w:color w:val="auto"/>
          <w:sz w:val="24"/>
        </w:rPr>
        <w:t>（负责人）</w:t>
      </w:r>
      <w:r>
        <w:rPr>
          <w:rFonts w:asciiTheme="minorEastAsia" w:hAnsiTheme="minorEastAsia" w:eastAsiaTheme="minorEastAsia"/>
          <w:color w:val="auto"/>
          <w:sz w:val="24"/>
        </w:rPr>
        <w:t>或授权代表（签字或盖章）：</w:t>
      </w:r>
    </w:p>
    <w:p>
      <w:pPr>
        <w:spacing w:line="360" w:lineRule="auto"/>
        <w:rPr>
          <w:rFonts w:asciiTheme="minorEastAsia" w:hAnsiTheme="minorEastAsia" w:eastAsiaTheme="minorEastAsia"/>
          <w:color w:val="auto"/>
          <w:sz w:val="24"/>
        </w:rPr>
      </w:pPr>
    </w:p>
    <w:p>
      <w:pPr>
        <w:spacing w:line="36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 xml:space="preserve">日期：  </w:t>
      </w:r>
      <w:r>
        <w:rPr>
          <w:rFonts w:hint="eastAsia" w:asciiTheme="minorEastAsia" w:hAnsiTheme="minorEastAsia" w:eastAsiaTheme="minorEastAsia"/>
          <w:color w:val="auto"/>
        </w:rPr>
        <w:t>_______年_______月_______日</w:t>
      </w:r>
    </w:p>
    <w:p>
      <w:pPr>
        <w:pStyle w:val="4"/>
        <w:jc w:val="center"/>
        <w:rPr>
          <w:rFonts w:asciiTheme="minorEastAsia" w:hAnsiTheme="minorEastAsia" w:eastAsiaTheme="minorEastAsia"/>
          <w:color w:val="auto"/>
          <w:sz w:val="28"/>
          <w:szCs w:val="28"/>
        </w:rPr>
      </w:pPr>
      <w:r>
        <w:rPr>
          <w:rFonts w:hint="eastAsia" w:asciiTheme="minorEastAsia" w:hAnsiTheme="minorEastAsia" w:eastAsiaTheme="minorEastAsia"/>
          <w:color w:val="auto"/>
          <w:szCs w:val="21"/>
        </w:rPr>
        <w:br w:type="page"/>
      </w:r>
      <w:r>
        <w:rPr>
          <w:rFonts w:hint="eastAsia" w:asciiTheme="minorEastAsia" w:hAnsiTheme="minorEastAsia" w:eastAsiaTheme="minorEastAsia"/>
          <w:b w:val="0"/>
          <w:bCs w:val="0"/>
          <w:color w:val="auto"/>
          <w:sz w:val="28"/>
          <w:szCs w:val="28"/>
        </w:rPr>
        <w:t>10、信用查询记录</w:t>
      </w:r>
    </w:p>
    <w:p>
      <w:pPr>
        <w:pStyle w:val="24"/>
        <w:ind w:left="0" w:leftChars="0" w:firstLine="0" w:firstLineChars="0"/>
        <w:rPr>
          <w:rFonts w:asciiTheme="minorEastAsia" w:hAnsiTheme="minorEastAsia" w:eastAsiaTheme="minorEastAsia"/>
          <w:color w:val="auto"/>
          <w:lang w:eastAsia="zh-CN"/>
        </w:rPr>
      </w:pPr>
    </w:p>
    <w:p>
      <w:pP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根据财库（2016）125号文的规定，各供应商需通过“信用中国” 网站( www.creditchina.gov.cn) 失信被执行人、重大税收违法失信主体、政府采购严重违法失信行为记录名单和“中国政府采购网” ( www.ccgp.gov.cn)政府采购严重违法失信行为记录名单（提供查询结果网页截图并加盖公章）：</w:t>
      </w:r>
    </w:p>
    <w:p>
      <w:pPr>
        <w:rPr>
          <w:rFonts w:asciiTheme="minorEastAsia" w:hAnsiTheme="minorEastAsia" w:eastAsiaTheme="minorEastAsia"/>
          <w:color w:val="auto"/>
        </w:rPr>
      </w:pPr>
    </w:p>
    <w:p>
      <w:pPr>
        <w:rPr>
          <w:rFonts w:asciiTheme="minorEastAsia" w:hAnsiTheme="minorEastAsia" w:eastAsiaTheme="minorEastAsia"/>
          <w:color w:val="auto"/>
        </w:rPr>
      </w:pPr>
    </w:p>
    <w:p>
      <w:pPr>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供应商名称（公章）：</w:t>
      </w:r>
    </w:p>
    <w:p>
      <w:pPr>
        <w:pStyle w:val="8"/>
        <w:rPr>
          <w:color w:val="auto"/>
        </w:rPr>
      </w:pPr>
    </w:p>
    <w:p>
      <w:pPr>
        <w:jc w:val="left"/>
        <w:rPr>
          <w:rFonts w:asciiTheme="minorEastAsia" w:hAnsiTheme="minorEastAsia" w:eastAsiaTheme="minorEastAsia"/>
          <w:color w:val="auto"/>
          <w:sz w:val="24"/>
        </w:rPr>
      </w:pPr>
      <w:r>
        <w:rPr>
          <w:rFonts w:hint="eastAsia" w:asciiTheme="minorEastAsia" w:hAnsiTheme="minorEastAsia" w:eastAsiaTheme="minorEastAsia"/>
          <w:color w:val="auto"/>
          <w:sz w:val="24"/>
        </w:rPr>
        <w:t>法定代表或其委托代理人：（签字或盖章）</w:t>
      </w:r>
    </w:p>
    <w:p>
      <w:pPr>
        <w:jc w:val="right"/>
        <w:rPr>
          <w:rFonts w:asciiTheme="minorEastAsia" w:hAnsiTheme="minorEastAsia" w:eastAsiaTheme="minorEastAsia"/>
          <w:color w:val="auto"/>
          <w:sz w:val="24"/>
        </w:rPr>
      </w:pPr>
    </w:p>
    <w:p>
      <w:pPr>
        <w:adjustRightInd w:val="0"/>
        <w:spacing w:before="240" w:line="480" w:lineRule="auto"/>
        <w:rPr>
          <w:rFonts w:asciiTheme="minorEastAsia" w:hAnsiTheme="minorEastAsia" w:eastAsiaTheme="minorEastAsia"/>
          <w:color w:val="auto"/>
          <w:sz w:val="24"/>
        </w:rPr>
      </w:pPr>
      <w:r>
        <w:rPr>
          <w:rFonts w:hint="eastAsia" w:asciiTheme="minorEastAsia" w:hAnsiTheme="minorEastAsia" w:eastAsiaTheme="minorEastAsia"/>
          <w:color w:val="auto"/>
          <w:sz w:val="24"/>
        </w:rPr>
        <w:t>日期：</w:t>
      </w:r>
      <w:r>
        <w:rPr>
          <w:rFonts w:hint="eastAsia" w:asciiTheme="minorEastAsia" w:hAnsiTheme="minorEastAsia" w:eastAsiaTheme="minorEastAsia"/>
          <w:color w:val="auto"/>
        </w:rPr>
        <w:t>_______年_______月_______日</w:t>
      </w:r>
    </w:p>
    <w:p>
      <w:pPr>
        <w:pStyle w:val="4"/>
        <w:jc w:val="center"/>
        <w:rPr>
          <w:rFonts w:asciiTheme="minorEastAsia" w:hAnsiTheme="minorEastAsia" w:eastAsiaTheme="minorEastAsia"/>
          <w:b w:val="0"/>
          <w:bCs w:val="0"/>
          <w:color w:val="auto"/>
          <w:sz w:val="24"/>
          <w:szCs w:val="24"/>
        </w:rPr>
      </w:pPr>
      <w:r>
        <w:rPr>
          <w:rFonts w:hint="eastAsia" w:asciiTheme="minorEastAsia" w:hAnsiTheme="minorEastAsia" w:eastAsiaTheme="minorEastAsia"/>
          <w:b w:val="0"/>
          <w:bCs w:val="0"/>
          <w:color w:val="auto"/>
          <w:sz w:val="24"/>
          <w:szCs w:val="24"/>
        </w:rPr>
        <w:br w:type="page"/>
      </w:r>
      <w:bookmarkStart w:id="252" w:name="_Toc26289815"/>
      <w:r>
        <w:rPr>
          <w:rFonts w:hint="eastAsia" w:asciiTheme="minorEastAsia" w:hAnsiTheme="minorEastAsia" w:eastAsiaTheme="minorEastAsia"/>
          <w:b w:val="0"/>
          <w:bCs w:val="0"/>
          <w:color w:val="auto"/>
          <w:sz w:val="28"/>
          <w:szCs w:val="28"/>
        </w:rPr>
        <w:t>11、反商业贿赂承诺书</w:t>
      </w:r>
      <w:bookmarkEnd w:id="249"/>
      <w:bookmarkEnd w:id="250"/>
      <w:bookmarkEnd w:id="251"/>
      <w:bookmarkEnd w:id="252"/>
    </w:p>
    <w:p>
      <w:pPr>
        <w:spacing w:before="240" w:line="480" w:lineRule="auto"/>
        <w:ind w:firstLine="480"/>
        <w:rPr>
          <w:rFonts w:asciiTheme="minorEastAsia" w:hAnsiTheme="minorEastAsia" w:eastAsiaTheme="minorEastAsia"/>
          <w:color w:val="auto"/>
          <w:szCs w:val="21"/>
        </w:rPr>
      </w:pPr>
      <w:bookmarkStart w:id="253" w:name="_Toc2255"/>
      <w:bookmarkStart w:id="254" w:name="_Toc13313"/>
      <w:bookmarkStart w:id="255" w:name="_Toc11888"/>
      <w:bookmarkStart w:id="256" w:name="_Toc15846"/>
      <w:r>
        <w:rPr>
          <w:rFonts w:hint="eastAsia" w:asciiTheme="minorEastAsia" w:hAnsiTheme="minorEastAsia" w:eastAsiaTheme="minorEastAsia"/>
          <w:color w:val="auto"/>
          <w:szCs w:val="21"/>
        </w:rPr>
        <w:t>我公司郑重承诺：</w:t>
      </w:r>
      <w:bookmarkEnd w:id="253"/>
      <w:bookmarkEnd w:id="254"/>
      <w:bookmarkEnd w:id="255"/>
      <w:bookmarkEnd w:id="256"/>
    </w:p>
    <w:p>
      <w:pPr>
        <w:spacing w:before="240" w:line="480" w:lineRule="auto"/>
        <w:ind w:firstLine="480"/>
        <w:rPr>
          <w:rFonts w:asciiTheme="minorEastAsia" w:hAnsiTheme="minorEastAsia" w:eastAsiaTheme="minorEastAsia"/>
          <w:color w:val="auto"/>
          <w:szCs w:val="21"/>
        </w:rPr>
      </w:pPr>
      <w:r>
        <w:rPr>
          <w:rFonts w:hint="eastAsia" w:asciiTheme="minorEastAsia" w:hAnsiTheme="minorEastAsia" w:eastAsiaTheme="minorEastAsia"/>
          <w:color w:val="auto"/>
          <w:szCs w:val="21"/>
        </w:rPr>
        <w:t>在</w:t>
      </w:r>
      <w:r>
        <w:rPr>
          <w:rFonts w:hint="eastAsia" w:asciiTheme="minorEastAsia" w:hAnsiTheme="minorEastAsia" w:eastAsiaTheme="minorEastAsia"/>
          <w:iCs/>
          <w:color w:val="auto"/>
          <w:szCs w:val="21"/>
          <w:u w:val="single"/>
        </w:rPr>
        <w:t>项目（项目编号;             ）</w:t>
      </w:r>
      <w:r>
        <w:rPr>
          <w:rFonts w:hint="eastAsia" w:asciiTheme="minorEastAsia" w:hAnsiTheme="minorEastAsia" w:eastAsiaTheme="minorEastAsia"/>
          <w:color w:val="auto"/>
          <w:szCs w:val="21"/>
        </w:rPr>
        <w:t>磋商活动中，我公司保证做到：</w:t>
      </w:r>
    </w:p>
    <w:p>
      <w:pPr>
        <w:spacing w:before="240" w:line="480" w:lineRule="auto"/>
        <w:ind w:firstLine="480"/>
        <w:rPr>
          <w:rFonts w:asciiTheme="minorEastAsia" w:hAnsiTheme="minorEastAsia" w:eastAsiaTheme="minorEastAsia"/>
          <w:color w:val="auto"/>
          <w:szCs w:val="21"/>
        </w:rPr>
      </w:pPr>
      <w:r>
        <w:rPr>
          <w:rFonts w:hint="eastAsia" w:asciiTheme="minorEastAsia" w:hAnsiTheme="minorEastAsia" w:eastAsiaTheme="minorEastAsia"/>
          <w:color w:val="auto"/>
          <w:szCs w:val="21"/>
        </w:rPr>
        <w:t>一、公平竞争参加本次磋商活动。</w:t>
      </w:r>
    </w:p>
    <w:p>
      <w:pPr>
        <w:spacing w:before="240" w:line="480" w:lineRule="auto"/>
        <w:ind w:firstLine="48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rFonts w:asciiTheme="minorEastAsia" w:hAnsiTheme="minorEastAsia" w:eastAsiaTheme="minorEastAsia"/>
          <w:color w:val="auto"/>
          <w:szCs w:val="21"/>
        </w:rPr>
      </w:pPr>
      <w:r>
        <w:rPr>
          <w:rFonts w:hint="eastAsia" w:asciiTheme="minorEastAsia" w:hAnsiTheme="minorEastAsia" w:eastAsiaTheme="minorEastAsia"/>
          <w:color w:val="auto"/>
          <w:szCs w:val="21"/>
        </w:rPr>
        <w:t>三、若出现上述行为，我公司及参与投标的工作人员愿意接受按照国家法律法规等有关规定给予的处罚。</w:t>
      </w:r>
    </w:p>
    <w:p>
      <w:pPr>
        <w:spacing w:before="240" w:line="480" w:lineRule="auto"/>
        <w:rPr>
          <w:rFonts w:asciiTheme="minorEastAsia" w:hAnsiTheme="minorEastAsia" w:eastAsiaTheme="minorEastAsia"/>
          <w:color w:val="auto"/>
          <w:szCs w:val="21"/>
        </w:rPr>
      </w:pPr>
    </w:p>
    <w:p>
      <w:pPr>
        <w:spacing w:before="240" w:line="480" w:lineRule="auto"/>
        <w:ind w:firstLine="3780" w:firstLineChars="1800"/>
        <w:rPr>
          <w:rFonts w:asciiTheme="minorEastAsia" w:hAnsiTheme="minorEastAsia" w:eastAsiaTheme="minorEastAsia"/>
          <w:color w:val="auto"/>
          <w:szCs w:val="21"/>
        </w:rPr>
      </w:pPr>
      <w:r>
        <w:rPr>
          <w:rFonts w:hint="eastAsia" w:asciiTheme="minorEastAsia" w:hAnsiTheme="minorEastAsia" w:eastAsiaTheme="minorEastAsia"/>
          <w:color w:val="auto"/>
          <w:szCs w:val="21"/>
        </w:rPr>
        <w:t>法定代表人</w:t>
      </w:r>
      <w:r>
        <w:rPr>
          <w:rFonts w:hint="eastAsia" w:asciiTheme="minorEastAsia" w:hAnsiTheme="minorEastAsia" w:eastAsiaTheme="minorEastAsia"/>
          <w:color w:val="auto"/>
          <w:szCs w:val="21"/>
          <w:u w:val="single"/>
        </w:rPr>
        <w:t>：</w:t>
      </w:r>
      <w:r>
        <w:rPr>
          <w:rFonts w:hint="eastAsia" w:asciiTheme="minorEastAsia" w:hAnsiTheme="minorEastAsia" w:eastAsiaTheme="minorEastAsia"/>
          <w:iCs/>
          <w:color w:val="auto"/>
          <w:szCs w:val="21"/>
        </w:rPr>
        <w:t>（签字并盖章）</w:t>
      </w:r>
    </w:p>
    <w:p>
      <w:pPr>
        <w:spacing w:before="240" w:line="480" w:lineRule="auto"/>
        <w:ind w:firstLine="3780" w:firstLineChars="1800"/>
        <w:rPr>
          <w:rFonts w:asciiTheme="minorEastAsia" w:hAnsiTheme="minorEastAsia" w:eastAsiaTheme="minorEastAsia"/>
          <w:color w:val="auto"/>
          <w:szCs w:val="21"/>
        </w:rPr>
      </w:pPr>
      <w:r>
        <w:rPr>
          <w:rFonts w:hint="eastAsia" w:asciiTheme="minorEastAsia" w:hAnsiTheme="minorEastAsia" w:eastAsiaTheme="minorEastAsia"/>
          <w:color w:val="auto"/>
          <w:szCs w:val="21"/>
        </w:rPr>
        <w:t>法人授权代表</w:t>
      </w:r>
      <w:r>
        <w:rPr>
          <w:rFonts w:hint="eastAsia" w:asciiTheme="minorEastAsia" w:hAnsiTheme="minorEastAsia" w:eastAsiaTheme="minorEastAsia"/>
          <w:color w:val="auto"/>
          <w:szCs w:val="21"/>
          <w:u w:val="single"/>
        </w:rPr>
        <w:t>：</w:t>
      </w:r>
      <w:r>
        <w:rPr>
          <w:rFonts w:hint="eastAsia" w:asciiTheme="minorEastAsia" w:hAnsiTheme="minorEastAsia" w:eastAsiaTheme="minorEastAsia"/>
          <w:iCs/>
          <w:color w:val="auto"/>
          <w:szCs w:val="21"/>
        </w:rPr>
        <w:t>（签字或盖章）</w:t>
      </w:r>
    </w:p>
    <w:p>
      <w:pPr>
        <w:spacing w:before="240" w:line="480" w:lineRule="auto"/>
        <w:ind w:firstLine="3780" w:firstLineChars="1800"/>
        <w:rPr>
          <w:rFonts w:asciiTheme="minorEastAsia" w:hAnsiTheme="minorEastAsia" w:eastAsiaTheme="minorEastAsia"/>
          <w:iCs/>
          <w:color w:val="auto"/>
          <w:szCs w:val="21"/>
          <w:u w:val="single"/>
        </w:rPr>
      </w:pPr>
      <w:r>
        <w:rPr>
          <w:rFonts w:hint="eastAsia" w:asciiTheme="minorEastAsia" w:hAnsiTheme="minorEastAsia" w:eastAsiaTheme="minorEastAsia"/>
          <w:color w:val="auto"/>
          <w:szCs w:val="21"/>
        </w:rPr>
        <w:t>供应商名称（公章）：</w:t>
      </w:r>
    </w:p>
    <w:p>
      <w:pPr>
        <w:spacing w:before="240" w:line="480" w:lineRule="auto"/>
        <w:ind w:firstLine="2100" w:firstLineChars="1000"/>
        <w:jc w:val="center"/>
        <w:rPr>
          <w:rFonts w:asciiTheme="minorEastAsia" w:hAnsiTheme="minorEastAsia" w:eastAsiaTheme="minorEastAsia"/>
          <w:color w:val="auto"/>
          <w:szCs w:val="21"/>
        </w:rPr>
      </w:pPr>
    </w:p>
    <w:p>
      <w:pPr>
        <w:spacing w:before="240" w:line="480" w:lineRule="auto"/>
        <w:ind w:firstLine="2100" w:firstLineChars="1000"/>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w:t>
      </w:r>
      <w:r>
        <w:rPr>
          <w:rFonts w:hint="eastAsia" w:asciiTheme="minorEastAsia" w:hAnsiTheme="minorEastAsia" w:eastAsiaTheme="minorEastAsia"/>
          <w:color w:val="auto"/>
        </w:rPr>
        <w:t>_______年_______月_______日</w:t>
      </w:r>
    </w:p>
    <w:p>
      <w:pPr>
        <w:pStyle w:val="4"/>
        <w:jc w:val="center"/>
        <w:rPr>
          <w:rFonts w:asciiTheme="minorEastAsia" w:hAnsiTheme="minorEastAsia" w:eastAsiaTheme="minorEastAsia"/>
          <w:b w:val="0"/>
          <w:bCs w:val="0"/>
          <w:color w:val="auto"/>
          <w:sz w:val="24"/>
          <w:szCs w:val="24"/>
        </w:rPr>
      </w:pPr>
      <w:r>
        <w:rPr>
          <w:rFonts w:asciiTheme="minorEastAsia" w:hAnsiTheme="minorEastAsia" w:eastAsiaTheme="minorEastAsia"/>
          <w:b w:val="0"/>
          <w:bCs w:val="0"/>
          <w:color w:val="auto"/>
          <w:sz w:val="21"/>
          <w:szCs w:val="21"/>
        </w:rPr>
        <w:br w:type="page"/>
      </w:r>
      <w:bookmarkStart w:id="257" w:name="_Toc26289816"/>
      <w:bookmarkStart w:id="258" w:name="_Toc13515"/>
      <w:r>
        <w:rPr>
          <w:rFonts w:hint="eastAsia" w:asciiTheme="minorEastAsia" w:hAnsiTheme="minorEastAsia" w:eastAsiaTheme="minorEastAsia"/>
          <w:b w:val="0"/>
          <w:bCs w:val="0"/>
          <w:color w:val="auto"/>
          <w:sz w:val="28"/>
          <w:szCs w:val="28"/>
        </w:rPr>
        <w:t>12、诚信投标、诚信履约承诺书</w:t>
      </w:r>
      <w:bookmarkEnd w:id="257"/>
      <w:bookmarkEnd w:id="258"/>
    </w:p>
    <w:p>
      <w:pPr>
        <w:snapToGrid w:val="0"/>
        <w:spacing w:before="240" w:line="48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我方就本次磋商活动向贵方郑重承诺：</w:t>
      </w:r>
    </w:p>
    <w:p>
      <w:pPr>
        <w:snapToGrid w:val="0"/>
        <w:spacing w:before="240" w:line="48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一、我们已经充分理解了磋商文件规定的所有要求、中标条件和合同条款，没有任何异议。</w:t>
      </w:r>
    </w:p>
    <w:p>
      <w:pPr>
        <w:snapToGrid w:val="0"/>
        <w:spacing w:before="240" w:line="48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三、我们的投标报价包含了履行合同所需的全部费用。不论何种原因造成的报价漏项损失，我方全部承担，不会提出任何增加费用的要求。</w:t>
      </w:r>
    </w:p>
    <w:p>
      <w:pPr>
        <w:snapToGrid w:val="0"/>
        <w:spacing w:before="240" w:line="48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六、我们声明：我方在溯往三年内的政府采购活动中，没有中标后放弃中标、拒签或故意拖延签署合同、拒绝履行或故意拖延履行合同的不诚信行为。</w:t>
      </w:r>
    </w:p>
    <w:p>
      <w:pPr>
        <w:snapToGrid w:val="0"/>
        <w:spacing w:before="240"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以上承诺，能够经受来自任何方面的审查和监督。如有虚假或背离，我方愿承担由此引发的一切不利后果，无条件接受采购人的处置和政府采购监管单位的处罚。</w:t>
      </w:r>
    </w:p>
    <w:p>
      <w:pPr>
        <w:spacing w:before="240" w:line="360" w:lineRule="auto"/>
        <w:rPr>
          <w:rFonts w:asciiTheme="minorEastAsia" w:hAnsiTheme="minorEastAsia" w:eastAsiaTheme="minorEastAsia"/>
          <w:iCs/>
          <w:color w:val="auto"/>
          <w:szCs w:val="21"/>
          <w:u w:val="single"/>
        </w:rPr>
      </w:pPr>
      <w:r>
        <w:rPr>
          <w:rFonts w:hint="eastAsia" w:asciiTheme="minorEastAsia" w:hAnsiTheme="minorEastAsia" w:eastAsiaTheme="minorEastAsia"/>
          <w:color w:val="auto"/>
          <w:szCs w:val="21"/>
        </w:rPr>
        <w:t>供应商名称（公章）：</w:t>
      </w:r>
    </w:p>
    <w:p>
      <w:pPr>
        <w:snapToGrid w:val="0"/>
        <w:spacing w:before="240" w:line="360" w:lineRule="auto"/>
        <w:rPr>
          <w:rFonts w:asciiTheme="minorEastAsia" w:hAnsiTheme="minorEastAsia" w:eastAsiaTheme="minorEastAsia"/>
          <w:iCs/>
          <w:color w:val="auto"/>
          <w:szCs w:val="21"/>
        </w:rPr>
      </w:pPr>
      <w:r>
        <w:rPr>
          <w:rFonts w:hint="eastAsia" w:asciiTheme="minorEastAsia" w:hAnsiTheme="minorEastAsia" w:eastAsiaTheme="minorEastAsia"/>
          <w:color w:val="auto"/>
          <w:szCs w:val="21"/>
        </w:rPr>
        <w:t>法定代表人</w:t>
      </w:r>
      <w:r>
        <w:rPr>
          <w:rFonts w:hint="eastAsia" w:asciiTheme="minorEastAsia" w:hAnsiTheme="minorEastAsia" w:eastAsiaTheme="minorEastAsia"/>
          <w:color w:val="auto"/>
          <w:szCs w:val="21"/>
          <w:u w:val="single"/>
        </w:rPr>
        <w:t>：</w:t>
      </w:r>
      <w:r>
        <w:rPr>
          <w:rFonts w:hint="eastAsia" w:asciiTheme="minorEastAsia" w:hAnsiTheme="minorEastAsia" w:eastAsiaTheme="minorEastAsia"/>
          <w:iCs/>
          <w:color w:val="auto"/>
          <w:szCs w:val="21"/>
        </w:rPr>
        <w:t>（签字并盖章）</w:t>
      </w:r>
    </w:p>
    <w:p>
      <w:pPr>
        <w:snapToGrid w:val="0"/>
        <w:spacing w:before="240" w:line="360" w:lineRule="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w:t>
      </w:r>
      <w:r>
        <w:rPr>
          <w:rFonts w:hint="eastAsia" w:asciiTheme="minorEastAsia" w:hAnsiTheme="minorEastAsia" w:eastAsiaTheme="minorEastAsia"/>
          <w:color w:val="auto"/>
        </w:rPr>
        <w:t>_______年_______月_______日</w:t>
      </w:r>
    </w:p>
    <w:p>
      <w:pPr>
        <w:pStyle w:val="4"/>
        <w:jc w:val="center"/>
        <w:rPr>
          <w:rFonts w:asciiTheme="minorEastAsia" w:hAnsiTheme="minorEastAsia" w:eastAsiaTheme="minorEastAsia"/>
          <w:b w:val="0"/>
          <w:bCs w:val="0"/>
          <w:color w:val="auto"/>
        </w:rPr>
      </w:pPr>
      <w:r>
        <w:rPr>
          <w:rFonts w:hint="eastAsia" w:asciiTheme="minorEastAsia" w:hAnsiTheme="minorEastAsia" w:eastAsiaTheme="minorEastAsia"/>
          <w:b w:val="0"/>
          <w:bCs w:val="0"/>
          <w:color w:val="auto"/>
        </w:rPr>
        <w:br w:type="page"/>
      </w:r>
      <w:bookmarkStart w:id="259" w:name="_Toc26289819"/>
      <w:r>
        <w:rPr>
          <w:rFonts w:hint="eastAsia" w:asciiTheme="minorEastAsia" w:hAnsiTheme="minorEastAsia" w:eastAsiaTheme="minorEastAsia"/>
          <w:b w:val="0"/>
          <w:bCs w:val="0"/>
          <w:color w:val="auto"/>
          <w:sz w:val="28"/>
          <w:szCs w:val="28"/>
        </w:rPr>
        <w:t>13、项目实施服务方案</w:t>
      </w:r>
      <w:bookmarkEnd w:id="259"/>
    </w:p>
    <w:p>
      <w:pPr>
        <w:rPr>
          <w:rFonts w:asciiTheme="minorEastAsia" w:hAnsiTheme="minorEastAsia" w:eastAsiaTheme="minorEastAsia"/>
          <w:color w:val="auto"/>
        </w:rPr>
      </w:pPr>
      <w:r>
        <w:rPr>
          <w:rFonts w:hint="eastAsia" w:asciiTheme="minorEastAsia" w:hAnsiTheme="minorEastAsia" w:eastAsiaTheme="minorEastAsia"/>
          <w:color w:val="auto"/>
        </w:rPr>
        <w:t>备注：供应商应根据磋商文件的要求编制项目实施服务方案。</w:t>
      </w:r>
    </w:p>
    <w:p>
      <w:pPr>
        <w:spacing w:before="240" w:line="480" w:lineRule="auto"/>
        <w:ind w:firstLine="480"/>
        <w:rPr>
          <w:rFonts w:asciiTheme="minorEastAsia" w:hAnsiTheme="minorEastAsia" w:eastAsiaTheme="minorEastAsia"/>
          <w:color w:val="auto"/>
          <w:sz w:val="24"/>
        </w:rPr>
      </w:pPr>
    </w:p>
    <w:p>
      <w:pPr>
        <w:spacing w:before="240" w:line="480" w:lineRule="auto"/>
        <w:ind w:firstLine="480"/>
        <w:rPr>
          <w:rFonts w:asciiTheme="minorEastAsia" w:hAnsiTheme="minorEastAsia" w:eastAsiaTheme="minorEastAsia"/>
          <w:color w:val="auto"/>
          <w:szCs w:val="21"/>
        </w:rPr>
      </w:pPr>
    </w:p>
    <w:p>
      <w:pPr>
        <w:spacing w:before="240" w:line="480" w:lineRule="auto"/>
        <w:ind w:firstLine="480"/>
        <w:rPr>
          <w:rFonts w:asciiTheme="minorEastAsia" w:hAnsiTheme="minorEastAsia" w:eastAsiaTheme="minorEastAsia"/>
          <w:color w:val="auto"/>
          <w:szCs w:val="21"/>
        </w:rPr>
      </w:pPr>
    </w:p>
    <w:p>
      <w:pPr>
        <w:spacing w:before="240" w:line="480" w:lineRule="auto"/>
        <w:ind w:firstLine="480"/>
        <w:rPr>
          <w:rFonts w:asciiTheme="minorEastAsia" w:hAnsiTheme="minorEastAsia" w:eastAsiaTheme="minorEastAsia"/>
          <w:color w:val="auto"/>
          <w:szCs w:val="21"/>
        </w:rPr>
      </w:pPr>
    </w:p>
    <w:p>
      <w:pPr>
        <w:spacing w:before="240" w:line="480" w:lineRule="auto"/>
        <w:ind w:firstLine="480"/>
        <w:rPr>
          <w:rFonts w:asciiTheme="minorEastAsia" w:hAnsiTheme="minorEastAsia" w:eastAsiaTheme="minorEastAsia"/>
          <w:color w:val="auto"/>
          <w:szCs w:val="21"/>
        </w:rPr>
      </w:pPr>
    </w:p>
    <w:p>
      <w:pPr>
        <w:spacing w:before="240" w:line="480" w:lineRule="auto"/>
        <w:ind w:firstLine="480"/>
        <w:rPr>
          <w:rFonts w:asciiTheme="minorEastAsia" w:hAnsiTheme="minorEastAsia" w:eastAsiaTheme="minorEastAsia"/>
          <w:color w:val="auto"/>
          <w:szCs w:val="21"/>
        </w:rPr>
      </w:pPr>
    </w:p>
    <w:p>
      <w:pPr>
        <w:spacing w:before="240" w:line="480" w:lineRule="auto"/>
        <w:ind w:firstLine="480"/>
        <w:rPr>
          <w:rFonts w:asciiTheme="minorEastAsia" w:hAnsiTheme="minorEastAsia" w:eastAsiaTheme="minorEastAsia"/>
          <w:color w:val="auto"/>
          <w:szCs w:val="21"/>
        </w:rPr>
      </w:pPr>
    </w:p>
    <w:p>
      <w:pPr>
        <w:tabs>
          <w:tab w:val="left" w:pos="5310"/>
        </w:tabs>
        <w:spacing w:before="240" w:line="480" w:lineRule="auto"/>
        <w:ind w:firstLine="1927" w:firstLineChars="918"/>
        <w:rPr>
          <w:rFonts w:asciiTheme="minorEastAsia" w:hAnsiTheme="minorEastAsia" w:eastAsiaTheme="minorEastAsia"/>
          <w:color w:val="auto"/>
          <w:szCs w:val="21"/>
        </w:rPr>
      </w:pPr>
    </w:p>
    <w:p>
      <w:pPr>
        <w:tabs>
          <w:tab w:val="left" w:pos="5310"/>
        </w:tabs>
        <w:spacing w:before="240" w:line="480" w:lineRule="auto"/>
        <w:ind w:firstLine="1927" w:firstLineChars="918"/>
        <w:rPr>
          <w:rFonts w:asciiTheme="minorEastAsia" w:hAnsiTheme="minorEastAsia" w:eastAsiaTheme="minorEastAsia"/>
          <w:color w:val="auto"/>
          <w:szCs w:val="21"/>
        </w:rPr>
      </w:pPr>
    </w:p>
    <w:p>
      <w:pPr>
        <w:tabs>
          <w:tab w:val="left" w:pos="5310"/>
        </w:tabs>
        <w:spacing w:before="240" w:line="480" w:lineRule="auto"/>
        <w:ind w:firstLine="1927" w:firstLineChars="918"/>
        <w:rPr>
          <w:rFonts w:asciiTheme="minorEastAsia" w:hAnsiTheme="minorEastAsia" w:eastAsiaTheme="minorEastAsia"/>
          <w:color w:val="auto"/>
          <w:szCs w:val="21"/>
        </w:rPr>
      </w:pPr>
    </w:p>
    <w:p>
      <w:pPr>
        <w:tabs>
          <w:tab w:val="left" w:pos="5310"/>
        </w:tabs>
        <w:spacing w:before="240" w:line="480" w:lineRule="auto"/>
        <w:ind w:firstLine="3607" w:firstLineChars="1718"/>
        <w:rPr>
          <w:rFonts w:asciiTheme="minorEastAsia" w:hAnsiTheme="minorEastAsia" w:eastAsiaTheme="minorEastAsia"/>
          <w:color w:val="auto"/>
          <w:szCs w:val="21"/>
        </w:rPr>
      </w:pPr>
    </w:p>
    <w:p>
      <w:pPr>
        <w:rPr>
          <w:rFonts w:asciiTheme="minorEastAsia" w:hAnsiTheme="minorEastAsia" w:eastAsiaTheme="minorEastAsia"/>
          <w:color w:val="auto"/>
        </w:rPr>
      </w:pPr>
      <w:bookmarkStart w:id="260" w:name="_Toc317237643"/>
    </w:p>
    <w:bookmarkEnd w:id="240"/>
    <w:bookmarkEnd w:id="260"/>
    <w:p>
      <w:pPr>
        <w:spacing w:before="240" w:line="480" w:lineRule="auto"/>
        <w:jc w:val="left"/>
        <w:rPr>
          <w:rFonts w:asciiTheme="minorEastAsia" w:hAnsiTheme="minorEastAsia" w:eastAsiaTheme="minorEastAsia"/>
          <w:color w:val="auto"/>
          <w:szCs w:val="21"/>
        </w:rPr>
      </w:pPr>
    </w:p>
    <w:p>
      <w:pPr>
        <w:spacing w:before="240" w:line="480" w:lineRule="auto"/>
        <w:jc w:val="left"/>
        <w:rPr>
          <w:rFonts w:asciiTheme="minorEastAsia" w:hAnsiTheme="minorEastAsia" w:eastAsiaTheme="minorEastAsia"/>
          <w:color w:val="auto"/>
          <w:szCs w:val="21"/>
        </w:rPr>
      </w:pPr>
    </w:p>
    <w:p>
      <w:pPr>
        <w:spacing w:before="240" w:line="480" w:lineRule="auto"/>
        <w:jc w:val="left"/>
        <w:rPr>
          <w:rFonts w:asciiTheme="minorEastAsia" w:hAnsiTheme="minorEastAsia" w:eastAsiaTheme="minorEastAsia"/>
          <w:color w:val="auto"/>
          <w:szCs w:val="21"/>
        </w:rPr>
      </w:pPr>
    </w:p>
    <w:p>
      <w:pPr>
        <w:pStyle w:val="4"/>
        <w:jc w:val="center"/>
        <w:rPr>
          <w:rStyle w:val="76"/>
          <w:rFonts w:asciiTheme="minorEastAsia" w:hAnsiTheme="minorEastAsia" w:eastAsiaTheme="minorEastAsia"/>
          <w:b w:val="0"/>
          <w:bCs w:val="0"/>
          <w:color w:val="auto"/>
          <w:sz w:val="28"/>
          <w:szCs w:val="28"/>
        </w:rPr>
      </w:pPr>
      <w:r>
        <w:rPr>
          <w:rFonts w:asciiTheme="minorEastAsia" w:hAnsiTheme="minorEastAsia" w:eastAsiaTheme="minorEastAsia"/>
          <w:b w:val="0"/>
          <w:bCs w:val="0"/>
          <w:color w:val="auto"/>
          <w:sz w:val="28"/>
          <w:szCs w:val="28"/>
        </w:rPr>
        <w:br w:type="page"/>
      </w:r>
      <w:bookmarkStart w:id="261" w:name="_Toc26289820"/>
      <w:r>
        <w:rPr>
          <w:rFonts w:hint="eastAsia" w:asciiTheme="minorEastAsia" w:hAnsiTheme="minorEastAsia" w:eastAsiaTheme="minorEastAsia"/>
          <w:b w:val="0"/>
          <w:bCs w:val="0"/>
          <w:color w:val="auto"/>
          <w:sz w:val="28"/>
          <w:szCs w:val="28"/>
        </w:rPr>
        <w:t>14、中小企业声明函</w:t>
      </w:r>
      <w:bookmarkEnd w:id="261"/>
    </w:p>
    <w:p>
      <w:pPr>
        <w:spacing w:line="370" w:lineRule="exact"/>
        <w:ind w:left="1625"/>
        <w:jc w:val="center"/>
        <w:rPr>
          <w:rFonts w:asciiTheme="minorEastAsia" w:hAnsiTheme="minorEastAsia" w:eastAsiaTheme="minorEastAsia"/>
          <w:color w:val="auto"/>
          <w:kern w:val="0"/>
          <w:sz w:val="28"/>
          <w:szCs w:val="28"/>
        </w:rPr>
      </w:pPr>
      <w:r>
        <w:rPr>
          <w:rFonts w:asciiTheme="minorEastAsia" w:hAnsiTheme="minorEastAsia" w:eastAsiaTheme="minorEastAsia"/>
          <w:color w:val="auto"/>
          <w:kern w:val="0"/>
          <w:sz w:val="28"/>
          <w:szCs w:val="28"/>
        </w:rPr>
        <w:drawing>
          <wp:anchor distT="0" distB="0" distL="114300" distR="114300" simplePos="0" relativeHeight="251659264" behindDoc="1" locked="0" layoutInCell="1" allowOverlap="1">
            <wp:simplePos x="0" y="0"/>
            <wp:positionH relativeFrom="page">
              <wp:posOffset>-12700</wp:posOffset>
            </wp:positionH>
            <wp:positionV relativeFrom="page">
              <wp:posOffset>-12700</wp:posOffset>
            </wp:positionV>
            <wp:extent cx="38100" cy="38100"/>
            <wp:effectExtent l="0" t="0" r="1905" b="1905"/>
            <wp:wrapNone/>
            <wp:docPr id="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pic:cNvPicPr>
                      <a:picLocks noChangeAspect="1"/>
                    </pic:cNvPicPr>
                  </pic:nvPicPr>
                  <pic:blipFill>
                    <a:blip r:embed="rId15" cstate="print"/>
                    <a:stretch>
                      <a:fillRect/>
                    </a:stretch>
                  </pic:blipFill>
                  <pic:spPr>
                    <a:xfrm>
                      <a:off x="0" y="0"/>
                      <a:ext cx="38100" cy="38100"/>
                    </a:xfrm>
                    <a:prstGeom prst="rect">
                      <a:avLst/>
                    </a:prstGeom>
                    <a:noFill/>
                    <a:ln>
                      <a:noFill/>
                    </a:ln>
                  </pic:spPr>
                </pic:pic>
              </a:graphicData>
            </a:graphic>
          </wp:anchor>
        </w:drawing>
      </w:r>
      <w:bookmarkStart w:id="262" w:name="br1_10"/>
      <w:bookmarkEnd w:id="262"/>
      <w:r>
        <w:rPr>
          <w:rFonts w:asciiTheme="minorEastAsia" w:hAnsiTheme="minorEastAsia" w:eastAsiaTheme="minorEastAsia"/>
          <w:color w:val="auto"/>
          <w:kern w:val="0"/>
          <w:sz w:val="28"/>
          <w:szCs w:val="28"/>
        </w:rPr>
        <w:t>中小企业声明函（工程、服务）</w:t>
      </w:r>
    </w:p>
    <w:p>
      <w:pPr>
        <w:spacing w:line="370" w:lineRule="exact"/>
        <w:rPr>
          <w:rFonts w:cs="仿宋" w:asciiTheme="minorEastAsia" w:hAnsiTheme="minorEastAsia" w:eastAsiaTheme="minorEastAsia"/>
          <w:color w:val="auto"/>
          <w:szCs w:val="22"/>
        </w:rPr>
      </w:pPr>
    </w:p>
    <w:p>
      <w:pPr>
        <w:spacing w:line="370" w:lineRule="exact"/>
        <w:rPr>
          <w:rFonts w:asciiTheme="minorEastAsia" w:hAnsiTheme="minorEastAsia" w:eastAsiaTheme="minorEastAsia"/>
          <w:color w:val="auto"/>
          <w:sz w:val="22"/>
          <w:szCs w:val="22"/>
        </w:rPr>
      </w:pPr>
      <w:r>
        <w:rPr>
          <w:rFonts w:cs="仿宋" w:asciiTheme="minorEastAsia" w:hAnsiTheme="minorEastAsia" w:eastAsiaTheme="minorEastAsia"/>
          <w:color w:val="auto"/>
          <w:szCs w:val="22"/>
        </w:rPr>
        <w:t>本公司（联合体）郑重声明，根据《政府采购促进中小</w:t>
      </w:r>
      <w:r>
        <w:rPr>
          <w:rFonts w:cs="仿宋" w:asciiTheme="minorEastAsia" w:hAnsiTheme="minorEastAsia" w:eastAsiaTheme="minorEastAsia"/>
          <w:color w:val="auto"/>
          <w:spacing w:val="-11"/>
          <w:szCs w:val="22"/>
        </w:rPr>
        <w:t>企业发展管理办法》（财库</w:t>
      </w:r>
      <w:r>
        <w:rPr>
          <w:rFonts w:cs="宋体" w:asciiTheme="minorEastAsia" w:hAnsiTheme="minorEastAsia" w:eastAsiaTheme="minorEastAsia"/>
          <w:color w:val="auto"/>
          <w:spacing w:val="2"/>
          <w:szCs w:val="22"/>
        </w:rPr>
        <w:t>﹝</w:t>
      </w:r>
      <w:r>
        <w:rPr>
          <w:rFonts w:asciiTheme="minorEastAsia" w:hAnsiTheme="minorEastAsia" w:eastAsiaTheme="minorEastAsia"/>
          <w:color w:val="auto"/>
          <w:spacing w:val="1"/>
          <w:szCs w:val="22"/>
        </w:rPr>
        <w:t>2020</w:t>
      </w:r>
      <w:r>
        <w:rPr>
          <w:rFonts w:cs="宋体" w:asciiTheme="minorEastAsia" w:hAnsiTheme="minorEastAsia" w:eastAsiaTheme="minorEastAsia"/>
          <w:color w:val="auto"/>
          <w:spacing w:val="4"/>
          <w:szCs w:val="22"/>
        </w:rPr>
        <w:t>﹞</w:t>
      </w:r>
      <w:r>
        <w:rPr>
          <w:rFonts w:asciiTheme="minorEastAsia" w:hAnsiTheme="minorEastAsia" w:eastAsiaTheme="minorEastAsia"/>
          <w:color w:val="auto"/>
          <w:spacing w:val="1"/>
          <w:szCs w:val="22"/>
        </w:rPr>
        <w:t>46</w:t>
      </w:r>
      <w:r>
        <w:rPr>
          <w:rFonts w:cs="仿宋" w:asciiTheme="minorEastAsia" w:hAnsiTheme="minorEastAsia" w:eastAsiaTheme="minorEastAsia"/>
          <w:color w:val="auto"/>
          <w:spacing w:val="3"/>
          <w:szCs w:val="22"/>
        </w:rPr>
        <w:t>号）的规定，本公司</w:t>
      </w:r>
      <w:r>
        <w:rPr>
          <w:rFonts w:cs="仿宋" w:asciiTheme="minorEastAsia" w:hAnsiTheme="minorEastAsia" w:eastAsiaTheme="minorEastAsia"/>
          <w:color w:val="auto"/>
          <w:szCs w:val="22"/>
        </w:rPr>
        <w:t>（联合体）参加</w:t>
      </w:r>
      <w:r>
        <w:rPr>
          <w:rFonts w:cs="仿宋" w:asciiTheme="minorEastAsia" w:hAnsiTheme="minorEastAsia" w:eastAsiaTheme="minorEastAsia"/>
          <w:color w:val="auto"/>
          <w:szCs w:val="22"/>
          <w:u w:val="single"/>
        </w:rPr>
        <w:t>（单位名称）</w:t>
      </w:r>
      <w:r>
        <w:rPr>
          <w:rFonts w:cs="仿宋" w:asciiTheme="minorEastAsia" w:hAnsiTheme="minorEastAsia" w:eastAsiaTheme="minorEastAsia"/>
          <w:color w:val="auto"/>
          <w:spacing w:val="-1"/>
          <w:szCs w:val="22"/>
        </w:rPr>
        <w:t>的</w:t>
      </w:r>
      <w:r>
        <w:rPr>
          <w:rFonts w:cs="仿宋" w:asciiTheme="minorEastAsia" w:hAnsiTheme="minorEastAsia" w:eastAsiaTheme="minorEastAsia"/>
          <w:color w:val="auto"/>
          <w:szCs w:val="22"/>
          <w:u w:val="single"/>
        </w:rPr>
        <w:t>（项目名称）</w:t>
      </w:r>
      <w:r>
        <w:rPr>
          <w:rFonts w:cs="仿宋" w:asciiTheme="minorEastAsia" w:hAnsiTheme="minorEastAsia" w:eastAsiaTheme="minorEastAsia"/>
          <w:color w:val="auto"/>
          <w:szCs w:val="22"/>
        </w:rPr>
        <w:t>采购活动，工</w:t>
      </w:r>
      <w:r>
        <w:rPr>
          <w:rFonts w:cs="仿宋" w:asciiTheme="minorEastAsia" w:hAnsiTheme="minorEastAsia" w:eastAsiaTheme="minorEastAsia"/>
          <w:color w:val="auto"/>
          <w:spacing w:val="-1"/>
          <w:szCs w:val="22"/>
        </w:rPr>
        <w:t>程的施工单位全部为符合政策要求的中小企业（或者：服务全部由符合政策要求的中小企业承接）。相关企业（含联合体中的中小企业、签订分包意向协议的中小企业）的具体情</w:t>
      </w:r>
      <w:r>
        <w:rPr>
          <w:rFonts w:cs="仿宋" w:asciiTheme="minorEastAsia" w:hAnsiTheme="minorEastAsia" w:eastAsiaTheme="minorEastAsia"/>
          <w:color w:val="auto"/>
          <w:szCs w:val="22"/>
        </w:rPr>
        <w:t>况如下：</w:t>
      </w:r>
    </w:p>
    <w:p>
      <w:pPr>
        <w:spacing w:before="189"/>
        <w:rPr>
          <w:rFonts w:cs="仿宋" w:asciiTheme="minorEastAsia" w:hAnsiTheme="minorEastAsia" w:eastAsiaTheme="minorEastAsia"/>
          <w:color w:val="auto"/>
          <w:szCs w:val="22"/>
          <w:u w:val="single"/>
        </w:rPr>
      </w:pPr>
      <w:r>
        <w:rPr>
          <w:rFonts w:asciiTheme="minorEastAsia" w:hAnsiTheme="minorEastAsia" w:eastAsiaTheme="minorEastAsia"/>
          <w:color w:val="auto"/>
          <w:spacing w:val="1"/>
          <w:szCs w:val="22"/>
        </w:rPr>
        <w:t>1.</w:t>
      </w:r>
      <w:r>
        <w:rPr>
          <w:rFonts w:cs="仿宋" w:asciiTheme="minorEastAsia" w:hAnsiTheme="minorEastAsia" w:eastAsiaTheme="minorEastAsia"/>
          <w:color w:val="auto"/>
          <w:szCs w:val="22"/>
          <w:u w:val="single"/>
        </w:rPr>
        <w:t>（标的名称）</w:t>
      </w:r>
      <w:r>
        <w:rPr>
          <w:rFonts w:cs="仿宋" w:asciiTheme="minorEastAsia" w:hAnsiTheme="minorEastAsia" w:eastAsiaTheme="minorEastAsia"/>
          <w:color w:val="auto"/>
          <w:spacing w:val="-42"/>
          <w:szCs w:val="22"/>
        </w:rPr>
        <w:t>，属</w:t>
      </w:r>
      <w:r>
        <w:rPr>
          <w:rFonts w:cs="仿宋" w:asciiTheme="minorEastAsia" w:hAnsiTheme="minorEastAsia" w:eastAsiaTheme="minorEastAsia"/>
          <w:color w:val="auto"/>
          <w:spacing w:val="-40"/>
          <w:szCs w:val="22"/>
        </w:rPr>
        <w:t>于（</w:t>
      </w:r>
      <w:r>
        <w:rPr>
          <w:rFonts w:cs="仿宋" w:asciiTheme="minorEastAsia" w:hAnsiTheme="minorEastAsia" w:eastAsiaTheme="minorEastAsia"/>
          <w:color w:val="auto"/>
          <w:szCs w:val="22"/>
          <w:u w:val="single"/>
        </w:rPr>
        <w:t>采购文件中明确的所属行业</w:t>
      </w:r>
      <w:r>
        <w:rPr>
          <w:rFonts w:cs="仿宋" w:asciiTheme="minorEastAsia" w:hAnsiTheme="minorEastAsia" w:eastAsiaTheme="minorEastAsia"/>
          <w:color w:val="auto"/>
          <w:spacing w:val="-159"/>
          <w:szCs w:val="22"/>
        </w:rPr>
        <w:t>）；</w:t>
      </w:r>
      <w:r>
        <w:rPr>
          <w:rFonts w:cs="仿宋" w:asciiTheme="minorEastAsia" w:hAnsiTheme="minorEastAsia" w:eastAsiaTheme="minorEastAsia"/>
          <w:color w:val="auto"/>
          <w:spacing w:val="5"/>
          <w:szCs w:val="22"/>
        </w:rPr>
        <w:t>承建（承接）企业为</w:t>
      </w:r>
      <w:r>
        <w:rPr>
          <w:rFonts w:cs="仿宋" w:asciiTheme="minorEastAsia" w:hAnsiTheme="minorEastAsia" w:eastAsiaTheme="minorEastAsia"/>
          <w:color w:val="auto"/>
          <w:spacing w:val="5"/>
          <w:szCs w:val="22"/>
          <w:u w:val="single"/>
        </w:rPr>
        <w:t>（企业名称</w:t>
      </w:r>
      <w:r>
        <w:rPr>
          <w:rFonts w:cs="仿宋" w:asciiTheme="minorEastAsia" w:hAnsiTheme="minorEastAsia" w:eastAsiaTheme="minorEastAsia"/>
          <w:color w:val="auto"/>
          <w:spacing w:val="-22"/>
          <w:szCs w:val="22"/>
        </w:rPr>
        <w:t>），从业人员</w:t>
      </w:r>
      <w:r>
        <w:rPr>
          <w:rFonts w:cs="仿宋" w:asciiTheme="minorEastAsia" w:hAnsiTheme="minorEastAsia" w:eastAsiaTheme="minorEastAsia"/>
          <w:color w:val="auto"/>
          <w:spacing w:val="6"/>
          <w:szCs w:val="22"/>
        </w:rPr>
        <w:t>人，营业</w:t>
      </w:r>
      <w:r>
        <w:rPr>
          <w:rFonts w:cs="仿宋" w:asciiTheme="minorEastAsia" w:hAnsiTheme="minorEastAsia" w:eastAsiaTheme="minorEastAsia"/>
          <w:color w:val="auto"/>
          <w:szCs w:val="22"/>
        </w:rPr>
        <w:t>收入为万元，资产总额为万元</w:t>
      </w:r>
      <w:r>
        <w:rPr>
          <w:color w:val="auto"/>
        </w:rPr>
        <w:fldChar w:fldCharType="begin"/>
      </w:r>
      <w:r>
        <w:rPr>
          <w:color w:val="auto"/>
        </w:rPr>
        <w:instrText xml:space="preserve"> HYPERLINK \l "br1" </w:instrText>
      </w:r>
      <w:r>
        <w:rPr>
          <w:color w:val="auto"/>
        </w:rPr>
        <w:fldChar w:fldCharType="separate"/>
      </w:r>
      <w:r>
        <w:rPr>
          <w:rFonts w:asciiTheme="minorEastAsia" w:hAnsiTheme="minorEastAsia" w:eastAsiaTheme="minorEastAsia"/>
          <w:color w:val="auto"/>
          <w:spacing w:val="-1"/>
          <w:sz w:val="18"/>
          <w:szCs w:val="22"/>
          <w:vertAlign w:val="superscript"/>
        </w:rPr>
        <w:t>1</w:t>
      </w:r>
      <w:r>
        <w:rPr>
          <w:rFonts w:asciiTheme="minorEastAsia" w:hAnsiTheme="minorEastAsia" w:eastAsiaTheme="minorEastAsia"/>
          <w:color w:val="auto"/>
          <w:spacing w:val="-1"/>
          <w:sz w:val="18"/>
          <w:szCs w:val="22"/>
          <w:vertAlign w:val="superscript"/>
        </w:rPr>
        <w:fldChar w:fldCharType="end"/>
      </w:r>
      <w:r>
        <w:rPr>
          <w:rFonts w:cs="仿宋" w:asciiTheme="minorEastAsia" w:hAnsiTheme="minorEastAsia" w:eastAsiaTheme="minorEastAsia"/>
          <w:color w:val="auto"/>
          <w:szCs w:val="22"/>
        </w:rPr>
        <w:t>，属于</w:t>
      </w:r>
      <w:r>
        <w:rPr>
          <w:rFonts w:cs="仿宋" w:asciiTheme="minorEastAsia" w:hAnsiTheme="minorEastAsia" w:eastAsiaTheme="minorEastAsia"/>
          <w:color w:val="auto"/>
          <w:szCs w:val="22"/>
          <w:u w:val="single"/>
        </w:rPr>
        <w:t>（中型企业、小型企业、微型企业）；</w:t>
      </w:r>
    </w:p>
    <w:p>
      <w:pPr>
        <w:spacing w:before="191" w:line="330" w:lineRule="exact"/>
        <w:rPr>
          <w:rFonts w:asciiTheme="minorEastAsia" w:hAnsiTheme="minorEastAsia" w:eastAsiaTheme="minorEastAsia"/>
          <w:color w:val="auto"/>
          <w:szCs w:val="22"/>
        </w:rPr>
      </w:pPr>
      <w:r>
        <w:rPr>
          <w:rFonts w:asciiTheme="minorEastAsia" w:hAnsiTheme="minorEastAsia" w:eastAsiaTheme="minorEastAsia"/>
          <w:color w:val="auto"/>
          <w:spacing w:val="1"/>
          <w:szCs w:val="22"/>
        </w:rPr>
        <w:t>2.</w:t>
      </w:r>
      <w:r>
        <w:rPr>
          <w:rFonts w:cs="仿宋" w:asciiTheme="minorEastAsia" w:hAnsiTheme="minorEastAsia" w:eastAsiaTheme="minorEastAsia"/>
          <w:color w:val="auto"/>
          <w:szCs w:val="22"/>
          <w:u w:val="single"/>
        </w:rPr>
        <w:t>（标的名称）</w:t>
      </w:r>
      <w:r>
        <w:rPr>
          <w:rFonts w:cs="仿宋" w:asciiTheme="minorEastAsia" w:hAnsiTheme="minorEastAsia" w:eastAsiaTheme="minorEastAsia"/>
          <w:color w:val="auto"/>
          <w:spacing w:val="-42"/>
          <w:szCs w:val="22"/>
        </w:rPr>
        <w:t>，属</w:t>
      </w:r>
      <w:r>
        <w:rPr>
          <w:rFonts w:cs="仿宋" w:asciiTheme="minorEastAsia" w:hAnsiTheme="minorEastAsia" w:eastAsiaTheme="minorEastAsia"/>
          <w:color w:val="auto"/>
          <w:spacing w:val="-40"/>
          <w:szCs w:val="22"/>
        </w:rPr>
        <w:t>于（</w:t>
      </w:r>
      <w:r>
        <w:rPr>
          <w:rFonts w:cs="仿宋" w:asciiTheme="minorEastAsia" w:hAnsiTheme="minorEastAsia" w:eastAsiaTheme="minorEastAsia"/>
          <w:color w:val="auto"/>
          <w:szCs w:val="22"/>
          <w:u w:val="single"/>
        </w:rPr>
        <w:t>采购文件中明确的所属行业</w:t>
      </w:r>
      <w:r>
        <w:rPr>
          <w:rFonts w:cs="仿宋" w:asciiTheme="minorEastAsia" w:hAnsiTheme="minorEastAsia" w:eastAsiaTheme="minorEastAsia"/>
          <w:color w:val="auto"/>
          <w:spacing w:val="-159"/>
          <w:szCs w:val="22"/>
        </w:rPr>
        <w:t>）；</w:t>
      </w:r>
      <w:r>
        <w:rPr>
          <w:rFonts w:cs="仿宋" w:asciiTheme="minorEastAsia" w:hAnsiTheme="minorEastAsia" w:eastAsiaTheme="minorEastAsia"/>
          <w:color w:val="auto"/>
          <w:spacing w:val="5"/>
          <w:szCs w:val="22"/>
        </w:rPr>
        <w:t>承建（承接）企业为</w:t>
      </w:r>
      <w:r>
        <w:rPr>
          <w:rFonts w:cs="仿宋" w:asciiTheme="minorEastAsia" w:hAnsiTheme="minorEastAsia" w:eastAsiaTheme="minorEastAsia"/>
          <w:color w:val="auto"/>
          <w:spacing w:val="5"/>
          <w:szCs w:val="22"/>
          <w:u w:val="single"/>
        </w:rPr>
        <w:t>（企业名称</w:t>
      </w:r>
      <w:r>
        <w:rPr>
          <w:rFonts w:cs="仿宋" w:asciiTheme="minorEastAsia" w:hAnsiTheme="minorEastAsia" w:eastAsiaTheme="minorEastAsia"/>
          <w:color w:val="auto"/>
          <w:spacing w:val="-22"/>
          <w:szCs w:val="22"/>
        </w:rPr>
        <w:t>），从业人员</w:t>
      </w:r>
      <w:r>
        <w:rPr>
          <w:rFonts w:cs="仿宋" w:asciiTheme="minorEastAsia" w:hAnsiTheme="minorEastAsia" w:eastAsiaTheme="minorEastAsia"/>
          <w:color w:val="auto"/>
          <w:spacing w:val="6"/>
          <w:szCs w:val="22"/>
        </w:rPr>
        <w:t>人，营业</w:t>
      </w:r>
      <w:r>
        <w:rPr>
          <w:rFonts w:cs="仿宋" w:asciiTheme="minorEastAsia" w:hAnsiTheme="minorEastAsia" w:eastAsiaTheme="minorEastAsia"/>
          <w:color w:val="auto"/>
          <w:szCs w:val="22"/>
        </w:rPr>
        <w:t>收入为万元，资产总额为万元，属于</w:t>
      </w:r>
      <w:r>
        <w:rPr>
          <w:rFonts w:cs="仿宋" w:asciiTheme="minorEastAsia" w:hAnsiTheme="minorEastAsia" w:eastAsiaTheme="minorEastAsia"/>
          <w:color w:val="auto"/>
          <w:szCs w:val="22"/>
          <w:u w:val="single"/>
        </w:rPr>
        <w:t>（中型企业、小型企业、微型企业</w:t>
      </w:r>
      <w:r>
        <w:rPr>
          <w:rFonts w:cs="仿宋" w:asciiTheme="minorEastAsia" w:hAnsiTheme="minorEastAsia" w:eastAsiaTheme="minorEastAsia"/>
          <w:color w:val="auto"/>
          <w:spacing w:val="-159"/>
          <w:szCs w:val="22"/>
        </w:rPr>
        <w:t>）；</w:t>
      </w:r>
    </w:p>
    <w:p>
      <w:pPr>
        <w:spacing w:before="192" w:line="329" w:lineRule="exact"/>
        <w:rPr>
          <w:rFonts w:cs="仿宋" w:asciiTheme="minorEastAsia" w:hAnsiTheme="minorEastAsia" w:eastAsiaTheme="minorEastAsia"/>
          <w:color w:val="auto"/>
          <w:spacing w:val="-1"/>
          <w:szCs w:val="22"/>
        </w:rPr>
      </w:pPr>
      <w:r>
        <w:rPr>
          <w:rFonts w:cs="仿宋" w:asciiTheme="minorEastAsia" w:hAnsiTheme="minorEastAsia" w:eastAsiaTheme="minorEastAsia"/>
          <w:color w:val="auto"/>
          <w:spacing w:val="-1"/>
          <w:szCs w:val="22"/>
        </w:rPr>
        <w:t>以上企业，不属于大企业的分支机构，不存在控股股东为大企业的情形，也不存在与大企业的负责人为同一人的情形。</w:t>
      </w:r>
    </w:p>
    <w:p>
      <w:pPr>
        <w:spacing w:before="189" w:line="329" w:lineRule="exact"/>
        <w:rPr>
          <w:rFonts w:asciiTheme="minorEastAsia" w:hAnsiTheme="minorEastAsia" w:eastAsiaTheme="minorEastAsia"/>
          <w:color w:val="auto"/>
          <w:szCs w:val="22"/>
        </w:rPr>
      </w:pPr>
      <w:r>
        <w:rPr>
          <w:rFonts w:cs="仿宋" w:asciiTheme="minorEastAsia" w:hAnsiTheme="minorEastAsia" w:eastAsiaTheme="minorEastAsia"/>
          <w:color w:val="auto"/>
          <w:spacing w:val="-1"/>
          <w:szCs w:val="22"/>
        </w:rPr>
        <w:t>本企业对上述声明内容的真实性负责。如有虚假，将依</w:t>
      </w:r>
      <w:r>
        <w:rPr>
          <w:rFonts w:cs="仿宋" w:asciiTheme="minorEastAsia" w:hAnsiTheme="minorEastAsia" w:eastAsiaTheme="minorEastAsia"/>
          <w:color w:val="auto"/>
          <w:szCs w:val="22"/>
        </w:rPr>
        <w:t>法承担相应责任。</w:t>
      </w:r>
    </w:p>
    <w:p>
      <w:pPr>
        <w:spacing w:before="223" w:line="329" w:lineRule="exact"/>
        <w:ind w:left="3840"/>
        <w:rPr>
          <w:rFonts w:cs="仿宋" w:asciiTheme="minorEastAsia" w:hAnsiTheme="minorEastAsia" w:eastAsiaTheme="minorEastAsia"/>
          <w:color w:val="auto"/>
          <w:spacing w:val="-18"/>
          <w:szCs w:val="22"/>
        </w:rPr>
      </w:pPr>
    </w:p>
    <w:p>
      <w:pPr>
        <w:spacing w:before="223" w:line="329" w:lineRule="exact"/>
        <w:ind w:left="3840"/>
        <w:rPr>
          <w:rFonts w:asciiTheme="minorEastAsia" w:hAnsiTheme="minorEastAsia" w:eastAsiaTheme="minorEastAsia"/>
          <w:color w:val="auto"/>
          <w:szCs w:val="22"/>
        </w:rPr>
      </w:pPr>
      <w:r>
        <w:rPr>
          <w:rFonts w:cs="仿宋" w:asciiTheme="minorEastAsia" w:hAnsiTheme="minorEastAsia" w:eastAsiaTheme="minorEastAsia"/>
          <w:color w:val="auto"/>
          <w:spacing w:val="-18"/>
          <w:szCs w:val="22"/>
        </w:rPr>
        <w:t>企业名称（盖章）：</w:t>
      </w:r>
    </w:p>
    <w:p>
      <w:pPr>
        <w:spacing w:before="211" w:line="329" w:lineRule="exact"/>
        <w:ind w:left="3840"/>
        <w:rPr>
          <w:rFonts w:cs="仿宋" w:asciiTheme="minorEastAsia" w:hAnsiTheme="minorEastAsia" w:eastAsiaTheme="minorEastAsia"/>
          <w:color w:val="auto"/>
          <w:spacing w:val="-1"/>
          <w:szCs w:val="22"/>
        </w:rPr>
      </w:pPr>
      <w:r>
        <w:rPr>
          <w:rFonts w:cs="仿宋" w:asciiTheme="minorEastAsia" w:hAnsiTheme="minorEastAsia" w:eastAsiaTheme="minorEastAsia"/>
          <w:color w:val="auto"/>
          <w:szCs w:val="22"/>
        </w:rPr>
        <w:t>日</w:t>
      </w:r>
      <w:r>
        <w:rPr>
          <w:rFonts w:cs="仿宋" w:asciiTheme="minorEastAsia" w:hAnsiTheme="minorEastAsia" w:eastAsiaTheme="minorEastAsia"/>
          <w:color w:val="auto"/>
          <w:spacing w:val="-1"/>
          <w:szCs w:val="22"/>
        </w:rPr>
        <w:t>期：</w:t>
      </w:r>
    </w:p>
    <w:p>
      <w:pPr>
        <w:spacing w:line="480" w:lineRule="exact"/>
        <w:jc w:val="center"/>
        <w:rPr>
          <w:rFonts w:asciiTheme="minorEastAsia" w:hAnsiTheme="minorEastAsia" w:eastAsiaTheme="minorEastAsia"/>
          <w:color w:val="auto"/>
          <w:szCs w:val="21"/>
          <w:u w:val="single"/>
        </w:rPr>
      </w:pPr>
    </w:p>
    <w:p>
      <w:pPr>
        <w:spacing w:line="480" w:lineRule="exact"/>
        <w:jc w:val="center"/>
        <w:rPr>
          <w:rFonts w:asciiTheme="minorEastAsia" w:hAnsiTheme="minorEastAsia" w:eastAsiaTheme="minorEastAsia"/>
          <w:color w:val="auto"/>
          <w:szCs w:val="21"/>
          <w:u w:val="single"/>
        </w:rPr>
      </w:pPr>
    </w:p>
    <w:p>
      <w:pPr>
        <w:spacing w:line="360" w:lineRule="auto"/>
        <w:jc w:val="left"/>
        <w:rPr>
          <w:rFonts w:asciiTheme="minorEastAsia" w:hAnsiTheme="minorEastAsia" w:eastAsiaTheme="minorEastAsia"/>
          <w:color w:val="auto"/>
          <w:szCs w:val="21"/>
        </w:rPr>
      </w:pPr>
      <w:bookmarkStart w:id="263" w:name="_Toc9620"/>
      <w:bookmarkStart w:id="264" w:name="_Toc30839"/>
      <w:bookmarkStart w:id="265" w:name="_Toc6822"/>
      <w:bookmarkStart w:id="266" w:name="_Toc4443"/>
      <w:r>
        <w:rPr>
          <w:rFonts w:hint="eastAsia" w:asciiTheme="minorEastAsia" w:hAnsiTheme="minorEastAsia" w:eastAsiaTheme="minorEastAsia"/>
          <w:color w:val="auto"/>
          <w:szCs w:val="21"/>
        </w:rPr>
        <w:t>注：如不提供此表则视为非中小型企业，不做废标处理。</w:t>
      </w:r>
      <w:bookmarkEnd w:id="263"/>
      <w:bookmarkEnd w:id="264"/>
      <w:bookmarkEnd w:id="265"/>
      <w:bookmarkEnd w:id="266"/>
    </w:p>
    <w:p>
      <w:pPr>
        <w:pStyle w:val="4"/>
        <w:jc w:val="center"/>
        <w:rPr>
          <w:rFonts w:asciiTheme="minorEastAsia" w:hAnsiTheme="minorEastAsia" w:eastAsiaTheme="minorEastAsia"/>
          <w:b w:val="0"/>
          <w:bCs w:val="0"/>
          <w:color w:val="auto"/>
          <w:szCs w:val="21"/>
        </w:rPr>
      </w:pPr>
      <w:r>
        <w:rPr>
          <w:rFonts w:asciiTheme="minorEastAsia" w:hAnsiTheme="minorEastAsia" w:eastAsiaTheme="minorEastAsia"/>
          <w:b w:val="0"/>
          <w:bCs w:val="0"/>
          <w:color w:val="auto"/>
          <w:szCs w:val="21"/>
        </w:rPr>
        <w:br w:type="page"/>
      </w:r>
      <w:bookmarkStart w:id="267" w:name="_Toc26289821"/>
      <w:bookmarkStart w:id="268" w:name="_Toc534303368"/>
      <w:bookmarkStart w:id="269" w:name="_Toc532891751"/>
      <w:r>
        <w:rPr>
          <w:rFonts w:hint="eastAsia" w:asciiTheme="minorEastAsia" w:hAnsiTheme="minorEastAsia" w:eastAsiaTheme="minorEastAsia"/>
          <w:b w:val="0"/>
          <w:bCs w:val="0"/>
          <w:color w:val="auto"/>
          <w:sz w:val="28"/>
          <w:szCs w:val="28"/>
        </w:rPr>
        <w:t>15、残疾人福利性单位声明函</w:t>
      </w:r>
      <w:bookmarkEnd w:id="267"/>
      <w:bookmarkEnd w:id="268"/>
      <w:bookmarkEnd w:id="269"/>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本单位郑重声明，根据《财政部民政部中国残疾人联合会关于促进残疾人就业政府采购政策的通知》（财库〔</w:t>
      </w:r>
      <w:r>
        <w:rPr>
          <w:rFonts w:asciiTheme="minorEastAsia" w:hAnsiTheme="minorEastAsia" w:eastAsiaTheme="minorEastAsia"/>
          <w:color w:val="auto"/>
          <w:szCs w:val="21"/>
        </w:rPr>
        <w:t>2017</w:t>
      </w:r>
      <w:r>
        <w:rPr>
          <w:rFonts w:hint="eastAsia" w:asciiTheme="minorEastAsia" w:hAnsiTheme="minorEastAsia" w:eastAsiaTheme="minorEastAsia"/>
          <w:color w:val="auto"/>
          <w:szCs w:val="21"/>
        </w:rPr>
        <w:t>〕</w:t>
      </w:r>
      <w:r>
        <w:rPr>
          <w:rFonts w:asciiTheme="minorEastAsia" w:hAnsiTheme="minorEastAsia" w:eastAsiaTheme="minorEastAsia"/>
          <w:color w:val="auto"/>
          <w:szCs w:val="21"/>
        </w:rPr>
        <w:t xml:space="preserve"> 141</w:t>
      </w:r>
      <w:r>
        <w:rPr>
          <w:rFonts w:hint="eastAsia" w:asciiTheme="minorEastAsia" w:hAnsiTheme="minorEastAsia" w:eastAsiaTheme="minorEastAsia"/>
          <w:color w:val="auto"/>
          <w:szCs w:val="21"/>
        </w:rPr>
        <w:t>号）的规定，本单位为符合条件的残疾人福利性单位，且本单位参加</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单位的</w:t>
      </w:r>
      <w:r>
        <w:rPr>
          <w:rFonts w:asciiTheme="minorEastAsia" w:hAnsiTheme="minorEastAsia" w:eastAsiaTheme="minorEastAsia"/>
          <w:color w:val="auto"/>
          <w:szCs w:val="21"/>
        </w:rPr>
        <w:t>______</w:t>
      </w:r>
      <w:r>
        <w:rPr>
          <w:rFonts w:hint="eastAsia" w:asciiTheme="minorEastAsia" w:hAnsiTheme="minorEastAsia" w:eastAsiaTheme="minorEastAsia"/>
          <w:color w:val="auto"/>
          <w:szCs w:val="21"/>
        </w:rPr>
        <w:t>项目采购活动提供本单位制造的货物（由本单位承担工程</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提供服务），或者提供其他残疾人福利性单位制造的货物（不包括使用非残疾人福利性单位注册商标的货物）。</w:t>
      </w:r>
    </w:p>
    <w:p>
      <w:pPr>
        <w:spacing w:line="360" w:lineRule="auto"/>
        <w:ind w:firstLine="645"/>
        <w:rPr>
          <w:rFonts w:cs="宋体" w:asciiTheme="minorEastAsia" w:hAnsiTheme="minorEastAsia" w:eastAsiaTheme="minorEastAsia"/>
          <w:color w:val="auto"/>
          <w:sz w:val="28"/>
          <w:szCs w:val="28"/>
        </w:rPr>
      </w:pPr>
      <w:r>
        <w:rPr>
          <w:rFonts w:hint="eastAsia" w:asciiTheme="minorEastAsia" w:hAnsiTheme="minorEastAsia" w:eastAsiaTheme="minorEastAsia"/>
          <w:color w:val="auto"/>
          <w:szCs w:val="21"/>
        </w:rPr>
        <w:t>本单位对上述声明的真实性负责。如有虚假，将依法承担相应责任</w:t>
      </w:r>
      <w:r>
        <w:rPr>
          <w:rFonts w:hint="eastAsia" w:cs="宋体" w:asciiTheme="minorEastAsia" w:hAnsiTheme="minorEastAsia" w:eastAsiaTheme="minorEastAsia"/>
          <w:color w:val="auto"/>
          <w:sz w:val="28"/>
          <w:szCs w:val="28"/>
        </w:rPr>
        <w:t>。</w:t>
      </w:r>
    </w:p>
    <w:p>
      <w:pPr>
        <w:snapToGrid w:val="0"/>
        <w:spacing w:line="588" w:lineRule="exact"/>
        <w:rPr>
          <w:rFonts w:asciiTheme="minorEastAsia" w:hAnsiTheme="minorEastAsia" w:eastAsiaTheme="minorEastAsia"/>
          <w:color w:val="auto"/>
          <w:spacing w:val="6"/>
          <w:sz w:val="24"/>
        </w:rPr>
      </w:pPr>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单位名称（盖章）：</w:t>
      </w:r>
    </w:p>
    <w:p>
      <w:pPr>
        <w:spacing w:line="360" w:lineRule="auto"/>
        <w:ind w:firstLine="645"/>
        <w:rPr>
          <w:rFonts w:asciiTheme="minorEastAsia" w:hAnsiTheme="minorEastAsia" w:eastAsiaTheme="minorEastAsia"/>
          <w:color w:val="auto"/>
          <w:szCs w:val="21"/>
        </w:rPr>
      </w:pPr>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日期：</w:t>
      </w:r>
    </w:p>
    <w:p>
      <w:pPr>
        <w:spacing w:line="360" w:lineRule="auto"/>
        <w:ind w:firstLine="645"/>
        <w:rPr>
          <w:rFonts w:asciiTheme="minorEastAsia" w:hAnsiTheme="minorEastAsia" w:eastAsiaTheme="minorEastAsia"/>
          <w:color w:val="auto"/>
          <w:szCs w:val="21"/>
        </w:rPr>
      </w:pPr>
    </w:p>
    <w:p>
      <w:pPr>
        <w:spacing w:line="360" w:lineRule="auto"/>
        <w:ind w:firstLine="645"/>
        <w:rPr>
          <w:rFonts w:asciiTheme="minorEastAsia" w:hAnsiTheme="minorEastAsia" w:eastAsiaTheme="minorEastAsia"/>
          <w:color w:val="auto"/>
          <w:szCs w:val="21"/>
        </w:rPr>
      </w:pPr>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注：</w:t>
      </w:r>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残疾人福利性单位视同小型、微型企业，享受预留份额、评审中价格扣除等促进中小企业发展的政府采购政策。残疾人福利性单位属于小型、微型企业的，不重复享受政策。</w:t>
      </w:r>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供应商为非残疾人福利性单位的，可不提供此声明。</w:t>
      </w:r>
    </w:p>
    <w:p>
      <w:pPr>
        <w:widowControl/>
        <w:jc w:val="left"/>
        <w:rPr>
          <w:rFonts w:asciiTheme="minorEastAsia" w:hAnsiTheme="minorEastAsia" w:eastAsiaTheme="minorEastAsia"/>
          <w:color w:val="auto"/>
          <w:kern w:val="0"/>
          <w:sz w:val="28"/>
          <w:szCs w:val="28"/>
        </w:rPr>
      </w:pPr>
      <w:r>
        <w:rPr>
          <w:rFonts w:asciiTheme="minorEastAsia" w:hAnsiTheme="minorEastAsia" w:eastAsiaTheme="minorEastAsia"/>
          <w:color w:val="auto"/>
          <w:sz w:val="28"/>
          <w:szCs w:val="28"/>
        </w:rPr>
        <w:br w:type="page"/>
      </w:r>
    </w:p>
    <w:p>
      <w:pPr>
        <w:pStyle w:val="52"/>
        <w:ind w:left="3675" w:leftChars="1750" w:firstLine="0" w:firstLineChars="0"/>
        <w:jc w:val="left"/>
        <w:outlineLvl w:val="1"/>
        <w:rPr>
          <w:rFonts w:asciiTheme="minorEastAsia" w:hAnsiTheme="minorEastAsia" w:eastAsiaTheme="minorEastAsia"/>
          <w:b w:val="0"/>
          <w:bCs w:val="0"/>
          <w:color w:val="auto"/>
          <w:spacing w:val="0"/>
          <w:kern w:val="0"/>
          <w:sz w:val="28"/>
        </w:rPr>
      </w:pPr>
      <w:bookmarkStart w:id="270" w:name="_Toc26289822"/>
      <w:bookmarkStart w:id="271" w:name="_Toc28280"/>
      <w:bookmarkStart w:id="272" w:name="_Toc13792_WPSOffice_Level1"/>
      <w:bookmarkStart w:id="273" w:name="_Toc27037_WPSOffice_Level1"/>
      <w:bookmarkStart w:id="274" w:name="_Toc25499_WPSOffice_Level1"/>
      <w:bookmarkStart w:id="275" w:name="_Toc8978"/>
      <w:bookmarkStart w:id="276" w:name="_Toc10040_WPSOffice_Level1"/>
      <w:bookmarkStart w:id="277" w:name="_Toc25460_WPSOffice_Level1"/>
      <w:bookmarkStart w:id="278" w:name="_Toc8174_WPSOffice_Level1"/>
      <w:bookmarkStart w:id="279" w:name="_Toc17317_WPSOffice_Level1"/>
      <w:bookmarkStart w:id="280" w:name="_Toc10182"/>
      <w:bookmarkStart w:id="281" w:name="_Toc13637"/>
      <w:bookmarkStart w:id="282" w:name="_Toc31491_WPSOffice_Level1"/>
      <w:bookmarkStart w:id="283" w:name="_Toc5659"/>
      <w:r>
        <w:rPr>
          <w:rFonts w:hint="eastAsia" w:asciiTheme="minorEastAsia" w:hAnsiTheme="minorEastAsia" w:eastAsiaTheme="minorEastAsia"/>
          <w:b w:val="0"/>
          <w:bCs w:val="0"/>
          <w:color w:val="auto"/>
          <w:spacing w:val="0"/>
          <w:kern w:val="0"/>
          <w:sz w:val="28"/>
        </w:rPr>
        <w:t>16、其他材料</w:t>
      </w:r>
      <w:bookmarkEnd w:id="270"/>
      <w:bookmarkEnd w:id="271"/>
      <w:bookmarkEnd w:id="272"/>
      <w:bookmarkEnd w:id="273"/>
      <w:bookmarkEnd w:id="274"/>
    </w:p>
    <w:p>
      <w:pPr>
        <w:pStyle w:val="8"/>
        <w:ind w:firstLine="482"/>
        <w:rPr>
          <w:rFonts w:asciiTheme="minorEastAsia" w:hAnsiTheme="minorEastAsia" w:eastAsiaTheme="minorEastAsia"/>
          <w:color w:val="auto"/>
        </w:rPr>
      </w:pPr>
    </w:p>
    <w:p>
      <w:pPr>
        <w:spacing w:line="360" w:lineRule="auto"/>
        <w:ind w:firstLine="645"/>
        <w:rPr>
          <w:rFonts w:asciiTheme="minorEastAsia" w:hAnsiTheme="minorEastAsia" w:eastAsiaTheme="minorEastAsia"/>
          <w:color w:val="auto"/>
          <w:szCs w:val="21"/>
        </w:rPr>
      </w:pPr>
      <w:r>
        <w:rPr>
          <w:rFonts w:hint="eastAsia" w:asciiTheme="minorEastAsia" w:hAnsiTheme="minorEastAsia" w:eastAsiaTheme="minorEastAsia"/>
          <w:color w:val="auto"/>
          <w:szCs w:val="21"/>
        </w:rPr>
        <w:t>备注：附本项目磋商文件要求的其他材料和供应商认为有助于本次磋商的其他资料，</w:t>
      </w:r>
    </w:p>
    <w:p>
      <w:pPr>
        <w:spacing w:line="360" w:lineRule="auto"/>
        <w:ind w:firstLine="645"/>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（格式自拟）</w:t>
      </w:r>
    </w:p>
    <w:p>
      <w:pPr>
        <w:spacing w:line="360" w:lineRule="auto"/>
        <w:ind w:firstLine="645"/>
        <w:rPr>
          <w:rFonts w:asciiTheme="minorEastAsia" w:hAnsiTheme="minorEastAsia" w:eastAsiaTheme="minorEastAsia"/>
          <w:color w:val="auto"/>
          <w:szCs w:val="21"/>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pStyle w:val="8"/>
        <w:ind w:firstLine="482"/>
        <w:rPr>
          <w:rFonts w:asciiTheme="minorEastAsia" w:hAnsiTheme="minorEastAsia" w:eastAsiaTheme="minorEastAsia"/>
          <w:color w:val="auto"/>
        </w:rPr>
      </w:pPr>
    </w:p>
    <w:p>
      <w:pPr>
        <w:autoSpaceDE w:val="0"/>
        <w:autoSpaceDN w:val="0"/>
        <w:snapToGrid w:val="0"/>
        <w:spacing w:line="500" w:lineRule="exact"/>
        <w:rPr>
          <w:rFonts w:cs="宋体" w:asciiTheme="minorEastAsia" w:hAnsiTheme="minorEastAsia" w:eastAsiaTheme="minorEastAsia"/>
          <w:color w:val="auto"/>
        </w:rPr>
      </w:pPr>
    </w:p>
    <w:p>
      <w:pPr>
        <w:spacing w:line="360" w:lineRule="auto"/>
        <w:ind w:firstLine="420" w:firstLineChars="200"/>
        <w:rPr>
          <w:rFonts w:asciiTheme="minorEastAsia" w:hAnsiTheme="minorEastAsia" w:eastAsiaTheme="minorEastAsia"/>
          <w:color w:val="auto"/>
          <w:szCs w:val="21"/>
        </w:rPr>
      </w:pPr>
    </w:p>
    <w:p>
      <w:pPr>
        <w:spacing w:line="440" w:lineRule="exact"/>
        <w:rPr>
          <w:rFonts w:asciiTheme="minorEastAsia" w:hAnsiTheme="minorEastAsia" w:eastAsiaTheme="minorEastAsia"/>
          <w:color w:val="auto"/>
        </w:rPr>
      </w:pPr>
    </w:p>
    <w:p>
      <w:pPr>
        <w:rPr>
          <w:rFonts w:asciiTheme="minorEastAsia" w:hAnsiTheme="minorEastAsia" w:eastAsiaTheme="minorEastAsia"/>
          <w:color w:val="auto"/>
        </w:rPr>
      </w:pPr>
    </w:p>
    <w:p>
      <w:pPr>
        <w:rPr>
          <w:rFonts w:asciiTheme="minorEastAsia" w:hAnsiTheme="minorEastAsia" w:eastAsiaTheme="minorEastAsia"/>
          <w:color w:val="auto"/>
        </w:rPr>
      </w:pPr>
      <w:r>
        <w:rPr>
          <w:rFonts w:hint="eastAsia" w:asciiTheme="minorEastAsia" w:hAnsiTheme="minorEastAsia" w:eastAsiaTheme="minorEastAsia"/>
          <w:color w:val="auto"/>
        </w:rPr>
        <w:br w:type="page"/>
      </w:r>
    </w:p>
    <w:p>
      <w:pPr>
        <w:pStyle w:val="4"/>
        <w:spacing w:before="100" w:after="100"/>
        <w:jc w:val="left"/>
        <w:rPr>
          <w:rFonts w:asciiTheme="minorEastAsia" w:hAnsiTheme="minorEastAsia" w:eastAsiaTheme="minorEastAsia"/>
          <w:color w:val="auto"/>
          <w:sz w:val="24"/>
          <w:szCs w:val="24"/>
        </w:rPr>
      </w:pPr>
      <w:bookmarkStart w:id="284" w:name="_Toc28341553"/>
      <w:r>
        <w:rPr>
          <w:rStyle w:val="77"/>
          <w:rFonts w:hint="eastAsia" w:asciiTheme="minorEastAsia" w:hAnsiTheme="minorEastAsia" w:eastAsiaTheme="minorEastAsia"/>
          <w:b w:val="0"/>
          <w:bCs/>
          <w:color w:val="auto"/>
        </w:rPr>
        <w:t>附件一：</w:t>
      </w:r>
      <w:r>
        <w:rPr>
          <w:rFonts w:asciiTheme="minorEastAsia" w:hAnsiTheme="minorEastAsia" w:eastAsiaTheme="minorEastAsia"/>
          <w:bCs w:val="0"/>
          <w:color w:val="auto"/>
          <w:sz w:val="28"/>
          <w:szCs w:val="28"/>
        </w:rPr>
        <w:t>第二次报价（格式）</w:t>
      </w:r>
      <w:bookmarkEnd w:id="284"/>
    </w:p>
    <w:p>
      <w:pPr>
        <w:spacing w:before="8" w:line="130" w:lineRule="exact"/>
        <w:rPr>
          <w:rFonts w:asciiTheme="minorEastAsia" w:hAnsiTheme="minorEastAsia" w:eastAsiaTheme="minorEastAsia"/>
          <w:color w:val="auto"/>
          <w:sz w:val="13"/>
          <w:szCs w:val="13"/>
        </w:rPr>
      </w:pPr>
    </w:p>
    <w:p>
      <w:pPr>
        <w:tabs>
          <w:tab w:val="left" w:pos="6020"/>
        </w:tabs>
        <w:spacing w:line="444" w:lineRule="exact"/>
        <w:ind w:left="153" w:right="-20"/>
        <w:rPr>
          <w:rFonts w:asciiTheme="minorEastAsia" w:hAnsiTheme="minorEastAsia" w:eastAsiaTheme="minorEastAsia"/>
          <w:b/>
          <w:bCs/>
          <w:color w:val="auto"/>
          <w:sz w:val="24"/>
        </w:rPr>
      </w:pPr>
      <w:r>
        <w:rPr>
          <w:rFonts w:asciiTheme="minorEastAsia" w:hAnsiTheme="minorEastAsia" w:eastAsiaTheme="minorEastAsia"/>
          <w:b/>
          <w:bCs/>
          <w:color w:val="auto"/>
          <w:sz w:val="24"/>
        </w:rPr>
        <w:t>项目名称：</w:t>
      </w:r>
    </w:p>
    <w:p>
      <w:pPr>
        <w:tabs>
          <w:tab w:val="left" w:pos="6020"/>
        </w:tabs>
        <w:spacing w:line="444" w:lineRule="exact"/>
        <w:ind w:left="153" w:right="-20"/>
        <w:rPr>
          <w:rFonts w:asciiTheme="minorEastAsia" w:hAnsiTheme="minorEastAsia" w:eastAsiaTheme="minorEastAsia"/>
          <w:b/>
          <w:bCs/>
          <w:color w:val="auto"/>
          <w:sz w:val="24"/>
        </w:rPr>
      </w:pPr>
      <w:r>
        <w:rPr>
          <w:rFonts w:asciiTheme="minorEastAsia" w:hAnsiTheme="minorEastAsia" w:eastAsiaTheme="minorEastAsia"/>
          <w:b/>
          <w:bCs/>
          <w:color w:val="auto"/>
          <w:sz w:val="24"/>
        </w:rPr>
        <w:t>项目编号：</w:t>
      </w:r>
    </w:p>
    <w:tbl>
      <w:tblPr>
        <w:tblStyle w:val="25"/>
        <w:tblW w:w="9080" w:type="dxa"/>
        <w:tblInd w:w="0" w:type="dxa"/>
        <w:tblLayout w:type="fixed"/>
        <w:tblCellMar>
          <w:top w:w="0" w:type="dxa"/>
          <w:left w:w="0" w:type="dxa"/>
          <w:bottom w:w="0" w:type="dxa"/>
          <w:right w:w="0" w:type="dxa"/>
        </w:tblCellMar>
      </w:tblPr>
      <w:tblGrid>
        <w:gridCol w:w="2288"/>
        <w:gridCol w:w="1275"/>
        <w:gridCol w:w="5517"/>
      </w:tblGrid>
      <w:tr>
        <w:tblPrEx>
          <w:tblCellMar>
            <w:top w:w="0" w:type="dxa"/>
            <w:left w:w="0" w:type="dxa"/>
            <w:bottom w:w="0" w:type="dxa"/>
            <w:right w:w="0" w:type="dxa"/>
          </w:tblCellMar>
        </w:tblPrEx>
        <w:trPr>
          <w:trHeight w:val="1673" w:hRule="exact"/>
        </w:trPr>
        <w:tc>
          <w:tcPr>
            <w:tcW w:w="2288" w:type="dxa"/>
            <w:vMerge w:val="restart"/>
            <w:tcBorders>
              <w:top w:val="single" w:color="000000" w:sz="4" w:space="0"/>
              <w:left w:val="single" w:color="000000" w:sz="4" w:space="0"/>
              <w:right w:val="single" w:color="000000" w:sz="4" w:space="0"/>
            </w:tcBorders>
          </w:tcPr>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spacing w:before="12" w:line="280" w:lineRule="exact"/>
              <w:rPr>
                <w:rFonts w:asciiTheme="minorEastAsia" w:hAnsiTheme="minorEastAsia" w:eastAsiaTheme="minorEastAsia"/>
                <w:b/>
                <w:bCs/>
                <w:color w:val="auto"/>
                <w:sz w:val="24"/>
              </w:rPr>
            </w:pPr>
          </w:p>
          <w:p>
            <w:pPr>
              <w:ind w:left="565" w:right="545"/>
              <w:jc w:val="center"/>
              <w:rPr>
                <w:rFonts w:asciiTheme="minorEastAsia" w:hAnsiTheme="minorEastAsia" w:eastAsiaTheme="minorEastAsia"/>
                <w:b/>
                <w:bCs/>
                <w:color w:val="auto"/>
                <w:sz w:val="24"/>
              </w:rPr>
            </w:pPr>
            <w:r>
              <w:rPr>
                <w:rFonts w:asciiTheme="minorEastAsia" w:hAnsiTheme="minorEastAsia" w:eastAsiaTheme="minorEastAsia"/>
                <w:b/>
                <w:bCs/>
                <w:color w:val="auto"/>
                <w:sz w:val="24"/>
              </w:rPr>
              <w:t>投标总价</w:t>
            </w:r>
          </w:p>
          <w:p>
            <w:pPr>
              <w:spacing w:before="6" w:line="140" w:lineRule="exact"/>
              <w:rPr>
                <w:rFonts w:asciiTheme="minorEastAsia" w:hAnsiTheme="minorEastAsia" w:eastAsiaTheme="minorEastAsia"/>
                <w:b/>
                <w:bCs/>
                <w:color w:val="auto"/>
                <w:sz w:val="24"/>
              </w:rPr>
            </w:pPr>
          </w:p>
          <w:p>
            <w:pPr>
              <w:ind w:left="217" w:right="61"/>
              <w:jc w:val="center"/>
              <w:rPr>
                <w:rFonts w:asciiTheme="minorEastAsia" w:hAnsiTheme="minorEastAsia" w:eastAsiaTheme="minorEastAsia"/>
                <w:b/>
                <w:bCs/>
                <w:color w:val="auto"/>
                <w:sz w:val="24"/>
              </w:rPr>
            </w:pPr>
            <w:r>
              <w:rPr>
                <w:rFonts w:asciiTheme="minorEastAsia" w:hAnsiTheme="minorEastAsia" w:eastAsiaTheme="minorEastAsia"/>
                <w:b/>
                <w:bCs/>
                <w:color w:val="auto"/>
                <w:sz w:val="24"/>
              </w:rPr>
              <w:t>（人民币/元）</w:t>
            </w:r>
          </w:p>
        </w:tc>
        <w:tc>
          <w:tcPr>
            <w:tcW w:w="1275" w:type="dxa"/>
            <w:tcBorders>
              <w:top w:val="single" w:color="000000" w:sz="4" w:space="0"/>
              <w:left w:val="single" w:color="000000" w:sz="4" w:space="0"/>
              <w:bottom w:val="single" w:color="000000" w:sz="4" w:space="0"/>
              <w:right w:val="single" w:color="000000" w:sz="4" w:space="0"/>
            </w:tcBorders>
          </w:tcPr>
          <w:p>
            <w:pPr>
              <w:spacing w:before="8" w:line="12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ind w:left="383" w:right="-20"/>
              <w:rPr>
                <w:rFonts w:asciiTheme="minorEastAsia" w:hAnsiTheme="minorEastAsia" w:eastAsiaTheme="minorEastAsia"/>
                <w:b/>
                <w:bCs/>
                <w:color w:val="auto"/>
                <w:sz w:val="24"/>
              </w:rPr>
            </w:pPr>
            <w:r>
              <w:rPr>
                <w:rFonts w:asciiTheme="minorEastAsia" w:hAnsiTheme="minorEastAsia" w:eastAsiaTheme="minorEastAsia"/>
                <w:b/>
                <w:bCs/>
                <w:color w:val="auto"/>
                <w:sz w:val="24"/>
              </w:rPr>
              <w:t>大写</w:t>
            </w:r>
          </w:p>
        </w:tc>
        <w:tc>
          <w:tcPr>
            <w:tcW w:w="551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color w:val="auto"/>
                <w:sz w:val="24"/>
              </w:rPr>
            </w:pPr>
          </w:p>
        </w:tc>
      </w:tr>
      <w:tr>
        <w:tblPrEx>
          <w:tblCellMar>
            <w:top w:w="0" w:type="dxa"/>
            <w:left w:w="0" w:type="dxa"/>
            <w:bottom w:w="0" w:type="dxa"/>
            <w:right w:w="0" w:type="dxa"/>
          </w:tblCellMar>
        </w:tblPrEx>
        <w:trPr>
          <w:trHeight w:val="1754" w:hRule="exact"/>
        </w:trPr>
        <w:tc>
          <w:tcPr>
            <w:tcW w:w="2288" w:type="dxa"/>
            <w:vMerge w:val="continue"/>
            <w:tcBorders>
              <w:left w:val="single" w:color="000000" w:sz="4" w:space="0"/>
              <w:bottom w:val="single" w:color="000000" w:sz="4" w:space="0"/>
              <w:right w:val="single" w:color="000000" w:sz="4" w:space="0"/>
            </w:tcBorders>
          </w:tcPr>
          <w:p>
            <w:pPr>
              <w:rPr>
                <w:rFonts w:asciiTheme="minorEastAsia" w:hAnsiTheme="minorEastAsia" w:eastAsiaTheme="minorEastAsia"/>
                <w:b/>
                <w:bCs/>
                <w:color w:val="auto"/>
                <w:sz w:val="24"/>
              </w:rPr>
            </w:pPr>
          </w:p>
        </w:tc>
        <w:tc>
          <w:tcPr>
            <w:tcW w:w="1275" w:type="dxa"/>
            <w:tcBorders>
              <w:top w:val="single" w:color="000000" w:sz="4" w:space="0"/>
              <w:left w:val="single" w:color="000000" w:sz="4" w:space="0"/>
              <w:bottom w:val="single" w:color="000000" w:sz="4" w:space="0"/>
              <w:right w:val="single" w:color="000000" w:sz="4" w:space="0"/>
            </w:tcBorders>
          </w:tcPr>
          <w:p>
            <w:pPr>
              <w:spacing w:before="9" w:line="16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ind w:left="383" w:right="-20"/>
              <w:rPr>
                <w:rFonts w:asciiTheme="minorEastAsia" w:hAnsiTheme="minorEastAsia" w:eastAsiaTheme="minorEastAsia"/>
                <w:b/>
                <w:bCs/>
                <w:color w:val="auto"/>
                <w:sz w:val="24"/>
              </w:rPr>
            </w:pPr>
            <w:r>
              <w:rPr>
                <w:rFonts w:asciiTheme="minorEastAsia" w:hAnsiTheme="minorEastAsia" w:eastAsiaTheme="minorEastAsia"/>
                <w:b/>
                <w:bCs/>
                <w:color w:val="auto"/>
                <w:sz w:val="24"/>
              </w:rPr>
              <w:t>小写</w:t>
            </w:r>
          </w:p>
        </w:tc>
        <w:tc>
          <w:tcPr>
            <w:tcW w:w="5517" w:type="dxa"/>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color w:val="auto"/>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tcPr>
          <w:p>
            <w:pPr>
              <w:spacing w:before="12" w:line="240" w:lineRule="exact"/>
              <w:rPr>
                <w:rFonts w:asciiTheme="minorEastAsia" w:hAnsiTheme="minorEastAsia" w:eastAsiaTheme="minorEastAsia"/>
                <w:b/>
                <w:bCs/>
                <w:color w:val="auto"/>
                <w:sz w:val="24"/>
              </w:rPr>
            </w:pPr>
          </w:p>
          <w:p>
            <w:pPr>
              <w:spacing w:before="6" w:line="140" w:lineRule="exact"/>
              <w:rPr>
                <w:rFonts w:asciiTheme="minorEastAsia" w:hAnsiTheme="minorEastAsia" w:eastAsiaTheme="minorEastAsia"/>
                <w:b/>
                <w:bCs/>
                <w:color w:val="auto"/>
                <w:sz w:val="24"/>
              </w:rPr>
            </w:pPr>
          </w:p>
          <w:p>
            <w:pPr>
              <w:ind w:left="426" w:right="406"/>
              <w:jc w:val="center"/>
              <w:rPr>
                <w:rFonts w:asciiTheme="minorEastAsia" w:hAnsiTheme="minorEastAsia" w:eastAsiaTheme="minorEastAsia"/>
                <w:b/>
                <w:bCs/>
                <w:color w:val="auto"/>
                <w:sz w:val="24"/>
              </w:rPr>
            </w:pPr>
            <w:r>
              <w:rPr>
                <w:rFonts w:hint="eastAsia" w:asciiTheme="minorEastAsia" w:hAnsiTheme="minorEastAsia" w:eastAsiaTheme="minorEastAsia"/>
                <w:b/>
                <w:bCs/>
                <w:color w:val="auto"/>
                <w:sz w:val="24"/>
              </w:rPr>
              <w:t>服务期</w:t>
            </w:r>
          </w:p>
        </w:tc>
        <w:tc>
          <w:tcPr>
            <w:tcW w:w="6792"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color w:val="auto"/>
                <w:sz w:val="24"/>
              </w:rPr>
            </w:pPr>
          </w:p>
        </w:tc>
      </w:tr>
      <w:tr>
        <w:tblPrEx>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vAlign w:val="center"/>
          </w:tcPr>
          <w:p>
            <w:pPr>
              <w:spacing w:before="12" w:line="240" w:lineRule="exact"/>
              <w:jc w:val="center"/>
              <w:rPr>
                <w:rFonts w:asciiTheme="minorEastAsia" w:hAnsiTheme="minorEastAsia" w:eastAsiaTheme="minorEastAsia"/>
                <w:b/>
                <w:bCs/>
                <w:color w:val="auto"/>
                <w:sz w:val="24"/>
              </w:rPr>
            </w:pPr>
            <w:r>
              <w:rPr>
                <w:rFonts w:asciiTheme="minorEastAsia" w:hAnsiTheme="minorEastAsia" w:eastAsiaTheme="minorEastAsia"/>
                <w:b/>
                <w:bCs/>
                <w:color w:val="auto"/>
                <w:sz w:val="24"/>
              </w:rPr>
              <w:t>其他承诺</w:t>
            </w:r>
          </w:p>
        </w:tc>
        <w:tc>
          <w:tcPr>
            <w:tcW w:w="6792" w:type="dxa"/>
            <w:gridSpan w:val="2"/>
            <w:tcBorders>
              <w:top w:val="single" w:color="000000" w:sz="4" w:space="0"/>
              <w:left w:val="single" w:color="000000" w:sz="4" w:space="0"/>
              <w:bottom w:val="single" w:color="000000" w:sz="4" w:space="0"/>
              <w:right w:val="single" w:color="000000" w:sz="4" w:space="0"/>
            </w:tcBorders>
          </w:tcPr>
          <w:p>
            <w:pPr>
              <w:rPr>
                <w:rFonts w:asciiTheme="minorEastAsia" w:hAnsiTheme="minorEastAsia" w:eastAsiaTheme="minorEastAsia"/>
                <w:b/>
                <w:bCs/>
                <w:color w:val="auto"/>
                <w:sz w:val="24"/>
              </w:rPr>
            </w:pPr>
          </w:p>
        </w:tc>
      </w:tr>
    </w:tbl>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spacing w:line="200" w:lineRule="exact"/>
        <w:rPr>
          <w:rFonts w:asciiTheme="minorEastAsia" w:hAnsiTheme="minorEastAsia" w:eastAsiaTheme="minorEastAsia"/>
          <w:b/>
          <w:bCs/>
          <w:color w:val="auto"/>
          <w:sz w:val="24"/>
        </w:rPr>
      </w:pPr>
    </w:p>
    <w:p>
      <w:pPr>
        <w:ind w:right="1653"/>
        <w:jc w:val="right"/>
        <w:rPr>
          <w:rFonts w:asciiTheme="minorEastAsia" w:hAnsiTheme="minorEastAsia" w:eastAsiaTheme="minorEastAsia"/>
          <w:iCs/>
          <w:color w:val="auto"/>
          <w:szCs w:val="21"/>
          <w:u w:val="single"/>
        </w:rPr>
      </w:pPr>
      <w:r>
        <w:rPr>
          <w:rFonts w:asciiTheme="minorEastAsia" w:hAnsiTheme="minorEastAsia" w:eastAsiaTheme="minorEastAsia"/>
          <w:color w:val="auto"/>
          <w:szCs w:val="21"/>
        </w:rPr>
        <w:t>供应商名称（公章）：</w:t>
      </w:r>
    </w:p>
    <w:p>
      <w:pPr>
        <w:ind w:right="1653"/>
        <w:jc w:val="right"/>
        <w:rPr>
          <w:rFonts w:asciiTheme="minorEastAsia" w:hAnsiTheme="minorEastAsia" w:eastAsiaTheme="minorEastAsia"/>
          <w:color w:val="auto"/>
          <w:szCs w:val="21"/>
        </w:rPr>
      </w:pPr>
    </w:p>
    <w:p>
      <w:pPr>
        <w:ind w:right="1653"/>
        <w:jc w:val="right"/>
        <w:rPr>
          <w:rFonts w:asciiTheme="minorEastAsia" w:hAnsiTheme="minorEastAsia" w:eastAsiaTheme="minorEastAsia"/>
          <w:color w:val="auto"/>
          <w:szCs w:val="21"/>
        </w:rPr>
      </w:pPr>
      <w:r>
        <w:rPr>
          <w:rFonts w:asciiTheme="minorEastAsia" w:hAnsiTheme="minorEastAsia" w:eastAsiaTheme="minorEastAsia"/>
          <w:color w:val="auto"/>
          <w:szCs w:val="21"/>
        </w:rPr>
        <w:t>全权代表或法定代表人(签字):</w:t>
      </w:r>
    </w:p>
    <w:p>
      <w:pPr>
        <w:spacing w:before="6" w:line="140" w:lineRule="exact"/>
        <w:rPr>
          <w:rFonts w:asciiTheme="minorEastAsia" w:hAnsiTheme="minorEastAsia" w:eastAsiaTheme="minorEastAsia"/>
          <w:color w:val="auto"/>
          <w:szCs w:val="21"/>
        </w:rPr>
      </w:pPr>
    </w:p>
    <w:p>
      <w:pPr>
        <w:tabs>
          <w:tab w:val="left" w:pos="560"/>
        </w:tabs>
        <w:ind w:right="1650"/>
        <w:jc w:val="right"/>
        <w:rPr>
          <w:rFonts w:asciiTheme="minorEastAsia" w:hAnsiTheme="minorEastAsia" w:eastAsiaTheme="minorEastAsia"/>
          <w:color w:val="auto"/>
          <w:szCs w:val="21"/>
        </w:rPr>
      </w:pPr>
      <w:r>
        <w:rPr>
          <w:rFonts w:asciiTheme="minorEastAsia" w:hAnsiTheme="minorEastAsia" w:eastAsiaTheme="minorEastAsia"/>
          <w:color w:val="auto"/>
          <w:szCs w:val="21"/>
        </w:rPr>
        <w:t>日</w:t>
      </w:r>
      <w:r>
        <w:rPr>
          <w:rFonts w:asciiTheme="minorEastAsia" w:hAnsiTheme="minorEastAsia" w:eastAsiaTheme="minorEastAsia"/>
          <w:color w:val="auto"/>
          <w:szCs w:val="21"/>
        </w:rPr>
        <w:tab/>
      </w:r>
      <w:r>
        <w:rPr>
          <w:rFonts w:asciiTheme="minorEastAsia" w:hAnsiTheme="minorEastAsia" w:eastAsiaTheme="minorEastAsia"/>
          <w:color w:val="auto"/>
          <w:szCs w:val="21"/>
        </w:rPr>
        <w:t>期：</w:t>
      </w:r>
    </w:p>
    <w:p>
      <w:pPr>
        <w:spacing w:line="200" w:lineRule="exact"/>
        <w:rPr>
          <w:rFonts w:asciiTheme="minorEastAsia" w:hAnsiTheme="minorEastAsia" w:eastAsiaTheme="minorEastAsia"/>
          <w:color w:val="auto"/>
          <w:sz w:val="20"/>
          <w:szCs w:val="20"/>
        </w:rPr>
      </w:pPr>
    </w:p>
    <w:p>
      <w:pPr>
        <w:spacing w:line="200" w:lineRule="exact"/>
        <w:rPr>
          <w:rFonts w:asciiTheme="minorEastAsia" w:hAnsiTheme="minorEastAsia" w:eastAsiaTheme="minorEastAsia"/>
          <w:color w:val="auto"/>
          <w:szCs w:val="21"/>
        </w:rPr>
      </w:pPr>
    </w:p>
    <w:p>
      <w:pPr>
        <w:spacing w:line="274" w:lineRule="auto"/>
        <w:ind w:left="153" w:right="74"/>
        <w:rPr>
          <w:rFonts w:asciiTheme="minorEastAsia" w:hAnsiTheme="minorEastAsia" w:eastAsiaTheme="minorEastAsia"/>
          <w:color w:val="auto"/>
          <w:sz w:val="24"/>
        </w:rPr>
      </w:pPr>
      <w:r>
        <w:rPr>
          <w:rFonts w:asciiTheme="minorEastAsia" w:hAnsiTheme="minorEastAsia" w:eastAsiaTheme="minorEastAsia"/>
          <w:color w:val="auto"/>
          <w:sz w:val="24"/>
        </w:rPr>
        <w:t>说明</w:t>
      </w:r>
      <w:r>
        <w:rPr>
          <w:rFonts w:asciiTheme="minorEastAsia" w:hAnsiTheme="minorEastAsia" w:eastAsiaTheme="minorEastAsia"/>
          <w:color w:val="auto"/>
          <w:spacing w:val="-14"/>
          <w:sz w:val="24"/>
        </w:rPr>
        <w:t>：</w:t>
      </w:r>
      <w:r>
        <w:rPr>
          <w:rFonts w:asciiTheme="minorEastAsia" w:hAnsiTheme="minorEastAsia" w:eastAsiaTheme="minorEastAsia"/>
          <w:color w:val="auto"/>
          <w:sz w:val="24"/>
        </w:rPr>
        <w:t>1</w:t>
      </w:r>
      <w:r>
        <w:rPr>
          <w:rFonts w:asciiTheme="minorEastAsia" w:hAnsiTheme="minorEastAsia" w:eastAsiaTheme="minorEastAsia"/>
          <w:color w:val="auto"/>
          <w:spacing w:val="-14"/>
          <w:sz w:val="24"/>
        </w:rPr>
        <w:t>、</w:t>
      </w:r>
      <w:r>
        <w:rPr>
          <w:rFonts w:asciiTheme="minorEastAsia" w:hAnsiTheme="minorEastAsia" w:eastAsiaTheme="minorEastAsia"/>
          <w:color w:val="auto"/>
          <w:sz w:val="24"/>
        </w:rPr>
        <w:t>本表价格</w:t>
      </w:r>
      <w:r>
        <w:rPr>
          <w:rFonts w:asciiTheme="minorEastAsia" w:hAnsiTheme="minorEastAsia" w:eastAsiaTheme="minorEastAsia"/>
          <w:color w:val="auto"/>
          <w:spacing w:val="2"/>
          <w:sz w:val="24"/>
        </w:rPr>
        <w:t>一</w:t>
      </w:r>
      <w:r>
        <w:rPr>
          <w:rFonts w:asciiTheme="minorEastAsia" w:hAnsiTheme="minorEastAsia" w:eastAsiaTheme="minorEastAsia"/>
          <w:color w:val="auto"/>
          <w:sz w:val="24"/>
        </w:rPr>
        <w:t>栏空白</w:t>
      </w:r>
      <w:r>
        <w:rPr>
          <w:rFonts w:asciiTheme="minorEastAsia" w:hAnsiTheme="minorEastAsia" w:eastAsiaTheme="minorEastAsia"/>
          <w:color w:val="auto"/>
          <w:spacing w:val="-14"/>
          <w:sz w:val="24"/>
        </w:rPr>
        <w:t>，</w:t>
      </w:r>
      <w:r>
        <w:rPr>
          <w:rFonts w:asciiTheme="minorEastAsia" w:hAnsiTheme="minorEastAsia" w:eastAsiaTheme="minorEastAsia"/>
          <w:color w:val="auto"/>
          <w:sz w:val="24"/>
        </w:rPr>
        <w:t>落款处供应商名</w:t>
      </w:r>
      <w:r>
        <w:rPr>
          <w:rFonts w:asciiTheme="minorEastAsia" w:hAnsiTheme="minorEastAsia" w:eastAsiaTheme="minorEastAsia"/>
          <w:color w:val="auto"/>
          <w:spacing w:val="-14"/>
          <w:sz w:val="24"/>
        </w:rPr>
        <w:t>称</w:t>
      </w:r>
      <w:r>
        <w:rPr>
          <w:rFonts w:asciiTheme="minorEastAsia" w:hAnsiTheme="minorEastAsia" w:eastAsiaTheme="minorEastAsia"/>
          <w:color w:val="auto"/>
          <w:sz w:val="24"/>
        </w:rPr>
        <w:t>（盖章</w:t>
      </w:r>
      <w:r>
        <w:rPr>
          <w:rFonts w:asciiTheme="minorEastAsia" w:hAnsiTheme="minorEastAsia" w:eastAsiaTheme="minorEastAsia"/>
          <w:color w:val="auto"/>
          <w:spacing w:val="-14"/>
          <w:sz w:val="24"/>
        </w:rPr>
        <w:t>）</w:t>
      </w:r>
      <w:r>
        <w:rPr>
          <w:rFonts w:asciiTheme="minorEastAsia" w:hAnsiTheme="minorEastAsia" w:eastAsiaTheme="minorEastAsia"/>
          <w:color w:val="auto"/>
          <w:sz w:val="24"/>
        </w:rPr>
        <w:t>处由供应商事先加盖公章</w:t>
      </w:r>
      <w:r>
        <w:rPr>
          <w:rFonts w:asciiTheme="minorEastAsia" w:hAnsiTheme="minorEastAsia" w:eastAsiaTheme="minorEastAsia"/>
          <w:color w:val="auto"/>
          <w:spacing w:val="-14"/>
          <w:sz w:val="24"/>
        </w:rPr>
        <w:t>，</w:t>
      </w:r>
      <w:r>
        <w:rPr>
          <w:rFonts w:asciiTheme="minorEastAsia" w:hAnsiTheme="minorEastAsia" w:eastAsiaTheme="minorEastAsia"/>
          <w:color w:val="auto"/>
          <w:sz w:val="24"/>
        </w:rPr>
        <w:t>单独准备至少3份（供应商应尽量避免书写错误，并准备充足数量的本表格），不与竞争性磋商响应文件一同装订，由供应商代表随身携带至磋商现场；</w:t>
      </w:r>
    </w:p>
    <w:p>
      <w:pPr>
        <w:spacing w:line="274" w:lineRule="auto"/>
        <w:ind w:left="153" w:right="74"/>
        <w:rPr>
          <w:rFonts w:asciiTheme="minorEastAsia" w:hAnsiTheme="minorEastAsia" w:eastAsiaTheme="minorEastAsia"/>
          <w:color w:val="auto"/>
          <w:sz w:val="24"/>
        </w:rPr>
      </w:pPr>
      <w:r>
        <w:rPr>
          <w:rFonts w:asciiTheme="minorEastAsia" w:hAnsiTheme="minorEastAsia" w:eastAsiaTheme="minorEastAsia"/>
          <w:color w:val="auto"/>
          <w:sz w:val="24"/>
        </w:rPr>
        <w:t>2、本表中磋商报价在开标后，由供应商根据现场开标情况，在磋商现场手工填写作为供应商对本项目的最终报价。</w:t>
      </w:r>
    </w:p>
    <w:p>
      <w:pPr>
        <w:spacing w:line="274" w:lineRule="auto"/>
        <w:ind w:left="153" w:right="74"/>
        <w:rPr>
          <w:rFonts w:asciiTheme="minorEastAsia" w:hAnsiTheme="minorEastAsia" w:eastAsiaTheme="minorEastAsia"/>
          <w:color w:val="auto"/>
          <w:sz w:val="24"/>
        </w:rPr>
      </w:pPr>
      <w:r>
        <w:rPr>
          <w:rFonts w:hint="eastAsia" w:asciiTheme="minorEastAsia" w:hAnsiTheme="minorEastAsia" w:eastAsiaTheme="minorEastAsia"/>
          <w:color w:val="auto"/>
          <w:sz w:val="24"/>
        </w:rPr>
        <w:t>3、本表中磋商报价如有大小写不一致，以投标报价大写为准。</w:t>
      </w:r>
    </w:p>
    <w:bookmarkEnd w:id="275"/>
    <w:bookmarkEnd w:id="276"/>
    <w:bookmarkEnd w:id="277"/>
    <w:bookmarkEnd w:id="278"/>
    <w:bookmarkEnd w:id="279"/>
    <w:bookmarkEnd w:id="280"/>
    <w:bookmarkEnd w:id="281"/>
    <w:bookmarkEnd w:id="282"/>
    <w:bookmarkEnd w:id="283"/>
    <w:p>
      <w:pPr>
        <w:rPr>
          <w:rFonts w:asciiTheme="minorEastAsia" w:hAnsiTheme="minorEastAsia" w:eastAsiaTheme="minorEastAsia"/>
          <w:color w:val="auto"/>
        </w:rPr>
        <w:sectPr>
          <w:footerReference r:id="rId13" w:type="default"/>
          <w:pgSz w:w="11906" w:h="16838"/>
          <w:pgMar w:top="1361" w:right="1418" w:bottom="1361" w:left="1418" w:header="851" w:footer="992" w:gutter="0"/>
          <w:cols w:space="720" w:num="1"/>
          <w:docGrid w:type="lines" w:linePitch="312" w:charSpace="0"/>
        </w:sectPr>
      </w:pPr>
    </w:p>
    <w:p>
      <w:pPr>
        <w:spacing w:line="360" w:lineRule="auto"/>
        <w:jc w:val="center"/>
        <w:outlineLvl w:val="0"/>
        <w:rPr>
          <w:rFonts w:asciiTheme="minorEastAsia" w:hAnsiTheme="minorEastAsia" w:eastAsiaTheme="minorEastAsia"/>
          <w:color w:val="auto"/>
          <w:sz w:val="32"/>
          <w:szCs w:val="15"/>
        </w:rPr>
      </w:pPr>
      <w:bookmarkStart w:id="285" w:name="_Toc89867403"/>
      <w:bookmarkStart w:id="286" w:name="_Toc89867353"/>
      <w:r>
        <w:rPr>
          <w:rFonts w:hint="eastAsia" w:asciiTheme="minorEastAsia" w:hAnsiTheme="minorEastAsia" w:eastAsiaTheme="minorEastAsia"/>
          <w:color w:val="auto"/>
          <w:sz w:val="32"/>
          <w:szCs w:val="15"/>
        </w:rPr>
        <w:t>保证金退还账户信息确认表</w:t>
      </w:r>
      <w:bookmarkEnd w:id="285"/>
      <w:bookmarkEnd w:id="286"/>
    </w:p>
    <w:p>
      <w:pPr>
        <w:ind w:firstLine="240" w:firstLineChars="100"/>
        <w:rPr>
          <w:rFonts w:asciiTheme="minorEastAsia" w:hAnsiTheme="minorEastAsia" w:eastAsiaTheme="minorEastAsia"/>
          <w:color w:val="auto"/>
          <w:sz w:val="24"/>
        </w:rPr>
      </w:pPr>
      <w:bookmarkStart w:id="287" w:name="_Toc378248335"/>
      <w:r>
        <w:rPr>
          <w:rFonts w:hint="eastAsia" w:asciiTheme="minorEastAsia" w:hAnsiTheme="minorEastAsia" w:eastAsiaTheme="minorEastAsia"/>
          <w:color w:val="auto"/>
          <w:sz w:val="24"/>
        </w:rPr>
        <w:t>项目名称及编号：</w:t>
      </w:r>
      <w:bookmarkEnd w:id="287"/>
      <w:r>
        <w:rPr>
          <w:rFonts w:hint="eastAsia" w:asciiTheme="minorEastAsia" w:hAnsiTheme="minorEastAsia" w:eastAsiaTheme="minorEastAsia"/>
          <w:color w:val="auto"/>
          <w:sz w:val="24"/>
        </w:rPr>
        <w:t>递交日期：</w:t>
      </w:r>
    </w:p>
    <w:tbl>
      <w:tblPr>
        <w:tblStyle w:val="2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7"/>
        <w:gridCol w:w="2338"/>
        <w:gridCol w:w="3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2237" w:type="dxa"/>
            <w:vMerge w:val="restart"/>
            <w:vAlign w:val="center"/>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应退磋商保证金</w:t>
            </w:r>
          </w:p>
        </w:tc>
        <w:tc>
          <w:tcPr>
            <w:tcW w:w="6285" w:type="dxa"/>
            <w:gridSpan w:val="2"/>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2237" w:type="dxa"/>
            <w:vMerge w:val="continue"/>
          </w:tcPr>
          <w:p>
            <w:pPr>
              <w:spacing w:line="440" w:lineRule="exact"/>
              <w:jc w:val="center"/>
              <w:rPr>
                <w:rFonts w:asciiTheme="minorEastAsia" w:hAnsiTheme="minorEastAsia" w:eastAsiaTheme="minorEastAsia"/>
                <w:color w:val="auto"/>
                <w:sz w:val="24"/>
              </w:rPr>
            </w:pPr>
          </w:p>
        </w:tc>
        <w:tc>
          <w:tcPr>
            <w:tcW w:w="6285" w:type="dxa"/>
            <w:gridSpan w:val="2"/>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1" w:hRule="atLeast"/>
          <w:jc w:val="center"/>
        </w:trPr>
        <w:tc>
          <w:tcPr>
            <w:tcW w:w="2237" w:type="dxa"/>
            <w:vMerge w:val="restart"/>
            <w:vAlign w:val="center"/>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单位（盖章）</w:t>
            </w:r>
          </w:p>
        </w:tc>
        <w:tc>
          <w:tcPr>
            <w:tcW w:w="2338" w:type="dxa"/>
            <w:vAlign w:val="center"/>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单位名称</w:t>
            </w:r>
          </w:p>
        </w:tc>
        <w:tc>
          <w:tcPr>
            <w:tcW w:w="3947" w:type="dxa"/>
          </w:tcPr>
          <w:p>
            <w:pPr>
              <w:spacing w:line="440" w:lineRule="exact"/>
              <w:jc w:val="center"/>
              <w:rPr>
                <w:rFonts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2237" w:type="dxa"/>
            <w:vMerge w:val="continue"/>
          </w:tcPr>
          <w:p>
            <w:pPr>
              <w:spacing w:line="440" w:lineRule="exact"/>
              <w:jc w:val="center"/>
              <w:rPr>
                <w:rFonts w:asciiTheme="minorEastAsia" w:hAnsiTheme="minorEastAsia" w:eastAsiaTheme="minorEastAsia"/>
                <w:color w:val="auto"/>
                <w:sz w:val="24"/>
              </w:rPr>
            </w:pPr>
          </w:p>
        </w:tc>
        <w:tc>
          <w:tcPr>
            <w:tcW w:w="2338" w:type="dxa"/>
            <w:vAlign w:val="center"/>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开户行</w:t>
            </w:r>
          </w:p>
        </w:tc>
        <w:tc>
          <w:tcPr>
            <w:tcW w:w="3947" w:type="dxa"/>
          </w:tcPr>
          <w:p>
            <w:pPr>
              <w:spacing w:line="440" w:lineRule="exact"/>
              <w:jc w:val="center"/>
              <w:rPr>
                <w:rFonts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2237" w:type="dxa"/>
            <w:vMerge w:val="continue"/>
          </w:tcPr>
          <w:p>
            <w:pPr>
              <w:spacing w:line="440" w:lineRule="exact"/>
              <w:jc w:val="center"/>
              <w:rPr>
                <w:rFonts w:asciiTheme="minorEastAsia" w:hAnsiTheme="minorEastAsia" w:eastAsiaTheme="minorEastAsia"/>
                <w:color w:val="auto"/>
                <w:sz w:val="24"/>
              </w:rPr>
            </w:pPr>
          </w:p>
        </w:tc>
        <w:tc>
          <w:tcPr>
            <w:tcW w:w="2338" w:type="dxa"/>
            <w:vAlign w:val="center"/>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账号</w:t>
            </w:r>
          </w:p>
        </w:tc>
        <w:tc>
          <w:tcPr>
            <w:tcW w:w="3947" w:type="dxa"/>
          </w:tcPr>
          <w:p>
            <w:pPr>
              <w:spacing w:line="440" w:lineRule="exact"/>
              <w:jc w:val="center"/>
              <w:rPr>
                <w:rFonts w:asciiTheme="minorEastAsia" w:hAnsiTheme="minorEastAsia" w:eastAsiaTheme="minorEastAsia"/>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jc w:val="center"/>
        </w:trPr>
        <w:tc>
          <w:tcPr>
            <w:tcW w:w="2237" w:type="dxa"/>
            <w:vMerge w:val="continue"/>
          </w:tcPr>
          <w:p>
            <w:pPr>
              <w:spacing w:line="440" w:lineRule="exact"/>
              <w:jc w:val="center"/>
              <w:rPr>
                <w:rFonts w:asciiTheme="minorEastAsia" w:hAnsiTheme="minorEastAsia" w:eastAsiaTheme="minorEastAsia"/>
                <w:color w:val="auto"/>
                <w:sz w:val="24"/>
              </w:rPr>
            </w:pPr>
          </w:p>
        </w:tc>
        <w:tc>
          <w:tcPr>
            <w:tcW w:w="2338" w:type="dxa"/>
            <w:vAlign w:val="center"/>
          </w:tcPr>
          <w:p>
            <w:pPr>
              <w:spacing w:line="440" w:lineRule="exact"/>
              <w:jc w:val="center"/>
              <w:rPr>
                <w:rFonts w:asciiTheme="minorEastAsia" w:hAnsiTheme="minorEastAsia" w:eastAsiaTheme="minorEastAsia"/>
                <w:color w:val="auto"/>
                <w:sz w:val="24"/>
              </w:rPr>
            </w:pPr>
            <w:r>
              <w:rPr>
                <w:rFonts w:hint="eastAsia" w:asciiTheme="minorEastAsia" w:hAnsiTheme="minorEastAsia" w:eastAsiaTheme="minorEastAsia"/>
                <w:color w:val="auto"/>
                <w:sz w:val="24"/>
              </w:rPr>
              <w:t>联系人及电话</w:t>
            </w:r>
          </w:p>
        </w:tc>
        <w:tc>
          <w:tcPr>
            <w:tcW w:w="3947" w:type="dxa"/>
          </w:tcPr>
          <w:p>
            <w:pPr>
              <w:spacing w:line="440" w:lineRule="exact"/>
              <w:jc w:val="center"/>
              <w:rPr>
                <w:rFonts w:asciiTheme="minorEastAsia" w:hAnsiTheme="minorEastAsia" w:eastAsiaTheme="minorEastAsia"/>
                <w:color w:val="auto"/>
                <w:sz w:val="24"/>
              </w:rPr>
            </w:pPr>
          </w:p>
        </w:tc>
      </w:tr>
    </w:tbl>
    <w:p>
      <w:pPr>
        <w:spacing w:line="440" w:lineRule="exact"/>
        <w:outlineLvl w:val="0"/>
        <w:rPr>
          <w:rFonts w:asciiTheme="minorEastAsia" w:hAnsiTheme="minorEastAsia" w:eastAsiaTheme="minorEastAsia"/>
          <w:color w:val="auto"/>
          <w:sz w:val="24"/>
        </w:rPr>
      </w:pPr>
      <w:bookmarkStart w:id="288" w:name="_Toc9799"/>
      <w:bookmarkStart w:id="289" w:name="_Toc23263"/>
      <w:bookmarkStart w:id="290" w:name="_Toc4616_WPSOffice_Level1"/>
      <w:bookmarkStart w:id="291" w:name="_Toc20548_WPSOffice_Level1"/>
      <w:bookmarkStart w:id="292" w:name="_Toc89867404"/>
      <w:bookmarkStart w:id="293" w:name="_Toc8864_WPSOffice_Level1"/>
      <w:bookmarkStart w:id="294" w:name="_Toc10931_WPSOffice_Level1"/>
      <w:bookmarkStart w:id="295" w:name="_Toc12302_WPSOffice_Level1"/>
      <w:bookmarkStart w:id="296" w:name="_Toc20339"/>
      <w:bookmarkStart w:id="297" w:name="_Toc89867354"/>
      <w:bookmarkStart w:id="298" w:name="_Toc28850"/>
      <w:r>
        <w:rPr>
          <w:rFonts w:hint="eastAsia" w:asciiTheme="minorEastAsia" w:hAnsiTheme="minorEastAsia" w:eastAsiaTheme="minorEastAsia"/>
          <w:color w:val="auto"/>
          <w:sz w:val="24"/>
        </w:rPr>
        <w:t>附件二：原交款、汇款凭证复印件</w:t>
      </w:r>
      <w:bookmarkEnd w:id="288"/>
      <w:bookmarkEnd w:id="289"/>
      <w:bookmarkEnd w:id="290"/>
      <w:bookmarkEnd w:id="291"/>
      <w:bookmarkEnd w:id="292"/>
      <w:bookmarkEnd w:id="293"/>
      <w:bookmarkEnd w:id="294"/>
      <w:bookmarkEnd w:id="295"/>
      <w:bookmarkEnd w:id="296"/>
      <w:bookmarkEnd w:id="297"/>
      <w:bookmarkEnd w:id="298"/>
    </w:p>
    <w:p>
      <w:pPr>
        <w:spacing w:line="440" w:lineRule="exact"/>
        <w:rPr>
          <w:rFonts w:asciiTheme="minorEastAsia" w:hAnsiTheme="minorEastAsia" w:eastAsiaTheme="minorEastAsia"/>
          <w:color w:val="auto"/>
          <w:sz w:val="24"/>
        </w:rPr>
      </w:pPr>
    </w:p>
    <w:p>
      <w:pPr>
        <w:spacing w:line="440" w:lineRule="exact"/>
        <w:rPr>
          <w:rFonts w:asciiTheme="minorEastAsia" w:hAnsiTheme="minorEastAsia" w:eastAsiaTheme="minorEastAsia"/>
          <w:color w:val="auto"/>
          <w:sz w:val="24"/>
        </w:rPr>
      </w:pPr>
    </w:p>
    <w:p>
      <w:pPr>
        <w:spacing w:line="440" w:lineRule="exact"/>
        <w:rPr>
          <w:rFonts w:asciiTheme="minorEastAsia" w:hAnsiTheme="minorEastAsia" w:eastAsiaTheme="minorEastAsia"/>
          <w:color w:val="auto"/>
          <w:sz w:val="24"/>
        </w:rPr>
      </w:pPr>
    </w:p>
    <w:p>
      <w:pPr>
        <w:spacing w:line="440" w:lineRule="exact"/>
        <w:rPr>
          <w:rFonts w:asciiTheme="minorEastAsia" w:hAnsiTheme="minorEastAsia" w:eastAsiaTheme="minorEastAsia"/>
          <w:color w:val="auto"/>
          <w:sz w:val="24"/>
        </w:rPr>
      </w:pPr>
    </w:p>
    <w:p>
      <w:pPr>
        <w:spacing w:line="44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有关磋商保证金收退的温馨提示：</w:t>
      </w:r>
    </w:p>
    <w:p>
      <w:pPr>
        <w:spacing w:line="440" w:lineRule="exact"/>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1.为了更好的退还保证金，请各供应商用正楷填写附件一“确认表”连同附件二资料在递交响应文件截止日期即磋商采购当天，采购仪式结束后，递交给我司项目工作人员。</w:t>
      </w:r>
    </w:p>
    <w:p>
      <w:pPr>
        <w:spacing w:line="440" w:lineRule="exact"/>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2.未成交供应商：我司将在成交通知书发出之日起5个工作日内退还未成交供应商的磋商保证金，各供应商可自行查账，若项目成交通知书发出后5个工作日没有收到保证金的，可拨打（财务电话：</w:t>
      </w:r>
      <w:r>
        <w:rPr>
          <w:rFonts w:hint="eastAsia" w:asciiTheme="minorEastAsia" w:hAnsiTheme="minorEastAsia" w:eastAsiaTheme="minorEastAsia"/>
          <w:color w:val="auto"/>
          <w:szCs w:val="21"/>
        </w:rPr>
        <w:t>0898-68957566</w:t>
      </w:r>
      <w:r>
        <w:rPr>
          <w:rFonts w:hint="eastAsia" w:asciiTheme="minorEastAsia" w:hAnsiTheme="minorEastAsia" w:eastAsiaTheme="minorEastAsia"/>
          <w:color w:val="auto"/>
          <w:sz w:val="22"/>
          <w:szCs w:val="22"/>
        </w:rPr>
        <w:t>）查询。</w:t>
      </w:r>
    </w:p>
    <w:p>
      <w:pPr>
        <w:spacing w:line="440" w:lineRule="exact"/>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成交供应商：我司将在收到成交供应商提供的</w:t>
      </w:r>
      <w:r>
        <w:rPr>
          <w:rFonts w:hint="eastAsia" w:asciiTheme="minorEastAsia" w:hAnsiTheme="minorEastAsia" w:eastAsiaTheme="minorEastAsia"/>
          <w:color w:val="auto"/>
          <w:sz w:val="22"/>
          <w:szCs w:val="22"/>
        </w:rPr>
        <w:fldChar w:fldCharType="begin"/>
      </w:r>
      <w:r>
        <w:rPr>
          <w:rFonts w:hint="eastAsia" w:asciiTheme="minorEastAsia" w:hAnsiTheme="minorEastAsia" w:eastAsiaTheme="minorEastAsia"/>
          <w:color w:val="auto"/>
          <w:sz w:val="22"/>
          <w:szCs w:val="22"/>
        </w:rPr>
        <w:instrText xml:space="preserve">= 1 \* GB3</w:instrText>
      </w:r>
      <w:r>
        <w:rPr>
          <w:rFonts w:hint="eastAsia" w:asciiTheme="minorEastAsia" w:hAnsiTheme="minorEastAsia" w:eastAsiaTheme="minorEastAsia"/>
          <w:color w:val="auto"/>
          <w:sz w:val="22"/>
          <w:szCs w:val="22"/>
        </w:rPr>
        <w:fldChar w:fldCharType="separate"/>
      </w:r>
      <w:r>
        <w:rPr>
          <w:rFonts w:hint="eastAsia" w:asciiTheme="minorEastAsia" w:hAnsiTheme="minorEastAsia" w:eastAsiaTheme="minorEastAsia"/>
          <w:color w:val="auto"/>
          <w:sz w:val="22"/>
          <w:szCs w:val="22"/>
        </w:rPr>
        <w:t>①</w:t>
      </w:r>
      <w:r>
        <w:rPr>
          <w:rFonts w:hint="eastAsia" w:asciiTheme="minorEastAsia" w:hAnsiTheme="minorEastAsia" w:eastAsiaTheme="minorEastAsia"/>
          <w:color w:val="auto"/>
          <w:sz w:val="22"/>
          <w:szCs w:val="22"/>
        </w:rPr>
        <w:fldChar w:fldCharType="end"/>
      </w:r>
      <w:r>
        <w:rPr>
          <w:rFonts w:hint="eastAsia" w:asciiTheme="minorEastAsia" w:hAnsiTheme="minorEastAsia" w:eastAsiaTheme="minorEastAsia"/>
          <w:color w:val="auto"/>
          <w:sz w:val="22"/>
          <w:szCs w:val="22"/>
        </w:rPr>
        <w:t>采购合同原件一份、</w:t>
      </w:r>
      <w:r>
        <w:rPr>
          <w:rFonts w:hint="eastAsia" w:asciiTheme="minorEastAsia" w:hAnsiTheme="minorEastAsia" w:eastAsiaTheme="minorEastAsia"/>
          <w:color w:val="auto"/>
          <w:sz w:val="22"/>
          <w:szCs w:val="22"/>
        </w:rPr>
        <w:fldChar w:fldCharType="begin"/>
      </w:r>
      <w:r>
        <w:rPr>
          <w:rFonts w:hint="eastAsia" w:asciiTheme="minorEastAsia" w:hAnsiTheme="minorEastAsia" w:eastAsiaTheme="minorEastAsia"/>
          <w:color w:val="auto"/>
          <w:sz w:val="22"/>
          <w:szCs w:val="22"/>
        </w:rPr>
        <w:instrText xml:space="preserve">= 2 \* GB3</w:instrText>
      </w:r>
      <w:r>
        <w:rPr>
          <w:rFonts w:hint="eastAsia" w:asciiTheme="minorEastAsia" w:hAnsiTheme="minorEastAsia" w:eastAsiaTheme="minorEastAsia"/>
          <w:color w:val="auto"/>
          <w:sz w:val="22"/>
          <w:szCs w:val="22"/>
        </w:rPr>
        <w:fldChar w:fldCharType="separate"/>
      </w:r>
      <w:r>
        <w:rPr>
          <w:rFonts w:hint="eastAsia" w:asciiTheme="minorEastAsia" w:hAnsiTheme="minorEastAsia" w:eastAsiaTheme="minorEastAsia"/>
          <w:color w:val="auto"/>
          <w:sz w:val="22"/>
          <w:szCs w:val="22"/>
        </w:rPr>
        <w:t>②</w:t>
      </w:r>
      <w:r>
        <w:rPr>
          <w:rFonts w:hint="eastAsia" w:asciiTheme="minorEastAsia" w:hAnsiTheme="minorEastAsia" w:eastAsiaTheme="minorEastAsia"/>
          <w:color w:val="auto"/>
          <w:sz w:val="22"/>
          <w:szCs w:val="22"/>
        </w:rPr>
        <w:fldChar w:fldCharType="end"/>
      </w:r>
      <w:r>
        <w:rPr>
          <w:rFonts w:hint="eastAsia" w:asciiTheme="minorEastAsia" w:hAnsiTheme="minorEastAsia" w:eastAsiaTheme="minorEastAsia"/>
          <w:color w:val="auto"/>
          <w:sz w:val="22"/>
          <w:szCs w:val="22"/>
        </w:rPr>
        <w:t>经采购方盖章确认的履约保证金缴纳凭证复印件、</w:t>
      </w:r>
      <w:r>
        <w:rPr>
          <w:rFonts w:hint="eastAsia" w:asciiTheme="minorEastAsia" w:hAnsiTheme="minorEastAsia" w:eastAsiaTheme="minorEastAsia"/>
          <w:color w:val="auto"/>
          <w:sz w:val="22"/>
          <w:szCs w:val="22"/>
        </w:rPr>
        <w:fldChar w:fldCharType="begin"/>
      </w:r>
      <w:r>
        <w:rPr>
          <w:rFonts w:hint="eastAsia" w:asciiTheme="minorEastAsia" w:hAnsiTheme="minorEastAsia" w:eastAsiaTheme="minorEastAsia"/>
          <w:color w:val="auto"/>
          <w:sz w:val="22"/>
          <w:szCs w:val="22"/>
        </w:rPr>
        <w:instrText xml:space="preserve">= 3 \* GB3</w:instrText>
      </w:r>
      <w:r>
        <w:rPr>
          <w:rFonts w:hint="eastAsia" w:asciiTheme="minorEastAsia" w:hAnsiTheme="minorEastAsia" w:eastAsiaTheme="minorEastAsia"/>
          <w:color w:val="auto"/>
          <w:sz w:val="22"/>
          <w:szCs w:val="22"/>
        </w:rPr>
        <w:fldChar w:fldCharType="separate"/>
      </w:r>
      <w:r>
        <w:rPr>
          <w:rFonts w:hint="eastAsia" w:asciiTheme="minorEastAsia" w:hAnsiTheme="minorEastAsia" w:eastAsiaTheme="minorEastAsia"/>
          <w:color w:val="auto"/>
          <w:sz w:val="22"/>
          <w:szCs w:val="22"/>
        </w:rPr>
        <w:t>③</w:t>
      </w:r>
      <w:r>
        <w:rPr>
          <w:rFonts w:hint="eastAsia" w:asciiTheme="minorEastAsia" w:hAnsiTheme="minorEastAsia" w:eastAsiaTheme="minorEastAsia"/>
          <w:color w:val="auto"/>
          <w:sz w:val="22"/>
          <w:szCs w:val="22"/>
        </w:rPr>
        <w:fldChar w:fldCharType="end"/>
      </w:r>
      <w:r>
        <w:rPr>
          <w:rFonts w:hint="eastAsia" w:asciiTheme="minorEastAsia" w:hAnsiTheme="minorEastAsia" w:eastAsiaTheme="minorEastAsia"/>
          <w:color w:val="auto"/>
          <w:sz w:val="22"/>
          <w:szCs w:val="22"/>
        </w:rPr>
        <w:t>保证金退还账户信息确认表之日起5个工作日内为您办理保证金退还手续。若提交资料后5个工作日内未收到保证金的，可拨打财务电话查询。</w:t>
      </w:r>
    </w:p>
    <w:p>
      <w:pPr>
        <w:spacing w:line="440" w:lineRule="exact"/>
        <w:rPr>
          <w:rFonts w:asciiTheme="minorEastAsia" w:hAnsiTheme="minorEastAsia" w:eastAsiaTheme="minorEastAsia"/>
          <w:color w:val="auto"/>
          <w:sz w:val="22"/>
          <w:szCs w:val="22"/>
        </w:rPr>
      </w:pPr>
      <w:r>
        <w:rPr>
          <w:rFonts w:hint="eastAsia" w:asciiTheme="minorEastAsia" w:hAnsiTheme="minorEastAsia" w:eastAsiaTheme="minorEastAsia"/>
          <w:color w:val="auto"/>
          <w:sz w:val="22"/>
          <w:szCs w:val="22"/>
        </w:rPr>
        <w:t>3.附件一、附件二无需装订在投标文件中，需单独提交给代理公司申请退款。</w:t>
      </w:r>
    </w:p>
    <w:p>
      <w:pPr>
        <w:pStyle w:val="24"/>
        <w:ind w:left="420" w:firstLine="420"/>
        <w:rPr>
          <w:rFonts w:asciiTheme="minorEastAsia" w:hAnsiTheme="minorEastAsia" w:eastAsiaTheme="minorEastAsia"/>
          <w:color w:val="auto"/>
          <w:lang w:eastAsia="zh-CN"/>
        </w:rPr>
      </w:pPr>
    </w:p>
    <w:p>
      <w:pPr>
        <w:rPr>
          <w:rFonts w:asciiTheme="minorEastAsia" w:hAnsiTheme="minorEastAsia" w:eastAsiaTheme="minorEastAsia"/>
          <w:color w:val="auto"/>
        </w:rPr>
      </w:pPr>
    </w:p>
    <w:p>
      <w:pPr>
        <w:rPr>
          <w:rFonts w:asciiTheme="minorEastAsia" w:hAnsiTheme="minorEastAsia" w:eastAsiaTheme="minorEastAsia"/>
          <w:color w:val="auto"/>
        </w:rPr>
      </w:pPr>
    </w:p>
    <w:sectPr>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ingFang SC">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Georgia">
    <w:panose1 w:val="02040502050405020303"/>
    <w:charset w:val="00"/>
    <w:family w:val="roman"/>
    <w:pitch w:val="default"/>
    <w:sig w:usb0="00000287" w:usb1="00000000"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4362"/>
    </w:sdtPr>
    <w:sdtContent>
      <w:p>
        <w:pPr>
          <w:pStyle w:val="18"/>
          <w:jc w:val="center"/>
        </w:pPr>
        <w:r>
          <w:fldChar w:fldCharType="begin"/>
        </w:r>
        <w:r>
          <w:instrText xml:space="preserve"> PAGE   \* MERGEFORMAT </w:instrText>
        </w:r>
        <w:r>
          <w:fldChar w:fldCharType="separate"/>
        </w:r>
        <w:r>
          <w:rPr>
            <w:lang w:val="zh-CN"/>
          </w:rPr>
          <w:t>44</w:t>
        </w:r>
        <w:r>
          <w:rPr>
            <w:lang w:val="zh-CN"/>
          </w:rPr>
          <w:fldChar w:fldCharType="end"/>
        </w:r>
      </w:p>
    </w:sdtContent>
  </w:sdt>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pict>
        <v:shape id="_x0000_s4100" o:spid="_x0000_s4100" o:spt="202" type="#_x0000_t202"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V+SdAAAAADAQAADwAAAAAAAAABACAAAAAiAAAAZHJz&#10;L2Rvd25yZXYueG1sUEsBAhQAFAAAAAgAh07iQPzCNkLTAQAApQMAAA4AAAAAAAAAAQAgAAAAHwEA&#10;AGRycy9lMm9Eb2MueG1sUEsFBgAAAAAGAAYAWQEAAGQFA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rPr>
      <w:t>45</w:t>
    </w:r>
    <w:r>
      <w:fldChar w:fldCharType="end"/>
    </w:r>
  </w:p>
  <w:p>
    <w:pPr>
      <w:pStyle w:val="18"/>
      <w:framePr w:wrap="around" w:vAnchor="text" w:hAnchor="margin" w:xAlign="center" w:y="1"/>
      <w:ind w:right="360"/>
      <w:rPr>
        <w:rStyle w:val="28"/>
      </w:rPr>
    </w:pPr>
  </w:p>
  <w:p>
    <w:pPr>
      <w:pStyle w:val="1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r>
      <w:pict>
        <v:shape id="文本框 11" o:spid="_x0000_s4098"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&#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B2r+MV1AEAAKcDAAAOAAAAAAAAAAEAIAAAAB8B&#10;AABkcnMvZTJvRG9jLnhtbFBLBQYAAAAABgAGAFkBAABl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2" o:spid="_x0000_s4099"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&#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B8Pd2/1AEAAKcDAAAOAAAAAAAAAAEAIAAAAB8B&#10;AABkcnMvZTJvRG9jLnhtbFBLBQYAAAAABgAGAFkBAABl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46</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文本框 13" o:spid="_x0000_s4097"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PlfknQAAAAAwEAAA8AAAAAAAAAAQAgAAAAIgAAAGRy&#10;cy9kb3ducmV2LnhtbFBLAQIUABQAAAAIAIdO4kD2665B1AEAAKcDAAAOAAAAAAAAAAEAIAAAAB8B&#10;AABkcnMvZTJvRG9jLnhtbFBLBQYAAAAABgAGAFkBAABl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67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EF3AE"/>
    <w:multiLevelType w:val="singleLevel"/>
    <w:tmpl w:val="C63EF3AE"/>
    <w:lvl w:ilvl="0" w:tentative="0">
      <w:start w:val="1"/>
      <w:numFmt w:val="decimal"/>
      <w:suff w:val="nothing"/>
      <w:lvlText w:val="%1、"/>
      <w:lvlJc w:val="left"/>
    </w:lvl>
  </w:abstractNum>
  <w:abstractNum w:abstractNumId="1">
    <w:nsid w:val="DBED032A"/>
    <w:multiLevelType w:val="singleLevel"/>
    <w:tmpl w:val="DBED032A"/>
    <w:lvl w:ilvl="0" w:tentative="0">
      <w:start w:val="1"/>
      <w:numFmt w:val="upperLetter"/>
      <w:lvlText w:val="%1."/>
      <w:lvlJc w:val="left"/>
      <w:pPr>
        <w:tabs>
          <w:tab w:val="left" w:pos="312"/>
        </w:tabs>
        <w:ind w:left="105" w:firstLine="0"/>
      </w:pPr>
    </w:lvl>
  </w:abstractNum>
  <w:abstractNum w:abstractNumId="2">
    <w:nsid w:val="F449E06D"/>
    <w:multiLevelType w:val="singleLevel"/>
    <w:tmpl w:val="F449E06D"/>
    <w:lvl w:ilvl="0" w:tentative="0">
      <w:start w:val="1"/>
      <w:numFmt w:val="upperLetter"/>
      <w:lvlText w:val="%1."/>
      <w:lvlJc w:val="left"/>
      <w:pPr>
        <w:tabs>
          <w:tab w:val="left" w:pos="312"/>
        </w:tabs>
      </w:pPr>
    </w:lvl>
  </w:abstractNum>
  <w:abstractNum w:abstractNumId="3">
    <w:nsid w:val="075A4821"/>
    <w:multiLevelType w:val="singleLevel"/>
    <w:tmpl w:val="075A4821"/>
    <w:lvl w:ilvl="0" w:tentative="0">
      <w:start w:val="2"/>
      <w:numFmt w:val="upperLetter"/>
      <w:lvlText w:val="%1."/>
      <w:lvlJc w:val="left"/>
      <w:pPr>
        <w:tabs>
          <w:tab w:val="left" w:pos="312"/>
        </w:tabs>
        <w:ind w:left="105" w:firstLine="0"/>
      </w:pPr>
    </w:lvl>
  </w:abstractNum>
  <w:abstractNum w:abstractNumId="4">
    <w:nsid w:val="28BE4298"/>
    <w:multiLevelType w:val="multilevel"/>
    <w:tmpl w:val="28BE4298"/>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575D0D58"/>
    <w:multiLevelType w:val="singleLevel"/>
    <w:tmpl w:val="575D0D58"/>
    <w:lvl w:ilvl="0" w:tentative="0">
      <w:start w:val="1"/>
      <w:numFmt w:val="decimal"/>
      <w:suff w:val="nothing"/>
      <w:lvlText w:val="%1."/>
      <w:lvlJc w:val="left"/>
    </w:lvl>
  </w:abstractNum>
  <w:abstractNum w:abstractNumId="6">
    <w:nsid w:val="5D4E4642"/>
    <w:multiLevelType w:val="singleLevel"/>
    <w:tmpl w:val="5D4E4642"/>
    <w:lvl w:ilvl="0" w:tentative="0">
      <w:start w:val="1"/>
      <w:numFmt w:val="decimal"/>
      <w:suff w:val="nothing"/>
      <w:lvlText w:val="%1、"/>
      <w:lvlJc w:val="left"/>
    </w:lvl>
  </w:abstractNum>
  <w:abstractNum w:abstractNumId="7">
    <w:nsid w:val="6A6E3CD7"/>
    <w:multiLevelType w:val="multilevel"/>
    <w:tmpl w:val="6A6E3C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5"/>
  </w:num>
  <w:num w:numId="4">
    <w:abstractNumId w:val="4"/>
  </w:num>
  <w:num w:numId="5">
    <w:abstractNumId w:val="3"/>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21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kxYjMxMGY1NmMwZTNmZDA0OTNmNTViMzhkNmU5NDMifQ=="/>
  </w:docVars>
  <w:rsids>
    <w:rsidRoot w:val="00F6284F"/>
    <w:rsid w:val="00011540"/>
    <w:rsid w:val="00014B27"/>
    <w:rsid w:val="000150FD"/>
    <w:rsid w:val="00021031"/>
    <w:rsid w:val="000218E2"/>
    <w:rsid w:val="00025B37"/>
    <w:rsid w:val="00033E2D"/>
    <w:rsid w:val="000465C3"/>
    <w:rsid w:val="00051B3A"/>
    <w:rsid w:val="00053CDD"/>
    <w:rsid w:val="0005597D"/>
    <w:rsid w:val="00061180"/>
    <w:rsid w:val="00062092"/>
    <w:rsid w:val="000640CE"/>
    <w:rsid w:val="000641A4"/>
    <w:rsid w:val="00065192"/>
    <w:rsid w:val="00066F44"/>
    <w:rsid w:val="00073ADC"/>
    <w:rsid w:val="00074374"/>
    <w:rsid w:val="0007624F"/>
    <w:rsid w:val="00087398"/>
    <w:rsid w:val="00094750"/>
    <w:rsid w:val="00095160"/>
    <w:rsid w:val="00095909"/>
    <w:rsid w:val="00097D88"/>
    <w:rsid w:val="000A2827"/>
    <w:rsid w:val="000A2A79"/>
    <w:rsid w:val="000A7267"/>
    <w:rsid w:val="000A7F2A"/>
    <w:rsid w:val="000B02E9"/>
    <w:rsid w:val="000B0ABE"/>
    <w:rsid w:val="000B12C1"/>
    <w:rsid w:val="000B3220"/>
    <w:rsid w:val="000B759E"/>
    <w:rsid w:val="000B7B69"/>
    <w:rsid w:val="000C2F77"/>
    <w:rsid w:val="000C7F89"/>
    <w:rsid w:val="000D2D76"/>
    <w:rsid w:val="000D3333"/>
    <w:rsid w:val="000D3668"/>
    <w:rsid w:val="000D48BC"/>
    <w:rsid w:val="000E23D4"/>
    <w:rsid w:val="000E429B"/>
    <w:rsid w:val="000E4C42"/>
    <w:rsid w:val="000E551B"/>
    <w:rsid w:val="000E5C47"/>
    <w:rsid w:val="000E620E"/>
    <w:rsid w:val="000E6B50"/>
    <w:rsid w:val="000F141D"/>
    <w:rsid w:val="000F6080"/>
    <w:rsid w:val="00100598"/>
    <w:rsid w:val="001030FB"/>
    <w:rsid w:val="001052DB"/>
    <w:rsid w:val="00107432"/>
    <w:rsid w:val="00110180"/>
    <w:rsid w:val="00122D94"/>
    <w:rsid w:val="001233B9"/>
    <w:rsid w:val="001359C5"/>
    <w:rsid w:val="00136E31"/>
    <w:rsid w:val="00145471"/>
    <w:rsid w:val="00147DD8"/>
    <w:rsid w:val="001509D3"/>
    <w:rsid w:val="001515AC"/>
    <w:rsid w:val="00152BDA"/>
    <w:rsid w:val="00154A97"/>
    <w:rsid w:val="00160DD3"/>
    <w:rsid w:val="001634CE"/>
    <w:rsid w:val="001635BE"/>
    <w:rsid w:val="00167CDB"/>
    <w:rsid w:val="0017239B"/>
    <w:rsid w:val="00183122"/>
    <w:rsid w:val="0018441C"/>
    <w:rsid w:val="00184A94"/>
    <w:rsid w:val="00184EDC"/>
    <w:rsid w:val="0019033F"/>
    <w:rsid w:val="001921FF"/>
    <w:rsid w:val="0019535F"/>
    <w:rsid w:val="001A0C06"/>
    <w:rsid w:val="001A2355"/>
    <w:rsid w:val="001A64FB"/>
    <w:rsid w:val="001B53ED"/>
    <w:rsid w:val="001C3739"/>
    <w:rsid w:val="001C3994"/>
    <w:rsid w:val="001C7789"/>
    <w:rsid w:val="001D0935"/>
    <w:rsid w:val="001D0FAB"/>
    <w:rsid w:val="001D2304"/>
    <w:rsid w:val="001D3E30"/>
    <w:rsid w:val="001D603D"/>
    <w:rsid w:val="001D664F"/>
    <w:rsid w:val="001E7A1C"/>
    <w:rsid w:val="001E7A6C"/>
    <w:rsid w:val="001F1E3D"/>
    <w:rsid w:val="001F1FCE"/>
    <w:rsid w:val="001F23B9"/>
    <w:rsid w:val="001F33FC"/>
    <w:rsid w:val="001F39F6"/>
    <w:rsid w:val="001F6D34"/>
    <w:rsid w:val="001F724F"/>
    <w:rsid w:val="0020197C"/>
    <w:rsid w:val="0020397F"/>
    <w:rsid w:val="00207167"/>
    <w:rsid w:val="0021294A"/>
    <w:rsid w:val="002135C7"/>
    <w:rsid w:val="00215F92"/>
    <w:rsid w:val="002215B6"/>
    <w:rsid w:val="002314EE"/>
    <w:rsid w:val="00235F38"/>
    <w:rsid w:val="00240A8C"/>
    <w:rsid w:val="00240B92"/>
    <w:rsid w:val="002428D3"/>
    <w:rsid w:val="00243382"/>
    <w:rsid w:val="00252515"/>
    <w:rsid w:val="00255A6B"/>
    <w:rsid w:val="0026150C"/>
    <w:rsid w:val="00262817"/>
    <w:rsid w:val="0026343D"/>
    <w:rsid w:val="00265E7C"/>
    <w:rsid w:val="00267061"/>
    <w:rsid w:val="0027290D"/>
    <w:rsid w:val="00272A98"/>
    <w:rsid w:val="00273934"/>
    <w:rsid w:val="002741F4"/>
    <w:rsid w:val="00275633"/>
    <w:rsid w:val="00283893"/>
    <w:rsid w:val="002875D6"/>
    <w:rsid w:val="00291042"/>
    <w:rsid w:val="0029168A"/>
    <w:rsid w:val="00292725"/>
    <w:rsid w:val="00293633"/>
    <w:rsid w:val="002944C7"/>
    <w:rsid w:val="002A26A9"/>
    <w:rsid w:val="002A2FDB"/>
    <w:rsid w:val="002A6560"/>
    <w:rsid w:val="002A6745"/>
    <w:rsid w:val="002B1B8D"/>
    <w:rsid w:val="002B2476"/>
    <w:rsid w:val="002B252C"/>
    <w:rsid w:val="002B37E4"/>
    <w:rsid w:val="002B4C8C"/>
    <w:rsid w:val="002B505D"/>
    <w:rsid w:val="002B64D8"/>
    <w:rsid w:val="002B65DA"/>
    <w:rsid w:val="002C70B4"/>
    <w:rsid w:val="002C736A"/>
    <w:rsid w:val="002D019E"/>
    <w:rsid w:val="002D31C2"/>
    <w:rsid w:val="002D5752"/>
    <w:rsid w:val="002E0059"/>
    <w:rsid w:val="002E2316"/>
    <w:rsid w:val="002F2369"/>
    <w:rsid w:val="002F3CC5"/>
    <w:rsid w:val="002F63B7"/>
    <w:rsid w:val="002F70E1"/>
    <w:rsid w:val="002F72B0"/>
    <w:rsid w:val="0030644D"/>
    <w:rsid w:val="00306865"/>
    <w:rsid w:val="00317F96"/>
    <w:rsid w:val="00320B2A"/>
    <w:rsid w:val="00321495"/>
    <w:rsid w:val="00322CC3"/>
    <w:rsid w:val="00330EDD"/>
    <w:rsid w:val="003320D0"/>
    <w:rsid w:val="00332516"/>
    <w:rsid w:val="00332BCB"/>
    <w:rsid w:val="003436C0"/>
    <w:rsid w:val="00345F42"/>
    <w:rsid w:val="00346390"/>
    <w:rsid w:val="0035091F"/>
    <w:rsid w:val="003533D1"/>
    <w:rsid w:val="003543E9"/>
    <w:rsid w:val="00354FCB"/>
    <w:rsid w:val="00355AE6"/>
    <w:rsid w:val="0035639F"/>
    <w:rsid w:val="00356AA2"/>
    <w:rsid w:val="003600BA"/>
    <w:rsid w:val="00362839"/>
    <w:rsid w:val="00363312"/>
    <w:rsid w:val="0037373E"/>
    <w:rsid w:val="00376370"/>
    <w:rsid w:val="00382AB2"/>
    <w:rsid w:val="00384F83"/>
    <w:rsid w:val="00391518"/>
    <w:rsid w:val="00392510"/>
    <w:rsid w:val="003925A9"/>
    <w:rsid w:val="00394025"/>
    <w:rsid w:val="00396371"/>
    <w:rsid w:val="003969E4"/>
    <w:rsid w:val="003A1315"/>
    <w:rsid w:val="003A2ADC"/>
    <w:rsid w:val="003A3E39"/>
    <w:rsid w:val="003A4A4D"/>
    <w:rsid w:val="003B5063"/>
    <w:rsid w:val="003B5391"/>
    <w:rsid w:val="003C12CF"/>
    <w:rsid w:val="003C17E8"/>
    <w:rsid w:val="003C3BFA"/>
    <w:rsid w:val="003C4AF7"/>
    <w:rsid w:val="003D07A8"/>
    <w:rsid w:val="003D5BDD"/>
    <w:rsid w:val="003D6382"/>
    <w:rsid w:val="003E44AE"/>
    <w:rsid w:val="003E5B00"/>
    <w:rsid w:val="003F2357"/>
    <w:rsid w:val="003F4BCF"/>
    <w:rsid w:val="004021BB"/>
    <w:rsid w:val="00403BA7"/>
    <w:rsid w:val="00405938"/>
    <w:rsid w:val="004112F1"/>
    <w:rsid w:val="004127EB"/>
    <w:rsid w:val="004161D6"/>
    <w:rsid w:val="00416469"/>
    <w:rsid w:val="0042316B"/>
    <w:rsid w:val="00432663"/>
    <w:rsid w:val="00434001"/>
    <w:rsid w:val="00435191"/>
    <w:rsid w:val="00437780"/>
    <w:rsid w:val="00441E21"/>
    <w:rsid w:val="0044468E"/>
    <w:rsid w:val="00447AE2"/>
    <w:rsid w:val="0045215E"/>
    <w:rsid w:val="00460F15"/>
    <w:rsid w:val="004629CA"/>
    <w:rsid w:val="00464EF6"/>
    <w:rsid w:val="00465326"/>
    <w:rsid w:val="004656E3"/>
    <w:rsid w:val="004661C1"/>
    <w:rsid w:val="004665B1"/>
    <w:rsid w:val="004667D9"/>
    <w:rsid w:val="00470BAE"/>
    <w:rsid w:val="00474425"/>
    <w:rsid w:val="0047446E"/>
    <w:rsid w:val="0047776A"/>
    <w:rsid w:val="00484BA4"/>
    <w:rsid w:val="004874E1"/>
    <w:rsid w:val="004946C7"/>
    <w:rsid w:val="00497C25"/>
    <w:rsid w:val="004A0FBB"/>
    <w:rsid w:val="004B6894"/>
    <w:rsid w:val="004B6CA2"/>
    <w:rsid w:val="004C18F1"/>
    <w:rsid w:val="004C1A91"/>
    <w:rsid w:val="004C79C5"/>
    <w:rsid w:val="004D01A0"/>
    <w:rsid w:val="004D1CF6"/>
    <w:rsid w:val="004D2445"/>
    <w:rsid w:val="004D50BD"/>
    <w:rsid w:val="004D7997"/>
    <w:rsid w:val="004E0FBE"/>
    <w:rsid w:val="004E1816"/>
    <w:rsid w:val="004E21B7"/>
    <w:rsid w:val="004E4A97"/>
    <w:rsid w:val="004E4E10"/>
    <w:rsid w:val="004F1227"/>
    <w:rsid w:val="004F1E19"/>
    <w:rsid w:val="004F2224"/>
    <w:rsid w:val="004F5043"/>
    <w:rsid w:val="004F5698"/>
    <w:rsid w:val="004F62C4"/>
    <w:rsid w:val="00501459"/>
    <w:rsid w:val="005015EA"/>
    <w:rsid w:val="005029E5"/>
    <w:rsid w:val="00511022"/>
    <w:rsid w:val="00520328"/>
    <w:rsid w:val="00527250"/>
    <w:rsid w:val="00535526"/>
    <w:rsid w:val="00537DBB"/>
    <w:rsid w:val="00541627"/>
    <w:rsid w:val="00543476"/>
    <w:rsid w:val="005522F7"/>
    <w:rsid w:val="00555614"/>
    <w:rsid w:val="00557EAD"/>
    <w:rsid w:val="00560A3F"/>
    <w:rsid w:val="0056175B"/>
    <w:rsid w:val="00561CF8"/>
    <w:rsid w:val="00567AEA"/>
    <w:rsid w:val="00572C57"/>
    <w:rsid w:val="00572FD3"/>
    <w:rsid w:val="00575169"/>
    <w:rsid w:val="00577DA3"/>
    <w:rsid w:val="005803E7"/>
    <w:rsid w:val="0058076F"/>
    <w:rsid w:val="00580C37"/>
    <w:rsid w:val="0058178D"/>
    <w:rsid w:val="00584637"/>
    <w:rsid w:val="00585160"/>
    <w:rsid w:val="0059121D"/>
    <w:rsid w:val="00593E15"/>
    <w:rsid w:val="00593F19"/>
    <w:rsid w:val="00595949"/>
    <w:rsid w:val="00597081"/>
    <w:rsid w:val="005B2586"/>
    <w:rsid w:val="005B4104"/>
    <w:rsid w:val="005B428F"/>
    <w:rsid w:val="005B7F76"/>
    <w:rsid w:val="005C2508"/>
    <w:rsid w:val="005D0BBF"/>
    <w:rsid w:val="005D0FD2"/>
    <w:rsid w:val="005D72A6"/>
    <w:rsid w:val="005E0841"/>
    <w:rsid w:val="005E0FA5"/>
    <w:rsid w:val="005E18F4"/>
    <w:rsid w:val="005F2270"/>
    <w:rsid w:val="005F5930"/>
    <w:rsid w:val="005F68C5"/>
    <w:rsid w:val="00600A47"/>
    <w:rsid w:val="00600D3F"/>
    <w:rsid w:val="006121E4"/>
    <w:rsid w:val="0061307F"/>
    <w:rsid w:val="00614D81"/>
    <w:rsid w:val="00616C57"/>
    <w:rsid w:val="0062394F"/>
    <w:rsid w:val="00625ABB"/>
    <w:rsid w:val="006272DD"/>
    <w:rsid w:val="00640CBB"/>
    <w:rsid w:val="006425F0"/>
    <w:rsid w:val="0064339B"/>
    <w:rsid w:val="00646F36"/>
    <w:rsid w:val="0065077A"/>
    <w:rsid w:val="00651E55"/>
    <w:rsid w:val="00652108"/>
    <w:rsid w:val="00653C57"/>
    <w:rsid w:val="0065546B"/>
    <w:rsid w:val="006571FD"/>
    <w:rsid w:val="00661983"/>
    <w:rsid w:val="006665CD"/>
    <w:rsid w:val="0067504E"/>
    <w:rsid w:val="00675F28"/>
    <w:rsid w:val="00680F14"/>
    <w:rsid w:val="00684357"/>
    <w:rsid w:val="006906A0"/>
    <w:rsid w:val="00690BF6"/>
    <w:rsid w:val="00691A3C"/>
    <w:rsid w:val="0069292C"/>
    <w:rsid w:val="006A5101"/>
    <w:rsid w:val="006A7024"/>
    <w:rsid w:val="006B260E"/>
    <w:rsid w:val="006B4BB1"/>
    <w:rsid w:val="006C2E03"/>
    <w:rsid w:val="006C5F23"/>
    <w:rsid w:val="006D3700"/>
    <w:rsid w:val="006D4443"/>
    <w:rsid w:val="006E2A78"/>
    <w:rsid w:val="006E4B6B"/>
    <w:rsid w:val="006E775A"/>
    <w:rsid w:val="006F01D6"/>
    <w:rsid w:val="006F1A75"/>
    <w:rsid w:val="006F7400"/>
    <w:rsid w:val="007027C2"/>
    <w:rsid w:val="00711B21"/>
    <w:rsid w:val="0071219F"/>
    <w:rsid w:val="00726DCA"/>
    <w:rsid w:val="00727029"/>
    <w:rsid w:val="007308C6"/>
    <w:rsid w:val="007336F5"/>
    <w:rsid w:val="007339A9"/>
    <w:rsid w:val="00737038"/>
    <w:rsid w:val="007378BC"/>
    <w:rsid w:val="007450B0"/>
    <w:rsid w:val="00745BC5"/>
    <w:rsid w:val="007466AE"/>
    <w:rsid w:val="007502E0"/>
    <w:rsid w:val="00752FC0"/>
    <w:rsid w:val="007551E6"/>
    <w:rsid w:val="00755BB4"/>
    <w:rsid w:val="007568D1"/>
    <w:rsid w:val="007612BD"/>
    <w:rsid w:val="007612D8"/>
    <w:rsid w:val="00766E76"/>
    <w:rsid w:val="00771B68"/>
    <w:rsid w:val="007729CF"/>
    <w:rsid w:val="00775592"/>
    <w:rsid w:val="0077664B"/>
    <w:rsid w:val="00782B14"/>
    <w:rsid w:val="00783D96"/>
    <w:rsid w:val="007844AD"/>
    <w:rsid w:val="00787916"/>
    <w:rsid w:val="00790677"/>
    <w:rsid w:val="00791E1F"/>
    <w:rsid w:val="007949C0"/>
    <w:rsid w:val="007A30F9"/>
    <w:rsid w:val="007A7BBF"/>
    <w:rsid w:val="007A7D1B"/>
    <w:rsid w:val="007B014E"/>
    <w:rsid w:val="007B0F60"/>
    <w:rsid w:val="007B2A78"/>
    <w:rsid w:val="007B3C9A"/>
    <w:rsid w:val="007B4077"/>
    <w:rsid w:val="007B5D0E"/>
    <w:rsid w:val="007B7B39"/>
    <w:rsid w:val="007C49C2"/>
    <w:rsid w:val="007C5B1C"/>
    <w:rsid w:val="007D0914"/>
    <w:rsid w:val="007D3ED0"/>
    <w:rsid w:val="007D3F65"/>
    <w:rsid w:val="007D67D9"/>
    <w:rsid w:val="007D778A"/>
    <w:rsid w:val="007E03F2"/>
    <w:rsid w:val="007E15B4"/>
    <w:rsid w:val="007E34EE"/>
    <w:rsid w:val="007E5C9E"/>
    <w:rsid w:val="007F1632"/>
    <w:rsid w:val="007F5F40"/>
    <w:rsid w:val="00800BA3"/>
    <w:rsid w:val="00803B35"/>
    <w:rsid w:val="00806EF5"/>
    <w:rsid w:val="0081565A"/>
    <w:rsid w:val="00815C11"/>
    <w:rsid w:val="00816261"/>
    <w:rsid w:val="00816CAA"/>
    <w:rsid w:val="00816E66"/>
    <w:rsid w:val="00822419"/>
    <w:rsid w:val="00822C1C"/>
    <w:rsid w:val="008239FC"/>
    <w:rsid w:val="00827510"/>
    <w:rsid w:val="00831F13"/>
    <w:rsid w:val="00834945"/>
    <w:rsid w:val="00836388"/>
    <w:rsid w:val="00840E67"/>
    <w:rsid w:val="0084128B"/>
    <w:rsid w:val="00841385"/>
    <w:rsid w:val="00850D75"/>
    <w:rsid w:val="00853A76"/>
    <w:rsid w:val="00853E1B"/>
    <w:rsid w:val="00854A86"/>
    <w:rsid w:val="00854E03"/>
    <w:rsid w:val="00857FFE"/>
    <w:rsid w:val="0086544A"/>
    <w:rsid w:val="00865FF6"/>
    <w:rsid w:val="008703F0"/>
    <w:rsid w:val="008721C1"/>
    <w:rsid w:val="00876C78"/>
    <w:rsid w:val="00877330"/>
    <w:rsid w:val="0088309F"/>
    <w:rsid w:val="00883EE0"/>
    <w:rsid w:val="00884FCB"/>
    <w:rsid w:val="008934C5"/>
    <w:rsid w:val="008A146D"/>
    <w:rsid w:val="008A230D"/>
    <w:rsid w:val="008A3A8D"/>
    <w:rsid w:val="008A6154"/>
    <w:rsid w:val="008A6178"/>
    <w:rsid w:val="008B01BF"/>
    <w:rsid w:val="008B505C"/>
    <w:rsid w:val="008B66EC"/>
    <w:rsid w:val="008D1259"/>
    <w:rsid w:val="008D2641"/>
    <w:rsid w:val="008D294C"/>
    <w:rsid w:val="008D3B1A"/>
    <w:rsid w:val="008D461F"/>
    <w:rsid w:val="008D5D92"/>
    <w:rsid w:val="008E1566"/>
    <w:rsid w:val="008E54B6"/>
    <w:rsid w:val="008E7068"/>
    <w:rsid w:val="008F2ABD"/>
    <w:rsid w:val="008F5822"/>
    <w:rsid w:val="008F7466"/>
    <w:rsid w:val="008F7AB0"/>
    <w:rsid w:val="009003A7"/>
    <w:rsid w:val="00900C0C"/>
    <w:rsid w:val="0090119E"/>
    <w:rsid w:val="00901F43"/>
    <w:rsid w:val="00903542"/>
    <w:rsid w:val="00904011"/>
    <w:rsid w:val="00914FCF"/>
    <w:rsid w:val="009172B4"/>
    <w:rsid w:val="009173AC"/>
    <w:rsid w:val="00917D00"/>
    <w:rsid w:val="009230BC"/>
    <w:rsid w:val="009248F1"/>
    <w:rsid w:val="009305F8"/>
    <w:rsid w:val="00933D27"/>
    <w:rsid w:val="00933E2D"/>
    <w:rsid w:val="0093664A"/>
    <w:rsid w:val="00936F74"/>
    <w:rsid w:val="009426F4"/>
    <w:rsid w:val="0095019E"/>
    <w:rsid w:val="00951085"/>
    <w:rsid w:val="0096449B"/>
    <w:rsid w:val="00965E57"/>
    <w:rsid w:val="009705E4"/>
    <w:rsid w:val="0097067F"/>
    <w:rsid w:val="00971C77"/>
    <w:rsid w:val="009779AC"/>
    <w:rsid w:val="00986134"/>
    <w:rsid w:val="00992CBB"/>
    <w:rsid w:val="0099564E"/>
    <w:rsid w:val="009A457F"/>
    <w:rsid w:val="009A4E51"/>
    <w:rsid w:val="009A6042"/>
    <w:rsid w:val="009A7959"/>
    <w:rsid w:val="009B0C76"/>
    <w:rsid w:val="009B2005"/>
    <w:rsid w:val="009B505D"/>
    <w:rsid w:val="009B5828"/>
    <w:rsid w:val="009B7FC0"/>
    <w:rsid w:val="009C0192"/>
    <w:rsid w:val="009C04BA"/>
    <w:rsid w:val="009C396B"/>
    <w:rsid w:val="009D09AA"/>
    <w:rsid w:val="009D41F7"/>
    <w:rsid w:val="009E06A1"/>
    <w:rsid w:val="009F2151"/>
    <w:rsid w:val="009F3BDD"/>
    <w:rsid w:val="009F3FA3"/>
    <w:rsid w:val="009F5D4B"/>
    <w:rsid w:val="009F6EA0"/>
    <w:rsid w:val="00A01597"/>
    <w:rsid w:val="00A02CB3"/>
    <w:rsid w:val="00A03155"/>
    <w:rsid w:val="00A04BF3"/>
    <w:rsid w:val="00A12855"/>
    <w:rsid w:val="00A13096"/>
    <w:rsid w:val="00A13467"/>
    <w:rsid w:val="00A27F17"/>
    <w:rsid w:val="00A33784"/>
    <w:rsid w:val="00A36B55"/>
    <w:rsid w:val="00A37706"/>
    <w:rsid w:val="00A43362"/>
    <w:rsid w:val="00A507F6"/>
    <w:rsid w:val="00A50AF6"/>
    <w:rsid w:val="00A542D3"/>
    <w:rsid w:val="00A54F81"/>
    <w:rsid w:val="00A555F3"/>
    <w:rsid w:val="00A56105"/>
    <w:rsid w:val="00A639F5"/>
    <w:rsid w:val="00A70BE9"/>
    <w:rsid w:val="00A7133E"/>
    <w:rsid w:val="00A80DBF"/>
    <w:rsid w:val="00A80EEB"/>
    <w:rsid w:val="00A81190"/>
    <w:rsid w:val="00A825B5"/>
    <w:rsid w:val="00A8469D"/>
    <w:rsid w:val="00A862B9"/>
    <w:rsid w:val="00A87EC3"/>
    <w:rsid w:val="00A96329"/>
    <w:rsid w:val="00A96BBF"/>
    <w:rsid w:val="00AA2B54"/>
    <w:rsid w:val="00AA3F63"/>
    <w:rsid w:val="00AA5DF2"/>
    <w:rsid w:val="00AA61A7"/>
    <w:rsid w:val="00AA6AED"/>
    <w:rsid w:val="00AB16C3"/>
    <w:rsid w:val="00AC0345"/>
    <w:rsid w:val="00AC052F"/>
    <w:rsid w:val="00AC3C54"/>
    <w:rsid w:val="00AC5024"/>
    <w:rsid w:val="00AC5D52"/>
    <w:rsid w:val="00AC7457"/>
    <w:rsid w:val="00AC7550"/>
    <w:rsid w:val="00AD4568"/>
    <w:rsid w:val="00AD63DB"/>
    <w:rsid w:val="00AD72C2"/>
    <w:rsid w:val="00AE212C"/>
    <w:rsid w:val="00AF09C2"/>
    <w:rsid w:val="00AF17E1"/>
    <w:rsid w:val="00AF29AC"/>
    <w:rsid w:val="00AF3F44"/>
    <w:rsid w:val="00AF5225"/>
    <w:rsid w:val="00AF5F77"/>
    <w:rsid w:val="00B01403"/>
    <w:rsid w:val="00B01D5B"/>
    <w:rsid w:val="00B10A96"/>
    <w:rsid w:val="00B1168A"/>
    <w:rsid w:val="00B13ADF"/>
    <w:rsid w:val="00B2095E"/>
    <w:rsid w:val="00B25A1F"/>
    <w:rsid w:val="00B30934"/>
    <w:rsid w:val="00B30C7D"/>
    <w:rsid w:val="00B3101F"/>
    <w:rsid w:val="00B43FFB"/>
    <w:rsid w:val="00B44AD9"/>
    <w:rsid w:val="00B45A07"/>
    <w:rsid w:val="00B519A4"/>
    <w:rsid w:val="00B5559F"/>
    <w:rsid w:val="00B57EDE"/>
    <w:rsid w:val="00B66753"/>
    <w:rsid w:val="00B66DEC"/>
    <w:rsid w:val="00B75F64"/>
    <w:rsid w:val="00B75FF4"/>
    <w:rsid w:val="00B762F9"/>
    <w:rsid w:val="00B80CFA"/>
    <w:rsid w:val="00B84239"/>
    <w:rsid w:val="00B86E88"/>
    <w:rsid w:val="00B91946"/>
    <w:rsid w:val="00B94910"/>
    <w:rsid w:val="00B949B1"/>
    <w:rsid w:val="00B97089"/>
    <w:rsid w:val="00BA2E73"/>
    <w:rsid w:val="00BB13F9"/>
    <w:rsid w:val="00BB23C9"/>
    <w:rsid w:val="00BB6061"/>
    <w:rsid w:val="00BB681A"/>
    <w:rsid w:val="00BC1567"/>
    <w:rsid w:val="00BC1C59"/>
    <w:rsid w:val="00BC34F1"/>
    <w:rsid w:val="00BC62C5"/>
    <w:rsid w:val="00BC682D"/>
    <w:rsid w:val="00BD19F2"/>
    <w:rsid w:val="00BD4468"/>
    <w:rsid w:val="00BD5A44"/>
    <w:rsid w:val="00BD5E32"/>
    <w:rsid w:val="00BD7638"/>
    <w:rsid w:val="00BE0337"/>
    <w:rsid w:val="00BE4862"/>
    <w:rsid w:val="00BE7178"/>
    <w:rsid w:val="00BE759D"/>
    <w:rsid w:val="00BF0143"/>
    <w:rsid w:val="00BF16F6"/>
    <w:rsid w:val="00BF3186"/>
    <w:rsid w:val="00BF5933"/>
    <w:rsid w:val="00C057BB"/>
    <w:rsid w:val="00C10015"/>
    <w:rsid w:val="00C100F0"/>
    <w:rsid w:val="00C114AD"/>
    <w:rsid w:val="00C14282"/>
    <w:rsid w:val="00C15C44"/>
    <w:rsid w:val="00C1795D"/>
    <w:rsid w:val="00C23CE4"/>
    <w:rsid w:val="00C24DDD"/>
    <w:rsid w:val="00C253FE"/>
    <w:rsid w:val="00C27F66"/>
    <w:rsid w:val="00C328DC"/>
    <w:rsid w:val="00C334FF"/>
    <w:rsid w:val="00C36BBF"/>
    <w:rsid w:val="00C47DD2"/>
    <w:rsid w:val="00C57F58"/>
    <w:rsid w:val="00C61A8B"/>
    <w:rsid w:val="00C65CCB"/>
    <w:rsid w:val="00C70A8E"/>
    <w:rsid w:val="00C71D47"/>
    <w:rsid w:val="00C73427"/>
    <w:rsid w:val="00C740FD"/>
    <w:rsid w:val="00C83357"/>
    <w:rsid w:val="00C8491C"/>
    <w:rsid w:val="00C85C8E"/>
    <w:rsid w:val="00C92C5F"/>
    <w:rsid w:val="00C94BFE"/>
    <w:rsid w:val="00C95CEA"/>
    <w:rsid w:val="00C970D2"/>
    <w:rsid w:val="00C977E4"/>
    <w:rsid w:val="00CA362E"/>
    <w:rsid w:val="00CA52AE"/>
    <w:rsid w:val="00CA66B1"/>
    <w:rsid w:val="00CA73FF"/>
    <w:rsid w:val="00CB10F4"/>
    <w:rsid w:val="00CB1B6A"/>
    <w:rsid w:val="00CB3A66"/>
    <w:rsid w:val="00CC61DF"/>
    <w:rsid w:val="00CD141A"/>
    <w:rsid w:val="00CD196F"/>
    <w:rsid w:val="00CD1C0A"/>
    <w:rsid w:val="00CD252D"/>
    <w:rsid w:val="00CD7AD8"/>
    <w:rsid w:val="00CE16EA"/>
    <w:rsid w:val="00CE39B0"/>
    <w:rsid w:val="00CE5CE2"/>
    <w:rsid w:val="00CF0C7E"/>
    <w:rsid w:val="00CF2613"/>
    <w:rsid w:val="00CF4592"/>
    <w:rsid w:val="00CF57F7"/>
    <w:rsid w:val="00CF5CCD"/>
    <w:rsid w:val="00D003F8"/>
    <w:rsid w:val="00D01314"/>
    <w:rsid w:val="00D0284A"/>
    <w:rsid w:val="00D0307D"/>
    <w:rsid w:val="00D060D9"/>
    <w:rsid w:val="00D10621"/>
    <w:rsid w:val="00D11B7D"/>
    <w:rsid w:val="00D13D31"/>
    <w:rsid w:val="00D20DA6"/>
    <w:rsid w:val="00D20E2A"/>
    <w:rsid w:val="00D20E81"/>
    <w:rsid w:val="00D23FBA"/>
    <w:rsid w:val="00D25418"/>
    <w:rsid w:val="00D402DE"/>
    <w:rsid w:val="00D46AA1"/>
    <w:rsid w:val="00D51073"/>
    <w:rsid w:val="00D54A3E"/>
    <w:rsid w:val="00D54C0E"/>
    <w:rsid w:val="00D6467D"/>
    <w:rsid w:val="00D651AF"/>
    <w:rsid w:val="00D6744A"/>
    <w:rsid w:val="00D70219"/>
    <w:rsid w:val="00D721C7"/>
    <w:rsid w:val="00D73A74"/>
    <w:rsid w:val="00D8435E"/>
    <w:rsid w:val="00D84BC0"/>
    <w:rsid w:val="00D94C88"/>
    <w:rsid w:val="00D95E69"/>
    <w:rsid w:val="00D962ED"/>
    <w:rsid w:val="00DA0ED0"/>
    <w:rsid w:val="00DA6849"/>
    <w:rsid w:val="00DB31CB"/>
    <w:rsid w:val="00DB3C8D"/>
    <w:rsid w:val="00DB47ED"/>
    <w:rsid w:val="00DB517C"/>
    <w:rsid w:val="00DB7A3E"/>
    <w:rsid w:val="00DB7B4D"/>
    <w:rsid w:val="00DC0222"/>
    <w:rsid w:val="00DC0FC7"/>
    <w:rsid w:val="00DC3CCA"/>
    <w:rsid w:val="00DC4DED"/>
    <w:rsid w:val="00DC752F"/>
    <w:rsid w:val="00DD1D61"/>
    <w:rsid w:val="00DD675F"/>
    <w:rsid w:val="00DE3881"/>
    <w:rsid w:val="00DE76B7"/>
    <w:rsid w:val="00DF0008"/>
    <w:rsid w:val="00DF13E3"/>
    <w:rsid w:val="00DF20C0"/>
    <w:rsid w:val="00DF6499"/>
    <w:rsid w:val="00E00D23"/>
    <w:rsid w:val="00E01353"/>
    <w:rsid w:val="00E053E1"/>
    <w:rsid w:val="00E053F1"/>
    <w:rsid w:val="00E1233C"/>
    <w:rsid w:val="00E14AEC"/>
    <w:rsid w:val="00E214E0"/>
    <w:rsid w:val="00E26F7D"/>
    <w:rsid w:val="00E309DA"/>
    <w:rsid w:val="00E365C0"/>
    <w:rsid w:val="00E36721"/>
    <w:rsid w:val="00E40594"/>
    <w:rsid w:val="00E40638"/>
    <w:rsid w:val="00E426C0"/>
    <w:rsid w:val="00E42BCF"/>
    <w:rsid w:val="00E471C1"/>
    <w:rsid w:val="00E47FBC"/>
    <w:rsid w:val="00E50E5A"/>
    <w:rsid w:val="00E51233"/>
    <w:rsid w:val="00E5440B"/>
    <w:rsid w:val="00E56B9D"/>
    <w:rsid w:val="00E57673"/>
    <w:rsid w:val="00E60DF5"/>
    <w:rsid w:val="00E61179"/>
    <w:rsid w:val="00E621F2"/>
    <w:rsid w:val="00E6386D"/>
    <w:rsid w:val="00E66434"/>
    <w:rsid w:val="00E715D3"/>
    <w:rsid w:val="00E7272F"/>
    <w:rsid w:val="00E73548"/>
    <w:rsid w:val="00E74207"/>
    <w:rsid w:val="00E75A8E"/>
    <w:rsid w:val="00E76CB0"/>
    <w:rsid w:val="00E774D4"/>
    <w:rsid w:val="00E873C6"/>
    <w:rsid w:val="00E913A8"/>
    <w:rsid w:val="00E94218"/>
    <w:rsid w:val="00E97F77"/>
    <w:rsid w:val="00EA160F"/>
    <w:rsid w:val="00EA1984"/>
    <w:rsid w:val="00EA421C"/>
    <w:rsid w:val="00EA4351"/>
    <w:rsid w:val="00EA5DCF"/>
    <w:rsid w:val="00EA7BA6"/>
    <w:rsid w:val="00EB20D0"/>
    <w:rsid w:val="00EB72BC"/>
    <w:rsid w:val="00EB7948"/>
    <w:rsid w:val="00EC0DAA"/>
    <w:rsid w:val="00EC1CCD"/>
    <w:rsid w:val="00EC2458"/>
    <w:rsid w:val="00EC4821"/>
    <w:rsid w:val="00EC509E"/>
    <w:rsid w:val="00EC7812"/>
    <w:rsid w:val="00ED26B5"/>
    <w:rsid w:val="00ED2959"/>
    <w:rsid w:val="00ED53A7"/>
    <w:rsid w:val="00EE0639"/>
    <w:rsid w:val="00EE1A74"/>
    <w:rsid w:val="00EE3AA2"/>
    <w:rsid w:val="00EE4BFC"/>
    <w:rsid w:val="00EE75E2"/>
    <w:rsid w:val="00EF13F1"/>
    <w:rsid w:val="00EF1A79"/>
    <w:rsid w:val="00EF1B52"/>
    <w:rsid w:val="00EF3015"/>
    <w:rsid w:val="00EF7623"/>
    <w:rsid w:val="00F0109A"/>
    <w:rsid w:val="00F01C78"/>
    <w:rsid w:val="00F01F67"/>
    <w:rsid w:val="00F02412"/>
    <w:rsid w:val="00F143E0"/>
    <w:rsid w:val="00F167DB"/>
    <w:rsid w:val="00F16C58"/>
    <w:rsid w:val="00F17DAF"/>
    <w:rsid w:val="00F2031C"/>
    <w:rsid w:val="00F2208F"/>
    <w:rsid w:val="00F22DA9"/>
    <w:rsid w:val="00F22F68"/>
    <w:rsid w:val="00F241ED"/>
    <w:rsid w:val="00F31466"/>
    <w:rsid w:val="00F34883"/>
    <w:rsid w:val="00F367B5"/>
    <w:rsid w:val="00F36F0B"/>
    <w:rsid w:val="00F3715B"/>
    <w:rsid w:val="00F4169B"/>
    <w:rsid w:val="00F4358E"/>
    <w:rsid w:val="00F45400"/>
    <w:rsid w:val="00F46316"/>
    <w:rsid w:val="00F47D6E"/>
    <w:rsid w:val="00F51AB8"/>
    <w:rsid w:val="00F52977"/>
    <w:rsid w:val="00F541F8"/>
    <w:rsid w:val="00F6284F"/>
    <w:rsid w:val="00F67A2D"/>
    <w:rsid w:val="00F75DC8"/>
    <w:rsid w:val="00F76C9A"/>
    <w:rsid w:val="00F77063"/>
    <w:rsid w:val="00F77B67"/>
    <w:rsid w:val="00F8125F"/>
    <w:rsid w:val="00F85511"/>
    <w:rsid w:val="00F86654"/>
    <w:rsid w:val="00F866BA"/>
    <w:rsid w:val="00F97962"/>
    <w:rsid w:val="00FA1664"/>
    <w:rsid w:val="00FA17BC"/>
    <w:rsid w:val="00FA1DF5"/>
    <w:rsid w:val="00FA22CF"/>
    <w:rsid w:val="00FA55C0"/>
    <w:rsid w:val="00FB0B36"/>
    <w:rsid w:val="00FB1C2A"/>
    <w:rsid w:val="00FB41C5"/>
    <w:rsid w:val="00FB4902"/>
    <w:rsid w:val="00FB4FC7"/>
    <w:rsid w:val="00FC0D60"/>
    <w:rsid w:val="00FC1330"/>
    <w:rsid w:val="00FC3764"/>
    <w:rsid w:val="00FD1237"/>
    <w:rsid w:val="00FD56E2"/>
    <w:rsid w:val="00FE0AFC"/>
    <w:rsid w:val="00FE14F8"/>
    <w:rsid w:val="00FE6042"/>
    <w:rsid w:val="00FF2A73"/>
    <w:rsid w:val="00FF3B22"/>
    <w:rsid w:val="00FF64BD"/>
    <w:rsid w:val="00FF73B2"/>
    <w:rsid w:val="00FF794D"/>
    <w:rsid w:val="00FF7FE6"/>
    <w:rsid w:val="012958F6"/>
    <w:rsid w:val="015A17AD"/>
    <w:rsid w:val="01E01C76"/>
    <w:rsid w:val="027B16ED"/>
    <w:rsid w:val="03117CA9"/>
    <w:rsid w:val="0319056A"/>
    <w:rsid w:val="032D26DE"/>
    <w:rsid w:val="039869A5"/>
    <w:rsid w:val="04BA3DFF"/>
    <w:rsid w:val="051A2302"/>
    <w:rsid w:val="053E40F9"/>
    <w:rsid w:val="05C23C5E"/>
    <w:rsid w:val="06035DA9"/>
    <w:rsid w:val="0627337D"/>
    <w:rsid w:val="06951932"/>
    <w:rsid w:val="06970BC5"/>
    <w:rsid w:val="06F24BF7"/>
    <w:rsid w:val="070E5F4D"/>
    <w:rsid w:val="071B7DD1"/>
    <w:rsid w:val="074152A1"/>
    <w:rsid w:val="07CF0A86"/>
    <w:rsid w:val="07F87CB9"/>
    <w:rsid w:val="0839593F"/>
    <w:rsid w:val="08953619"/>
    <w:rsid w:val="08AF5C17"/>
    <w:rsid w:val="08F0220E"/>
    <w:rsid w:val="09242589"/>
    <w:rsid w:val="09621E38"/>
    <w:rsid w:val="09DE563C"/>
    <w:rsid w:val="0A2978F1"/>
    <w:rsid w:val="0ABC60C8"/>
    <w:rsid w:val="0AE7015D"/>
    <w:rsid w:val="0B1B6B27"/>
    <w:rsid w:val="0B6A7B4A"/>
    <w:rsid w:val="0BA051DD"/>
    <w:rsid w:val="0BAC6074"/>
    <w:rsid w:val="0BC16211"/>
    <w:rsid w:val="0BF55F80"/>
    <w:rsid w:val="0C030821"/>
    <w:rsid w:val="0C61437F"/>
    <w:rsid w:val="0C886A6C"/>
    <w:rsid w:val="0CC42BA0"/>
    <w:rsid w:val="0CDA4AC6"/>
    <w:rsid w:val="0D07602D"/>
    <w:rsid w:val="0D554FDF"/>
    <w:rsid w:val="0D581580"/>
    <w:rsid w:val="0D585997"/>
    <w:rsid w:val="0D741E4B"/>
    <w:rsid w:val="0DD14B25"/>
    <w:rsid w:val="0DE42AE0"/>
    <w:rsid w:val="0DFD0049"/>
    <w:rsid w:val="0E1D4B35"/>
    <w:rsid w:val="0E3A4E52"/>
    <w:rsid w:val="0EB75826"/>
    <w:rsid w:val="0EE638DC"/>
    <w:rsid w:val="0EFB0C55"/>
    <w:rsid w:val="0F056701"/>
    <w:rsid w:val="0FA61321"/>
    <w:rsid w:val="0FA94AAF"/>
    <w:rsid w:val="0FA95C81"/>
    <w:rsid w:val="0FAC53B1"/>
    <w:rsid w:val="101C6D6D"/>
    <w:rsid w:val="10247187"/>
    <w:rsid w:val="10473535"/>
    <w:rsid w:val="10720F77"/>
    <w:rsid w:val="108F6A5A"/>
    <w:rsid w:val="110F1C36"/>
    <w:rsid w:val="112F3A8A"/>
    <w:rsid w:val="1139096F"/>
    <w:rsid w:val="11796FE8"/>
    <w:rsid w:val="11835C77"/>
    <w:rsid w:val="119A75E3"/>
    <w:rsid w:val="11B12A00"/>
    <w:rsid w:val="12151B0C"/>
    <w:rsid w:val="12192A7F"/>
    <w:rsid w:val="125750EC"/>
    <w:rsid w:val="12774246"/>
    <w:rsid w:val="12B72E97"/>
    <w:rsid w:val="13934EBE"/>
    <w:rsid w:val="13A372E1"/>
    <w:rsid w:val="13F2715F"/>
    <w:rsid w:val="140D3075"/>
    <w:rsid w:val="1411032A"/>
    <w:rsid w:val="14171026"/>
    <w:rsid w:val="15A36645"/>
    <w:rsid w:val="169F00BD"/>
    <w:rsid w:val="16C16063"/>
    <w:rsid w:val="17482707"/>
    <w:rsid w:val="177E15D6"/>
    <w:rsid w:val="179037B1"/>
    <w:rsid w:val="186D63A9"/>
    <w:rsid w:val="187F75E7"/>
    <w:rsid w:val="18A31201"/>
    <w:rsid w:val="18F5684D"/>
    <w:rsid w:val="1AD77AF3"/>
    <w:rsid w:val="1B0135D3"/>
    <w:rsid w:val="1B230F8C"/>
    <w:rsid w:val="1BD6378F"/>
    <w:rsid w:val="1C15011F"/>
    <w:rsid w:val="1C237506"/>
    <w:rsid w:val="1C610BB8"/>
    <w:rsid w:val="1C632B49"/>
    <w:rsid w:val="1D3F106D"/>
    <w:rsid w:val="1D632E00"/>
    <w:rsid w:val="1D853323"/>
    <w:rsid w:val="1E973F44"/>
    <w:rsid w:val="1F13603C"/>
    <w:rsid w:val="1F740740"/>
    <w:rsid w:val="1FB06685"/>
    <w:rsid w:val="1FE053A1"/>
    <w:rsid w:val="20142B4A"/>
    <w:rsid w:val="207F4DF1"/>
    <w:rsid w:val="20A93957"/>
    <w:rsid w:val="21425423"/>
    <w:rsid w:val="216B6FC8"/>
    <w:rsid w:val="216F5067"/>
    <w:rsid w:val="219829F5"/>
    <w:rsid w:val="219F6403"/>
    <w:rsid w:val="21B52EB5"/>
    <w:rsid w:val="220D20CA"/>
    <w:rsid w:val="222F3BF9"/>
    <w:rsid w:val="22385341"/>
    <w:rsid w:val="223C2251"/>
    <w:rsid w:val="229C25CD"/>
    <w:rsid w:val="229F0FDC"/>
    <w:rsid w:val="22B50AB9"/>
    <w:rsid w:val="241326AF"/>
    <w:rsid w:val="24363494"/>
    <w:rsid w:val="244875A8"/>
    <w:rsid w:val="244A50FF"/>
    <w:rsid w:val="244D5264"/>
    <w:rsid w:val="24673D22"/>
    <w:rsid w:val="24AA673B"/>
    <w:rsid w:val="24C745BD"/>
    <w:rsid w:val="25045DF1"/>
    <w:rsid w:val="250D7AF6"/>
    <w:rsid w:val="258C4586"/>
    <w:rsid w:val="25EE39A1"/>
    <w:rsid w:val="25FC3DF2"/>
    <w:rsid w:val="2625141E"/>
    <w:rsid w:val="26A01D5C"/>
    <w:rsid w:val="26C8635B"/>
    <w:rsid w:val="27642687"/>
    <w:rsid w:val="27D33279"/>
    <w:rsid w:val="27EF6EC3"/>
    <w:rsid w:val="28454903"/>
    <w:rsid w:val="28AF57B8"/>
    <w:rsid w:val="28BD3A65"/>
    <w:rsid w:val="28E120CF"/>
    <w:rsid w:val="28F926C2"/>
    <w:rsid w:val="292B4334"/>
    <w:rsid w:val="293C0616"/>
    <w:rsid w:val="298C0BC1"/>
    <w:rsid w:val="29AA10EC"/>
    <w:rsid w:val="2AD25A69"/>
    <w:rsid w:val="2B4E6E43"/>
    <w:rsid w:val="2BA30EC2"/>
    <w:rsid w:val="2C166C74"/>
    <w:rsid w:val="2CD25F82"/>
    <w:rsid w:val="2CF23F7C"/>
    <w:rsid w:val="2CF64F99"/>
    <w:rsid w:val="2D77431E"/>
    <w:rsid w:val="2D8C0151"/>
    <w:rsid w:val="2D8F379E"/>
    <w:rsid w:val="2D9618A7"/>
    <w:rsid w:val="2DCA26E6"/>
    <w:rsid w:val="2DDE56AB"/>
    <w:rsid w:val="2E2B1F4D"/>
    <w:rsid w:val="2E4159FC"/>
    <w:rsid w:val="2ECC356E"/>
    <w:rsid w:val="2EDD6370"/>
    <w:rsid w:val="2F6F5E9E"/>
    <w:rsid w:val="2F754C15"/>
    <w:rsid w:val="2FBB3C21"/>
    <w:rsid w:val="2FBE6825"/>
    <w:rsid w:val="2FDC6A42"/>
    <w:rsid w:val="2FFC2D1A"/>
    <w:rsid w:val="300432B3"/>
    <w:rsid w:val="300C4661"/>
    <w:rsid w:val="3030495E"/>
    <w:rsid w:val="305A4537"/>
    <w:rsid w:val="30B42BB6"/>
    <w:rsid w:val="31436D79"/>
    <w:rsid w:val="315C0951"/>
    <w:rsid w:val="319C292D"/>
    <w:rsid w:val="321118B3"/>
    <w:rsid w:val="32364B30"/>
    <w:rsid w:val="325C4B15"/>
    <w:rsid w:val="334C1F01"/>
    <w:rsid w:val="338120A0"/>
    <w:rsid w:val="33B87906"/>
    <w:rsid w:val="33DC724D"/>
    <w:rsid w:val="345677ED"/>
    <w:rsid w:val="34CC75FD"/>
    <w:rsid w:val="34D83C7C"/>
    <w:rsid w:val="350A4ABE"/>
    <w:rsid w:val="35C067FA"/>
    <w:rsid w:val="36374158"/>
    <w:rsid w:val="37093C34"/>
    <w:rsid w:val="38111216"/>
    <w:rsid w:val="38653A79"/>
    <w:rsid w:val="387C41DB"/>
    <w:rsid w:val="38A13288"/>
    <w:rsid w:val="38ED3A6E"/>
    <w:rsid w:val="391804BD"/>
    <w:rsid w:val="392415B3"/>
    <w:rsid w:val="39453D9F"/>
    <w:rsid w:val="396A151F"/>
    <w:rsid w:val="397C3C06"/>
    <w:rsid w:val="39A611E9"/>
    <w:rsid w:val="39A92C0E"/>
    <w:rsid w:val="39D52754"/>
    <w:rsid w:val="3A647D60"/>
    <w:rsid w:val="3A98609A"/>
    <w:rsid w:val="3ACC4283"/>
    <w:rsid w:val="3ADA6E58"/>
    <w:rsid w:val="3B221437"/>
    <w:rsid w:val="3B8340F6"/>
    <w:rsid w:val="3BD218D5"/>
    <w:rsid w:val="3C090BBF"/>
    <w:rsid w:val="3C5A6176"/>
    <w:rsid w:val="3C5E33F8"/>
    <w:rsid w:val="3CDE204C"/>
    <w:rsid w:val="3CE8048B"/>
    <w:rsid w:val="3D1A77A5"/>
    <w:rsid w:val="3DBE5DB3"/>
    <w:rsid w:val="3DCD23A3"/>
    <w:rsid w:val="3E6C0C0E"/>
    <w:rsid w:val="3ECA63BF"/>
    <w:rsid w:val="3F013A42"/>
    <w:rsid w:val="3F201CE4"/>
    <w:rsid w:val="3F24679E"/>
    <w:rsid w:val="3F8B508C"/>
    <w:rsid w:val="3FAC3186"/>
    <w:rsid w:val="3FD1278D"/>
    <w:rsid w:val="3FE059F3"/>
    <w:rsid w:val="3FE554A7"/>
    <w:rsid w:val="3FEE42F3"/>
    <w:rsid w:val="402971CE"/>
    <w:rsid w:val="403B7BA0"/>
    <w:rsid w:val="405D7834"/>
    <w:rsid w:val="40AD1088"/>
    <w:rsid w:val="41347F55"/>
    <w:rsid w:val="415E4A25"/>
    <w:rsid w:val="41926BEE"/>
    <w:rsid w:val="41BD2B78"/>
    <w:rsid w:val="422E1EEA"/>
    <w:rsid w:val="426B6D8F"/>
    <w:rsid w:val="42926F8D"/>
    <w:rsid w:val="43207507"/>
    <w:rsid w:val="43341078"/>
    <w:rsid w:val="43E4728F"/>
    <w:rsid w:val="44AA5A39"/>
    <w:rsid w:val="44C07A91"/>
    <w:rsid w:val="45120BC9"/>
    <w:rsid w:val="45B86028"/>
    <w:rsid w:val="45D127E2"/>
    <w:rsid w:val="45E065FD"/>
    <w:rsid w:val="46232C92"/>
    <w:rsid w:val="465D28AB"/>
    <w:rsid w:val="46671D5C"/>
    <w:rsid w:val="469A3487"/>
    <w:rsid w:val="475C4B93"/>
    <w:rsid w:val="47F869EB"/>
    <w:rsid w:val="4808425A"/>
    <w:rsid w:val="48740252"/>
    <w:rsid w:val="48892544"/>
    <w:rsid w:val="49154FF4"/>
    <w:rsid w:val="493A6D47"/>
    <w:rsid w:val="496701C0"/>
    <w:rsid w:val="49875552"/>
    <w:rsid w:val="49C93431"/>
    <w:rsid w:val="4A5645A8"/>
    <w:rsid w:val="4B0E06B5"/>
    <w:rsid w:val="4B8814C5"/>
    <w:rsid w:val="4B8B7843"/>
    <w:rsid w:val="4BD74836"/>
    <w:rsid w:val="4BDD4C73"/>
    <w:rsid w:val="4BF076A6"/>
    <w:rsid w:val="4C46534D"/>
    <w:rsid w:val="4C886692"/>
    <w:rsid w:val="4CD40C43"/>
    <w:rsid w:val="4CDE58D9"/>
    <w:rsid w:val="4D902924"/>
    <w:rsid w:val="4DAE4F0B"/>
    <w:rsid w:val="4E08582C"/>
    <w:rsid w:val="4E410A66"/>
    <w:rsid w:val="4E5D35D9"/>
    <w:rsid w:val="4E8E65FE"/>
    <w:rsid w:val="4EAC1FAA"/>
    <w:rsid w:val="4ECD6C92"/>
    <w:rsid w:val="4FD33654"/>
    <w:rsid w:val="50380EC6"/>
    <w:rsid w:val="503A0BCD"/>
    <w:rsid w:val="50DF1D14"/>
    <w:rsid w:val="50ED060E"/>
    <w:rsid w:val="513D359A"/>
    <w:rsid w:val="51AE0B2D"/>
    <w:rsid w:val="51D716F0"/>
    <w:rsid w:val="51F13473"/>
    <w:rsid w:val="51F424C4"/>
    <w:rsid w:val="5219034D"/>
    <w:rsid w:val="52200E82"/>
    <w:rsid w:val="52527E09"/>
    <w:rsid w:val="52670BC5"/>
    <w:rsid w:val="52B57173"/>
    <w:rsid w:val="5454111A"/>
    <w:rsid w:val="54F25915"/>
    <w:rsid w:val="55041AAA"/>
    <w:rsid w:val="55323755"/>
    <w:rsid w:val="55465184"/>
    <w:rsid w:val="557A4251"/>
    <w:rsid w:val="558C5CC3"/>
    <w:rsid w:val="558C5DDC"/>
    <w:rsid w:val="55AA3CF8"/>
    <w:rsid w:val="55B03B24"/>
    <w:rsid w:val="55E800E6"/>
    <w:rsid w:val="562763BA"/>
    <w:rsid w:val="562C284B"/>
    <w:rsid w:val="563F3703"/>
    <w:rsid w:val="56946DBD"/>
    <w:rsid w:val="56993D51"/>
    <w:rsid w:val="574A4DEE"/>
    <w:rsid w:val="57B61738"/>
    <w:rsid w:val="57FD3876"/>
    <w:rsid w:val="5809477E"/>
    <w:rsid w:val="58183BED"/>
    <w:rsid w:val="583716BE"/>
    <w:rsid w:val="584F6F6E"/>
    <w:rsid w:val="590649AC"/>
    <w:rsid w:val="59876129"/>
    <w:rsid w:val="59A47EE1"/>
    <w:rsid w:val="59CD7021"/>
    <w:rsid w:val="5ACB657A"/>
    <w:rsid w:val="5AE64A95"/>
    <w:rsid w:val="5B3C46B5"/>
    <w:rsid w:val="5B641AC4"/>
    <w:rsid w:val="5C1776AE"/>
    <w:rsid w:val="5C71213D"/>
    <w:rsid w:val="5CD510C8"/>
    <w:rsid w:val="5CF07E80"/>
    <w:rsid w:val="5D271602"/>
    <w:rsid w:val="5DA402F0"/>
    <w:rsid w:val="5DDF6E07"/>
    <w:rsid w:val="5DF206A3"/>
    <w:rsid w:val="5DFA0723"/>
    <w:rsid w:val="5E501022"/>
    <w:rsid w:val="5EA767ED"/>
    <w:rsid w:val="5EEF098D"/>
    <w:rsid w:val="5F14193B"/>
    <w:rsid w:val="5FAB2977"/>
    <w:rsid w:val="5FD517CA"/>
    <w:rsid w:val="5FEA3635"/>
    <w:rsid w:val="60CE3C62"/>
    <w:rsid w:val="61A1206C"/>
    <w:rsid w:val="61FC2AD2"/>
    <w:rsid w:val="628E730C"/>
    <w:rsid w:val="62D10798"/>
    <w:rsid w:val="6301724F"/>
    <w:rsid w:val="635F11E6"/>
    <w:rsid w:val="637F7835"/>
    <w:rsid w:val="63B63060"/>
    <w:rsid w:val="64277849"/>
    <w:rsid w:val="64707AF8"/>
    <w:rsid w:val="64D52762"/>
    <w:rsid w:val="64D658FD"/>
    <w:rsid w:val="64EA5182"/>
    <w:rsid w:val="650B368E"/>
    <w:rsid w:val="651E6BDA"/>
    <w:rsid w:val="6526660B"/>
    <w:rsid w:val="653D1C1E"/>
    <w:rsid w:val="65CF7984"/>
    <w:rsid w:val="66345DEE"/>
    <w:rsid w:val="667D280E"/>
    <w:rsid w:val="66A24A0F"/>
    <w:rsid w:val="674E72EB"/>
    <w:rsid w:val="681744E0"/>
    <w:rsid w:val="685E3EBD"/>
    <w:rsid w:val="6864622A"/>
    <w:rsid w:val="68647C66"/>
    <w:rsid w:val="691E7A28"/>
    <w:rsid w:val="6975100E"/>
    <w:rsid w:val="69C45B1E"/>
    <w:rsid w:val="6A435FC1"/>
    <w:rsid w:val="6A4E61B3"/>
    <w:rsid w:val="6A5D038C"/>
    <w:rsid w:val="6A682DD1"/>
    <w:rsid w:val="6B8C6F93"/>
    <w:rsid w:val="6BA83765"/>
    <w:rsid w:val="6BDB75D3"/>
    <w:rsid w:val="6BEC09F1"/>
    <w:rsid w:val="6CA834B6"/>
    <w:rsid w:val="6CC91B21"/>
    <w:rsid w:val="6DA743E8"/>
    <w:rsid w:val="6E4C385D"/>
    <w:rsid w:val="6E7209DE"/>
    <w:rsid w:val="6EE04757"/>
    <w:rsid w:val="6F011A46"/>
    <w:rsid w:val="6F5041FD"/>
    <w:rsid w:val="6F8E5897"/>
    <w:rsid w:val="6F926F67"/>
    <w:rsid w:val="6FD8596B"/>
    <w:rsid w:val="6FD917B7"/>
    <w:rsid w:val="70490E2E"/>
    <w:rsid w:val="70C3128F"/>
    <w:rsid w:val="7245534D"/>
    <w:rsid w:val="72AA3B74"/>
    <w:rsid w:val="72B55871"/>
    <w:rsid w:val="72BC470F"/>
    <w:rsid w:val="72EF57BB"/>
    <w:rsid w:val="72F54098"/>
    <w:rsid w:val="72F65CB3"/>
    <w:rsid w:val="73815910"/>
    <w:rsid w:val="74295E3C"/>
    <w:rsid w:val="749636FA"/>
    <w:rsid w:val="753930E5"/>
    <w:rsid w:val="753B1A9D"/>
    <w:rsid w:val="75CB3AC4"/>
    <w:rsid w:val="75F0310B"/>
    <w:rsid w:val="76810E55"/>
    <w:rsid w:val="77141BF6"/>
    <w:rsid w:val="77291F17"/>
    <w:rsid w:val="77502AEC"/>
    <w:rsid w:val="78147E6C"/>
    <w:rsid w:val="78202E03"/>
    <w:rsid w:val="7883542A"/>
    <w:rsid w:val="78C7019C"/>
    <w:rsid w:val="78E042C9"/>
    <w:rsid w:val="79B912C1"/>
    <w:rsid w:val="7B464B0F"/>
    <w:rsid w:val="7B9C38D1"/>
    <w:rsid w:val="7BF237DF"/>
    <w:rsid w:val="7C027614"/>
    <w:rsid w:val="7C3D45ED"/>
    <w:rsid w:val="7CCE6643"/>
    <w:rsid w:val="7CEC700D"/>
    <w:rsid w:val="7CF14CE5"/>
    <w:rsid w:val="7D7E4262"/>
    <w:rsid w:val="7EA946D2"/>
    <w:rsid w:val="7EED78F1"/>
    <w:rsid w:val="7F1A02B5"/>
    <w:rsid w:val="7F3359F1"/>
    <w:rsid w:val="7F401EF2"/>
    <w:rsid w:val="7FEF69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99" w:semiHidden="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7"/>
    <w:unhideWhenUsed/>
    <w:qFormat/>
    <w:uiPriority w:val="0"/>
    <w:pPr>
      <w:keepNext/>
      <w:keepLines/>
      <w:spacing w:beforeAutospacing="1" w:afterAutospacing="1" w:line="360" w:lineRule="auto"/>
      <w:outlineLvl w:val="1"/>
    </w:pPr>
    <w:rPr>
      <w:rFonts w:ascii="Arial" w:hAnsi="Arial" w:eastAsia="黑体"/>
      <w:b/>
      <w:bCs/>
      <w:kern w:val="0"/>
      <w:sz w:val="32"/>
      <w:szCs w:val="32"/>
    </w:rPr>
  </w:style>
  <w:style w:type="paragraph" w:styleId="5">
    <w:name w:val="heading 3"/>
    <w:basedOn w:val="1"/>
    <w:next w:val="1"/>
    <w:link w:val="116"/>
    <w:unhideWhenUsed/>
    <w:qFormat/>
    <w:uiPriority w:val="0"/>
    <w:pPr>
      <w:keepNext/>
      <w:keepLines/>
      <w:spacing w:line="413" w:lineRule="auto"/>
      <w:outlineLvl w:val="2"/>
    </w:pPr>
    <w:rPr>
      <w:b/>
      <w:sz w:val="32"/>
    </w:rPr>
  </w:style>
  <w:style w:type="paragraph" w:styleId="6">
    <w:name w:val="heading 4"/>
    <w:basedOn w:val="1"/>
    <w:next w:val="1"/>
    <w:link w:val="78"/>
    <w:unhideWhenUsed/>
    <w:qFormat/>
    <w:uiPriority w:val="0"/>
    <w:pPr>
      <w:tabs>
        <w:tab w:val="left" w:pos="425"/>
        <w:tab w:val="left" w:pos="992"/>
      </w:tabs>
      <w:spacing w:line="360" w:lineRule="auto"/>
      <w:jc w:val="left"/>
      <w:outlineLvl w:val="3"/>
    </w:pPr>
    <w:rPr>
      <w:rFonts w:ascii="宋体" w:hAnsi="宋体"/>
      <w:b/>
      <w:bCs/>
      <w:sz w:val="24"/>
      <w:szCs w:val="28"/>
    </w:rPr>
  </w:style>
  <w:style w:type="paragraph" w:styleId="7">
    <w:name w:val="heading 5"/>
    <w:basedOn w:val="1"/>
    <w:next w:val="1"/>
    <w:link w:val="79"/>
    <w:unhideWhenUsed/>
    <w:qFormat/>
    <w:uiPriority w:val="0"/>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海南化工城正文"/>
    <w:basedOn w:val="1"/>
    <w:qFormat/>
    <w:uiPriority w:val="0"/>
    <w:pPr>
      <w:spacing w:line="324" w:lineRule="auto"/>
      <w:ind w:firstLine="480" w:firstLineChars="200"/>
    </w:pPr>
    <w:rPr>
      <w:rFonts w:ascii="宋体" w:hAnsi="宋体" w:cs="宋体"/>
      <w:sz w:val="24"/>
      <w:szCs w:val="22"/>
    </w:rPr>
  </w:style>
  <w:style w:type="paragraph" w:styleId="8">
    <w:name w:val="Normal Indent"/>
    <w:basedOn w:val="1"/>
    <w:next w:val="1"/>
    <w:qFormat/>
    <w:uiPriority w:val="0"/>
    <w:pPr>
      <w:adjustRightInd w:val="0"/>
      <w:ind w:firstLine="420"/>
      <w:jc w:val="left"/>
      <w:textAlignment w:val="baseline"/>
    </w:pPr>
    <w:rPr>
      <w:rFonts w:eastAsia="楷体_GB2312"/>
      <w:sz w:val="24"/>
      <w:szCs w:val="20"/>
    </w:rPr>
  </w:style>
  <w:style w:type="paragraph" w:styleId="9">
    <w:name w:val="Document Map"/>
    <w:basedOn w:val="1"/>
    <w:link w:val="80"/>
    <w:qFormat/>
    <w:uiPriority w:val="0"/>
    <w:pPr>
      <w:widowControl/>
      <w:spacing w:line="360" w:lineRule="auto"/>
      <w:jc w:val="left"/>
    </w:pPr>
    <w:rPr>
      <w:rFonts w:ascii="宋体" w:hAnsi="宋体" w:cs="黑体"/>
      <w:kern w:val="0"/>
      <w:sz w:val="18"/>
      <w:szCs w:val="18"/>
    </w:rPr>
  </w:style>
  <w:style w:type="paragraph" w:styleId="10">
    <w:name w:val="annotation text"/>
    <w:basedOn w:val="1"/>
    <w:unhideWhenUsed/>
    <w:qFormat/>
    <w:uiPriority w:val="0"/>
    <w:pPr>
      <w:jc w:val="left"/>
    </w:pPr>
  </w:style>
  <w:style w:type="paragraph" w:styleId="11">
    <w:name w:val="Body Text 3"/>
    <w:basedOn w:val="1"/>
    <w:link w:val="81"/>
    <w:qFormat/>
    <w:uiPriority w:val="0"/>
    <w:pPr>
      <w:spacing w:line="520" w:lineRule="exact"/>
    </w:pPr>
    <w:rPr>
      <w:rFonts w:ascii="仿宋_GB2312" w:hAnsi="Calibri" w:eastAsia="仿宋_GB2312"/>
      <w:sz w:val="32"/>
    </w:rPr>
  </w:style>
  <w:style w:type="paragraph" w:styleId="12">
    <w:name w:val="Body Text"/>
    <w:basedOn w:val="1"/>
    <w:link w:val="118"/>
    <w:qFormat/>
    <w:uiPriority w:val="0"/>
    <w:pPr>
      <w:spacing w:after="120"/>
    </w:pPr>
  </w:style>
  <w:style w:type="paragraph" w:styleId="13">
    <w:name w:val="Body Text Indent"/>
    <w:basedOn w:val="1"/>
    <w:link w:val="113"/>
    <w:qFormat/>
    <w:uiPriority w:val="99"/>
    <w:pPr>
      <w:spacing w:after="120"/>
      <w:ind w:left="200" w:leftChars="200"/>
    </w:pPr>
    <w:rPr>
      <w:rFonts w:ascii="Verdana" w:hAnsi="Verdana"/>
      <w:lang w:eastAsia="en-US"/>
    </w:rPr>
  </w:style>
  <w:style w:type="paragraph" w:styleId="14">
    <w:name w:val="toc 3"/>
    <w:basedOn w:val="1"/>
    <w:next w:val="1"/>
    <w:qFormat/>
    <w:uiPriority w:val="39"/>
    <w:pPr>
      <w:ind w:left="840" w:leftChars="400"/>
    </w:pPr>
  </w:style>
  <w:style w:type="paragraph" w:styleId="15">
    <w:name w:val="Plain Text"/>
    <w:basedOn w:val="1"/>
    <w:link w:val="111"/>
    <w:qFormat/>
    <w:uiPriority w:val="0"/>
    <w:rPr>
      <w:rFonts w:ascii="宋体" w:hAnsi="Courier New"/>
      <w:szCs w:val="20"/>
    </w:rPr>
  </w:style>
  <w:style w:type="paragraph" w:styleId="16">
    <w:name w:val="Date"/>
    <w:basedOn w:val="1"/>
    <w:next w:val="1"/>
    <w:link w:val="82"/>
    <w:qFormat/>
    <w:uiPriority w:val="0"/>
    <w:rPr>
      <w:rFonts w:ascii="仿宋_GB2312" w:eastAsia="仿宋_GB2312"/>
      <w:sz w:val="30"/>
      <w:szCs w:val="20"/>
    </w:rPr>
  </w:style>
  <w:style w:type="paragraph" w:styleId="17">
    <w:name w:val="Balloon Text"/>
    <w:basedOn w:val="1"/>
    <w:link w:val="83"/>
    <w:qFormat/>
    <w:uiPriority w:val="0"/>
    <w:rPr>
      <w:sz w:val="18"/>
      <w:szCs w:val="18"/>
    </w:rPr>
  </w:style>
  <w:style w:type="paragraph" w:styleId="18">
    <w:name w:val="footer"/>
    <w:basedOn w:val="1"/>
    <w:link w:val="84"/>
    <w:qFormat/>
    <w:uiPriority w:val="99"/>
    <w:pPr>
      <w:tabs>
        <w:tab w:val="center" w:pos="4153"/>
        <w:tab w:val="right" w:pos="8306"/>
      </w:tabs>
      <w:snapToGrid w:val="0"/>
      <w:jc w:val="left"/>
    </w:pPr>
    <w:rPr>
      <w:sz w:val="18"/>
    </w:rPr>
  </w:style>
  <w:style w:type="paragraph" w:styleId="19">
    <w:name w:val="header"/>
    <w:basedOn w:val="1"/>
    <w:link w:val="8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pPr>
      <w:jc w:val="left"/>
    </w:pPr>
    <w:rPr>
      <w:b/>
      <w:bCs/>
      <w:caps/>
      <w:sz w:val="20"/>
      <w:szCs w:val="20"/>
    </w:rPr>
  </w:style>
  <w:style w:type="paragraph" w:styleId="21">
    <w:name w:val="toc 2"/>
    <w:basedOn w:val="1"/>
    <w:next w:val="1"/>
    <w:qFormat/>
    <w:uiPriority w:val="39"/>
    <w:pPr>
      <w:ind w:left="210"/>
      <w:jc w:val="left"/>
    </w:pPr>
    <w:rPr>
      <w:smallCaps/>
      <w:sz w:val="20"/>
      <w:szCs w:val="20"/>
    </w:rPr>
  </w:style>
  <w:style w:type="paragraph" w:styleId="2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4">
    <w:name w:val="Body Text First Indent 2"/>
    <w:basedOn w:val="13"/>
    <w:next w:val="1"/>
    <w:link w:val="114"/>
    <w:qFormat/>
    <w:uiPriority w:val="99"/>
    <w:pPr>
      <w:ind w:firstLine="200" w:firstLineChars="200"/>
    </w:pPr>
  </w:style>
  <w:style w:type="table" w:styleId="26">
    <w:name w:val="Table Grid"/>
    <w:basedOn w:val="25"/>
    <w:qFormat/>
    <w:uiPriority w:val="0"/>
    <w:rPr>
      <w:rFonts w:cs="黑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99"/>
    <w:rPr>
      <w:color w:val="0000CC"/>
      <w:sz w:val="18"/>
      <w:szCs w:val="18"/>
      <w:u w:val="single"/>
    </w:rPr>
  </w:style>
  <w:style w:type="character" w:styleId="30">
    <w:name w:val="Hyperlink"/>
    <w:basedOn w:val="27"/>
    <w:qFormat/>
    <w:uiPriority w:val="99"/>
    <w:rPr>
      <w:color w:val="0000CC"/>
      <w:sz w:val="18"/>
      <w:szCs w:val="18"/>
      <w:u w:val="single"/>
    </w:rPr>
  </w:style>
  <w:style w:type="character" w:styleId="31">
    <w:name w:val="annotation reference"/>
    <w:basedOn w:val="27"/>
    <w:unhideWhenUsed/>
    <w:qFormat/>
    <w:uiPriority w:val="0"/>
    <w:rPr>
      <w:sz w:val="21"/>
      <w:szCs w:val="21"/>
    </w:rPr>
  </w:style>
  <w:style w:type="paragraph" w:styleId="32">
    <w:name w:val="List Paragraph"/>
    <w:basedOn w:val="1"/>
    <w:qFormat/>
    <w:uiPriority w:val="34"/>
    <w:pPr>
      <w:ind w:firstLine="420" w:firstLineChars="200"/>
    </w:pPr>
  </w:style>
  <w:style w:type="paragraph" w:customStyle="1" w:styleId="33">
    <w:name w:val="_Style 3"/>
    <w:basedOn w:val="1"/>
    <w:qFormat/>
    <w:uiPriority w:val="34"/>
    <w:pPr>
      <w:ind w:firstLine="420" w:firstLineChars="200"/>
    </w:pPr>
  </w:style>
  <w:style w:type="paragraph" w:customStyle="1" w:styleId="34">
    <w:name w:val="p0"/>
    <w:basedOn w:val="1"/>
    <w:qFormat/>
    <w:uiPriority w:val="0"/>
    <w:pPr>
      <w:widowControl/>
    </w:pPr>
    <w:rPr>
      <w:kern w:val="0"/>
      <w:szCs w:val="21"/>
    </w:rPr>
  </w:style>
  <w:style w:type="paragraph" w:customStyle="1" w:styleId="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6">
    <w:name w:val="列出段落3"/>
    <w:basedOn w:val="1"/>
    <w:unhideWhenUsed/>
    <w:qFormat/>
    <w:uiPriority w:val="99"/>
    <w:pPr>
      <w:ind w:firstLine="420" w:firstLineChars="200"/>
    </w:pPr>
  </w:style>
  <w:style w:type="paragraph" w:customStyle="1" w:styleId="37">
    <w:name w:val="正文-首缩2字符"/>
    <w:basedOn w:val="1"/>
    <w:qFormat/>
    <w:uiPriority w:val="0"/>
    <w:pPr>
      <w:ind w:firstLine="200" w:firstLineChars="200"/>
      <w:jc w:val="left"/>
    </w:pPr>
    <w:rPr>
      <w:rFonts w:hAnsi="宋体" w:cs="宋体"/>
    </w:rPr>
  </w:style>
  <w:style w:type="paragraph" w:customStyle="1" w:styleId="38">
    <w:name w:val="列出段落1"/>
    <w:basedOn w:val="1"/>
    <w:qFormat/>
    <w:uiPriority w:val="34"/>
    <w:pPr>
      <w:ind w:firstLine="420" w:firstLineChars="200"/>
    </w:pPr>
  </w:style>
  <w:style w:type="paragraph" w:customStyle="1" w:styleId="39">
    <w:name w:val="Char Char Char Char Char Char Char Char Char Char1"/>
    <w:basedOn w:val="1"/>
    <w:qFormat/>
    <w:uiPriority w:val="0"/>
    <w:pPr>
      <w:adjustRightInd w:val="0"/>
      <w:spacing w:line="360" w:lineRule="auto"/>
    </w:pPr>
  </w:style>
  <w:style w:type="paragraph" w:customStyle="1" w:styleId="40">
    <w:name w:val="无间隔1"/>
    <w:link w:val="86"/>
    <w:qFormat/>
    <w:uiPriority w:val="1"/>
    <w:rPr>
      <w:rFonts w:ascii="Georgia" w:hAnsi="Georgia" w:eastAsia="宋体" w:cs="Times New Roman"/>
      <w:sz w:val="22"/>
      <w:szCs w:val="22"/>
      <w:lang w:val="en-US" w:eastAsia="zh-CN" w:bidi="ar-SA"/>
    </w:rPr>
  </w:style>
  <w:style w:type="paragraph" w:customStyle="1" w:styleId="41">
    <w:name w:val="Char Char Char Char Char Char Char Char Char Char"/>
    <w:basedOn w:val="1"/>
    <w:qFormat/>
    <w:uiPriority w:val="0"/>
    <w:pPr>
      <w:adjustRightInd w:val="0"/>
      <w:spacing w:line="360" w:lineRule="auto"/>
    </w:pPr>
  </w:style>
  <w:style w:type="paragraph" w:customStyle="1" w:styleId="42">
    <w:name w:val="列出段落2"/>
    <w:basedOn w:val="1"/>
    <w:unhideWhenUsed/>
    <w:qFormat/>
    <w:uiPriority w:val="0"/>
    <w:pPr>
      <w:ind w:firstLine="420" w:firstLineChars="200"/>
    </w:pPr>
  </w:style>
  <w:style w:type="paragraph" w:customStyle="1" w:styleId="43">
    <w:name w:val="表内"/>
    <w:basedOn w:val="1"/>
    <w:qFormat/>
    <w:uiPriority w:val="0"/>
    <w:pPr>
      <w:spacing w:line="300" w:lineRule="auto"/>
    </w:pPr>
    <w:rPr>
      <w:bCs/>
      <w:kern w:val="0"/>
      <w:szCs w:val="21"/>
      <w:lang w:eastAsia="zh-TW"/>
    </w:rPr>
  </w:style>
  <w:style w:type="paragraph" w:customStyle="1" w:styleId="44">
    <w:name w:val="List Paragraph1"/>
    <w:basedOn w:val="1"/>
    <w:unhideWhenUsed/>
    <w:qFormat/>
    <w:uiPriority w:val="99"/>
    <w:pPr>
      <w:ind w:firstLine="420" w:firstLineChars="200"/>
    </w:pPr>
  </w:style>
  <w:style w:type="paragraph" w:customStyle="1" w:styleId="45">
    <w:name w:val="纯文本1"/>
    <w:basedOn w:val="1"/>
    <w:qFormat/>
    <w:uiPriority w:val="0"/>
    <w:pPr>
      <w:adjustRightInd w:val="0"/>
      <w:textAlignment w:val="baseline"/>
    </w:pPr>
    <w:rPr>
      <w:rFonts w:ascii="宋体" w:hAnsi="Courier New" w:eastAsia="楷体_GB2312"/>
      <w:sz w:val="28"/>
      <w:szCs w:val="20"/>
    </w:rPr>
  </w:style>
  <w:style w:type="paragraph" w:customStyle="1" w:styleId="46">
    <w:name w:val="列出段落11"/>
    <w:basedOn w:val="1"/>
    <w:link w:val="87"/>
    <w:unhideWhenUsed/>
    <w:qFormat/>
    <w:uiPriority w:val="0"/>
    <w:pPr>
      <w:ind w:firstLine="420" w:firstLineChars="200"/>
    </w:pPr>
  </w:style>
  <w:style w:type="paragraph" w:customStyle="1" w:styleId="47">
    <w:name w:val="正文空2格  1."/>
    <w:basedOn w:val="1"/>
    <w:qFormat/>
    <w:uiPriority w:val="0"/>
    <w:pPr>
      <w:ind w:firstLine="480" w:firstLineChars="200"/>
    </w:pPr>
    <w:rPr>
      <w:rFonts w:cs="宋体"/>
      <w:szCs w:val="20"/>
    </w:rPr>
  </w:style>
  <w:style w:type="paragraph" w:customStyle="1" w:styleId="48">
    <w:name w:val="List Paragraph11"/>
    <w:basedOn w:val="1"/>
    <w:qFormat/>
    <w:uiPriority w:val="34"/>
    <w:pPr>
      <w:ind w:firstLine="420" w:firstLineChars="200"/>
    </w:pPr>
    <w:rPr>
      <w:rFonts w:ascii="Calibri" w:hAnsi="Calibri"/>
      <w:szCs w:val="22"/>
    </w:rPr>
  </w:style>
  <w:style w:type="paragraph" w:customStyle="1" w:styleId="49">
    <w:name w:val="样式 标题 2 +"/>
    <w:basedOn w:val="4"/>
    <w:qFormat/>
    <w:uiPriority w:val="0"/>
    <w:pPr>
      <w:spacing w:line="500" w:lineRule="exact"/>
    </w:pPr>
    <w:rPr>
      <w:rFonts w:eastAsia="仿宋_GB2312"/>
      <w:sz w:val="30"/>
    </w:rPr>
  </w:style>
  <w:style w:type="paragraph" w:customStyle="1" w:styleId="50">
    <w:name w:val="无间隔2"/>
    <w:qFormat/>
    <w:uiPriority w:val="1"/>
    <w:pPr>
      <w:widowControl w:val="0"/>
      <w:jc w:val="both"/>
    </w:pPr>
    <w:rPr>
      <w:rFonts w:ascii="Calibri" w:hAnsi="Calibri" w:eastAsia="宋体" w:cs="Times New Roman"/>
      <w:kern w:val="2"/>
      <w:sz w:val="21"/>
      <w:szCs w:val="24"/>
      <w:lang w:val="en-US" w:eastAsia="zh-CN" w:bidi="ar-SA"/>
    </w:rPr>
  </w:style>
  <w:style w:type="paragraph" w:customStyle="1" w:styleId="51">
    <w:name w:val="列出段落4"/>
    <w:basedOn w:val="1"/>
    <w:qFormat/>
    <w:uiPriority w:val="34"/>
    <w:pPr>
      <w:ind w:firstLine="420" w:firstLineChars="200"/>
    </w:pPr>
    <w:rPr>
      <w:rFonts w:ascii="Calibri" w:hAnsi="Calibri"/>
      <w:szCs w:val="22"/>
    </w:rPr>
  </w:style>
  <w:style w:type="paragraph" w:customStyle="1" w:styleId="52">
    <w:name w:val="Q"/>
    <w:basedOn w:val="1"/>
    <w:qFormat/>
    <w:uiPriority w:val="0"/>
    <w:pPr>
      <w:spacing w:line="480" w:lineRule="auto"/>
      <w:ind w:firstLine="200" w:firstLineChars="200"/>
      <w:jc w:val="center"/>
    </w:pPr>
    <w:rPr>
      <w:rFonts w:eastAsia="黑体"/>
      <w:b/>
      <w:bCs/>
      <w:spacing w:val="10"/>
      <w:sz w:val="32"/>
      <w:szCs w:val="28"/>
    </w:rPr>
  </w:style>
  <w:style w:type="paragraph" w:customStyle="1" w:styleId="53">
    <w:name w:val="正文文本缩进1"/>
    <w:basedOn w:val="1"/>
    <w:qFormat/>
    <w:uiPriority w:val="0"/>
    <w:pPr>
      <w:spacing w:after="120"/>
      <w:ind w:left="200" w:leftChars="200"/>
    </w:pPr>
    <w:rPr>
      <w:szCs w:val="20"/>
    </w:rPr>
  </w:style>
  <w:style w:type="paragraph" w:customStyle="1" w:styleId="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5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5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5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kern w:val="0"/>
      <w:sz w:val="20"/>
      <w:szCs w:val="20"/>
    </w:rPr>
  </w:style>
  <w:style w:type="paragraph" w:customStyle="1" w:styleId="5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60">
    <w:name w:val="xl70"/>
    <w:basedOn w:val="1"/>
    <w:qFormat/>
    <w:uiPriority w:val="0"/>
    <w:pPr>
      <w:widowControl/>
      <w:spacing w:before="100" w:beforeAutospacing="1" w:after="100" w:afterAutospacing="1"/>
      <w:jc w:val="left"/>
    </w:pPr>
    <w:rPr>
      <w:rFonts w:ascii="仿宋" w:hAnsi="仿宋" w:eastAsia="仿宋" w:cs="宋体"/>
      <w:kern w:val="0"/>
      <w:sz w:val="20"/>
      <w:szCs w:val="20"/>
    </w:rPr>
  </w:style>
  <w:style w:type="paragraph" w:customStyle="1" w:styleId="6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62">
    <w:name w:val="xl72"/>
    <w:basedOn w:val="1"/>
    <w:qFormat/>
    <w:uiPriority w:val="0"/>
    <w:pPr>
      <w:widowControl/>
      <w:spacing w:before="100" w:beforeAutospacing="1" w:after="100" w:afterAutospacing="1"/>
      <w:jc w:val="center"/>
    </w:pPr>
    <w:rPr>
      <w:rFonts w:ascii="仿宋" w:hAnsi="仿宋" w:eastAsia="仿宋" w:cs="宋体"/>
      <w:kern w:val="0"/>
      <w:sz w:val="20"/>
      <w:szCs w:val="20"/>
    </w:rPr>
  </w:style>
  <w:style w:type="paragraph" w:customStyle="1" w:styleId="6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6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6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66">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67">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6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69">
    <w:name w:val="xl79"/>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70">
    <w:name w:val="xl80"/>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71">
    <w:name w:val="xl81"/>
    <w:basedOn w:val="1"/>
    <w:qFormat/>
    <w:uiPriority w:val="0"/>
    <w:pPr>
      <w:widowControl/>
      <w:spacing w:before="100" w:beforeAutospacing="1" w:after="100" w:afterAutospacing="1"/>
      <w:jc w:val="center"/>
    </w:pPr>
    <w:rPr>
      <w:rFonts w:ascii="仿宋" w:hAnsi="仿宋" w:eastAsia="仿宋" w:cs="宋体"/>
      <w:kern w:val="0"/>
      <w:sz w:val="24"/>
    </w:rPr>
  </w:style>
  <w:style w:type="paragraph" w:customStyle="1" w:styleId="7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73">
    <w:name w:val="xl83"/>
    <w:basedOn w:val="1"/>
    <w:qFormat/>
    <w:uiPriority w:val="0"/>
    <w:pPr>
      <w:widowControl/>
      <w:spacing w:before="100" w:beforeAutospacing="1" w:after="100" w:afterAutospacing="1"/>
      <w:jc w:val="left"/>
    </w:pPr>
    <w:rPr>
      <w:rFonts w:ascii="仿宋" w:hAnsi="仿宋" w:eastAsia="仿宋" w:cs="宋体"/>
      <w:kern w:val="0"/>
      <w:sz w:val="24"/>
    </w:rPr>
  </w:style>
  <w:style w:type="paragraph" w:customStyle="1" w:styleId="74">
    <w:name w:val="WPSOffice手动目录 1"/>
    <w:qFormat/>
    <w:uiPriority w:val="0"/>
    <w:rPr>
      <w:rFonts w:ascii="Times New Roman" w:hAnsi="Times New Roman" w:eastAsia="宋体" w:cs="Times New Roman"/>
      <w:lang w:val="en-US" w:eastAsia="zh-CN" w:bidi="ar-SA"/>
    </w:rPr>
  </w:style>
  <w:style w:type="paragraph" w:customStyle="1" w:styleId="75">
    <w:name w:val="Header or footer|2"/>
    <w:basedOn w:val="1"/>
    <w:qFormat/>
    <w:uiPriority w:val="0"/>
    <w:rPr>
      <w:sz w:val="20"/>
      <w:szCs w:val="20"/>
      <w:lang w:val="zh-TW" w:eastAsia="zh-TW" w:bidi="zh-TW"/>
    </w:rPr>
  </w:style>
  <w:style w:type="character" w:customStyle="1" w:styleId="76">
    <w:name w:val="标题 1 Char"/>
    <w:basedOn w:val="27"/>
    <w:link w:val="3"/>
    <w:qFormat/>
    <w:uiPriority w:val="0"/>
    <w:rPr>
      <w:b/>
      <w:bCs/>
      <w:kern w:val="44"/>
      <w:sz w:val="44"/>
      <w:szCs w:val="44"/>
    </w:rPr>
  </w:style>
  <w:style w:type="character" w:customStyle="1" w:styleId="77">
    <w:name w:val="标题 2 Char1"/>
    <w:link w:val="4"/>
    <w:qFormat/>
    <w:uiPriority w:val="0"/>
    <w:rPr>
      <w:rFonts w:ascii="Arial" w:hAnsi="Arial" w:eastAsia="黑体"/>
      <w:b/>
      <w:bCs/>
      <w:sz w:val="32"/>
      <w:szCs w:val="32"/>
    </w:rPr>
  </w:style>
  <w:style w:type="character" w:customStyle="1" w:styleId="78">
    <w:name w:val="标题 4 Char"/>
    <w:basedOn w:val="27"/>
    <w:link w:val="6"/>
    <w:qFormat/>
    <w:uiPriority w:val="0"/>
    <w:rPr>
      <w:rFonts w:ascii="宋体" w:hAnsi="宋体"/>
      <w:b/>
      <w:bCs/>
      <w:kern w:val="2"/>
      <w:sz w:val="24"/>
      <w:szCs w:val="28"/>
    </w:rPr>
  </w:style>
  <w:style w:type="character" w:customStyle="1" w:styleId="79">
    <w:name w:val="标题 5 Char"/>
    <w:basedOn w:val="27"/>
    <w:link w:val="7"/>
    <w:qFormat/>
    <w:uiPriority w:val="0"/>
    <w:rPr>
      <w:b/>
      <w:bCs/>
      <w:kern w:val="2"/>
      <w:sz w:val="28"/>
      <w:szCs w:val="28"/>
    </w:rPr>
  </w:style>
  <w:style w:type="character" w:customStyle="1" w:styleId="80">
    <w:name w:val="文档结构图 Char"/>
    <w:basedOn w:val="27"/>
    <w:link w:val="9"/>
    <w:qFormat/>
    <w:uiPriority w:val="0"/>
    <w:rPr>
      <w:rFonts w:ascii="宋体" w:hAnsi="宋体" w:cs="黑体"/>
      <w:sz w:val="18"/>
      <w:szCs w:val="18"/>
    </w:rPr>
  </w:style>
  <w:style w:type="character" w:customStyle="1" w:styleId="81">
    <w:name w:val="正文文本 3 Char"/>
    <w:basedOn w:val="27"/>
    <w:link w:val="11"/>
    <w:qFormat/>
    <w:uiPriority w:val="0"/>
    <w:rPr>
      <w:rFonts w:ascii="仿宋_GB2312" w:hAnsi="Calibri" w:eastAsia="仿宋_GB2312"/>
      <w:kern w:val="2"/>
      <w:sz w:val="32"/>
      <w:szCs w:val="24"/>
    </w:rPr>
  </w:style>
  <w:style w:type="character" w:customStyle="1" w:styleId="82">
    <w:name w:val="日期 Char"/>
    <w:link w:val="16"/>
    <w:qFormat/>
    <w:uiPriority w:val="0"/>
    <w:rPr>
      <w:rFonts w:ascii="仿宋_GB2312" w:eastAsia="仿宋_GB2312"/>
      <w:kern w:val="2"/>
      <w:sz w:val="30"/>
    </w:rPr>
  </w:style>
  <w:style w:type="character" w:customStyle="1" w:styleId="83">
    <w:name w:val="批注框文本 Char"/>
    <w:basedOn w:val="27"/>
    <w:link w:val="17"/>
    <w:qFormat/>
    <w:uiPriority w:val="0"/>
    <w:rPr>
      <w:kern w:val="2"/>
      <w:sz w:val="18"/>
      <w:szCs w:val="18"/>
    </w:rPr>
  </w:style>
  <w:style w:type="character" w:customStyle="1" w:styleId="84">
    <w:name w:val="页脚 Char"/>
    <w:basedOn w:val="27"/>
    <w:link w:val="18"/>
    <w:qFormat/>
    <w:uiPriority w:val="99"/>
    <w:rPr>
      <w:kern w:val="2"/>
      <w:sz w:val="18"/>
      <w:szCs w:val="24"/>
    </w:rPr>
  </w:style>
  <w:style w:type="character" w:customStyle="1" w:styleId="85">
    <w:name w:val="页眉 Char"/>
    <w:basedOn w:val="27"/>
    <w:link w:val="19"/>
    <w:qFormat/>
    <w:uiPriority w:val="99"/>
    <w:rPr>
      <w:kern w:val="2"/>
      <w:sz w:val="18"/>
      <w:szCs w:val="24"/>
    </w:rPr>
  </w:style>
  <w:style w:type="character" w:customStyle="1" w:styleId="86">
    <w:name w:val="无间隔 Char"/>
    <w:basedOn w:val="27"/>
    <w:link w:val="40"/>
    <w:qFormat/>
    <w:uiPriority w:val="1"/>
    <w:rPr>
      <w:rFonts w:ascii="Georgia" w:hAnsi="Georgia"/>
      <w:sz w:val="22"/>
      <w:szCs w:val="22"/>
      <w:lang w:val="en-US" w:eastAsia="zh-CN" w:bidi="ar-SA"/>
    </w:rPr>
  </w:style>
  <w:style w:type="character" w:customStyle="1" w:styleId="87">
    <w:name w:val="列出段落 Char"/>
    <w:link w:val="46"/>
    <w:qFormat/>
    <w:locked/>
    <w:uiPriority w:val="0"/>
    <w:rPr>
      <w:kern w:val="2"/>
      <w:sz w:val="21"/>
      <w:szCs w:val="24"/>
    </w:rPr>
  </w:style>
  <w:style w:type="character" w:customStyle="1" w:styleId="88">
    <w:name w:val="bus_type_3"/>
    <w:basedOn w:val="27"/>
    <w:qFormat/>
    <w:uiPriority w:val="0"/>
    <w:rPr>
      <w:shd w:val="clear" w:color="auto" w:fill="43CC8D"/>
    </w:rPr>
  </w:style>
  <w:style w:type="character" w:customStyle="1" w:styleId="89">
    <w:name w:val="ts_tip_1"/>
    <w:basedOn w:val="27"/>
    <w:qFormat/>
    <w:uiPriority w:val="0"/>
    <w:rPr>
      <w:color w:val="468B02"/>
    </w:rPr>
  </w:style>
  <w:style w:type="character" w:customStyle="1" w:styleId="90">
    <w:name w:val="bs_tm"/>
    <w:basedOn w:val="27"/>
    <w:qFormat/>
    <w:uiPriority w:val="0"/>
  </w:style>
  <w:style w:type="character" w:customStyle="1" w:styleId="91">
    <w:name w:val="bus_type_2"/>
    <w:basedOn w:val="27"/>
    <w:qFormat/>
    <w:uiPriority w:val="0"/>
    <w:rPr>
      <w:shd w:val="clear" w:color="auto" w:fill="FF4141"/>
    </w:rPr>
  </w:style>
  <w:style w:type="character" w:customStyle="1" w:styleId="92">
    <w:name w:val="input_span1"/>
    <w:basedOn w:val="27"/>
    <w:qFormat/>
    <w:uiPriority w:val="0"/>
  </w:style>
  <w:style w:type="character" w:customStyle="1" w:styleId="93">
    <w:name w:val="linebg1"/>
    <w:basedOn w:val="27"/>
    <w:qFormat/>
    <w:uiPriority w:val="0"/>
  </w:style>
  <w:style w:type="character" w:customStyle="1" w:styleId="94">
    <w:name w:val="apple-converted-space"/>
    <w:basedOn w:val="27"/>
    <w:qFormat/>
    <w:uiPriority w:val="0"/>
  </w:style>
  <w:style w:type="character" w:customStyle="1" w:styleId="95">
    <w:name w:val="bs_clc"/>
    <w:basedOn w:val="27"/>
    <w:qFormat/>
    <w:uiPriority w:val="0"/>
  </w:style>
  <w:style w:type="character" w:customStyle="1" w:styleId="96">
    <w:name w:val="ts_tip_2"/>
    <w:basedOn w:val="27"/>
    <w:qFormat/>
    <w:uiPriority w:val="0"/>
    <w:rPr>
      <w:color w:val="E43023"/>
    </w:rPr>
  </w:style>
  <w:style w:type="character" w:customStyle="1" w:styleId="97">
    <w:name w:val="map_taglist"/>
    <w:basedOn w:val="27"/>
    <w:qFormat/>
    <w:uiPriority w:val="0"/>
    <w:rPr>
      <w:color w:val="666666"/>
    </w:rPr>
  </w:style>
  <w:style w:type="character" w:customStyle="1" w:styleId="98">
    <w:name w:val="linebg"/>
    <w:basedOn w:val="27"/>
    <w:qFormat/>
    <w:uiPriority w:val="0"/>
  </w:style>
  <w:style w:type="character" w:customStyle="1" w:styleId="99">
    <w:name w:val="n-grey1"/>
    <w:basedOn w:val="27"/>
    <w:qFormat/>
    <w:uiPriority w:val="0"/>
  </w:style>
  <w:style w:type="character" w:customStyle="1" w:styleId="100">
    <w:name w:val="linebg_on"/>
    <w:basedOn w:val="27"/>
    <w:qFormat/>
    <w:uiPriority w:val="0"/>
  </w:style>
  <w:style w:type="character" w:customStyle="1" w:styleId="101">
    <w:name w:val="bus_type_4"/>
    <w:basedOn w:val="27"/>
    <w:qFormat/>
    <w:uiPriority w:val="0"/>
    <w:rPr>
      <w:shd w:val="clear" w:color="auto" w:fill="333F89"/>
    </w:rPr>
  </w:style>
  <w:style w:type="character" w:customStyle="1" w:styleId="102">
    <w:name w:val="bus_type_0"/>
    <w:basedOn w:val="27"/>
    <w:qFormat/>
    <w:uiPriority w:val="0"/>
    <w:rPr>
      <w:shd w:val="clear" w:color="auto" w:fill="FF8853"/>
    </w:rPr>
  </w:style>
  <w:style w:type="character" w:customStyle="1" w:styleId="103">
    <w:name w:val="bs_cal"/>
    <w:basedOn w:val="27"/>
    <w:qFormat/>
    <w:uiPriority w:val="0"/>
  </w:style>
  <w:style w:type="character" w:customStyle="1" w:styleId="104">
    <w:name w:val="input_span11"/>
    <w:basedOn w:val="27"/>
    <w:qFormat/>
    <w:uiPriority w:val="0"/>
  </w:style>
  <w:style w:type="character" w:customStyle="1" w:styleId="105">
    <w:name w:val="bs_tm1"/>
    <w:basedOn w:val="27"/>
    <w:qFormat/>
    <w:uiPriority w:val="0"/>
  </w:style>
  <w:style w:type="character" w:customStyle="1" w:styleId="106">
    <w:name w:val="linebg_on1"/>
    <w:basedOn w:val="27"/>
    <w:qFormat/>
    <w:uiPriority w:val="0"/>
  </w:style>
  <w:style w:type="character" w:customStyle="1" w:styleId="107">
    <w:name w:val="time_dis"/>
    <w:basedOn w:val="27"/>
    <w:qFormat/>
    <w:uiPriority w:val="0"/>
  </w:style>
  <w:style w:type="character" w:customStyle="1" w:styleId="108">
    <w:name w:val="bus_type_tip"/>
    <w:basedOn w:val="27"/>
    <w:qFormat/>
    <w:uiPriority w:val="0"/>
    <w:rPr>
      <w:color w:val="FFFFFF"/>
      <w:sz w:val="18"/>
      <w:szCs w:val="18"/>
    </w:rPr>
  </w:style>
  <w:style w:type="character" w:customStyle="1" w:styleId="109">
    <w:name w:val="标题 2 Char"/>
    <w:qFormat/>
    <w:uiPriority w:val="0"/>
    <w:rPr>
      <w:rFonts w:ascii="Arial" w:hAnsi="Arial" w:eastAsia="黑体"/>
      <w:b/>
      <w:bCs/>
      <w:sz w:val="32"/>
      <w:szCs w:val="32"/>
    </w:rPr>
  </w:style>
  <w:style w:type="character" w:customStyle="1" w:styleId="110">
    <w:name w:val="日期 Char1"/>
    <w:basedOn w:val="27"/>
    <w:qFormat/>
    <w:uiPriority w:val="0"/>
    <w:rPr>
      <w:kern w:val="2"/>
      <w:sz w:val="21"/>
      <w:szCs w:val="24"/>
    </w:rPr>
  </w:style>
  <w:style w:type="character" w:customStyle="1" w:styleId="111">
    <w:name w:val="纯文本 Char"/>
    <w:link w:val="15"/>
    <w:qFormat/>
    <w:uiPriority w:val="0"/>
    <w:rPr>
      <w:rFonts w:ascii="宋体" w:hAnsi="Courier New"/>
      <w:kern w:val="2"/>
      <w:sz w:val="21"/>
    </w:rPr>
  </w:style>
  <w:style w:type="character" w:customStyle="1" w:styleId="112">
    <w:name w:val="纯文本 Char1"/>
    <w:basedOn w:val="27"/>
    <w:semiHidden/>
    <w:qFormat/>
    <w:uiPriority w:val="0"/>
    <w:rPr>
      <w:rFonts w:ascii="宋体" w:hAnsi="Courier New" w:cs="Courier New"/>
      <w:kern w:val="2"/>
      <w:sz w:val="21"/>
      <w:szCs w:val="21"/>
    </w:rPr>
  </w:style>
  <w:style w:type="character" w:customStyle="1" w:styleId="113">
    <w:name w:val="正文文本缩进 Char"/>
    <w:basedOn w:val="27"/>
    <w:link w:val="13"/>
    <w:qFormat/>
    <w:uiPriority w:val="99"/>
    <w:rPr>
      <w:rFonts w:ascii="Verdana" w:hAnsi="Verdana"/>
      <w:kern w:val="2"/>
      <w:sz w:val="21"/>
      <w:szCs w:val="24"/>
      <w:lang w:eastAsia="en-US"/>
    </w:rPr>
  </w:style>
  <w:style w:type="character" w:customStyle="1" w:styleId="114">
    <w:name w:val="正文首行缩进 2 Char"/>
    <w:basedOn w:val="113"/>
    <w:link w:val="24"/>
    <w:qFormat/>
    <w:uiPriority w:val="99"/>
    <w:rPr>
      <w:rFonts w:ascii="Verdana" w:hAnsi="Verdana"/>
      <w:kern w:val="2"/>
      <w:sz w:val="21"/>
      <w:szCs w:val="24"/>
      <w:lang w:eastAsia="en-US"/>
    </w:rPr>
  </w:style>
  <w:style w:type="character" w:customStyle="1" w:styleId="115">
    <w:name w:val="标题 1 Char1"/>
    <w:qFormat/>
    <w:uiPriority w:val="0"/>
    <w:rPr>
      <w:rFonts w:ascii="Times New Roman" w:hAnsi="Times New Roman" w:eastAsia="宋体" w:cs="Times New Roman"/>
      <w:b/>
      <w:bCs/>
      <w:kern w:val="44"/>
      <w:sz w:val="44"/>
      <w:szCs w:val="44"/>
    </w:rPr>
  </w:style>
  <w:style w:type="character" w:customStyle="1" w:styleId="116">
    <w:name w:val="标题 3 Char"/>
    <w:link w:val="5"/>
    <w:qFormat/>
    <w:uiPriority w:val="0"/>
    <w:rPr>
      <w:b/>
      <w:sz w:val="32"/>
    </w:rPr>
  </w:style>
  <w:style w:type="character" w:customStyle="1" w:styleId="117">
    <w:name w:val="bord"/>
    <w:basedOn w:val="27"/>
    <w:qFormat/>
    <w:uiPriority w:val="0"/>
  </w:style>
  <w:style w:type="character" w:customStyle="1" w:styleId="118">
    <w:name w:val="正文文本 Char"/>
    <w:basedOn w:val="27"/>
    <w:link w:val="12"/>
    <w:qFormat/>
    <w:uiPriority w:val="0"/>
    <w:rPr>
      <w:rFonts w:ascii="Times New Roman" w:hAnsi="Times New Roman" w:cs="Times New Roman"/>
      <w:kern w:val="2"/>
      <w:sz w:val="21"/>
      <w:szCs w:val="24"/>
    </w:rPr>
  </w:style>
  <w:style w:type="paragraph" w:customStyle="1" w:styleId="119">
    <w:name w:val="￥正文"/>
    <w:basedOn w:val="1"/>
    <w:qFormat/>
    <w:uiPriority w:val="0"/>
    <w:pPr>
      <w:spacing w:line="360" w:lineRule="auto"/>
      <w:ind w:firstLine="200" w:firstLineChars="200"/>
    </w:pPr>
    <w:rPr>
      <w:rFonts w:ascii="Calibri" w:hAnsi="Calibri"/>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100"/>
    <customShpInfo spid="_x0000_s4098"/>
    <customShpInfo spid="_x0000_s4099"/>
    <customShpInfo spid="_x0000_s4097"/>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BEAEB9-F339-43AB-B075-F405F0B853C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69</Pages>
  <Words>33070</Words>
  <Characters>35359</Characters>
  <Lines>268</Lines>
  <Paragraphs>75</Paragraphs>
  <TotalTime>0</TotalTime>
  <ScaleCrop>false</ScaleCrop>
  <LinksUpToDate>false</LinksUpToDate>
  <CharactersWithSpaces>35607</CharactersWithSpaces>
  <Application>WPS Office_11.1.0.12349_F1E327BC-269C-435d-A152-05C5408002CA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2022-05-24T08:17:00Z</dcterms:created>
  <dc:creator>123456</dc:creator>
  <cp:lastModifiedBy>399</cp:lastModifiedBy>
  <cp:lastPrinted>2022-07-28T02:19:00Z</cp:lastPrinted>
  <dcterms:modified xsi:type="dcterms:W3CDTF">2022-08-25T07:32:50Z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2052-11.1.0.12349</vt:lpwstr>
  </property>
  <property fmtid="{D5CDD505-2E9C-101B-9397-08002B2CF9AE}" pid="3" name="ICV">
    <vt:lpwstr>B2F875ADA9644AC9B7C541E77704CCF8</vt:lpwstr>
  </property>
</Properties>
</file>