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ascii="宋体" w:hAnsi="宋体" w:cs="宋体"/>
          <w:b/>
          <w:bCs/>
          <w:sz w:val="36"/>
          <w:szCs w:val="24"/>
        </w:rPr>
      </w:pPr>
      <w:bookmarkStart w:id="0" w:name="_Toc133204461"/>
      <w:bookmarkStart w:id="1" w:name="_Toc32661"/>
      <w:bookmarkStart w:id="2" w:name="_Toc133137798"/>
      <w:bookmarkStart w:id="3" w:name="_Toc493605396"/>
      <w:bookmarkStart w:id="4" w:name="_Toc493603941"/>
      <w:bookmarkStart w:id="5" w:name="_Toc508699716"/>
      <w:bookmarkStart w:id="6" w:name="_Toc28637"/>
      <w:bookmarkStart w:id="7" w:name="_Toc204399305"/>
      <w:bookmarkStart w:id="8" w:name="_Toc20479"/>
      <w:r>
        <w:rPr>
          <w:rFonts w:hint="eastAsia" w:ascii="宋体" w:hAnsi="宋体" w:cs="宋体"/>
          <w:b/>
          <w:bCs/>
          <w:sz w:val="36"/>
          <w:szCs w:val="24"/>
          <w:lang w:eastAsia="zh-CN"/>
        </w:rPr>
        <w:t>《</w:t>
      </w:r>
      <w:r>
        <w:rPr>
          <w:rFonts w:hint="eastAsia" w:ascii="宋体" w:hAnsi="宋体" w:cs="宋体"/>
          <w:b/>
          <w:bCs/>
          <w:sz w:val="36"/>
          <w:szCs w:val="24"/>
        </w:rPr>
        <w:t>环新英湾地区风貌管控研究和技术管理规定</w:t>
      </w:r>
      <w:r>
        <w:rPr>
          <w:rFonts w:hint="eastAsia" w:ascii="宋体" w:hAnsi="宋体" w:cs="宋体"/>
          <w:b/>
          <w:bCs/>
          <w:sz w:val="36"/>
          <w:szCs w:val="24"/>
          <w:lang w:eastAsia="zh-CN"/>
        </w:rPr>
        <w:t>》</w:t>
      </w:r>
      <w:r>
        <w:rPr>
          <w:rFonts w:hint="eastAsia" w:ascii="宋体" w:hAnsi="宋体" w:cs="宋体"/>
          <w:b/>
          <w:bCs/>
          <w:sz w:val="36"/>
          <w:szCs w:val="24"/>
        </w:rPr>
        <w:t>项目采购需求</w:t>
      </w:r>
    </w:p>
    <w:p>
      <w:pPr>
        <w:ind w:firstLine="422" w:firstLineChars="200"/>
        <w:rPr>
          <w:rFonts w:cs="宋体"/>
          <w:b/>
          <w:bCs/>
        </w:rPr>
      </w:pP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w:t>
      </w:r>
    </w:p>
    <w:p>
      <w:pPr>
        <w:spacing w:before="157" w:beforeLines="50" w:line="360" w:lineRule="auto"/>
        <w:ind w:firstLine="480" w:firstLineChars="200"/>
        <w:rPr>
          <w:rFonts w:ascii="宋体" w:hAnsi="宋体" w:cs="宋体"/>
          <w:sz w:val="24"/>
          <w:szCs w:val="24"/>
        </w:rPr>
      </w:pPr>
      <w:r>
        <w:rPr>
          <w:rFonts w:hint="eastAsia" w:ascii="宋体" w:hAnsi="宋体" w:cs="宋体"/>
          <w:sz w:val="24"/>
          <w:szCs w:val="24"/>
        </w:rPr>
        <w:t>中共儋州市委推进环新英湾港产城一体化开发建设领导小组办公室</w:t>
      </w:r>
    </w:p>
    <w:p>
      <w:pPr>
        <w:spacing w:before="157" w:beforeLines="50" w:line="360" w:lineRule="auto"/>
        <w:ind w:firstLine="482" w:firstLineChars="200"/>
        <w:rPr>
          <w:rFonts w:ascii="宋体" w:cs="Times New Roman"/>
          <w:b/>
          <w:bCs/>
          <w:sz w:val="24"/>
          <w:szCs w:val="24"/>
        </w:rPr>
      </w:pPr>
      <w:r>
        <w:rPr>
          <w:rFonts w:hint="eastAsia" w:ascii="宋体" w:hAnsi="宋体" w:cs="宋体"/>
          <w:b/>
          <w:bCs/>
          <w:sz w:val="24"/>
          <w:szCs w:val="24"/>
        </w:rPr>
        <w:t>二、项目概况</w:t>
      </w:r>
    </w:p>
    <w:p>
      <w:pPr>
        <w:spacing w:line="360" w:lineRule="auto"/>
        <w:ind w:firstLine="480" w:firstLineChars="200"/>
        <w:rPr>
          <w:rFonts w:hint="eastAsia" w:hAnsi="宋体" w:cs="宋体"/>
          <w:sz w:val="24"/>
          <w:szCs w:val="24"/>
        </w:rPr>
      </w:pPr>
      <w:r>
        <w:rPr>
          <w:rFonts w:ascii="宋体" w:hAnsi="宋体" w:cs="宋体"/>
          <w:sz w:val="24"/>
          <w:szCs w:val="24"/>
        </w:rPr>
        <w:t>1</w:t>
      </w:r>
      <w:r>
        <w:rPr>
          <w:rFonts w:hint="eastAsia" w:ascii="宋体" w:hAnsi="宋体" w:cs="宋体"/>
          <w:sz w:val="24"/>
          <w:szCs w:val="24"/>
        </w:rPr>
        <w:t>、项目名称：</w:t>
      </w:r>
      <w:r>
        <w:rPr>
          <w:rFonts w:hint="eastAsia" w:hAnsi="宋体" w:cs="宋体"/>
          <w:sz w:val="24"/>
          <w:szCs w:val="24"/>
        </w:rPr>
        <w:t>环新英湾地区风貌管控研究和技术管理规定</w:t>
      </w:r>
    </w:p>
    <w:p>
      <w:pPr>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、预算金额（最高限价）：280万元</w:t>
      </w:r>
    </w:p>
    <w:p>
      <w:pPr>
        <w:spacing w:line="360" w:lineRule="auto"/>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、服务地点：</w:t>
      </w:r>
      <w:r>
        <w:rPr>
          <w:rFonts w:hint="eastAsia" w:ascii="宋体" w:hAnsi="宋体" w:cs="宋体"/>
          <w:sz w:val="24"/>
          <w:szCs w:val="24"/>
          <w:lang w:val="en-US" w:eastAsia="zh-CN"/>
        </w:rPr>
        <w:t>儋州市环</w:t>
      </w:r>
      <w:r>
        <w:rPr>
          <w:rFonts w:hint="eastAsia" w:ascii="宋体" w:hAnsi="宋体" w:cs="宋体"/>
          <w:sz w:val="24"/>
          <w:szCs w:val="24"/>
        </w:rPr>
        <w:t>新英湾地区</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三、项目背景</w:t>
      </w:r>
    </w:p>
    <w:p>
      <w:pPr>
        <w:spacing w:before="157" w:beforeLines="50" w:line="360" w:lineRule="auto"/>
        <w:ind w:firstLine="480" w:firstLineChars="200"/>
        <w:rPr>
          <w:rFonts w:ascii="宋体" w:hAnsi="宋体" w:cs="宋体"/>
          <w:sz w:val="24"/>
          <w:szCs w:val="24"/>
        </w:rPr>
      </w:pPr>
      <w:r>
        <w:rPr>
          <w:rFonts w:hint="eastAsia" w:ascii="宋体" w:hAnsi="宋体" w:cs="宋体"/>
          <w:sz w:val="24"/>
          <w:szCs w:val="24"/>
        </w:rPr>
        <w:t>海南是我国唯一的中国特色自由贸易港，是探索自由贸易港政策和制度体系的试验区。作为海南“第三极”的环新英湾地区是举海南全省之力推动的</w:t>
      </w:r>
      <w:r>
        <w:rPr>
          <w:rFonts w:ascii="宋体" w:hAnsi="宋体" w:cs="宋体"/>
          <w:sz w:val="24"/>
          <w:szCs w:val="24"/>
        </w:rPr>
        <w:t>国家最高水平开放形态的先行示范区</w:t>
      </w:r>
      <w:r>
        <w:rPr>
          <w:rFonts w:hint="eastAsia" w:ascii="宋体" w:hAnsi="宋体" w:cs="宋体"/>
          <w:sz w:val="24"/>
          <w:szCs w:val="24"/>
        </w:rPr>
        <w:t>，是围绕自贸港国家战略建设的</w:t>
      </w:r>
      <w:r>
        <w:rPr>
          <w:rFonts w:ascii="宋体" w:hAnsi="宋体" w:cs="宋体"/>
          <w:sz w:val="24"/>
          <w:szCs w:val="24"/>
        </w:rPr>
        <w:t>国家西部陆海新通道国际航运枢纽</w:t>
      </w:r>
      <w:r>
        <w:rPr>
          <w:rFonts w:hint="eastAsia" w:ascii="宋体" w:hAnsi="宋体" w:cs="宋体"/>
          <w:sz w:val="24"/>
          <w:szCs w:val="24"/>
        </w:rPr>
        <w:t>，是海南临港经济引领区，是</w:t>
      </w:r>
      <w:r>
        <w:rPr>
          <w:rFonts w:ascii="宋体" w:hAnsi="宋体" w:cs="宋体"/>
          <w:sz w:val="24"/>
          <w:szCs w:val="24"/>
        </w:rPr>
        <w:t>海南自贸港面向东南亚高水平开放和对接国际高标准经贸规则的桥头堡。</w:t>
      </w:r>
    </w:p>
    <w:p>
      <w:pPr>
        <w:spacing w:line="360" w:lineRule="auto"/>
        <w:ind w:firstLine="480" w:firstLineChars="200"/>
        <w:rPr>
          <w:rFonts w:ascii="宋体" w:hAnsi="宋体" w:cs="宋体"/>
          <w:sz w:val="24"/>
          <w:szCs w:val="24"/>
        </w:rPr>
      </w:pPr>
      <w:r>
        <w:rPr>
          <w:rFonts w:hint="eastAsia" w:ascii="宋体" w:hAnsi="宋体" w:cs="宋体"/>
          <w:sz w:val="24"/>
          <w:szCs w:val="24"/>
        </w:rPr>
        <w:t>为深入落实海南建设自由贸易港、环新英湾地区构建海南“第三极”发展目标，高起点、高标准规划城市建设，确保“港产城”协调发展，城市风貌和谐统一，杜绝“千城一面”问题，围绕“</w:t>
      </w:r>
      <w:r>
        <w:rPr>
          <w:rFonts w:ascii="宋体" w:hAnsi="宋体" w:cs="宋体"/>
          <w:sz w:val="24"/>
          <w:szCs w:val="24"/>
        </w:rPr>
        <w:t>千年古郡</w:t>
      </w:r>
      <w:r>
        <w:rPr>
          <w:rFonts w:hint="eastAsia" w:ascii="宋体" w:hAnsi="宋体" w:cs="宋体"/>
          <w:sz w:val="24"/>
          <w:szCs w:val="24"/>
        </w:rPr>
        <w:t>，</w:t>
      </w:r>
      <w:r>
        <w:rPr>
          <w:rFonts w:ascii="宋体" w:hAnsi="宋体" w:cs="宋体"/>
          <w:sz w:val="24"/>
          <w:szCs w:val="24"/>
        </w:rPr>
        <w:t>世界湾区</w:t>
      </w:r>
      <w:r>
        <w:rPr>
          <w:rFonts w:hint="eastAsia" w:ascii="宋体" w:hAnsi="宋体" w:cs="宋体"/>
          <w:sz w:val="24"/>
          <w:szCs w:val="24"/>
        </w:rPr>
        <w:t>”</w:t>
      </w:r>
      <w:r>
        <w:rPr>
          <w:rFonts w:ascii="宋体" w:hAnsi="宋体" w:cs="宋体"/>
          <w:sz w:val="24"/>
          <w:szCs w:val="24"/>
        </w:rPr>
        <w:t>的未来城市总体形象定位</w:t>
      </w:r>
      <w:r>
        <w:rPr>
          <w:rFonts w:hint="eastAsia" w:ascii="宋体" w:hAnsi="宋体" w:cs="宋体"/>
          <w:sz w:val="24"/>
          <w:szCs w:val="24"/>
        </w:rPr>
        <w:t>，针对环新英湾地区开展风貌管控研究和技术管理规定编制工作，提出环湾地区响亮的发展方向、提炼地方历史文化遗迹，形成自我发展符号，打造具有代表性和独特性的城市形象与城市个性；对规划范围进行深入研究，梳理其现状风貌特征及问题，提炼总体风貌特色及目标，确定“一区七镇”的风貌定位，对城市风貌物质层面要素（建筑、街道、绿化、街具、色彩等）提出建设管控要求，并就城市风貌的提升，提出针对性的实施策略，为城市开发建设和管理治理工作，提供必要的技术支持和依据。</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四、项目范围</w:t>
      </w:r>
    </w:p>
    <w:p>
      <w:pPr>
        <w:spacing w:line="360" w:lineRule="auto"/>
        <w:ind w:firstLine="480" w:firstLineChars="200"/>
      </w:pPr>
      <w:r>
        <w:rPr>
          <w:rFonts w:hint="eastAsia" w:ascii="宋体" w:hAnsi="宋体" w:cs="宋体"/>
          <w:sz w:val="24"/>
          <w:szCs w:val="24"/>
        </w:rPr>
        <w:t>环新英湾地区陆域范围，涵盖</w:t>
      </w:r>
      <w:r>
        <w:rPr>
          <w:rFonts w:ascii="宋体" w:hAnsi="宋体" w:cs="宋体"/>
          <w:sz w:val="24"/>
          <w:szCs w:val="24"/>
        </w:rPr>
        <w:t>洋浦经济开发区、白马井镇、峨蔓镇、木棠镇、新州镇、中和镇、排浦镇、王五镇</w:t>
      </w:r>
      <w:r>
        <w:rPr>
          <w:rFonts w:hint="eastAsia" w:ascii="宋体" w:hAnsi="宋体" w:cs="宋体"/>
          <w:sz w:val="24"/>
          <w:szCs w:val="24"/>
        </w:rPr>
        <w:t>的“一区七镇”范围，</w:t>
      </w:r>
      <w:r>
        <w:rPr>
          <w:rFonts w:hint="eastAsia" w:ascii="宋体" w:hAnsi="宋体" w:cs="宋体"/>
          <w:sz w:val="24"/>
          <w:szCs w:val="24"/>
          <w:lang w:val="en-US" w:eastAsia="zh-CN"/>
        </w:rPr>
        <w:t>陆域</w:t>
      </w:r>
      <w:r>
        <w:rPr>
          <w:rFonts w:hint="eastAsia" w:ascii="宋体" w:hAnsi="宋体" w:cs="宋体"/>
          <w:sz w:val="24"/>
          <w:szCs w:val="24"/>
        </w:rPr>
        <w:t>总面积876平方公里。</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五、编制目的</w:t>
      </w:r>
    </w:p>
    <w:p>
      <w:pPr>
        <w:spacing w:line="360" w:lineRule="auto"/>
        <w:ind w:firstLine="480" w:firstLineChars="200"/>
        <w:rPr>
          <w:rFonts w:ascii="宋体" w:hAnsi="宋体" w:cs="宋体"/>
          <w:sz w:val="24"/>
          <w:szCs w:val="24"/>
        </w:rPr>
      </w:pPr>
      <w:r>
        <w:rPr>
          <w:rFonts w:hint="eastAsia" w:ascii="宋体" w:hAnsi="宋体" w:cs="宋体"/>
          <w:sz w:val="24"/>
          <w:szCs w:val="24"/>
        </w:rPr>
        <w:t>为加强环新英湾地区城市设计和建筑风貌管理水平，探索国土空间规划体系背景下城市设计实施路径和管控内容，营造富有海南</w:t>
      </w:r>
      <w:r>
        <w:rPr>
          <w:rFonts w:hint="eastAsia" w:ascii="宋体" w:hAnsi="宋体" w:cs="宋体"/>
          <w:sz w:val="24"/>
          <w:szCs w:val="24"/>
          <w:lang w:val="en-US" w:eastAsia="zh-CN"/>
        </w:rPr>
        <w:t>自贸港</w:t>
      </w:r>
      <w:r>
        <w:rPr>
          <w:rFonts w:hint="eastAsia" w:ascii="宋体" w:hAnsi="宋体" w:cs="宋体"/>
          <w:sz w:val="24"/>
          <w:szCs w:val="24"/>
        </w:rPr>
        <w:t>特色和地域特色的优美和谐的城市与建筑风貌，防止“千层一面”的特色缺失和“贪大、媚洋、求怪”的特色过度化滥用两个极端，加强城市设计与建筑风貌管控，秉承“科学、务实、可操作”的原则，建立城市特色风貌的全域化管控与精细化管理体系，塑造整体和谐、富有特色的城镇景观，体现海南自由贸易港的地域特征、民族特色和时代风貌。</w:t>
      </w:r>
    </w:p>
    <w:p>
      <w:pPr>
        <w:spacing w:line="360" w:lineRule="auto"/>
        <w:ind w:firstLine="480" w:firstLineChars="200"/>
        <w:rPr>
          <w:rFonts w:ascii="宋体" w:hAnsi="宋体" w:cs="宋体"/>
          <w:sz w:val="24"/>
          <w:szCs w:val="24"/>
        </w:rPr>
      </w:pPr>
      <w:r>
        <w:rPr>
          <w:rFonts w:hint="eastAsia" w:ascii="宋体" w:hAnsi="宋体" w:cs="宋体"/>
          <w:sz w:val="24"/>
          <w:szCs w:val="24"/>
        </w:rPr>
        <w:t>通过对环湾地区现状风貌精心评估，借鉴国内外优秀城市建设经验，通过挖掘自然山海、历史人文等独特价值，提炼地区风貌总体特殊，提出城市风貌总体控制原则、总体空间特色、片区特色元素等内容，形成覆盖全域的风貌空间分层级管控体系。从片区、街区、节点、地标建筑、普通建筑、城市细节等层面，提出风貌管理要素库，通过附加图则，采用图、表、文结合的表达方式，提出特色风貌管控要素的管控方式与内容，形成环新英湾地区风貌管控技术管理规定，为全域化管控与精细化管理，提供技术支撑，为科学引导城市建设方案设计和审批，提供技术支持。</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六、规划依据和参考</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《中华人民共和国城乡规划法》</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《海南省城乡规划条例》</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《中共中央国务院关于进一步加强城市规划建管理工作的若干意见》（中发〔2016〕6 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《国土空间规划城市设计指南》</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《城市规划编制办法实施细则》</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《城市、镇控制性详细规划编制审批办法》</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住房和城乡建设部《城市规划编制办法》（部令第146号）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住房和城乡建设部《城市设计管理办法》（部令第35号）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《中共海南省委海南省人民政府关于加强城镇规划建设管理工作的实施意见》（琼发〔2016〕23号）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《海南省人民政府关于加强城市设计和建筑风貌管理的通知》（琼府〔2017〕15 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省政府《关于加强城市设计和建筑风貌管理的通知》（琼府[2017]15号）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海南省自然资源和规划厅《海南省城市设计与建筑风貌指引（试行）》（2021 年 11 月）</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《国土空间调查、规划、用途管制用地用海分类指南》（试行）</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关于发布和实施《工业项目建设用地控制指标》的通知（国土资发[2008]24号）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国务院办公厅《关于加强城市地下管线建设管理的指导意见》</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住房和城乡建设部《海绵城市建设技术指南》（试行）</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住房和城乡建设部《关于加强生态修复城市修补工作的指导意见》(建规〔2017〕59号)</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《环新英湾地区国土空间总体规划（2022-2035 年）(在编）</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《洋浦经济开发区国土空间总体规划（2020—2035）》（在编）</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洋浦经济开发区总体规划（空间类2015-2030）</w:t>
      </w:r>
    </w:p>
    <w:p>
      <w:pPr>
        <w:numPr>
          <w:ilvl w:val="0"/>
          <w:numId w:val="1"/>
        </w:numPr>
        <w:spacing w:line="360" w:lineRule="auto"/>
        <w:ind w:firstLine="640"/>
        <w:rPr>
          <w:rFonts w:ascii="宋体" w:hAnsi="宋体" w:cs="宋体"/>
          <w:kern w:val="0"/>
          <w:sz w:val="24"/>
          <w:szCs w:val="24"/>
        </w:rPr>
      </w:pPr>
      <w:r>
        <w:rPr>
          <w:rFonts w:hint="eastAsia" w:ascii="宋体" w:hAnsi="宋体" w:cs="宋体"/>
          <w:kern w:val="0"/>
          <w:sz w:val="24"/>
          <w:szCs w:val="24"/>
        </w:rPr>
        <w:t>其余涉及到环湾地区的各项专业专项规划</w:t>
      </w:r>
    </w:p>
    <w:p>
      <w:pPr>
        <w:spacing w:line="360" w:lineRule="auto"/>
        <w:ind w:firstLine="660"/>
        <w:rPr>
          <w:rFonts w:ascii="宋体" w:hAnsi="宋体" w:cs="宋体"/>
          <w:kern w:val="0"/>
          <w:sz w:val="24"/>
          <w:szCs w:val="24"/>
        </w:rPr>
      </w:pPr>
      <w:r>
        <w:rPr>
          <w:rFonts w:hint="eastAsia" w:ascii="宋体" w:hAnsi="宋体" w:cs="宋体"/>
          <w:kern w:val="0"/>
          <w:sz w:val="24"/>
          <w:szCs w:val="24"/>
        </w:rPr>
        <w:t>注：在参照以上规范进行设计时，需以现时有效的版本为准。参照但不应仅限于以上文件。</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 xml:space="preserve">七、基本原则 </w:t>
      </w:r>
    </w:p>
    <w:p>
      <w:pPr>
        <w:numPr>
          <w:ilvl w:val="0"/>
          <w:numId w:val="2"/>
        </w:numPr>
        <w:spacing w:line="360" w:lineRule="auto"/>
        <w:ind w:firstLine="640"/>
        <w:rPr>
          <w:rFonts w:ascii="宋体" w:hAnsi="宋体" w:cs="宋体"/>
          <w:kern w:val="0"/>
          <w:sz w:val="24"/>
          <w:szCs w:val="24"/>
        </w:rPr>
      </w:pPr>
      <w:r>
        <w:rPr>
          <w:rFonts w:hint="eastAsia" w:ascii="宋体" w:hAnsi="宋体" w:cs="宋体"/>
          <w:kern w:val="0"/>
          <w:sz w:val="24"/>
          <w:szCs w:val="24"/>
        </w:rPr>
        <w:t xml:space="preserve">整体性原则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统筹协调区域、城市空间和建筑形式，打造和谐有序的整体风貌。 </w:t>
      </w:r>
    </w:p>
    <w:p>
      <w:pPr>
        <w:numPr>
          <w:ilvl w:val="0"/>
          <w:numId w:val="2"/>
        </w:numPr>
        <w:spacing w:line="360" w:lineRule="auto"/>
        <w:ind w:firstLine="640"/>
        <w:rPr>
          <w:rFonts w:ascii="宋体" w:hAnsi="宋体" w:cs="宋体"/>
          <w:kern w:val="0"/>
          <w:sz w:val="24"/>
          <w:szCs w:val="24"/>
        </w:rPr>
      </w:pPr>
      <w:r>
        <w:rPr>
          <w:rFonts w:hint="eastAsia" w:ascii="宋体" w:hAnsi="宋体" w:cs="宋体"/>
          <w:kern w:val="0"/>
          <w:sz w:val="24"/>
          <w:szCs w:val="24"/>
        </w:rPr>
        <w:t xml:space="preserve">美观性原则 </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以健康的审美观为指导，探索多层次城乡风貌营建中“美的形式”，增强城乡审美韵味、文化品位。 </w:t>
      </w:r>
    </w:p>
    <w:p>
      <w:pPr>
        <w:numPr>
          <w:ilvl w:val="0"/>
          <w:numId w:val="2"/>
        </w:numPr>
        <w:spacing w:line="360" w:lineRule="auto"/>
        <w:ind w:firstLine="640"/>
        <w:rPr>
          <w:rFonts w:ascii="宋体" w:hAnsi="宋体" w:cs="宋体"/>
          <w:kern w:val="0"/>
          <w:sz w:val="24"/>
          <w:szCs w:val="24"/>
        </w:rPr>
      </w:pPr>
      <w:r>
        <w:rPr>
          <w:rFonts w:hint="eastAsia" w:ascii="宋体" w:hAnsi="宋体" w:cs="宋体"/>
          <w:kern w:val="0"/>
          <w:sz w:val="24"/>
          <w:szCs w:val="24"/>
        </w:rPr>
        <w:t xml:space="preserve">地方性原则 </w:t>
      </w:r>
    </w:p>
    <w:p>
      <w:pPr>
        <w:spacing w:line="360" w:lineRule="auto"/>
        <w:ind w:firstLine="480" w:firstLineChars="200"/>
        <w:rPr>
          <w:rFonts w:ascii="宋体" w:hAnsi="宋体" w:cs="宋体"/>
          <w:sz w:val="24"/>
          <w:szCs w:val="24"/>
        </w:rPr>
      </w:pPr>
      <w:r>
        <w:rPr>
          <w:rFonts w:hint="eastAsia" w:ascii="宋体" w:hAnsi="宋体" w:cs="宋体"/>
          <w:sz w:val="24"/>
          <w:szCs w:val="24"/>
        </w:rPr>
        <w:t>充分考虑海南地域的自然条件、人文地理、历史文化， 尊重地域特点、延续历史文脉，结合时代特征，传承文化基因，体现海南自贸港特色。</w:t>
      </w:r>
    </w:p>
    <w:p>
      <w:pPr>
        <w:spacing w:before="157" w:beforeLines="50" w:line="360" w:lineRule="auto"/>
        <w:ind w:firstLine="482" w:firstLineChars="200"/>
        <w:rPr>
          <w:rFonts w:ascii="宋体" w:hAnsi="宋体" w:cs="宋体"/>
          <w:b/>
          <w:bCs/>
          <w:sz w:val="24"/>
          <w:szCs w:val="24"/>
        </w:rPr>
      </w:pPr>
      <w:r>
        <w:rPr>
          <w:rFonts w:hint="eastAsia" w:ascii="宋体" w:hAnsi="宋体" w:cs="宋体"/>
          <w:b/>
          <w:bCs/>
          <w:sz w:val="24"/>
          <w:szCs w:val="24"/>
        </w:rPr>
        <w:t>八、服务内容</w:t>
      </w:r>
    </w:p>
    <w:p>
      <w:pPr>
        <w:spacing w:line="360" w:lineRule="auto"/>
        <w:ind w:firstLine="480" w:firstLineChars="200"/>
        <w:rPr>
          <w:rFonts w:ascii="宋体" w:hAnsi="宋体" w:cs="宋体"/>
          <w:sz w:val="24"/>
        </w:rPr>
      </w:pPr>
      <w:r>
        <w:rPr>
          <w:rFonts w:hint="eastAsia" w:ascii="宋体" w:hAnsi="宋体" w:cs="宋体"/>
          <w:sz w:val="24"/>
        </w:rPr>
        <w:t>（1）风貌现状评估</w:t>
      </w:r>
    </w:p>
    <w:p>
      <w:pPr>
        <w:spacing w:line="360" w:lineRule="auto"/>
        <w:ind w:firstLine="480" w:firstLineChars="200"/>
        <w:rPr>
          <w:rFonts w:ascii="宋体" w:hAnsi="宋体" w:cs="宋体"/>
          <w:sz w:val="24"/>
        </w:rPr>
      </w:pPr>
      <w:r>
        <w:rPr>
          <w:rFonts w:hint="eastAsia" w:ascii="宋体" w:hAnsi="宋体" w:cs="宋体"/>
          <w:sz w:val="24"/>
        </w:rPr>
        <w:t>对比研究城市建筑风貌相关理论、相关研究等内容，借鉴国内外优秀城市建设经验，对城市风貌相关概念进行解读，按照洋浦经济开发区、白马井新城、中和历史文化古镇、峨蔓火山岩地质风貌区和木棠王五产业园以及新州镇等不同的区域，开展详实调研，评估现有建成区的风貌建设情况，从自然风貌、人工风貌、人文风貌等几个维度，查找重点问题和管理缺失环节，梳理资源特征。现状分析应包含但不局限于以下重点内容：海岸线与滨水空间、城市慢行系统、城市天际线轮廓、建成区和老旧城区的总体建筑风貌与开发强度、新旧城区风貌对比、历史遗迹风貌和保护利用现状、城市重要节点和公园绿地广场等活动空间的风貌、重要廊道和慢行系统风貌、城市重要功能建筑和地标风貌、不同类型的建筑风格和特色、工业区风貌、桥梁等重点功能设施风貌、植被绿化特色、商业中心广告牌设计、传统村落、红树林等生态保护区，城市夜景灯饰效果等。</w:t>
      </w:r>
    </w:p>
    <w:p>
      <w:pPr>
        <w:spacing w:line="360" w:lineRule="auto"/>
        <w:ind w:firstLine="480" w:firstLineChars="200"/>
        <w:rPr>
          <w:rFonts w:ascii="宋体" w:hAnsi="宋体" w:cs="宋体"/>
          <w:sz w:val="24"/>
        </w:rPr>
      </w:pPr>
      <w:r>
        <w:rPr>
          <w:rFonts w:hint="eastAsia" w:ascii="宋体" w:hAnsi="宋体" w:cs="宋体"/>
          <w:sz w:val="24"/>
        </w:rPr>
        <w:t>（2）资源特色提炼</w:t>
      </w:r>
    </w:p>
    <w:p>
      <w:pPr>
        <w:spacing w:line="360" w:lineRule="auto"/>
        <w:ind w:firstLine="480" w:firstLineChars="200"/>
        <w:rPr>
          <w:rFonts w:ascii="宋体" w:hAnsi="宋体" w:cs="宋体"/>
          <w:sz w:val="24"/>
        </w:rPr>
      </w:pPr>
      <w:r>
        <w:rPr>
          <w:rFonts w:hint="eastAsia" w:ascii="宋体" w:hAnsi="宋体" w:cs="宋体"/>
          <w:sz w:val="24"/>
        </w:rPr>
        <w:t>充分挖掘环湾地区的自然山海、历史人文、传统村落、火山石建筑、公共文化设施建筑、地标及红树林保护区等地域较具有有代表性的风貌元素，提出有保护价值的元素类型，按照整体风貌格局—城市重点风貌展示区—村镇院落布局—建筑群和单体建筑的层级和体系，着重考虑本地</w:t>
      </w:r>
      <w:r>
        <w:rPr>
          <w:rFonts w:hint="eastAsia" w:ascii="宋体" w:hAnsi="宋体" w:cs="宋体"/>
          <w:sz w:val="24"/>
          <w:lang w:val="en-US" w:eastAsia="zh-CN"/>
        </w:rPr>
        <w:t>较</w:t>
      </w:r>
      <w:r>
        <w:rPr>
          <w:rFonts w:hint="eastAsia" w:ascii="宋体" w:hAnsi="宋体" w:cs="宋体"/>
          <w:sz w:val="24"/>
        </w:rPr>
        <w:t>具特色的建筑材质（如花山岩石材）、特色建筑（如骑楼老街等）、传统建筑风貌（如门廊屋顶山墙等）、庙宇祠堂等民间宗教信仰建筑和屋檐窗花大门等建筑装饰细节，形成风貌元素导则图，为后续设计提供风貌元素的参照依据。</w:t>
      </w:r>
    </w:p>
    <w:p>
      <w:pPr>
        <w:spacing w:line="360" w:lineRule="auto"/>
        <w:ind w:firstLine="480" w:firstLineChars="200"/>
        <w:rPr>
          <w:rFonts w:ascii="宋体" w:hAnsi="宋体" w:cs="宋体"/>
          <w:sz w:val="24"/>
        </w:rPr>
      </w:pPr>
      <w:r>
        <w:rPr>
          <w:rFonts w:hint="eastAsia" w:ascii="宋体" w:hAnsi="宋体" w:cs="宋体"/>
          <w:sz w:val="24"/>
        </w:rPr>
        <w:t>（3）总体风貌导则</w:t>
      </w:r>
    </w:p>
    <w:p>
      <w:pPr>
        <w:spacing w:line="360" w:lineRule="auto"/>
        <w:ind w:firstLine="480" w:firstLineChars="200"/>
        <w:rPr>
          <w:rFonts w:ascii="宋体" w:hAnsi="宋体" w:cs="宋体"/>
          <w:sz w:val="24"/>
        </w:rPr>
      </w:pPr>
      <w:r>
        <w:rPr>
          <w:rFonts w:hint="eastAsia" w:ascii="宋体" w:hAnsi="宋体" w:cs="宋体"/>
          <w:sz w:val="24"/>
        </w:rPr>
        <w:t>城市风貌愿景及定位：基于对环新英湾自然、人文、社会资源的剖析解读，基于对同类型知名城市区域比较，基于对环新英湾城市发展目标、城市名片、普遍共识的综合分析，以及城市未来发展趋势的综合判断，以独特性、认同感、吸引力为标准，提出环新英湾市总体风貌愿景。</w:t>
      </w:r>
    </w:p>
    <w:p>
      <w:pPr>
        <w:spacing w:line="360" w:lineRule="auto"/>
        <w:ind w:firstLine="480" w:firstLineChars="200"/>
        <w:rPr>
          <w:rFonts w:ascii="宋体" w:hAnsi="宋体" w:cs="宋体"/>
          <w:sz w:val="24"/>
        </w:rPr>
      </w:pPr>
      <w:r>
        <w:rPr>
          <w:rFonts w:hint="eastAsia" w:ascii="宋体" w:hAnsi="宋体" w:cs="宋体"/>
          <w:sz w:val="24"/>
        </w:rPr>
        <w:t>城市风貌总体框架：按照整个环新英湾地区为范畴，总结提炼整个区域的整体山水林田湖等城市山水格局和总体风貌特色，着重从地形地貌、人与自然环境的关系、海湾、山脊线、重要的通风廊道、视线廊道、不同的风貌区范围和边界等总体框架层面，对标国际知名湾区城市，查找出目前环湾地区值得保留、存在问题和风貌管控缺失的区域和元素类型，制定区域风貌管控的总体发展目标与策略。立足于风貌资源本底特征，以环新英湾城市风貌目标、定位为导向，明确主城区空间风貌的整体发展意向，抓住最能体现环新英湾风貌特色的重点区域和元素（风貌基质、风貌斑块、风貌廊道），从风貌圈、风貌区、风貌带、风貌核、风貌符号和节点等不同的层级，提出总体风貌结构，并结合城市总体规划确定的区域用地空间形态、结构和各类用地布局，提出总体控制原则、总体空间特色、片区特色元素等内容，形成覆盖全域的风貌空间分层级管控体系，为全域化管控与精细化管理，提供技术支撑。</w:t>
      </w:r>
    </w:p>
    <w:p>
      <w:pPr>
        <w:spacing w:line="360" w:lineRule="auto"/>
        <w:ind w:firstLine="480" w:firstLineChars="200"/>
        <w:rPr>
          <w:rFonts w:ascii="宋体" w:hAnsi="宋体" w:cs="宋体"/>
          <w:sz w:val="24"/>
        </w:rPr>
      </w:pPr>
      <w:r>
        <w:rPr>
          <w:rFonts w:hint="eastAsia" w:ascii="宋体" w:hAnsi="宋体" w:cs="宋体"/>
          <w:sz w:val="24"/>
        </w:rPr>
        <w:t>城市风貌要素导控：从片区、街区、节点、地标建筑、普通建筑、城市细节等层面，提出风貌管理要素库，通过附加图则，采用图、表、文结合的表达方式，提出特色风貌管控要素的管控方式与内容，形成环新英湾地区风貌管控技术管理规定，围绕建筑风貌、街道风貌、城市色彩基调、绿化景观、夜景灯光、公共艺术、城市标识、自然生态等风貌要素，分析要素特征，并提出要素导控的原则及相应内容。</w:t>
      </w:r>
    </w:p>
    <w:p>
      <w:pPr>
        <w:spacing w:line="360" w:lineRule="auto"/>
        <w:ind w:firstLine="480" w:firstLineChars="200"/>
        <w:rPr>
          <w:rFonts w:ascii="宋体" w:hAnsi="宋体" w:cs="宋体"/>
          <w:sz w:val="24"/>
        </w:rPr>
      </w:pPr>
      <w:r>
        <w:rPr>
          <w:rFonts w:hint="eastAsia" w:ascii="宋体" w:hAnsi="宋体" w:cs="宋体"/>
          <w:sz w:val="24"/>
        </w:rPr>
        <w:t>（4）分区风貌导则</w:t>
      </w:r>
    </w:p>
    <w:p>
      <w:pPr>
        <w:numPr>
          <w:ilvl w:val="0"/>
          <w:numId w:val="3"/>
        </w:numPr>
        <w:spacing w:line="360" w:lineRule="auto"/>
        <w:ind w:firstLine="640"/>
        <w:rPr>
          <w:rFonts w:ascii="宋体" w:hAnsi="宋体" w:cs="宋体"/>
          <w:kern w:val="0"/>
          <w:sz w:val="24"/>
          <w:szCs w:val="24"/>
        </w:rPr>
      </w:pPr>
      <w:r>
        <w:rPr>
          <w:rFonts w:hint="eastAsia" w:ascii="宋体" w:hAnsi="宋体" w:cs="宋体"/>
          <w:kern w:val="0"/>
          <w:sz w:val="24"/>
          <w:szCs w:val="24"/>
        </w:rPr>
        <w:t>风貌层级和等级划分</w:t>
      </w:r>
    </w:p>
    <w:p>
      <w:pPr>
        <w:spacing w:line="360" w:lineRule="auto"/>
        <w:ind w:firstLine="480" w:firstLineChars="200"/>
        <w:rPr>
          <w:rFonts w:ascii="宋体" w:hAnsi="宋体" w:cs="宋体"/>
          <w:color w:val="auto"/>
          <w:sz w:val="24"/>
        </w:rPr>
      </w:pPr>
      <w:r>
        <w:rPr>
          <w:rFonts w:hint="eastAsia" w:ascii="宋体" w:hAnsi="宋体" w:cs="宋体"/>
          <w:color w:val="auto"/>
          <w:sz w:val="24"/>
        </w:rPr>
        <w:t>将整体环新英湾地区按照风貌管控划分为特定类型区域，包含但不局限于：白马井新城片区、洋浦木棠王五产业功能区、</w:t>
      </w:r>
      <w:r>
        <w:rPr>
          <w:rFonts w:hint="eastAsia" w:ascii="宋体" w:hAnsi="宋体" w:cs="宋体"/>
          <w:color w:val="auto"/>
          <w:sz w:val="24"/>
          <w:lang w:val="en-US" w:eastAsia="zh-CN"/>
        </w:rPr>
        <w:t>海花岛旅游度假片区、中和新州文旅片区、洋浦东部生活区、峨蔓海岸休闲片区、</w:t>
      </w:r>
      <w:r>
        <w:rPr>
          <w:rFonts w:hint="eastAsia" w:ascii="宋体" w:hAnsi="宋体" w:cs="宋体"/>
          <w:color w:val="auto"/>
          <w:sz w:val="24"/>
        </w:rPr>
        <w:t>传统村落区和其他的山水林田湖海等自然风貌区，按照重点风貌管控区—一般风貌管控区—商业街区—历</w:t>
      </w:r>
      <w:bookmarkStart w:id="10" w:name="_GoBack"/>
      <w:bookmarkEnd w:id="10"/>
      <w:r>
        <w:rPr>
          <w:rFonts w:hint="eastAsia" w:ascii="宋体" w:hAnsi="宋体" w:cs="宋体"/>
          <w:color w:val="auto"/>
          <w:sz w:val="24"/>
        </w:rPr>
        <w:t>史</w:t>
      </w:r>
      <w:r>
        <w:rPr>
          <w:rFonts w:hint="eastAsia" w:ascii="宋体" w:hAnsi="宋体" w:cs="宋体"/>
          <w:color w:val="auto"/>
          <w:sz w:val="24"/>
          <w:lang w:val="en-US" w:eastAsia="zh-CN"/>
        </w:rPr>
        <w:t>文化片区</w:t>
      </w:r>
      <w:r>
        <w:rPr>
          <w:rFonts w:hint="eastAsia" w:ascii="宋体" w:hAnsi="宋体" w:cs="宋体"/>
          <w:color w:val="auto"/>
          <w:sz w:val="24"/>
        </w:rPr>
        <w:t>—乡村地区层级分类，制定风貌管控的重点任务和管控指引。</w:t>
      </w:r>
    </w:p>
    <w:p>
      <w:pPr>
        <w:numPr>
          <w:ilvl w:val="0"/>
          <w:numId w:val="3"/>
        </w:numPr>
        <w:spacing w:line="360" w:lineRule="auto"/>
        <w:ind w:firstLine="640"/>
        <w:rPr>
          <w:rFonts w:ascii="宋体" w:hAnsi="宋体" w:cs="宋体"/>
          <w:kern w:val="0"/>
          <w:sz w:val="24"/>
          <w:szCs w:val="24"/>
        </w:rPr>
      </w:pPr>
      <w:r>
        <w:rPr>
          <w:rFonts w:hint="eastAsia" w:ascii="宋体" w:hAnsi="宋体" w:cs="宋体"/>
          <w:kern w:val="0"/>
          <w:sz w:val="24"/>
          <w:szCs w:val="24"/>
        </w:rPr>
        <w:t>重点风貌管控区</w:t>
      </w:r>
    </w:p>
    <w:p>
      <w:pPr>
        <w:spacing w:line="360" w:lineRule="auto"/>
        <w:ind w:firstLine="480" w:firstLineChars="200"/>
        <w:rPr>
          <w:rFonts w:ascii="宋体" w:hAnsi="宋体" w:cs="宋体"/>
          <w:sz w:val="24"/>
        </w:rPr>
      </w:pPr>
      <w:r>
        <w:rPr>
          <w:rFonts w:hint="eastAsia" w:ascii="宋体" w:hAnsi="宋体" w:cs="宋体"/>
          <w:sz w:val="24"/>
        </w:rPr>
        <w:t>结合规划区空间特征、产业特色，视觉敏感度及风貌现状，围绕“提升存量，导控增量”，划分重点风貌规划区，并提出相应的策略及风貌导控要求。</w:t>
      </w:r>
    </w:p>
    <w:p>
      <w:pPr>
        <w:spacing w:line="360" w:lineRule="auto"/>
        <w:ind w:firstLine="480" w:firstLineChars="200"/>
        <w:rPr>
          <w:rFonts w:ascii="宋体" w:hAnsi="宋体" w:cs="宋体"/>
          <w:sz w:val="24"/>
        </w:rPr>
      </w:pPr>
      <w:r>
        <w:rPr>
          <w:rFonts w:hint="eastAsia" w:ascii="宋体" w:hAnsi="宋体" w:cs="宋体"/>
          <w:sz w:val="24"/>
        </w:rPr>
        <w:t>重点风貌管控区是一个地区或城市重点对外展示形象的区域，通常占到城市面积3%左右，一般包括城市的迎宾大道、门户形象区、城市会客厅、重要的广场公园绿地等公共开敞空间、节庆聚集区和活动区、重要的视线廊道、城市制高点和眺望点的形象塑造、天际线控制、滨水活动空间及慢行系统的打造等。着重考虑环境空间要素格局的设计、人的活动空间的要素比例关系、安全系数、人与环境的融合关系、车行和人行不同的体验感等内容。重点风貌控制区可选取五到八个重点地区进行深入研究，通过附加图则，采用图、表、文结合的表达方式，提出特色风貌管控要素的管控方式与内容，制定重点风貌管控区详细的设计导则和风貌指引意象。针对已建成区风貌提升，提出具体的改善策略和方法。</w:t>
      </w:r>
    </w:p>
    <w:p>
      <w:pPr>
        <w:numPr>
          <w:ilvl w:val="0"/>
          <w:numId w:val="3"/>
        </w:numPr>
        <w:spacing w:line="360" w:lineRule="auto"/>
        <w:ind w:firstLine="640"/>
        <w:rPr>
          <w:rFonts w:ascii="宋体" w:hAnsi="宋体" w:cs="宋体"/>
          <w:kern w:val="0"/>
          <w:sz w:val="24"/>
          <w:szCs w:val="24"/>
        </w:rPr>
      </w:pPr>
      <w:r>
        <w:rPr>
          <w:rFonts w:hint="eastAsia" w:ascii="宋体" w:hAnsi="宋体" w:cs="宋体"/>
          <w:kern w:val="0"/>
          <w:sz w:val="24"/>
          <w:szCs w:val="24"/>
        </w:rPr>
        <w:t>一般风貌管控区</w:t>
      </w:r>
    </w:p>
    <w:p>
      <w:pPr>
        <w:spacing w:line="360" w:lineRule="auto"/>
        <w:ind w:firstLine="480" w:firstLineChars="200"/>
        <w:rPr>
          <w:rFonts w:ascii="宋体" w:hAnsi="宋体" w:cs="宋体"/>
          <w:sz w:val="24"/>
        </w:rPr>
      </w:pPr>
      <w:r>
        <w:rPr>
          <w:rFonts w:hint="eastAsia" w:ascii="宋体" w:hAnsi="宋体" w:cs="宋体"/>
          <w:sz w:val="24"/>
        </w:rPr>
        <w:t>一般包括居住小区、工业园区、老旧城区等片区，需要明确针对建筑高度、密度、色彩、比例、重要界面和建筑整体风貌与装饰设计作出明确的指引。</w:t>
      </w:r>
    </w:p>
    <w:p>
      <w:pPr>
        <w:numPr>
          <w:ilvl w:val="0"/>
          <w:numId w:val="3"/>
        </w:numPr>
        <w:spacing w:line="360" w:lineRule="auto"/>
        <w:ind w:firstLine="640"/>
        <w:rPr>
          <w:rFonts w:ascii="宋体" w:hAnsi="宋体" w:cs="宋体"/>
          <w:kern w:val="0"/>
          <w:sz w:val="24"/>
          <w:szCs w:val="24"/>
        </w:rPr>
      </w:pPr>
      <w:r>
        <w:rPr>
          <w:rFonts w:hint="eastAsia" w:ascii="宋体" w:hAnsi="宋体" w:cs="宋体"/>
          <w:kern w:val="0"/>
          <w:sz w:val="24"/>
          <w:szCs w:val="24"/>
        </w:rPr>
        <w:t>商业街区</w:t>
      </w:r>
    </w:p>
    <w:p>
      <w:pPr>
        <w:spacing w:line="360" w:lineRule="auto"/>
        <w:ind w:firstLine="480" w:firstLineChars="200"/>
        <w:rPr>
          <w:rFonts w:ascii="宋体" w:hAnsi="宋体" w:cs="宋体"/>
          <w:sz w:val="24"/>
        </w:rPr>
      </w:pPr>
      <w:r>
        <w:rPr>
          <w:rFonts w:hint="eastAsia" w:ascii="宋体" w:hAnsi="宋体" w:cs="宋体"/>
          <w:sz w:val="24"/>
        </w:rPr>
        <w:t>一般包括商业广告牌的色彩样式指导、夜景风貌、桥梁和地标建筑等特色建筑外立面、绿植、城市家具等细节小品的设计指引。</w:t>
      </w:r>
    </w:p>
    <w:p>
      <w:pPr>
        <w:numPr>
          <w:ilvl w:val="0"/>
          <w:numId w:val="3"/>
        </w:numPr>
        <w:spacing w:line="360" w:lineRule="auto"/>
        <w:ind w:firstLine="640"/>
        <w:rPr>
          <w:rFonts w:hint="eastAsia" w:ascii="宋体" w:hAnsi="宋体" w:cs="宋体"/>
          <w:kern w:val="0"/>
          <w:sz w:val="24"/>
          <w:szCs w:val="24"/>
          <w:lang w:val="en-US" w:eastAsia="zh-CN"/>
        </w:rPr>
      </w:pPr>
      <w:r>
        <w:rPr>
          <w:rFonts w:hint="eastAsia" w:ascii="宋体" w:hAnsi="宋体" w:cs="宋体"/>
          <w:kern w:val="0"/>
          <w:sz w:val="24"/>
          <w:szCs w:val="24"/>
        </w:rPr>
        <w:t>历史</w:t>
      </w:r>
      <w:r>
        <w:rPr>
          <w:rFonts w:hint="eastAsia" w:ascii="宋体" w:hAnsi="宋体" w:cs="宋体"/>
          <w:kern w:val="0"/>
          <w:sz w:val="24"/>
          <w:szCs w:val="24"/>
          <w:lang w:val="en-US" w:eastAsia="zh-CN"/>
        </w:rPr>
        <w:t>文化片区</w:t>
      </w:r>
    </w:p>
    <w:p>
      <w:pPr>
        <w:spacing w:line="360" w:lineRule="auto"/>
        <w:ind w:firstLine="480" w:firstLineChars="200"/>
        <w:rPr>
          <w:rFonts w:ascii="宋体" w:hAnsi="宋体" w:cs="宋体"/>
          <w:sz w:val="24"/>
        </w:rPr>
      </w:pPr>
      <w:r>
        <w:rPr>
          <w:rFonts w:hint="eastAsia" w:ascii="宋体" w:hAnsi="宋体" w:cs="宋体"/>
          <w:sz w:val="24"/>
        </w:rPr>
        <w:t>对老城区、历史街区、传统村镇等具有历史传承的地区，应明确核心保护范围和元素，提出具有保护意义的文化元素，可以此设计较为抽象的设计元素，形成本地文化符号和艺术代表形象，推广使用到现代建筑和新城区中，形成传统与现代的设计延续性。</w:t>
      </w:r>
    </w:p>
    <w:p>
      <w:pPr>
        <w:numPr>
          <w:ilvl w:val="0"/>
          <w:numId w:val="3"/>
        </w:numPr>
        <w:spacing w:line="360" w:lineRule="auto"/>
        <w:ind w:firstLine="640"/>
        <w:rPr>
          <w:rFonts w:ascii="宋体" w:hAnsi="宋体" w:cs="宋体"/>
          <w:kern w:val="0"/>
          <w:sz w:val="24"/>
          <w:szCs w:val="24"/>
        </w:rPr>
      </w:pPr>
      <w:r>
        <w:rPr>
          <w:rFonts w:hint="eastAsia" w:ascii="宋体" w:hAnsi="宋体" w:cs="宋体"/>
          <w:kern w:val="0"/>
          <w:sz w:val="24"/>
          <w:szCs w:val="24"/>
        </w:rPr>
        <w:t>乡村地区</w:t>
      </w:r>
    </w:p>
    <w:p>
      <w:pPr>
        <w:spacing w:line="360" w:lineRule="auto"/>
        <w:ind w:firstLine="480" w:firstLineChars="200"/>
        <w:rPr>
          <w:rFonts w:ascii="宋体" w:hAnsi="宋体" w:cs="宋体"/>
          <w:sz w:val="24"/>
        </w:rPr>
      </w:pPr>
      <w:r>
        <w:rPr>
          <w:rFonts w:hint="eastAsia" w:ascii="宋体" w:hAnsi="宋体" w:cs="宋体"/>
          <w:sz w:val="24"/>
        </w:rPr>
        <w:t>保护保留乡村风貌，加强生态空间的保护。针对环新英湾地区大量的农田、耕地、村落、湖海鱼塘等乡村地区，出台符合本地气候文化特色的管控引导，细化城乡关系和山水城融合的风貌画面，加强田园建筑风貌引导示范，实施乡村绿化行动，全面保护古树名木等。</w:t>
      </w:r>
    </w:p>
    <w:p>
      <w:pPr>
        <w:spacing w:line="360" w:lineRule="auto"/>
        <w:ind w:left="420"/>
        <w:rPr>
          <w:rFonts w:ascii="宋体" w:hAnsi="宋体" w:cs="宋体"/>
          <w:kern w:val="0"/>
          <w:sz w:val="24"/>
          <w:szCs w:val="24"/>
        </w:rPr>
      </w:pPr>
      <w:r>
        <w:rPr>
          <w:rFonts w:hint="eastAsia" w:ascii="宋体" w:hAnsi="宋体" w:cs="宋体"/>
          <w:kern w:val="0"/>
          <w:sz w:val="24"/>
          <w:szCs w:val="24"/>
        </w:rPr>
        <w:t>（5）环境景观设计指引</w:t>
      </w:r>
    </w:p>
    <w:p>
      <w:pPr>
        <w:spacing w:line="360" w:lineRule="auto"/>
        <w:ind w:firstLine="480" w:firstLineChars="200"/>
        <w:rPr>
          <w:rFonts w:ascii="宋体" w:hAnsi="宋体" w:cs="宋体"/>
          <w:sz w:val="24"/>
        </w:rPr>
      </w:pPr>
      <w:r>
        <w:rPr>
          <w:rFonts w:hint="eastAsia" w:ascii="宋体" w:hAnsi="宋体" w:cs="宋体"/>
          <w:sz w:val="24"/>
        </w:rPr>
        <w:t xml:space="preserve">考虑环境场景的比例、尺寸、格局和空间秩序等内容，突出大地景观、自然景观、人为景观的交融性，考虑横向景观和竖向景观元素的搭配使用，突出环境营造的氛围感和围合感。 </w:t>
      </w:r>
    </w:p>
    <w:p>
      <w:pPr>
        <w:spacing w:line="360" w:lineRule="auto"/>
        <w:ind w:firstLine="480" w:firstLineChars="200"/>
        <w:rPr>
          <w:rFonts w:ascii="宋体" w:hAnsi="宋体" w:cs="宋体"/>
          <w:sz w:val="24"/>
        </w:rPr>
      </w:pPr>
      <w:r>
        <w:rPr>
          <w:rFonts w:hint="eastAsia" w:ascii="宋体" w:hAnsi="宋体" w:cs="宋体"/>
          <w:sz w:val="24"/>
        </w:rPr>
        <w:t>景观要素设计需考虑步行空间和广场的铺砖设计和质量、植物景观、景观围墙、建筑屋顶和立面绿化工程、开放空间的可达性和安全性、步行空间和慢行系统的连贯性以及与广场公园等活动空间的交融性、人性化设施设计等要素。重要的景观大道需考虑植高大乔木和行道树的选择，以及四季开花树种的搭配方案，重要的视线廊道和观景台需考虑夜晚的景观效果。重要的步行空间和街道广场需考虑不同的夜晚的街灯照明方案，保障公共空间的舒适性和安全性。</w:t>
      </w:r>
    </w:p>
    <w:p>
      <w:pPr>
        <w:spacing w:line="360" w:lineRule="auto"/>
        <w:ind w:firstLine="480" w:firstLineChars="200"/>
        <w:rPr>
          <w:rFonts w:ascii="宋体" w:hAnsi="宋体" w:cs="宋体"/>
          <w:sz w:val="24"/>
        </w:rPr>
      </w:pPr>
      <w:r>
        <w:rPr>
          <w:rFonts w:hint="eastAsia" w:ascii="宋体" w:hAnsi="宋体" w:cs="宋体"/>
          <w:sz w:val="24"/>
        </w:rPr>
        <w:t>海湾滨水活动空间可根据现状分类成为自然海湾（沙滩、岩石、植被覆盖等海滩类型）和人工干预海湾（堤坝、养殖业等），按照亲水性和活动属性，进行分类后分别提出风貌管控指引。自然海湾岸线需考虑通过增设滨水栈道和小型景观平台等景观设施，选取天然石材或木材，保留原始风貌，减少对自然生态的破坏。人工干预海湾需考虑通过植被群落的引入，“软化”硬质的人工堤坝，打通必要的滨海步道空间，避免岸线被养殖渔场或居住小区等建设工程人为切断。</w:t>
      </w:r>
    </w:p>
    <w:p>
      <w:pPr>
        <w:spacing w:line="360" w:lineRule="auto"/>
        <w:ind w:firstLine="480" w:firstLineChars="200"/>
        <w:rPr>
          <w:rFonts w:ascii="宋体" w:hAnsi="宋体" w:cs="宋体"/>
          <w:sz w:val="24"/>
        </w:rPr>
      </w:pPr>
      <w:r>
        <w:rPr>
          <w:rFonts w:hint="eastAsia" w:ascii="宋体" w:hAnsi="宋体" w:cs="宋体"/>
          <w:sz w:val="24"/>
        </w:rPr>
        <w:t>滨水活动空间需着重考虑步道栈道设置、亲水空间的延伸或退台设计、休憩设施、座椅、遮阳伞和必要的商业设施配套，提升滨水空间的活力和使用便捷性。</w:t>
      </w:r>
    </w:p>
    <w:p>
      <w:pPr>
        <w:spacing w:line="360" w:lineRule="auto"/>
        <w:ind w:firstLine="480" w:firstLineChars="200"/>
        <w:rPr>
          <w:rFonts w:ascii="宋体" w:hAnsi="宋体" w:cs="宋体"/>
          <w:sz w:val="24"/>
        </w:rPr>
      </w:pPr>
      <w:r>
        <w:rPr>
          <w:rFonts w:hint="eastAsia" w:ascii="宋体" w:hAnsi="宋体" w:cs="宋体"/>
          <w:sz w:val="24"/>
        </w:rPr>
        <w:t>制高点和眺望点的塑造，应选取3-5个具有代表性的眺望点和视线聚焦点，利用城市制高点和高层建筑等视线廊道，营造最具代表性的城市形象展示区和优美的城市风貌。</w:t>
      </w:r>
    </w:p>
    <w:p>
      <w:pPr>
        <w:spacing w:line="360" w:lineRule="auto"/>
        <w:ind w:left="420"/>
        <w:rPr>
          <w:rFonts w:ascii="宋体" w:hAnsi="宋体" w:cs="宋体"/>
          <w:kern w:val="0"/>
          <w:sz w:val="24"/>
          <w:szCs w:val="24"/>
        </w:rPr>
      </w:pPr>
      <w:r>
        <w:rPr>
          <w:rFonts w:hint="eastAsia" w:ascii="宋体" w:hAnsi="宋体" w:cs="宋体"/>
          <w:kern w:val="0"/>
          <w:sz w:val="24"/>
          <w:szCs w:val="24"/>
        </w:rPr>
        <w:t>（6）城市街道指引</w:t>
      </w:r>
    </w:p>
    <w:p>
      <w:pPr>
        <w:spacing w:line="360" w:lineRule="auto"/>
        <w:ind w:firstLine="480" w:firstLineChars="200"/>
        <w:rPr>
          <w:rFonts w:ascii="宋体" w:hAnsi="宋体" w:cs="宋体"/>
          <w:sz w:val="24"/>
        </w:rPr>
      </w:pPr>
      <w:r>
        <w:rPr>
          <w:rFonts w:hint="eastAsia" w:ascii="宋体" w:hAnsi="宋体" w:cs="宋体"/>
          <w:sz w:val="24"/>
        </w:rPr>
        <w:t>城市街道是最重要和最基本的公共产品，是保障人类活动和规范公共行为准则的重要构成。需针对现有街道和道路进行合理分类、街道核心职能、街道等级等工作，提出分类分级管控指引，尤其针对慢行系统、过街安全性、道路交叉口设置、骑行顺畅性、无障碍设计和街道设施的可靠性等内容，提出改进建议和管控指引。针对街道宽度与高度比例、街道植载与绿化、停车场进出口、街道家具配置、公共艺术品设置、标示系统、照明系统、广告物、屋顶设施美化设计，提出管理指引。指导重要街区的城市家具管控通则，包括电话亭、信息栏、书报亭、邮筒、垃圾箱、建身设施等服务性设施的样式、材料等。</w:t>
      </w:r>
    </w:p>
    <w:p>
      <w:pPr>
        <w:spacing w:line="360" w:lineRule="auto"/>
        <w:ind w:left="420"/>
        <w:rPr>
          <w:rFonts w:ascii="宋体" w:hAnsi="宋体" w:cs="宋体"/>
          <w:kern w:val="0"/>
          <w:sz w:val="24"/>
          <w:szCs w:val="24"/>
        </w:rPr>
      </w:pPr>
      <w:r>
        <w:rPr>
          <w:rFonts w:hint="eastAsia" w:ascii="宋体" w:hAnsi="宋体" w:cs="宋体"/>
          <w:kern w:val="0"/>
          <w:sz w:val="24"/>
          <w:szCs w:val="24"/>
        </w:rPr>
        <w:t>（7）建筑风貌指引</w:t>
      </w:r>
    </w:p>
    <w:p>
      <w:pPr>
        <w:spacing w:line="360" w:lineRule="auto"/>
        <w:ind w:firstLine="480" w:firstLineChars="200"/>
        <w:rPr>
          <w:rFonts w:ascii="宋体" w:hAnsi="宋体" w:cs="宋体"/>
          <w:sz w:val="24"/>
        </w:rPr>
      </w:pPr>
      <w:r>
        <w:rPr>
          <w:rFonts w:hint="eastAsia" w:ascii="宋体" w:hAnsi="宋体" w:cs="宋体"/>
          <w:sz w:val="24"/>
        </w:rPr>
        <w:t>思考建筑体量和高度的层次变化，以片区或街道为单元，提出建筑风貌管控的连续性、整体性管控思路，考虑建筑材质、建筑色彩、建筑风格等因素对于街区建筑风貌的影响，商业街区需规范店铺和广告牌等设计风格，避免杂乱无序和过于单一两种极端。重要的景观廊道和风貌展示区需对建筑立面的整体风貌和横竖比例、左右结构和上下结构等结构构成、建筑头身比、建筑形体造型和细节构成等要素，提出控制要求和鼓励的设计方向。</w:t>
      </w:r>
    </w:p>
    <w:p>
      <w:pPr>
        <w:spacing w:line="360" w:lineRule="auto"/>
        <w:ind w:firstLine="480" w:firstLineChars="200"/>
        <w:rPr>
          <w:rFonts w:ascii="宋体" w:hAnsi="宋体" w:cs="宋体"/>
          <w:sz w:val="24"/>
        </w:rPr>
      </w:pPr>
      <w:r>
        <w:rPr>
          <w:rFonts w:hint="eastAsia" w:ascii="宋体" w:hAnsi="宋体" w:cs="宋体"/>
          <w:sz w:val="24"/>
        </w:rPr>
        <w:t>提供各类建筑风貌参考和示例，包括住宅建筑、商业建筑、办公建筑、文化建筑、酒店建筑、教育医疗体育等功能建筑、文化场馆、交通市政建筑和构筑物、小品雕塑等。重点从建筑风格、形态、体量、进出口、材质、色彩、建筑之间的衔接和间距、建筑屋顶样式、附著物等层面提出管控要求。</w:t>
      </w:r>
    </w:p>
    <w:p>
      <w:pPr>
        <w:spacing w:line="360" w:lineRule="auto"/>
        <w:ind w:firstLine="480" w:firstLineChars="200"/>
        <w:rPr>
          <w:rFonts w:ascii="宋体" w:hAnsi="宋体" w:cs="宋体"/>
          <w:sz w:val="24"/>
        </w:rPr>
      </w:pPr>
      <w:r>
        <w:rPr>
          <w:rFonts w:hint="eastAsia" w:ascii="宋体" w:hAnsi="宋体" w:cs="宋体"/>
          <w:sz w:val="24"/>
        </w:rPr>
        <w:t>（8）实施管控建议</w:t>
      </w:r>
    </w:p>
    <w:p>
      <w:pPr>
        <w:spacing w:line="360" w:lineRule="auto"/>
        <w:ind w:firstLine="480" w:firstLineChars="200"/>
        <w:rPr>
          <w:rFonts w:ascii="宋体" w:hAnsi="宋体" w:cs="宋体"/>
          <w:sz w:val="24"/>
        </w:rPr>
      </w:pPr>
      <w:r>
        <w:rPr>
          <w:rFonts w:hint="eastAsia" w:ascii="宋体" w:hAnsi="宋体" w:cs="宋体"/>
          <w:sz w:val="24"/>
        </w:rPr>
        <w:t>城市风貌管控导则和设计引导应以全过程管控为导向，融合法定规划刚性约束条款和城市设计人性化的设计导则，制定易于管控和使用的能够贯穿规划编制、设计、用地条件出具、方案审查全过程周期的导则和指引。按照分级分类管控思路，践行刚性与弹性相结合的城乡风貌要素管控手段。</w:t>
      </w:r>
    </w:p>
    <w:p>
      <w:pPr>
        <w:spacing w:line="360" w:lineRule="auto"/>
        <w:ind w:firstLine="480" w:firstLineChars="200"/>
        <w:rPr>
          <w:rFonts w:ascii="宋体" w:hAnsi="宋体" w:cs="宋体"/>
          <w:sz w:val="24"/>
        </w:rPr>
      </w:pPr>
      <w:r>
        <w:rPr>
          <w:rFonts w:hint="eastAsia" w:ascii="宋体" w:hAnsi="宋体" w:cs="宋体"/>
          <w:sz w:val="24"/>
        </w:rPr>
        <w:t>刚性要素也称控制性要素，是指在城市设计编制中应明确提出控制要求，如公共开放空间位置及面积、建筑群体组合（塔楼的位置、形式、面宽等）、建筑退线、建筑高宽比、景观视廊、建筑开敞度、建筑高度（限高、限低）等，需将核心管控指标以数据化的形式体现，并要求在控制性详细规划、修详方案和建筑设计方案中落实。</w:t>
      </w:r>
    </w:p>
    <w:p>
      <w:pPr>
        <w:spacing w:line="360" w:lineRule="auto"/>
        <w:ind w:firstLine="480" w:firstLineChars="200"/>
        <w:rPr>
          <w:rFonts w:ascii="宋体" w:hAnsi="宋体" w:cs="宋体"/>
          <w:sz w:val="24"/>
        </w:rPr>
      </w:pPr>
      <w:r>
        <w:rPr>
          <w:rFonts w:hint="eastAsia" w:ascii="宋体" w:hAnsi="宋体" w:cs="宋体"/>
          <w:sz w:val="24"/>
        </w:rPr>
        <w:t>弹性要素也叫引导性要素主要指涉及美观的要素，主观性较强，可作为方案审查的参考条件。弹性要素可以更多采用设计意象、案例借鉴、设计拼图、简笔画等形式，考虑到不同程度人群和专业人士的理解难易度，鼓励采用易于识别和易懂易读的图文并茂的表达形式，配以短文注解等表达重点意象的形式，将本地区鼓励采用的设计方式（好的设计形式）和不建议使用的（不良设计形式）直观清晰的表达，形成工具指南式的图文导则文本。</w:t>
      </w:r>
    </w:p>
    <w:p>
      <w:pPr>
        <w:spacing w:line="360" w:lineRule="auto"/>
        <w:rPr>
          <w:rFonts w:ascii="宋体" w:hAnsi="宋体" w:cs="宋体"/>
          <w:b/>
          <w:bCs/>
          <w:sz w:val="28"/>
          <w:szCs w:val="28"/>
        </w:rPr>
      </w:pPr>
      <w:r>
        <w:rPr>
          <w:rFonts w:hint="eastAsia" w:ascii="宋体" w:hAnsi="宋体" w:cs="宋体"/>
          <w:b/>
          <w:bCs/>
          <w:sz w:val="28"/>
          <w:szCs w:val="28"/>
        </w:rPr>
        <w:t>六、规划成果</w:t>
      </w:r>
    </w:p>
    <w:p>
      <w:pPr>
        <w:spacing w:line="360" w:lineRule="auto"/>
        <w:ind w:firstLine="480" w:firstLineChars="200"/>
        <w:rPr>
          <w:rFonts w:ascii="宋体" w:hAnsi="宋体" w:cs="宋体"/>
          <w:sz w:val="24"/>
        </w:rPr>
      </w:pPr>
      <w:r>
        <w:rPr>
          <w:rFonts w:hint="eastAsia" w:ascii="宋体" w:hAnsi="宋体" w:cs="宋体"/>
          <w:sz w:val="24"/>
        </w:rPr>
        <w:t>风貌管控研究和技术管理规定最终编制成果必须符合《中华人民共和国城乡规划法》、《中国（海南）自由贸易试验区总体方案》以及其他相关要求。具体为：</w:t>
      </w:r>
    </w:p>
    <w:p>
      <w:pPr>
        <w:spacing w:line="360" w:lineRule="auto"/>
        <w:ind w:firstLine="480" w:firstLineChars="200"/>
        <w:rPr>
          <w:rFonts w:ascii="宋体" w:hAnsi="宋体" w:cs="宋体"/>
          <w:sz w:val="24"/>
        </w:rPr>
      </w:pPr>
      <w:r>
        <w:rPr>
          <w:rFonts w:hint="eastAsia" w:ascii="宋体" w:hAnsi="宋体" w:cs="宋体"/>
          <w:sz w:val="24"/>
        </w:rPr>
        <w:t>阶段成果提供PPT或 PDF 电子文件，最终成果提供纸质文件 6 套，电子文件 2 份。</w:t>
      </w:r>
    </w:p>
    <w:p>
      <w:pPr>
        <w:spacing w:line="360" w:lineRule="auto"/>
        <w:ind w:firstLine="480" w:firstLineChars="200"/>
        <w:rPr>
          <w:rFonts w:ascii="宋体" w:hAnsi="宋体" w:cs="宋体"/>
          <w:sz w:val="24"/>
        </w:rPr>
      </w:pPr>
      <w:r>
        <w:rPr>
          <w:rFonts w:hint="eastAsia" w:ascii="宋体" w:hAnsi="宋体" w:cs="宋体"/>
          <w:sz w:val="24"/>
        </w:rPr>
        <w:t>文本文件可使用.docx/.pptx/.pdf 格式,图纸使用.dwg/.jpg 格式,透视图或鸟瞰图使用.jpg 和.3ds max 格式，效果图像文件的长边不小于 6000pixels,采用最高质量压缩。</w:t>
      </w:r>
    </w:p>
    <w:p>
      <w:pPr>
        <w:spacing w:line="360" w:lineRule="auto"/>
        <w:ind w:firstLine="480" w:firstLineChars="200"/>
        <w:rPr>
          <w:rFonts w:ascii="宋体" w:hAnsi="宋体" w:cs="宋体"/>
          <w:sz w:val="24"/>
        </w:rPr>
      </w:pPr>
      <w:r>
        <w:rPr>
          <w:rFonts w:hint="eastAsia" w:ascii="宋体" w:hAnsi="宋体" w:cs="宋体"/>
          <w:sz w:val="24"/>
        </w:rPr>
        <w:t>最终提交的成果可采用多媒体、动画等形式，强化汇报的可视化效果，但不作为强制性要求。</w:t>
      </w:r>
    </w:p>
    <w:p>
      <w:pPr>
        <w:spacing w:line="360" w:lineRule="auto"/>
        <w:rPr>
          <w:rFonts w:ascii="宋体" w:hAnsi="宋体" w:cs="宋体"/>
          <w:b/>
          <w:bCs/>
          <w:sz w:val="28"/>
          <w:szCs w:val="28"/>
          <w:lang w:val="zh-CN"/>
        </w:rPr>
      </w:pPr>
      <w:r>
        <w:rPr>
          <w:rFonts w:hint="eastAsia" w:ascii="宋体" w:hAnsi="宋体" w:cs="宋体"/>
          <w:b/>
          <w:bCs/>
          <w:sz w:val="28"/>
          <w:szCs w:val="28"/>
          <w:lang w:val="zh-CN"/>
        </w:rPr>
        <w:t>七、验收标准和方法</w:t>
      </w:r>
    </w:p>
    <w:p>
      <w:pPr>
        <w:spacing w:line="360" w:lineRule="auto"/>
        <w:ind w:firstLine="480" w:firstLineChars="200"/>
        <w:rPr>
          <w:rFonts w:ascii="宋体" w:hAnsi="宋体" w:cs="宋体"/>
          <w:kern w:val="0"/>
          <w:sz w:val="24"/>
          <w:lang w:val="zh-CN" w:bidi="zh-CN"/>
        </w:rPr>
      </w:pPr>
      <w:r>
        <w:rPr>
          <w:rFonts w:hint="eastAsia" w:ascii="宋体" w:hAnsi="宋体" w:cs="宋体"/>
          <w:kern w:val="0"/>
          <w:sz w:val="24"/>
          <w:lang w:val="zh-CN" w:bidi="zh-CN"/>
        </w:rPr>
        <w:t>项目验收国家有强制性规定的，按国家规定执行，验收费用由成交供应商承担，验收报告作为申请付款的凭证之一。</w:t>
      </w:r>
    </w:p>
    <w:p>
      <w:pPr>
        <w:spacing w:line="360" w:lineRule="auto"/>
        <w:rPr>
          <w:rFonts w:ascii="宋体" w:hAnsi="宋体" w:cs="宋体"/>
          <w:b/>
          <w:bCs/>
          <w:sz w:val="28"/>
          <w:szCs w:val="28"/>
          <w:lang w:val="zh-CN"/>
        </w:rPr>
      </w:pPr>
      <w:r>
        <w:rPr>
          <w:rFonts w:hint="eastAsia" w:ascii="宋体" w:hAnsi="宋体" w:cs="宋体"/>
          <w:b/>
          <w:bCs/>
          <w:sz w:val="28"/>
          <w:szCs w:val="28"/>
          <w:lang w:val="zh-CN"/>
        </w:rPr>
        <w:t>八、其他要求</w:t>
      </w:r>
    </w:p>
    <w:p>
      <w:pPr>
        <w:spacing w:line="360" w:lineRule="auto"/>
        <w:ind w:firstLine="480" w:firstLineChars="200"/>
        <w:jc w:val="left"/>
        <w:rPr>
          <w:rFonts w:ascii="宋体" w:hAnsi="宋体" w:cs="宋体"/>
          <w:sz w:val="24"/>
        </w:rPr>
      </w:pPr>
      <w:bookmarkStart w:id="9" w:name="OLE_LINK4"/>
      <w:r>
        <w:rPr>
          <w:rFonts w:hint="eastAsia" w:ascii="宋体" w:hAnsi="宋体" w:cs="宋体"/>
          <w:sz w:val="24"/>
        </w:rPr>
        <w:t>1、</w:t>
      </w:r>
      <w:bookmarkEnd w:id="9"/>
      <w:r>
        <w:rPr>
          <w:rFonts w:hint="eastAsia" w:ascii="宋体" w:hAnsi="宋体" w:cs="宋体"/>
          <w:sz w:val="24"/>
        </w:rPr>
        <w:t>付款方式：按双方合同约定方式进行支付。</w:t>
      </w:r>
    </w:p>
    <w:p>
      <w:pPr>
        <w:spacing w:line="360" w:lineRule="auto"/>
        <w:ind w:firstLine="480" w:firstLineChars="200"/>
        <w:jc w:val="left"/>
        <w:rPr>
          <w:rFonts w:ascii="宋体" w:hAnsi="宋体" w:cs="宋体"/>
          <w:sz w:val="24"/>
        </w:rPr>
      </w:pPr>
      <w:r>
        <w:rPr>
          <w:rFonts w:hint="eastAsia" w:ascii="宋体" w:hAnsi="宋体" w:cs="宋体"/>
          <w:sz w:val="24"/>
        </w:rPr>
        <w:t>2、本项目采用费用包干方式采购，投标供应商应根据项目要求和现场情况，详细合计在服务实施过程中应缴纳的一切税费、管理费、保险费(含意外保险）、评审费、人工、财务、设备、材料、耗材等一切与该项目管理有关的费用，如一旦中标，在项目实施中出现任何遗漏，均由成交供应商免费提供，采购人不再支付任何费用。</w:t>
      </w:r>
    </w:p>
    <w:p>
      <w:pPr>
        <w:spacing w:line="360" w:lineRule="auto"/>
        <w:ind w:firstLine="480" w:firstLineChars="200"/>
        <w:jc w:val="left"/>
        <w:rPr>
          <w:rFonts w:ascii="宋体" w:hAnsi="宋体" w:cs="宋体"/>
          <w:sz w:val="24"/>
        </w:rPr>
      </w:pPr>
      <w:r>
        <w:rPr>
          <w:rFonts w:hint="eastAsia" w:ascii="宋体" w:hAnsi="宋体" w:cs="宋体"/>
          <w:sz w:val="24"/>
        </w:rPr>
        <w:t>3、投标供应商在投标前，自行踏勘现场，有关费用自理，踏勘期间发生的意外自负。</w:t>
      </w:r>
    </w:p>
    <w:p>
      <w:pPr>
        <w:spacing w:line="360" w:lineRule="auto"/>
        <w:ind w:firstLine="480" w:firstLineChars="200"/>
        <w:jc w:val="left"/>
        <w:rPr>
          <w:rFonts w:hint="eastAsia" w:ascii="宋体" w:hAnsi="宋体" w:cs="宋体"/>
          <w:sz w:val="24"/>
        </w:rPr>
      </w:pPr>
      <w:r>
        <w:rPr>
          <w:rFonts w:hint="eastAsia" w:ascii="宋体" w:hAnsi="宋体" w:cs="宋体"/>
          <w:sz w:val="24"/>
        </w:rPr>
        <w:t>注：本项目用户需求书所有技术、商务条款必须正偏离或完全响应，如有负偏离响应则为无效投标。</w:t>
      </w:r>
    </w:p>
    <w:p>
      <w:pPr>
        <w:spacing w:line="360" w:lineRule="auto"/>
        <w:rPr>
          <w:rFonts w:ascii="宋体" w:hAnsi="宋体" w:cs="宋体"/>
          <w:b/>
          <w:bCs/>
          <w:sz w:val="28"/>
          <w:szCs w:val="28"/>
          <w:lang w:val="zh-CN"/>
        </w:rPr>
      </w:pPr>
      <w:r>
        <w:rPr>
          <w:rFonts w:hint="eastAsia" w:ascii="宋体" w:hAnsi="宋体" w:cs="宋体"/>
          <w:b/>
          <w:bCs/>
          <w:sz w:val="28"/>
          <w:szCs w:val="28"/>
          <w:lang w:val="zh-CN"/>
        </w:rPr>
        <w:t>九、服务期限</w:t>
      </w:r>
    </w:p>
    <w:p>
      <w:pPr>
        <w:spacing w:line="360" w:lineRule="auto"/>
        <w:ind w:firstLine="480" w:firstLineChars="200"/>
        <w:rPr>
          <w:rFonts w:ascii="宋体" w:cs="Times New Roman"/>
          <w:sz w:val="24"/>
          <w:szCs w:val="24"/>
        </w:rPr>
      </w:pPr>
      <w:r>
        <w:rPr>
          <w:rFonts w:hint="eastAsia" w:ascii="宋体" w:hAnsi="宋体" w:cs="宋体"/>
          <w:sz w:val="24"/>
          <w:szCs w:val="24"/>
        </w:rPr>
        <w:t>自合同签订之日起</w:t>
      </w:r>
      <w:r>
        <w:rPr>
          <w:rFonts w:hint="eastAsia" w:ascii="宋体" w:hAnsi="宋体" w:cs="宋体"/>
          <w:sz w:val="24"/>
          <w:szCs w:val="24"/>
          <w:lang w:val="en-US" w:eastAsia="zh-CN"/>
        </w:rPr>
        <w:t>90</w:t>
      </w:r>
      <w:r>
        <w:rPr>
          <w:rFonts w:hint="eastAsia" w:ascii="宋体" w:hAnsi="宋体" w:cs="宋体"/>
          <w:sz w:val="24"/>
          <w:szCs w:val="24"/>
        </w:rPr>
        <w:t>日历天。</w:t>
      </w:r>
    </w:p>
    <w:bookmarkEnd w:id="0"/>
    <w:bookmarkEnd w:id="1"/>
    <w:bookmarkEnd w:id="2"/>
    <w:bookmarkEnd w:id="3"/>
    <w:bookmarkEnd w:id="4"/>
    <w:bookmarkEnd w:id="5"/>
    <w:bookmarkEnd w:id="6"/>
    <w:bookmarkEnd w:id="7"/>
    <w:bookmarkEnd w:id="8"/>
    <w:p>
      <w:pPr>
        <w:spacing w:line="360" w:lineRule="auto"/>
        <w:ind w:firstLine="480" w:firstLineChars="200"/>
        <w:rPr>
          <w:rFonts w:ascii="宋体" w:cs="Times New Roman"/>
          <w:sz w:val="24"/>
          <w:szCs w:val="24"/>
        </w:rPr>
      </w:pPr>
    </w:p>
    <w:sectPr>
      <w:footerReference r:id="rId4" w:type="first"/>
      <w:footerReference r:id="rId3" w:type="default"/>
      <w:pgSz w:w="11906" w:h="16838"/>
      <w:pgMar w:top="1440" w:right="1800" w:bottom="1440" w:left="1800" w:header="851" w:footer="992" w:gutter="0"/>
      <w:pgNumType w:start="1"/>
      <w:cols w:space="720" w:num="1"/>
      <w:titlePg/>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720"/>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2" name="文本框 6"/>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0"/>
                          </w:pPr>
                          <w:r>
                            <w:rPr>
                              <w:rFonts w:hint="eastAsia"/>
                            </w:rPr>
                            <w:t>第</w:t>
                          </w:r>
                          <w:r>
                            <w:t xml:space="preserve"> </w:t>
                          </w:r>
                          <w:r>
                            <w:fldChar w:fldCharType="begin"/>
                          </w:r>
                          <w:r>
                            <w:instrText xml:space="preserve"> PAGE  \* MERGEFORMAT </w:instrText>
                          </w:r>
                          <w:r>
                            <w:fldChar w:fldCharType="separate"/>
                          </w:r>
                          <w:r>
                            <w:t>8</w:t>
                          </w:r>
                          <w:r>
                            <w:fldChar w:fldCharType="end"/>
                          </w:r>
                          <w:r>
                            <w:t xml:space="preserve"> </w:t>
                          </w:r>
                          <w:r>
                            <w:rPr>
                              <w:rFonts w:hint="eastAsia"/>
                            </w:rPr>
                            <w:t>页</w:t>
                          </w:r>
                          <w:r>
                            <w:t xml:space="preserve"> </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Bb9aoRDwIAABAEAAAOAAAAZHJzL2Uyb0RvYy54bWytU0tu2zAQ3Rfo&#10;HQjua9lBnKaC5SCN4aJA+gHSHoCmKIuoyCGGtCX3AO0Nusqm+57L5+iQktw03WTRjTAiZ97Me/O4&#10;uOpMw/YKvQZb8NlkypmyEkpttwX//Gn94pIzH4QtRQNWFfygPL9aPn+2aF2uzqCGplTICMT6vHUF&#10;r0NweZZ5WSsj/AScsnRZARoR6Be3WYmiJXTTZGfT6UXWApYOQSrv6XTVX/IBEZ8CCFWlpVqB3Bll&#10;Q4+KqhGBKPlaO8+XadqqUjJ8qCqvAmsKTkxD+lITijfxmy0XIt+icLWWwwjiKSM84mSEttT0BLUS&#10;QbAd6n+gjJYIHqowkWCynkhShFjMpo+0uauFU4kLSe3dSXT//2Dl+/1HZLos+BlnVhha+PHH9+P9&#10;r+PPb+wiytM6n1PWnaO80L2GjkyTqHp3C/KLZxZuamG36hoR2lqJksabxcrsQWmP4yPIpn0HJfUR&#10;uwAJqKvQRO1IDUbotJrDaTWqC0zS4Tk553LOmaSr2fnLV/N56iDysdihD28UGBaDgiNtPoGL/a0P&#10;cRiRjymxl4W1bpq0/cb+dUCJ/YlK9hmqI5U4fc8jdJtukGYD5YFIIfTWoodFQQ34lbOWbFVwS6+I&#10;s+atJVmiA8cAx2AzBsJKKix44KwPb0Lv1J1Dva0JdxT+mqRb60QrDtbPMAhORklsB1NHJz78T1l/&#10;HvLy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lDqPLRAAAAAwEAAA8AAAAAAAAAAQAgAAAAIgAA&#10;AGRycy9kb3ducmV2LnhtbFBLAQIUABQAAAAIAIdO4kBb9aoRDwIAABAEAAAOAAAAAAAAAAEAIAAA&#10;ACABAABkcnMvZTJvRG9jLnhtbFBLBQYAAAAABgAGAFkBAAChBQAAAAA=&#10;">
              <v:fill on="f" focussize="0,0"/>
              <v:stroke on="f"/>
              <v:imagedata o:title=""/>
              <o:lock v:ext="edit" aspectratio="f"/>
              <v:textbox inset="0mm,0mm,0mm,0mm" style="mso-fit-shape-to-text:t;">
                <w:txbxContent>
                  <w:p>
                    <w:pPr>
                      <w:pStyle w:val="10"/>
                    </w:pPr>
                    <w:r>
                      <w:rPr>
                        <w:rFonts w:hint="eastAsia"/>
                      </w:rPr>
                      <w:t>第</w:t>
                    </w:r>
                    <w:r>
                      <w:t xml:space="preserve"> </w:t>
                    </w:r>
                    <w:r>
                      <w:fldChar w:fldCharType="begin"/>
                    </w:r>
                    <w:r>
                      <w:instrText xml:space="preserve"> PAGE  \* MERGEFORMAT </w:instrText>
                    </w:r>
                    <w:r>
                      <w:fldChar w:fldCharType="separate"/>
                    </w:r>
                    <w:r>
                      <w:t>8</w:t>
                    </w:r>
                    <w:r>
                      <w:fldChar w:fldCharType="end"/>
                    </w:r>
                    <w:r>
                      <w:t xml:space="preserve"> </w:t>
                    </w:r>
                    <w:r>
                      <w:rPr>
                        <w:rFonts w:hint="eastAsia"/>
                      </w:rPr>
                      <w:t>页</w:t>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1"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a:effectLst/>
                    </wps:spPr>
                    <wps:txbx>
                      <w:txbxContent>
                        <w:p>
                          <w:pPr>
                            <w:pStyle w:val="10"/>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DuRVkpDgIAABAEAAAOAAAAZHJzL2Uyb0RvYy54bWytU0tu2zAQ3Rfo&#10;HQjua9lB3KSC5SCN4aJA+gHSHoCmKIuoyCGGtCX3AO0Nusqm+57L5+iQktw03WTRjTAiZ97Me/O4&#10;uOpMw/YKvQZb8NlkypmyEkpttwX//Gn94pIzH4QtRQNWFfygPL9aPn+2aF2uzqCGplTICMT6vHUF&#10;r0NweZZ5WSsj/AScsnRZARoR6Be3WYmiJXTTZGfT6cusBSwdglTe0+mqv+QDIj4FEKpKS7UCuTPK&#10;hh4VVSMCUfK1dp4v07RVpWT4UFVeBdYUnJiG9KUmFG/iN1suRL5F4WothxHEU0Z4xMkIbanpCWol&#10;gmA71P9AGS0RPFRhIsFkPZGkCLGYTR9pc1cLpxIXktq7k+j+/8HK9/uPyHRJTuDMCkMLP/74frz/&#10;dfz5jV1EeVrnc8q6c5QXutfQxdRI1btbkF88s3BTC7tV14jQ1kqUNN4sVmYPSnscH0E27TsoqY/Y&#10;BUhAXYUmApIajNBpNYfTalQXmKTDc3LO5ZwzSVez84tX83nqIPKx2KEPbxQYFoOCI20+gYv9rQ9x&#10;GJGPKbGXhbVumrT9xv51QIn9iUr2GaojlTh9zyN0m26QZgPlgUgh9Naih0VBDfiVs5ZsVXBLr4iz&#10;5q0lWaIDxwDHYDMGwkoqLHjgrA9vQu/UnUO9rQl3FP6apFvrRCsO1s8wCE5GSWwHU0cnPvxPWX8e&#10;8v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UOo8tEAAAADAQAADwAAAAAAAAABACAAAAAiAAAA&#10;ZHJzL2Rvd25yZXYueG1sUEsBAhQAFAAAAAgAh07iQO5FWSkOAgAAEAQAAA4AAAAAAAAAAQAgAAAA&#10;IAEAAGRycy9lMm9Eb2MueG1sUEsFBgAAAAAGAAYAWQEAAKAFAAAAAA==&#10;">
              <v:fill on="f" focussize="0,0"/>
              <v:stroke on="f"/>
              <v:imagedata o:title=""/>
              <o:lock v:ext="edit" aspectratio="f"/>
              <v:textbox inset="0mm,0mm,0mm,0mm" style="mso-fit-shape-to-text:t;">
                <w:txbxContent>
                  <w:p>
                    <w:pPr>
                      <w:pStyle w:val="10"/>
                    </w:pPr>
                    <w:r>
                      <w:rPr>
                        <w:rFonts w:hint="eastAsia"/>
                      </w:rPr>
                      <w:t>第</w:t>
                    </w:r>
                    <w:r>
                      <w:t xml:space="preserve"> </w:t>
                    </w:r>
                    <w:r>
                      <w:fldChar w:fldCharType="begin"/>
                    </w:r>
                    <w:r>
                      <w:instrText xml:space="preserve"> PAGE  \* MERGEFORMAT </w:instrText>
                    </w:r>
                    <w:r>
                      <w:fldChar w:fldCharType="separate"/>
                    </w:r>
                    <w:r>
                      <w:t>1</w:t>
                    </w:r>
                    <w:r>
                      <w:fldChar w:fldCharType="end"/>
                    </w:r>
                    <w:r>
                      <w:t xml:space="preserve"> </w:t>
                    </w:r>
                    <w:r>
                      <w:rPr>
                        <w:rFonts w:hint="eastAsia"/>
                      </w:rPr>
                      <w:t>页</w:t>
                    </w:r>
                    <w:r>
                      <w:t xml:space="preserve"> </w:t>
                    </w:r>
                  </w:p>
                </w:txbxContent>
              </v:textbox>
            </v:shape>
          </w:pict>
        </mc:Fallback>
      </mc:AlternateContent>
    </w:r>
    <w: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A41A39"/>
    <w:multiLevelType w:val="singleLevel"/>
    <w:tmpl w:val="89A41A39"/>
    <w:lvl w:ilvl="0" w:tentative="0">
      <w:start w:val="1"/>
      <w:numFmt w:val="decimal"/>
      <w:suff w:val="nothing"/>
      <w:lvlText w:val="%1．"/>
      <w:lvlJc w:val="left"/>
      <w:pPr>
        <w:ind w:left="-220" w:firstLine="400"/>
      </w:pPr>
      <w:rPr>
        <w:rFonts w:hint="default"/>
      </w:rPr>
    </w:lvl>
  </w:abstractNum>
  <w:abstractNum w:abstractNumId="1">
    <w:nsid w:val="E7FC6785"/>
    <w:multiLevelType w:val="singleLevel"/>
    <w:tmpl w:val="E7FC6785"/>
    <w:lvl w:ilvl="0" w:tentative="0">
      <w:start w:val="1"/>
      <w:numFmt w:val="decimal"/>
      <w:suff w:val="nothing"/>
      <w:lvlText w:val="%1．"/>
      <w:lvlJc w:val="left"/>
      <w:pPr>
        <w:ind w:left="-220" w:firstLine="400"/>
      </w:pPr>
      <w:rPr>
        <w:rFonts w:hint="default"/>
      </w:rPr>
    </w:lvl>
  </w:abstractNum>
  <w:abstractNum w:abstractNumId="2">
    <w:nsid w:val="3AB161EF"/>
    <w:multiLevelType w:val="singleLevel"/>
    <w:tmpl w:val="3AB161EF"/>
    <w:lvl w:ilvl="0" w:tentative="0">
      <w:start w:val="1"/>
      <w:numFmt w:val="decimal"/>
      <w:suff w:val="nothing"/>
      <w:lvlText w:val="%1．"/>
      <w:lvlJc w:val="left"/>
      <w:pPr>
        <w:ind w:left="-220" w:firstLine="4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HorizontalSpacing w:val="105"/>
  <w:drawingGridVerticalSpacing w:val="31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N2EzOTIwNTFkMWRjYjlhM2M2MjEwMTAzOTAyMTAifQ=="/>
  </w:docVars>
  <w:rsids>
    <w:rsidRoot w:val="00F62978"/>
    <w:rsid w:val="000B43AA"/>
    <w:rsid w:val="000C7D24"/>
    <w:rsid w:val="000D367B"/>
    <w:rsid w:val="00120A52"/>
    <w:rsid w:val="001D72C7"/>
    <w:rsid w:val="001F23AD"/>
    <w:rsid w:val="00203204"/>
    <w:rsid w:val="00285320"/>
    <w:rsid w:val="00295942"/>
    <w:rsid w:val="002D442C"/>
    <w:rsid w:val="002F1674"/>
    <w:rsid w:val="002F7B08"/>
    <w:rsid w:val="00342457"/>
    <w:rsid w:val="00366639"/>
    <w:rsid w:val="0039258A"/>
    <w:rsid w:val="003927DC"/>
    <w:rsid w:val="003A4EC7"/>
    <w:rsid w:val="003C3444"/>
    <w:rsid w:val="00403BA5"/>
    <w:rsid w:val="00407222"/>
    <w:rsid w:val="004124CB"/>
    <w:rsid w:val="004327A5"/>
    <w:rsid w:val="00451DB4"/>
    <w:rsid w:val="00452BAF"/>
    <w:rsid w:val="00484C57"/>
    <w:rsid w:val="00575910"/>
    <w:rsid w:val="005D265B"/>
    <w:rsid w:val="005D48FA"/>
    <w:rsid w:val="005E1418"/>
    <w:rsid w:val="00626B64"/>
    <w:rsid w:val="006273AD"/>
    <w:rsid w:val="00653B7A"/>
    <w:rsid w:val="006707C2"/>
    <w:rsid w:val="00680CA3"/>
    <w:rsid w:val="006B7A18"/>
    <w:rsid w:val="006E78EE"/>
    <w:rsid w:val="00715A3E"/>
    <w:rsid w:val="00721E07"/>
    <w:rsid w:val="00782418"/>
    <w:rsid w:val="007A284B"/>
    <w:rsid w:val="007D235D"/>
    <w:rsid w:val="008566EB"/>
    <w:rsid w:val="0087607C"/>
    <w:rsid w:val="00882740"/>
    <w:rsid w:val="008A5B03"/>
    <w:rsid w:val="008B1B2E"/>
    <w:rsid w:val="008B3391"/>
    <w:rsid w:val="008B52AF"/>
    <w:rsid w:val="00901603"/>
    <w:rsid w:val="00905D51"/>
    <w:rsid w:val="009B5F7D"/>
    <w:rsid w:val="009D429E"/>
    <w:rsid w:val="00A15A5D"/>
    <w:rsid w:val="00A370BC"/>
    <w:rsid w:val="00A56DA7"/>
    <w:rsid w:val="00A63D93"/>
    <w:rsid w:val="00B118EC"/>
    <w:rsid w:val="00B22567"/>
    <w:rsid w:val="00BC1A3C"/>
    <w:rsid w:val="00BC42F1"/>
    <w:rsid w:val="00C07624"/>
    <w:rsid w:val="00C206ED"/>
    <w:rsid w:val="00C27101"/>
    <w:rsid w:val="00C47E0A"/>
    <w:rsid w:val="00CA047C"/>
    <w:rsid w:val="00CA64D0"/>
    <w:rsid w:val="00CB2BA3"/>
    <w:rsid w:val="00CD1F6E"/>
    <w:rsid w:val="00CF0206"/>
    <w:rsid w:val="00D225F9"/>
    <w:rsid w:val="00D23384"/>
    <w:rsid w:val="00D9662D"/>
    <w:rsid w:val="00DC5724"/>
    <w:rsid w:val="00DF6CB0"/>
    <w:rsid w:val="00E054D1"/>
    <w:rsid w:val="00E05AA0"/>
    <w:rsid w:val="00E247C5"/>
    <w:rsid w:val="00E7741F"/>
    <w:rsid w:val="00E81A59"/>
    <w:rsid w:val="00EC6882"/>
    <w:rsid w:val="00EE3337"/>
    <w:rsid w:val="00EF4C25"/>
    <w:rsid w:val="00F4064F"/>
    <w:rsid w:val="00F44C9D"/>
    <w:rsid w:val="00F62169"/>
    <w:rsid w:val="00F62978"/>
    <w:rsid w:val="00F971EA"/>
    <w:rsid w:val="00FA0BD1"/>
    <w:rsid w:val="00FA4EAE"/>
    <w:rsid w:val="00FB033F"/>
    <w:rsid w:val="00FB11F0"/>
    <w:rsid w:val="00FB3D89"/>
    <w:rsid w:val="00FB471F"/>
    <w:rsid w:val="00FF4809"/>
    <w:rsid w:val="048C35A0"/>
    <w:rsid w:val="0B0C0ED2"/>
    <w:rsid w:val="0C8861D7"/>
    <w:rsid w:val="0ECD0486"/>
    <w:rsid w:val="10490C79"/>
    <w:rsid w:val="13143572"/>
    <w:rsid w:val="149C0B6A"/>
    <w:rsid w:val="16057A09"/>
    <w:rsid w:val="197D6078"/>
    <w:rsid w:val="1D7D1E43"/>
    <w:rsid w:val="220B2187"/>
    <w:rsid w:val="24493C45"/>
    <w:rsid w:val="30B41ACC"/>
    <w:rsid w:val="30C752B3"/>
    <w:rsid w:val="33893B15"/>
    <w:rsid w:val="35E717A0"/>
    <w:rsid w:val="3A8B1EBC"/>
    <w:rsid w:val="3E640517"/>
    <w:rsid w:val="3FC66F47"/>
    <w:rsid w:val="420A1557"/>
    <w:rsid w:val="4368302E"/>
    <w:rsid w:val="445E50F3"/>
    <w:rsid w:val="45EE29E5"/>
    <w:rsid w:val="47EE4EC9"/>
    <w:rsid w:val="488B6026"/>
    <w:rsid w:val="49B81803"/>
    <w:rsid w:val="4D342238"/>
    <w:rsid w:val="54E46037"/>
    <w:rsid w:val="56101F16"/>
    <w:rsid w:val="5FD63027"/>
    <w:rsid w:val="633F3DB9"/>
    <w:rsid w:val="639332E1"/>
    <w:rsid w:val="63D60C67"/>
    <w:rsid w:val="68077B2B"/>
    <w:rsid w:val="6862068D"/>
    <w:rsid w:val="6A313AC5"/>
    <w:rsid w:val="6C93503F"/>
    <w:rsid w:val="6E3C7BB6"/>
    <w:rsid w:val="71005FDF"/>
    <w:rsid w:val="735E7CE5"/>
    <w:rsid w:val="73C345CA"/>
    <w:rsid w:val="75F06A66"/>
    <w:rsid w:val="79384122"/>
    <w:rsid w:val="7AD42858"/>
    <w:rsid w:val="7C1A39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keepNext/>
      <w:keepLines/>
      <w:autoSpaceDE w:val="0"/>
      <w:autoSpaceDN w:val="0"/>
      <w:adjustRightInd w:val="0"/>
      <w:spacing w:before="240" w:after="120" w:line="300" w:lineRule="auto"/>
      <w:jc w:val="center"/>
      <w:outlineLvl w:val="0"/>
    </w:pPr>
    <w:rPr>
      <w:rFonts w:ascii="宋体" w:hAnsi="Times New Roman" w:cs="宋体"/>
      <w:b/>
      <w:bCs/>
      <w:kern w:val="44"/>
      <w:sz w:val="32"/>
      <w:szCs w:val="32"/>
    </w:rPr>
  </w:style>
  <w:style w:type="paragraph" w:styleId="3">
    <w:name w:val="heading 2"/>
    <w:basedOn w:val="1"/>
    <w:next w:val="1"/>
    <w:link w:val="17"/>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paragraph" w:styleId="5">
    <w:name w:val="heading 4"/>
    <w:basedOn w:val="1"/>
    <w:next w:val="1"/>
    <w:link w:val="19"/>
    <w:qFormat/>
    <w:uiPriority w:val="99"/>
    <w:pPr>
      <w:keepNext/>
      <w:keepLines/>
      <w:spacing w:before="280" w:after="290" w:line="376" w:lineRule="auto"/>
      <w:outlineLvl w:val="3"/>
    </w:pPr>
    <w:rPr>
      <w:rFonts w:ascii="Cambria" w:hAnsi="Cambria" w:cs="Cambria"/>
      <w:b/>
      <w:bCs/>
      <w:sz w:val="28"/>
      <w:szCs w:val="28"/>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6">
    <w:name w:val="Normal Indent"/>
    <w:basedOn w:val="1"/>
    <w:uiPriority w:val="99"/>
    <w:pPr>
      <w:autoSpaceDE w:val="0"/>
      <w:autoSpaceDN w:val="0"/>
      <w:adjustRightInd w:val="0"/>
      <w:ind w:firstLine="420"/>
      <w:jc w:val="left"/>
    </w:pPr>
    <w:rPr>
      <w:rFonts w:ascii="宋体" w:cs="宋体"/>
      <w:kern w:val="0"/>
      <w:sz w:val="24"/>
      <w:szCs w:val="24"/>
    </w:rPr>
  </w:style>
  <w:style w:type="paragraph" w:styleId="7">
    <w:name w:val="Body Text Indent"/>
    <w:basedOn w:val="1"/>
    <w:link w:val="20"/>
    <w:qFormat/>
    <w:uiPriority w:val="99"/>
    <w:pPr>
      <w:widowControl/>
      <w:spacing w:after="120"/>
      <w:ind w:left="420" w:leftChars="200"/>
      <w:jc w:val="left"/>
    </w:pPr>
    <w:rPr>
      <w:kern w:val="0"/>
    </w:rPr>
  </w:style>
  <w:style w:type="paragraph" w:styleId="8">
    <w:name w:val="Plain Text"/>
    <w:basedOn w:val="1"/>
    <w:link w:val="21"/>
    <w:qFormat/>
    <w:uiPriority w:val="99"/>
    <w:rPr>
      <w:rFonts w:ascii="宋体" w:hAnsi="Courier New" w:cs="宋体"/>
    </w:rPr>
  </w:style>
  <w:style w:type="paragraph" w:styleId="9">
    <w:name w:val="Balloon Text"/>
    <w:basedOn w:val="1"/>
    <w:link w:val="31"/>
    <w:semiHidden/>
    <w:unhideWhenUsed/>
    <w:qFormat/>
    <w:locked/>
    <w:uiPriority w:val="99"/>
    <w:rPr>
      <w:sz w:val="18"/>
      <w:szCs w:val="18"/>
    </w:rPr>
  </w:style>
  <w:style w:type="paragraph" w:styleId="10">
    <w:name w:val="footer"/>
    <w:basedOn w:val="1"/>
    <w:link w:val="22"/>
    <w:qFormat/>
    <w:uiPriority w:val="99"/>
    <w:pPr>
      <w:tabs>
        <w:tab w:val="center" w:pos="4153"/>
        <w:tab w:val="right" w:pos="8306"/>
      </w:tabs>
      <w:autoSpaceDE w:val="0"/>
      <w:autoSpaceDN w:val="0"/>
      <w:adjustRightInd w:val="0"/>
      <w:snapToGrid w:val="0"/>
      <w:jc w:val="left"/>
    </w:pPr>
    <w:rPr>
      <w:rFonts w:ascii="宋体" w:cs="宋体"/>
      <w:kern w:val="0"/>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99"/>
    <w:pPr>
      <w:spacing w:before="120" w:after="120"/>
      <w:jc w:val="left"/>
    </w:pPr>
    <w:rPr>
      <w:b/>
      <w:bCs/>
      <w:caps/>
      <w:kern w:val="0"/>
      <w:sz w:val="20"/>
      <w:szCs w:val="20"/>
    </w:rPr>
  </w:style>
  <w:style w:type="table" w:styleId="14">
    <w:name w:val="Table Grid"/>
    <w:basedOn w:val="1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标题 1 Char"/>
    <w:basedOn w:val="15"/>
    <w:link w:val="2"/>
    <w:qFormat/>
    <w:locked/>
    <w:uiPriority w:val="99"/>
    <w:rPr>
      <w:rFonts w:ascii="宋体" w:cs="宋体"/>
      <w:b/>
      <w:bCs/>
      <w:kern w:val="44"/>
      <w:sz w:val="32"/>
      <w:szCs w:val="32"/>
    </w:rPr>
  </w:style>
  <w:style w:type="character" w:customStyle="1" w:styleId="17">
    <w:name w:val="标题 2 Char"/>
    <w:basedOn w:val="15"/>
    <w:link w:val="3"/>
    <w:semiHidden/>
    <w:locked/>
    <w:uiPriority w:val="99"/>
    <w:rPr>
      <w:rFonts w:ascii="Cambria" w:hAnsi="Cambria" w:eastAsia="宋体" w:cs="Cambria"/>
      <w:b/>
      <w:bCs/>
      <w:sz w:val="32"/>
      <w:szCs w:val="32"/>
    </w:rPr>
  </w:style>
  <w:style w:type="character" w:customStyle="1" w:styleId="18">
    <w:name w:val="标题 3 Char"/>
    <w:basedOn w:val="15"/>
    <w:link w:val="4"/>
    <w:semiHidden/>
    <w:locked/>
    <w:uiPriority w:val="99"/>
    <w:rPr>
      <w:rFonts w:ascii="Calibri" w:hAnsi="Calibri" w:cs="Calibri"/>
      <w:b/>
      <w:bCs/>
      <w:sz w:val="32"/>
      <w:szCs w:val="32"/>
    </w:rPr>
  </w:style>
  <w:style w:type="character" w:customStyle="1" w:styleId="19">
    <w:name w:val="标题 4 Char"/>
    <w:basedOn w:val="15"/>
    <w:link w:val="5"/>
    <w:semiHidden/>
    <w:locked/>
    <w:uiPriority w:val="99"/>
    <w:rPr>
      <w:rFonts w:ascii="Cambria" w:hAnsi="Cambria" w:eastAsia="宋体" w:cs="Cambria"/>
      <w:b/>
      <w:bCs/>
      <w:sz w:val="28"/>
      <w:szCs w:val="28"/>
    </w:rPr>
  </w:style>
  <w:style w:type="character" w:customStyle="1" w:styleId="20">
    <w:name w:val="正文文本缩进 Char"/>
    <w:basedOn w:val="15"/>
    <w:link w:val="7"/>
    <w:semiHidden/>
    <w:qFormat/>
    <w:locked/>
    <w:uiPriority w:val="99"/>
    <w:rPr>
      <w:rFonts w:ascii="Calibri" w:hAnsi="Calibri" w:cs="Calibri"/>
      <w:sz w:val="21"/>
      <w:szCs w:val="21"/>
    </w:rPr>
  </w:style>
  <w:style w:type="character" w:customStyle="1" w:styleId="21">
    <w:name w:val="纯文本 Char"/>
    <w:basedOn w:val="15"/>
    <w:link w:val="8"/>
    <w:semiHidden/>
    <w:qFormat/>
    <w:locked/>
    <w:uiPriority w:val="99"/>
    <w:rPr>
      <w:rFonts w:ascii="宋体" w:hAnsi="Courier New" w:cs="宋体"/>
      <w:sz w:val="21"/>
      <w:szCs w:val="21"/>
    </w:rPr>
  </w:style>
  <w:style w:type="character" w:customStyle="1" w:styleId="22">
    <w:name w:val="页脚 Char"/>
    <w:basedOn w:val="15"/>
    <w:link w:val="10"/>
    <w:semiHidden/>
    <w:qFormat/>
    <w:locked/>
    <w:uiPriority w:val="99"/>
    <w:rPr>
      <w:rFonts w:ascii="Calibri" w:hAnsi="Calibri" w:cs="Calibri"/>
      <w:sz w:val="18"/>
      <w:szCs w:val="18"/>
    </w:rPr>
  </w:style>
  <w:style w:type="character" w:customStyle="1" w:styleId="23">
    <w:name w:val="页眉 Char"/>
    <w:basedOn w:val="15"/>
    <w:link w:val="11"/>
    <w:semiHidden/>
    <w:locked/>
    <w:uiPriority w:val="99"/>
    <w:rPr>
      <w:rFonts w:ascii="Calibri" w:hAnsi="Calibri" w:cs="Calibri"/>
      <w:sz w:val="18"/>
      <w:szCs w:val="18"/>
    </w:rPr>
  </w:style>
  <w:style w:type="paragraph" w:customStyle="1" w:styleId="24">
    <w:name w:val="无间隔1"/>
    <w:qFormat/>
    <w:uiPriority w:val="99"/>
    <w:rPr>
      <w:rFonts w:ascii="Calibri" w:hAnsi="Calibri" w:eastAsia="宋体" w:cs="Calibri"/>
      <w:kern w:val="2"/>
      <w:sz w:val="21"/>
      <w:szCs w:val="21"/>
      <w:lang w:val="en-US" w:eastAsia="zh-CN" w:bidi="ar-SA"/>
    </w:rPr>
  </w:style>
  <w:style w:type="paragraph" w:customStyle="1" w:styleId="25">
    <w:name w:val="p0"/>
    <w:basedOn w:val="1"/>
    <w:qFormat/>
    <w:uiPriority w:val="99"/>
    <w:pPr>
      <w:widowControl/>
    </w:pPr>
    <w:rPr>
      <w:kern w:val="0"/>
    </w:rPr>
  </w:style>
  <w:style w:type="paragraph" w:customStyle="1" w:styleId="26">
    <w:name w:val="封面单位"/>
    <w:basedOn w:val="1"/>
    <w:qFormat/>
    <w:uiPriority w:val="99"/>
    <w:pPr>
      <w:spacing w:line="300" w:lineRule="auto"/>
      <w:jc w:val="center"/>
    </w:pPr>
    <w:rPr>
      <w:b/>
      <w:bCs/>
      <w:sz w:val="36"/>
      <w:szCs w:val="36"/>
    </w:rPr>
  </w:style>
  <w:style w:type="paragraph" w:customStyle="1" w:styleId="27">
    <w:name w:val="纯文本1"/>
    <w:basedOn w:val="28"/>
    <w:qFormat/>
    <w:uiPriority w:val="99"/>
    <w:pPr>
      <w:adjustRightInd w:val="0"/>
      <w:textAlignment w:val="baseline"/>
    </w:pPr>
    <w:rPr>
      <w:rFonts w:ascii="宋体" w:hAnsi="Courier New" w:eastAsia="楷体_GB2312" w:cs="宋体"/>
      <w:sz w:val="28"/>
      <w:szCs w:val="28"/>
    </w:rPr>
  </w:style>
  <w:style w:type="paragraph" w:customStyle="1" w:styleId="28">
    <w:name w:val="正文 New New New New New New New New New New New New New New New New"/>
    <w:qFormat/>
    <w:uiPriority w:val="99"/>
    <w:pPr>
      <w:widowControl w:val="0"/>
      <w:jc w:val="both"/>
    </w:pPr>
    <w:rPr>
      <w:rFonts w:ascii="Calibri" w:hAnsi="Calibri" w:eastAsia="宋体" w:cs="Calibri"/>
      <w:kern w:val="2"/>
      <w:sz w:val="21"/>
      <w:szCs w:val="21"/>
      <w:lang w:val="en-US" w:eastAsia="zh-CN" w:bidi="ar-SA"/>
    </w:rPr>
  </w:style>
  <w:style w:type="character" w:customStyle="1" w:styleId="29">
    <w:name w:val="font51"/>
    <w:qFormat/>
    <w:uiPriority w:val="99"/>
    <w:rPr>
      <w:rFonts w:ascii="黑体" w:hAnsi="宋体" w:eastAsia="黑体" w:cs="黑体"/>
      <w:color w:val="000000"/>
      <w:sz w:val="28"/>
      <w:szCs w:val="28"/>
      <w:u w:val="none"/>
    </w:rPr>
  </w:style>
  <w:style w:type="character" w:customStyle="1" w:styleId="30">
    <w:name w:val="font61"/>
    <w:qFormat/>
    <w:uiPriority w:val="99"/>
    <w:rPr>
      <w:rFonts w:ascii="黑体" w:hAnsi="宋体" w:eastAsia="黑体" w:cs="黑体"/>
      <w:color w:val="000000"/>
      <w:sz w:val="24"/>
      <w:szCs w:val="24"/>
      <w:u w:val="none"/>
    </w:rPr>
  </w:style>
  <w:style w:type="character" w:customStyle="1" w:styleId="31">
    <w:name w:val="批注框文本 Char"/>
    <w:basedOn w:val="15"/>
    <w:link w:val="9"/>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FA413-9D47-40CB-B184-FA2D8ED4F8B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6553</Words>
  <Characters>6665</Characters>
  <Lines>48</Lines>
  <Paragraphs>13</Paragraphs>
  <TotalTime>1</TotalTime>
  <ScaleCrop>false</ScaleCrop>
  <LinksUpToDate>false</LinksUpToDate>
  <CharactersWithSpaces>6695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2022-10-25T03:26:00Z</dcterms:created>
  <dc:creator>123</dc:creator>
  <cp:lastModifiedBy>Connie @康</cp:lastModifiedBy>
  <cp:lastPrinted>2021-03-05T02:26:00Z</cp:lastPrinted>
  <dcterms:modified xsi:type="dcterms:W3CDTF">2022-10-31T03:27:31Z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E2208659C0874D69AD4B5A6F5A99CA86</vt:lpwstr>
  </property>
</Properties>
</file>