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8"/>
        <w:jc w:val="center"/>
        <w:rPr>
          <w:rFonts w:ascii="宋体" w:cs="宋体"/>
          <w:b/>
          <w:color w:val="auto"/>
          <w:sz w:val="72"/>
          <w:szCs w:val="72"/>
          <w:highlight w:val="none"/>
        </w:rPr>
      </w:pPr>
      <w:r>
        <w:rPr>
          <w:rFonts w:hint="eastAsia" w:ascii="宋体" w:cs="宋体"/>
          <w:b/>
          <w:color w:val="auto"/>
          <w:sz w:val="72"/>
          <w:szCs w:val="72"/>
          <w:highlight w:val="none"/>
        </w:rPr>
        <w:t>综合楼（食堂和宿舍）设备和教学楼附属文化</w:t>
      </w:r>
    </w:p>
    <w:p>
      <w:pPr>
        <w:pStyle w:val="39"/>
        <w:spacing w:line="360" w:lineRule="auto"/>
        <w:ind w:left="0" w:leftChars="0" w:firstLine="0" w:firstLineChars="0"/>
        <w:jc w:val="center"/>
        <w:rPr>
          <w:rFonts w:ascii="宋体" w:hAnsi="宋体" w:cs="宋体"/>
          <w:b/>
          <w:color w:val="auto"/>
          <w:sz w:val="72"/>
          <w:szCs w:val="72"/>
          <w:highlight w:val="none"/>
        </w:rPr>
      </w:pPr>
    </w:p>
    <w:p>
      <w:pPr>
        <w:pStyle w:val="39"/>
        <w:spacing w:line="360" w:lineRule="auto"/>
        <w:ind w:left="0" w:leftChars="0" w:firstLine="0" w:firstLineChars="0"/>
        <w:jc w:val="center"/>
        <w:rPr>
          <w:color w:val="auto"/>
          <w:sz w:val="22"/>
          <w:szCs w:val="28"/>
          <w:highlight w:val="none"/>
        </w:rPr>
      </w:pPr>
      <w:r>
        <w:rPr>
          <w:rFonts w:hint="eastAsia" w:ascii="宋体" w:hAnsi="宋体" w:cs="宋体"/>
          <w:b/>
          <w:color w:val="auto"/>
          <w:sz w:val="72"/>
          <w:szCs w:val="72"/>
          <w:highlight w:val="none"/>
        </w:rPr>
        <w:t>公开招标</w:t>
      </w:r>
    </w:p>
    <w:p>
      <w:pPr>
        <w:spacing w:line="360" w:lineRule="auto"/>
        <w:jc w:val="center"/>
        <w:rPr>
          <w:rFonts w:ascii="宋体" w:hAnsi="宋体" w:cs="宋体"/>
          <w:b/>
          <w:color w:val="auto"/>
          <w:spacing w:val="100"/>
          <w:sz w:val="30"/>
          <w:highlight w:val="none"/>
        </w:rPr>
      </w:pPr>
      <w:r>
        <w:rPr>
          <w:color w:val="auto"/>
          <w:highlight w:val="none"/>
        </w:rPr>
        <w:drawing>
          <wp:inline distT="0" distB="0" distL="114300" distR="114300">
            <wp:extent cx="3036570" cy="2470785"/>
            <wp:effectExtent l="0" t="0" r="11430" b="571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8" cstate="print"/>
                    <a:srcRect b="14632"/>
                    <a:stretch>
                      <a:fillRect/>
                    </a:stretch>
                  </pic:blipFill>
                  <pic:spPr>
                    <a:xfrm>
                      <a:off x="0" y="0"/>
                      <a:ext cx="3036570" cy="2470785"/>
                    </a:xfrm>
                    <a:prstGeom prst="rect">
                      <a:avLst/>
                    </a:prstGeom>
                    <a:noFill/>
                    <a:ln>
                      <a:noFill/>
                    </a:ln>
                  </pic:spPr>
                </pic:pic>
              </a:graphicData>
            </a:graphic>
          </wp:inline>
        </w:drawing>
      </w:r>
    </w:p>
    <w:p>
      <w:pPr>
        <w:spacing w:line="360" w:lineRule="auto"/>
        <w:rPr>
          <w:rFonts w:ascii="宋体" w:hAnsi="宋体" w:cs="宋体"/>
          <w:b/>
          <w:color w:val="auto"/>
          <w:sz w:val="18"/>
          <w:szCs w:val="18"/>
          <w:highlight w:val="none"/>
        </w:rPr>
      </w:pPr>
    </w:p>
    <w:p>
      <w:pPr>
        <w:spacing w:line="360" w:lineRule="auto"/>
        <w:ind w:firstLine="1084" w:firstLineChars="300"/>
        <w:rPr>
          <w:rFonts w:ascii="宋体" w:hAnsi="宋体" w:cs="宋体"/>
          <w:b/>
          <w:color w:val="auto"/>
          <w:sz w:val="36"/>
          <w:szCs w:val="36"/>
          <w:highlight w:val="none"/>
        </w:rPr>
      </w:pPr>
    </w:p>
    <w:p>
      <w:pPr>
        <w:spacing w:line="360" w:lineRule="auto"/>
        <w:ind w:firstLine="1084" w:firstLineChars="300"/>
        <w:rPr>
          <w:rFonts w:ascii="宋体" w:hAnsi="宋体" w:cs="宋体"/>
          <w:b/>
          <w:color w:val="auto"/>
          <w:sz w:val="36"/>
          <w:szCs w:val="36"/>
          <w:highlight w:val="none"/>
        </w:rPr>
      </w:pPr>
    </w:p>
    <w:p>
      <w:pPr>
        <w:spacing w:line="360" w:lineRule="auto"/>
        <w:ind w:firstLine="1084" w:firstLineChars="300"/>
        <w:rPr>
          <w:rFonts w:ascii="宋体" w:hAnsi="宋体" w:cs="宋体"/>
          <w:b/>
          <w:color w:val="auto"/>
          <w:sz w:val="36"/>
          <w:szCs w:val="36"/>
          <w:highlight w:val="none"/>
        </w:rPr>
      </w:pPr>
      <w:r>
        <w:rPr>
          <w:rFonts w:hint="eastAsia" w:ascii="宋体" w:hAnsi="宋体" w:cs="宋体"/>
          <w:b/>
          <w:color w:val="auto"/>
          <w:sz w:val="36"/>
          <w:szCs w:val="36"/>
          <w:highlight w:val="none"/>
        </w:rPr>
        <w:t>项目编号：ZB2022-0802</w:t>
      </w:r>
    </w:p>
    <w:p>
      <w:pPr>
        <w:spacing w:line="360" w:lineRule="auto"/>
        <w:ind w:firstLine="1084" w:firstLineChars="300"/>
        <w:rPr>
          <w:rFonts w:ascii="宋体" w:hAnsi="宋体" w:cs="宋体"/>
          <w:b/>
          <w:color w:val="auto"/>
          <w:sz w:val="36"/>
          <w:szCs w:val="36"/>
          <w:highlight w:val="none"/>
        </w:rPr>
      </w:pPr>
      <w:r>
        <w:rPr>
          <w:rFonts w:hint="eastAsia" w:ascii="宋体" w:hAnsi="宋体" w:cs="宋体"/>
          <w:b/>
          <w:color w:val="auto"/>
          <w:sz w:val="36"/>
          <w:szCs w:val="36"/>
          <w:highlight w:val="none"/>
        </w:rPr>
        <w:t>采 购 人：乐东黎族自治县特殊教育学校</w:t>
      </w:r>
    </w:p>
    <w:p>
      <w:pPr>
        <w:spacing w:line="360" w:lineRule="auto"/>
        <w:ind w:firstLine="1084" w:firstLineChars="300"/>
        <w:rPr>
          <w:rFonts w:ascii="宋体" w:hAnsi="宋体" w:cs="宋体"/>
          <w:b/>
          <w:color w:val="auto"/>
          <w:sz w:val="36"/>
          <w:szCs w:val="36"/>
          <w:highlight w:val="none"/>
        </w:rPr>
      </w:pPr>
      <w:r>
        <w:rPr>
          <w:rFonts w:hint="eastAsia" w:ascii="宋体" w:hAnsi="宋体" w:cs="宋体"/>
          <w:b/>
          <w:color w:val="auto"/>
          <w:sz w:val="36"/>
          <w:szCs w:val="36"/>
          <w:highlight w:val="none"/>
        </w:rPr>
        <w:t>采购代理机构：海南政邦招标代理有限公司</w:t>
      </w:r>
    </w:p>
    <w:p>
      <w:pPr>
        <w:spacing w:line="360" w:lineRule="auto"/>
        <w:ind w:firstLine="2747" w:firstLineChars="800"/>
        <w:rPr>
          <w:color w:val="auto"/>
          <w:highlight w:val="none"/>
        </w:rPr>
      </w:pPr>
      <w:r>
        <w:rPr>
          <w:rFonts w:hint="eastAsia" w:ascii="宋体" w:hAnsi="宋体" w:cs="宋体"/>
          <w:b/>
          <w:color w:val="auto"/>
          <w:w w:val="95"/>
          <w:sz w:val="36"/>
          <w:szCs w:val="36"/>
          <w:highlight w:val="none"/>
        </w:rPr>
        <w:t>二〇二二年十月</w:t>
      </w:r>
    </w:p>
    <w:p>
      <w:pPr>
        <w:spacing w:line="360" w:lineRule="auto"/>
        <w:rPr>
          <w:rFonts w:asciiTheme="minorEastAsia" w:hAnsiTheme="minorEastAsia" w:eastAsiaTheme="minorEastAsia"/>
          <w:color w:val="auto"/>
          <w:highlight w:val="none"/>
        </w:rPr>
      </w:pPr>
    </w:p>
    <w:p>
      <w:pPr>
        <w:rPr>
          <w:color w:val="auto"/>
          <w:highlight w:val="none"/>
        </w:rPr>
      </w:pPr>
    </w:p>
    <w:p>
      <w:pPr>
        <w:pStyle w:val="27"/>
        <w:rPr>
          <w:color w:val="auto"/>
          <w:highlight w:val="none"/>
        </w:rPr>
      </w:pPr>
    </w:p>
    <w:p>
      <w:pPr>
        <w:pStyle w:val="27"/>
        <w:spacing w:line="360" w:lineRule="auto"/>
        <w:rPr>
          <w:rFonts w:asciiTheme="minorEastAsia" w:hAnsiTheme="minorEastAsia" w:eastAsiaTheme="minorEastAsia"/>
          <w:color w:val="auto"/>
          <w:highlight w:val="none"/>
        </w:rPr>
      </w:pPr>
    </w:p>
    <w:p>
      <w:pPr>
        <w:spacing w:line="360" w:lineRule="auto"/>
        <w:jc w:val="center"/>
        <w:rPr>
          <w:rFonts w:cs="宋体" w:asciiTheme="minorEastAsia" w:hAnsiTheme="minorEastAsia" w:eastAsiaTheme="minorEastAsia"/>
          <w:color w:val="auto"/>
          <w:sz w:val="40"/>
          <w:szCs w:val="30"/>
          <w:highlight w:val="none"/>
        </w:rPr>
      </w:pPr>
      <w:r>
        <w:rPr>
          <w:rFonts w:hint="eastAsia" w:cs="宋体" w:asciiTheme="minorEastAsia" w:hAnsiTheme="minorEastAsia" w:eastAsiaTheme="minorEastAsia"/>
          <w:color w:val="auto"/>
          <w:sz w:val="40"/>
          <w:szCs w:val="30"/>
          <w:highlight w:val="none"/>
        </w:rPr>
        <w:t>目录</w:t>
      </w:r>
    </w:p>
    <w:sdt>
      <w:sdtPr>
        <w:rPr>
          <w:rFonts w:asciiTheme="minorEastAsia" w:hAnsiTheme="minorEastAsia" w:eastAsiaTheme="minorEastAsia"/>
          <w:color w:val="auto"/>
          <w:sz w:val="18"/>
          <w:highlight w:val="none"/>
        </w:rPr>
        <w:id w:val="147470606"/>
        <w:docPartObj>
          <w:docPartGallery w:val="Table of Contents"/>
          <w:docPartUnique/>
        </w:docPartObj>
      </w:sdtPr>
      <w:sdtEndPr>
        <w:rPr>
          <w:rFonts w:asciiTheme="minorEastAsia" w:hAnsiTheme="minorEastAsia" w:eastAsiaTheme="minorEastAsia"/>
          <w:color w:val="auto"/>
          <w:sz w:val="22"/>
          <w:szCs w:val="24"/>
          <w:highlight w:val="none"/>
        </w:rPr>
      </w:sdtEndPr>
      <w:sdtContent>
        <w:p>
          <w:pPr>
            <w:spacing w:line="360" w:lineRule="auto"/>
            <w:jc w:val="center"/>
            <w:rPr>
              <w:rFonts w:asciiTheme="minorEastAsia" w:hAnsiTheme="minorEastAsia" w:eastAsiaTheme="minorEastAsia"/>
              <w:color w:val="auto"/>
              <w:highlight w:val="none"/>
            </w:rPr>
          </w:pPr>
        </w:p>
        <w:p>
          <w:pPr>
            <w:pStyle w:val="319"/>
            <w:tabs>
              <w:tab w:val="right" w:leader="dot" w:pos="9070"/>
            </w:tabs>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TOC \o "1-1" \h \u </w:instrText>
          </w:r>
          <w:r>
            <w:rPr>
              <w:rFonts w:asciiTheme="minorEastAsia" w:hAnsiTheme="minorEastAsia" w:eastAsiaTheme="minorEastAsia"/>
              <w:color w:val="auto"/>
              <w:sz w:val="28"/>
              <w:szCs w:val="28"/>
              <w:highlight w:val="none"/>
            </w:rPr>
            <w:fldChar w:fldCharType="separate"/>
          </w:r>
          <w:r>
            <w:rPr>
              <w:color w:val="auto"/>
              <w:highlight w:val="none"/>
            </w:rPr>
            <w:fldChar w:fldCharType="begin"/>
          </w:r>
          <w:r>
            <w:rPr>
              <w:color w:val="auto"/>
              <w:highlight w:val="none"/>
            </w:rPr>
            <w:instrText xml:space="preserve"> HYPERLINK \l "_Toc7037" </w:instrText>
          </w:r>
          <w:r>
            <w:rPr>
              <w:color w:val="auto"/>
              <w:highlight w:val="none"/>
            </w:rPr>
            <w:fldChar w:fldCharType="separate"/>
          </w:r>
          <w:r>
            <w:rPr>
              <w:rFonts w:hint="eastAsia" w:asciiTheme="minorEastAsia" w:hAnsiTheme="minorEastAsia" w:eastAsiaTheme="minorEastAsia"/>
              <w:color w:val="auto"/>
              <w:sz w:val="28"/>
              <w:szCs w:val="52"/>
              <w:highlight w:val="none"/>
            </w:rPr>
            <w:t>第一章 投标邀请函</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_Toc7037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3</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color w:val="auto"/>
              <w:highlight w:val="none"/>
            </w:rPr>
            <w:fldChar w:fldCharType="begin"/>
          </w:r>
          <w:r>
            <w:rPr>
              <w:color w:val="auto"/>
              <w:highlight w:val="none"/>
            </w:rPr>
            <w:instrText xml:space="preserve"> HYPERLINK \l "_Toc17921" </w:instrText>
          </w:r>
          <w:r>
            <w:rPr>
              <w:color w:val="auto"/>
              <w:highlight w:val="none"/>
            </w:rPr>
            <w:fldChar w:fldCharType="separate"/>
          </w:r>
          <w:r>
            <w:rPr>
              <w:rFonts w:hint="eastAsia" w:asciiTheme="minorEastAsia" w:hAnsiTheme="minorEastAsia" w:eastAsiaTheme="minorEastAsia"/>
              <w:color w:val="auto"/>
              <w:sz w:val="28"/>
              <w:szCs w:val="52"/>
              <w:highlight w:val="none"/>
            </w:rPr>
            <w:t>第二章  投标人须知</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_Toc17921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6</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color w:val="auto"/>
              <w:highlight w:val="none"/>
            </w:rPr>
            <w:fldChar w:fldCharType="begin"/>
          </w:r>
          <w:r>
            <w:rPr>
              <w:color w:val="auto"/>
              <w:highlight w:val="none"/>
            </w:rPr>
            <w:instrText xml:space="preserve"> HYPERLINK \l "_Toc4023" </w:instrText>
          </w:r>
          <w:r>
            <w:rPr>
              <w:color w:val="auto"/>
              <w:highlight w:val="none"/>
            </w:rPr>
            <w:fldChar w:fldCharType="separate"/>
          </w:r>
          <w:r>
            <w:rPr>
              <w:rFonts w:hint="eastAsia" w:asciiTheme="minorEastAsia" w:hAnsiTheme="minorEastAsia" w:eastAsiaTheme="minorEastAsia"/>
              <w:color w:val="auto"/>
              <w:sz w:val="28"/>
              <w:szCs w:val="28"/>
              <w:highlight w:val="none"/>
            </w:rPr>
            <w:t>第三章 采购需求</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_Toc4023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22</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color w:val="auto"/>
              <w:highlight w:val="none"/>
            </w:rPr>
            <w:fldChar w:fldCharType="begin"/>
          </w:r>
          <w:r>
            <w:rPr>
              <w:color w:val="auto"/>
              <w:highlight w:val="none"/>
            </w:rPr>
            <w:instrText xml:space="preserve"> HYPERLINK \l "_Toc1892" </w:instrText>
          </w:r>
          <w:r>
            <w:rPr>
              <w:color w:val="auto"/>
              <w:highlight w:val="none"/>
            </w:rPr>
            <w:fldChar w:fldCharType="separate"/>
          </w:r>
          <w:r>
            <w:rPr>
              <w:rFonts w:hint="eastAsia" w:asciiTheme="minorEastAsia" w:hAnsiTheme="minorEastAsia" w:eastAsiaTheme="minorEastAsia"/>
              <w:color w:val="auto"/>
              <w:sz w:val="28"/>
              <w:szCs w:val="28"/>
              <w:highlight w:val="none"/>
            </w:rPr>
            <w:t>第四章  评标方法及标准</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_Toc1892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71</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color w:val="auto"/>
              <w:highlight w:val="none"/>
            </w:rPr>
            <w:fldChar w:fldCharType="begin"/>
          </w:r>
          <w:r>
            <w:rPr>
              <w:color w:val="auto"/>
              <w:highlight w:val="none"/>
            </w:rPr>
            <w:instrText xml:space="preserve"> HYPERLINK \l "_Toc15929" </w:instrText>
          </w:r>
          <w:r>
            <w:rPr>
              <w:color w:val="auto"/>
              <w:highlight w:val="none"/>
            </w:rPr>
            <w:fldChar w:fldCharType="separate"/>
          </w:r>
          <w:r>
            <w:rPr>
              <w:rFonts w:hint="eastAsia" w:asciiTheme="minorEastAsia" w:hAnsiTheme="minorEastAsia" w:eastAsiaTheme="minorEastAsia"/>
              <w:color w:val="auto"/>
              <w:sz w:val="28"/>
              <w:szCs w:val="28"/>
              <w:highlight w:val="none"/>
            </w:rPr>
            <w:t>第五章  合同文本</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_Toc15929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78</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color w:val="auto"/>
              <w:highlight w:val="none"/>
            </w:rPr>
            <w:fldChar w:fldCharType="begin"/>
          </w:r>
          <w:r>
            <w:rPr>
              <w:color w:val="auto"/>
              <w:highlight w:val="none"/>
            </w:rPr>
            <w:instrText xml:space="preserve"> HYPERLINK \l "_Toc29073" </w:instrText>
          </w:r>
          <w:r>
            <w:rPr>
              <w:color w:val="auto"/>
              <w:highlight w:val="none"/>
            </w:rPr>
            <w:fldChar w:fldCharType="separate"/>
          </w:r>
          <w:r>
            <w:rPr>
              <w:rFonts w:hint="eastAsia" w:asciiTheme="minorEastAsia" w:hAnsiTheme="minorEastAsia" w:eastAsiaTheme="minorEastAsia"/>
              <w:color w:val="auto"/>
              <w:sz w:val="28"/>
              <w:szCs w:val="28"/>
              <w:highlight w:val="none"/>
            </w:rPr>
            <w:t>第六章  投标文件格式要求</w:t>
          </w:r>
          <w:r>
            <w:rPr>
              <w:rFonts w:asciiTheme="minorEastAsia" w:hAnsiTheme="minorEastAsia" w:eastAsiaTheme="minorEastAsia"/>
              <w:color w:val="auto"/>
              <w:sz w:val="28"/>
              <w:szCs w:val="28"/>
              <w:highlight w:val="none"/>
            </w:rPr>
            <w:tab/>
          </w:r>
          <w:r>
            <w:rPr>
              <w:rFonts w:asciiTheme="minorEastAsia" w:hAnsiTheme="minorEastAsia" w:eastAsiaTheme="minorEastAsia"/>
              <w:color w:val="auto"/>
              <w:sz w:val="28"/>
              <w:szCs w:val="28"/>
              <w:highlight w:val="none"/>
            </w:rPr>
            <w:fldChar w:fldCharType="begin"/>
          </w:r>
          <w:r>
            <w:rPr>
              <w:rFonts w:asciiTheme="minorEastAsia" w:hAnsiTheme="minorEastAsia" w:eastAsiaTheme="minorEastAsia"/>
              <w:color w:val="auto"/>
              <w:sz w:val="28"/>
              <w:szCs w:val="28"/>
              <w:highlight w:val="none"/>
            </w:rPr>
            <w:instrText xml:space="preserve"> PAGEREF _Toc29073 \h </w:instrText>
          </w:r>
          <w:r>
            <w:rPr>
              <w:rFonts w:asciiTheme="minorEastAsia" w:hAnsiTheme="minorEastAsia" w:eastAsiaTheme="minorEastAsia"/>
              <w:color w:val="auto"/>
              <w:sz w:val="28"/>
              <w:szCs w:val="28"/>
              <w:highlight w:val="none"/>
            </w:rPr>
            <w:fldChar w:fldCharType="separate"/>
          </w:r>
          <w:r>
            <w:rPr>
              <w:rFonts w:asciiTheme="minorEastAsia" w:hAnsiTheme="minorEastAsia" w:eastAsiaTheme="minorEastAsia"/>
              <w:color w:val="auto"/>
              <w:sz w:val="28"/>
              <w:szCs w:val="28"/>
              <w:highlight w:val="none"/>
            </w:rPr>
            <w:t>81</w:t>
          </w:r>
          <w:r>
            <w:rPr>
              <w:rFonts w:asciiTheme="minorEastAsia" w:hAnsiTheme="minorEastAsia" w:eastAsiaTheme="minorEastAsia"/>
              <w:color w:val="auto"/>
              <w:sz w:val="28"/>
              <w:szCs w:val="28"/>
              <w:highlight w:val="none"/>
            </w:rPr>
            <w:fldChar w:fldCharType="end"/>
          </w:r>
          <w:r>
            <w:rPr>
              <w:rFonts w:asciiTheme="minorEastAsia" w:hAnsiTheme="minorEastAsia" w:eastAsiaTheme="minorEastAsia"/>
              <w:color w:val="auto"/>
              <w:sz w:val="28"/>
              <w:szCs w:val="28"/>
              <w:highlight w:val="none"/>
            </w:rPr>
            <w:fldChar w:fldCharType="end"/>
          </w:r>
        </w:p>
        <w:p>
          <w:pPr>
            <w:pStyle w:val="319"/>
            <w:tabs>
              <w:tab w:val="right" w:leader="dot" w:pos="9070"/>
            </w:tabs>
            <w:spacing w:line="36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4"/>
              <w:szCs w:val="28"/>
              <w:highlight w:val="none"/>
            </w:rPr>
            <w:fldChar w:fldCharType="end"/>
          </w:r>
        </w:p>
        <w:p>
          <w:pPr>
            <w:pStyle w:val="27"/>
            <w:spacing w:line="360" w:lineRule="auto"/>
            <w:rPr>
              <w:rFonts w:asciiTheme="minorEastAsia" w:hAnsiTheme="minorEastAsia" w:eastAsiaTheme="minorEastAsia"/>
              <w:color w:val="auto"/>
              <w:sz w:val="22"/>
              <w:szCs w:val="24"/>
              <w:highlight w:val="none"/>
            </w:rPr>
          </w:pPr>
        </w:p>
      </w:sdtContent>
    </w:sdt>
    <w:p>
      <w:pPr>
        <w:pStyle w:val="27"/>
        <w:spacing w:line="360" w:lineRule="auto"/>
        <w:rPr>
          <w:rFonts w:asciiTheme="minorEastAsia" w:hAnsiTheme="minorEastAsia" w:eastAsiaTheme="minorEastAsia"/>
          <w:color w:val="auto"/>
          <w:sz w:val="22"/>
          <w:szCs w:val="24"/>
          <w:highlight w:val="none"/>
        </w:rPr>
      </w:pPr>
    </w:p>
    <w:p>
      <w:pPr>
        <w:pStyle w:val="3"/>
        <w:spacing w:before="0" w:after="0"/>
        <w:rPr>
          <w:rFonts w:asciiTheme="minorEastAsia" w:hAnsiTheme="minorEastAsia" w:eastAsiaTheme="minorEastAsia"/>
          <w:color w:val="auto"/>
          <w:sz w:val="48"/>
          <w:szCs w:val="48"/>
          <w:highlight w:val="none"/>
        </w:rPr>
        <w:sectPr>
          <w:headerReference r:id="rId3" w:type="default"/>
          <w:pgSz w:w="11906" w:h="16838"/>
          <w:pgMar w:top="1418" w:right="1418" w:bottom="1418" w:left="1418" w:header="851" w:footer="992" w:gutter="0"/>
          <w:pgNumType w:start="1"/>
          <w:cols w:space="720" w:num="1"/>
          <w:titlePg/>
          <w:docGrid w:linePitch="286" w:charSpace="0"/>
        </w:sectPr>
      </w:pPr>
      <w:bookmarkStart w:id="0" w:name="_Toc238871023"/>
      <w:bookmarkStart w:id="1" w:name="_Toc238906999"/>
    </w:p>
    <w:p>
      <w:pPr>
        <w:spacing w:line="360" w:lineRule="auto"/>
        <w:jc w:val="center"/>
        <w:rPr>
          <w:rStyle w:val="43"/>
          <w:rFonts w:ascii="黑体" w:hAnsi="宋体" w:eastAsia="黑体" w:cs="黑体"/>
          <w:i w:val="0"/>
          <w:iCs w:val="0"/>
          <w:caps w:val="0"/>
          <w:color w:val="auto"/>
          <w:spacing w:val="0"/>
          <w:sz w:val="32"/>
          <w:szCs w:val="32"/>
          <w:highlight w:val="none"/>
        </w:rPr>
      </w:pPr>
      <w:bookmarkStart w:id="2" w:name="_Toc1052"/>
      <w:bookmarkStart w:id="3" w:name="_Toc7046"/>
      <w:bookmarkStart w:id="4" w:name="_Toc28359002"/>
      <w:bookmarkStart w:id="5" w:name="_Toc35393621"/>
      <w:bookmarkStart w:id="6" w:name="_Toc35393790"/>
      <w:bookmarkStart w:id="7" w:name="_Toc28359079"/>
      <w:bookmarkStart w:id="8" w:name="_Hlk24379207"/>
      <w:r>
        <w:rPr>
          <w:rStyle w:val="43"/>
          <w:rFonts w:hint="eastAsia" w:ascii="黑体" w:hAnsi="宋体" w:eastAsia="黑体" w:cs="黑体"/>
          <w:i w:val="0"/>
          <w:iCs w:val="0"/>
          <w:caps w:val="0"/>
          <w:color w:val="auto"/>
          <w:spacing w:val="0"/>
          <w:sz w:val="32"/>
          <w:szCs w:val="32"/>
          <w:highlight w:val="none"/>
        </w:rPr>
        <w:t>第一章  磋商邀请函</w:t>
      </w:r>
      <w:bookmarkEnd w:id="2"/>
      <w:bookmarkEnd w:id="3"/>
    </w:p>
    <w:p>
      <w:pPr>
        <w:spacing w:line="360" w:lineRule="auto"/>
        <w:jc w:val="center"/>
        <w:rPr>
          <w:rFonts w:asciiTheme="minorEastAsia" w:hAnsiTheme="minorEastAsia" w:eastAsiaTheme="minorEastAsia"/>
          <w:color w:val="auto"/>
          <w:highlight w:val="none"/>
        </w:rPr>
      </w:pP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项目概况</w:t>
            </w:r>
          </w:p>
          <w:p>
            <w:pPr>
              <w:spacing w:line="360" w:lineRule="auto"/>
              <w:ind w:firstLine="480" w:firstLineChars="20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综合楼（食堂和宿舍）设备和教学楼附属文化招标项目的潜在投标人应在海南政府采购网(www.ccgp-hainan.gov.cn)-海南省政府采购电子化交易管理系统(新)获取招标文件，并于2022-</w:t>
            </w:r>
            <w:r>
              <w:rPr>
                <w:rFonts w:hint="eastAsia" w:asciiTheme="minorEastAsia" w:hAnsiTheme="minorEastAsia" w:eastAsiaTheme="minorEastAsia"/>
                <w:color w:val="auto"/>
                <w:szCs w:val="24"/>
                <w:highlight w:val="none"/>
                <w:lang w:val="en-US" w:eastAsia="zh-CN"/>
              </w:rPr>
              <w:t>11</w:t>
            </w:r>
            <w:r>
              <w:rPr>
                <w:rFonts w:hint="eastAsia"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lang w:val="en-US" w:eastAsia="zh-CN"/>
              </w:rPr>
              <w:t>09</w:t>
            </w:r>
            <w:r>
              <w:rPr>
                <w:rFonts w:hint="eastAsia"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lang w:val="en-US" w:eastAsia="zh-CN"/>
              </w:rPr>
              <w:t>09</w:t>
            </w:r>
            <w:r>
              <w:rPr>
                <w:rFonts w:hint="eastAsia" w:asciiTheme="minorEastAsia" w:hAnsiTheme="minorEastAsia" w:eastAsiaTheme="minorEastAsia"/>
                <w:color w:val="auto"/>
                <w:szCs w:val="24"/>
                <w:highlight w:val="none"/>
              </w:rPr>
              <w:t xml:space="preserve">:00（北京时间）前递交投标文件。 </w:t>
            </w:r>
          </w:p>
        </w:tc>
      </w:tr>
    </w:tbl>
    <w:p>
      <w:pPr>
        <w:spacing w:line="360" w:lineRule="auto"/>
        <w:rPr>
          <w:rFonts w:asciiTheme="minorEastAsia" w:hAnsiTheme="minorEastAsia" w:eastAsiaTheme="minorEastAsia"/>
          <w:color w:val="auto"/>
          <w:highlight w:val="none"/>
        </w:rPr>
      </w:pP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一、项目基本情况</w:t>
      </w:r>
      <w:bookmarkEnd w:id="4"/>
      <w:bookmarkEnd w:id="5"/>
      <w:bookmarkEnd w:id="6"/>
      <w:bookmarkEnd w:id="7"/>
    </w:p>
    <w:bookmarkEnd w:id="8"/>
    <w:p>
      <w:pPr>
        <w:spacing w:line="360" w:lineRule="auto"/>
        <w:ind w:firstLine="480" w:firstLineChars="200"/>
        <w:rPr>
          <w:rFonts w:asciiTheme="minorEastAsia" w:hAnsiTheme="minorEastAsia" w:eastAsiaTheme="minorEastAsia"/>
          <w:color w:val="auto"/>
          <w:szCs w:val="24"/>
          <w:highlight w:val="none"/>
        </w:rPr>
      </w:pPr>
      <w:bookmarkStart w:id="9" w:name="_Toc28359080"/>
      <w:bookmarkStart w:id="10" w:name="_Toc35393791"/>
      <w:bookmarkStart w:id="11" w:name="_Toc35393622"/>
      <w:bookmarkStart w:id="12" w:name="_Toc28359003"/>
      <w:r>
        <w:rPr>
          <w:rFonts w:hint="eastAsia" w:asciiTheme="minorEastAsia" w:hAnsiTheme="minorEastAsia" w:eastAsiaTheme="minorEastAsia"/>
          <w:color w:val="auto"/>
          <w:szCs w:val="24"/>
          <w:highlight w:val="none"/>
        </w:rPr>
        <w:t>项目编号：ZB2022-0802</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项目名称：综合楼（食堂和宿舍）设备和教学楼附属文化</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预算金额：375万元</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最高限价：375万元</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采购需求：</w:t>
      </w:r>
      <w:r>
        <w:rPr>
          <w:rFonts w:hint="eastAsia" w:ascii="宋体" w:hAnsi="宋体"/>
          <w:color w:val="auto"/>
          <w:szCs w:val="24"/>
          <w:highlight w:val="none"/>
        </w:rPr>
        <w:t>本项目主要包括以下几个方面：</w:t>
      </w:r>
      <w:r>
        <w:rPr>
          <w:rFonts w:hint="eastAsia" w:ascii="宋体" w:hAnsi="宋体" w:cs="宋体"/>
          <w:color w:val="auto"/>
          <w:highlight w:val="none"/>
        </w:rPr>
        <w:t>食堂设备、宿舍设备、演出活动厅设备、户外LED屏改造、户外师生运动器材、教学楼LED屏、学农基地改造、足球场改造、其它设备等</w:t>
      </w:r>
      <w:r>
        <w:rPr>
          <w:rFonts w:hint="eastAsia" w:ascii="宋体" w:hAnsi="宋体"/>
          <w:color w:val="auto"/>
          <w:szCs w:val="24"/>
          <w:highlight w:val="none"/>
        </w:rPr>
        <w:t>；具体需求详见第三章采购需求。</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合同履行期限：</w:t>
      </w:r>
      <w:r>
        <w:rPr>
          <w:rFonts w:hint="eastAsia" w:asciiTheme="minorEastAsia" w:hAnsiTheme="minorEastAsia" w:eastAsiaTheme="minorEastAsia"/>
          <w:bCs/>
          <w:color w:val="auto"/>
          <w:szCs w:val="24"/>
          <w:highlight w:val="none"/>
        </w:rPr>
        <w:t>签订合同之日起60天内</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项目地点：采购人指定地点</w:t>
      </w:r>
      <w:bookmarkStart w:id="153" w:name="_GoBack"/>
      <w:bookmarkEnd w:id="153"/>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本项目不接受联合体投标。</w:t>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二、申请人的资格要求：</w:t>
      </w:r>
      <w:bookmarkEnd w:id="9"/>
      <w:bookmarkEnd w:id="10"/>
      <w:bookmarkEnd w:id="11"/>
      <w:bookmarkEnd w:id="12"/>
    </w:p>
    <w:p>
      <w:pPr>
        <w:spacing w:line="360" w:lineRule="auto"/>
        <w:ind w:firstLine="480" w:firstLineChars="200"/>
        <w:rPr>
          <w:rFonts w:cs="宋体" w:asciiTheme="minorEastAsia" w:hAnsiTheme="minorEastAsia" w:eastAsiaTheme="minorEastAsia"/>
          <w:color w:val="auto"/>
          <w:szCs w:val="24"/>
          <w:highlight w:val="none"/>
        </w:rPr>
      </w:pPr>
      <w:bookmarkStart w:id="13" w:name="_Toc28359004"/>
      <w:bookmarkStart w:id="14" w:name="_Toc35393623"/>
      <w:bookmarkStart w:id="15" w:name="_Toc28359081"/>
      <w:bookmarkStart w:id="16" w:name="_Toc35393792"/>
      <w:r>
        <w:rPr>
          <w:rFonts w:hint="eastAsia" w:cs="宋体" w:asciiTheme="minorEastAsia" w:hAnsiTheme="minorEastAsia" w:eastAsiaTheme="minorEastAsia"/>
          <w:color w:val="auto"/>
          <w:szCs w:val="24"/>
          <w:highlight w:val="none"/>
        </w:rPr>
        <w:t>1.满足《中华人民共和国政府采购法》第二十二条规定；</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1.1在中华人民共和国注册，具有独立承担民事责任的能力：①投标人若为企业法人：提供有效的“统一社会信用代码营业执照”；未换证的提供有效的“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提供复印件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1.2具有良好的商业信誉和健全的财务会计制度【可提供承诺函或2021年度经会计师事务所或审计机构审计的财务报告或可提供2022年1月1日至今任意一个月或任意一个季度财务报表（至少包含资产负债表）复印件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1.3有依法缴纳税收的良好记录{可提供承诺函或提供2022年1月1日至今任意3个月依法缴纳税收的证明材料复印件加盖公章}；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1.4有依法缴纳社会保障资金的良好记录{可提供承诺函或提供2022年1月1日至今任意3个月依法缴纳社会保障资金的证明材料复印件加盖公章}；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1.5具有履行合同所必需的设备和专业技术能力(提供承诺函，加盖公章）}；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1.6参加采购活动近三年内，在经营活动中没有重大事故、重大违法记录、环保类行政处罚记录{提供承诺函，加盖公章}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1.7信用查询情况：根据财库〔2016〕125号文的规定，列入失信被执行人、重大税收违法失信主体、政府采购严重违法失信行为记录名单的，拒绝其参与政府采购活动。（提供承诺函，加盖公章）</w:t>
      </w:r>
    </w:p>
    <w:p>
      <w:pPr>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2.落实政府采购政策需满足的资格要求：无。</w:t>
      </w:r>
    </w:p>
    <w:bookmarkEnd w:id="13"/>
    <w:bookmarkEnd w:id="14"/>
    <w:bookmarkEnd w:id="15"/>
    <w:bookmarkEnd w:id="16"/>
    <w:p>
      <w:pPr>
        <w:spacing w:line="360" w:lineRule="auto"/>
        <w:ind w:firstLine="480" w:firstLineChars="200"/>
        <w:rPr>
          <w:rFonts w:cs="宋体" w:asciiTheme="minorEastAsia" w:hAnsiTheme="minorEastAsia" w:eastAsiaTheme="minorEastAsia"/>
          <w:color w:val="auto"/>
          <w:szCs w:val="24"/>
          <w:highlight w:val="none"/>
        </w:rPr>
      </w:pPr>
      <w:bookmarkStart w:id="17" w:name="_Toc28359082"/>
      <w:bookmarkStart w:id="18" w:name="_Toc28359005"/>
      <w:bookmarkStart w:id="19" w:name="_Toc35393793"/>
      <w:bookmarkStart w:id="20" w:name="_Toc35393624"/>
      <w:r>
        <w:rPr>
          <w:rFonts w:hint="eastAsia" w:cs="宋体" w:asciiTheme="minorEastAsia" w:hAnsiTheme="minorEastAsia" w:eastAsiaTheme="minorEastAsia"/>
          <w:color w:val="auto"/>
          <w:szCs w:val="24"/>
          <w:highlight w:val="none"/>
        </w:rPr>
        <w:t>3.本项目的特定资格要求：无；</w:t>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三、获取采购文件</w:t>
      </w:r>
    </w:p>
    <w:p>
      <w:pPr>
        <w:spacing w:line="360" w:lineRule="auto"/>
        <w:ind w:firstLine="480" w:firstLineChars="200"/>
        <w:rPr>
          <w:rFonts w:cs="宋体" w:asciiTheme="minorEastAsia" w:hAnsiTheme="minorEastAsia" w:eastAsiaTheme="minorEastAsia"/>
          <w:color w:val="auto"/>
          <w:szCs w:val="24"/>
          <w:highlight w:val="none"/>
        </w:rPr>
      </w:pPr>
      <w:bookmarkStart w:id="21" w:name="_Toc1466"/>
      <w:bookmarkStart w:id="22" w:name="_Toc5602"/>
      <w:r>
        <w:rPr>
          <w:rFonts w:hint="eastAsia" w:cs="宋体" w:asciiTheme="minorEastAsia" w:hAnsiTheme="minorEastAsia" w:eastAsiaTheme="minorEastAsia"/>
          <w:color w:val="auto"/>
          <w:szCs w:val="24"/>
          <w:highlight w:val="none"/>
        </w:rPr>
        <w:t>系统报名时间：</w:t>
      </w:r>
      <w:bookmarkEnd w:id="21"/>
      <w:bookmarkEnd w:id="22"/>
      <w:bookmarkStart w:id="23" w:name="_Toc26616"/>
      <w:bookmarkStart w:id="24" w:name="_Toc22987"/>
      <w:r>
        <w:rPr>
          <w:rFonts w:hint="eastAsia" w:cs="宋体" w:asciiTheme="minorEastAsia" w:hAnsiTheme="minorEastAsia" w:eastAsiaTheme="minorEastAsia"/>
          <w:color w:val="auto"/>
          <w:szCs w:val="24"/>
          <w:highlight w:val="none"/>
        </w:rPr>
        <w:t>2022年</w:t>
      </w:r>
      <w:r>
        <w:rPr>
          <w:rFonts w:hint="eastAsia" w:cs="宋体" w:asciiTheme="minorEastAsia" w:hAnsiTheme="minorEastAsia" w:eastAsiaTheme="minorEastAsia"/>
          <w:color w:val="auto"/>
          <w:szCs w:val="24"/>
          <w:highlight w:val="none"/>
          <w:lang w:val="en-US" w:eastAsia="zh-CN"/>
        </w:rPr>
        <w:t>10</w:t>
      </w:r>
      <w:r>
        <w:rPr>
          <w:rFonts w:hint="eastAsia" w:cs="宋体" w:asciiTheme="minorEastAsia" w:hAnsiTheme="minorEastAsia" w:eastAsiaTheme="minorEastAsia"/>
          <w:color w:val="auto"/>
          <w:szCs w:val="24"/>
          <w:highlight w:val="none"/>
        </w:rPr>
        <w:t>月</w:t>
      </w:r>
      <w:r>
        <w:rPr>
          <w:rFonts w:hint="eastAsia" w:cs="宋体" w:asciiTheme="minorEastAsia" w:hAnsiTheme="minorEastAsia" w:eastAsiaTheme="minorEastAsia"/>
          <w:color w:val="auto"/>
          <w:szCs w:val="24"/>
          <w:highlight w:val="none"/>
          <w:lang w:val="en-US" w:eastAsia="zh-CN"/>
        </w:rPr>
        <w:t>10</w:t>
      </w:r>
      <w:r>
        <w:rPr>
          <w:rFonts w:hint="eastAsia" w:cs="宋体" w:asciiTheme="minorEastAsia" w:hAnsiTheme="minorEastAsia" w:eastAsiaTheme="minorEastAsia"/>
          <w:color w:val="auto"/>
          <w:szCs w:val="24"/>
          <w:highlight w:val="none"/>
        </w:rPr>
        <w:t>日至2022年</w:t>
      </w:r>
      <w:r>
        <w:rPr>
          <w:rFonts w:hint="eastAsia" w:cs="宋体" w:asciiTheme="minorEastAsia" w:hAnsiTheme="minorEastAsia" w:eastAsiaTheme="minorEastAsia"/>
          <w:color w:val="auto"/>
          <w:szCs w:val="24"/>
          <w:highlight w:val="none"/>
          <w:lang w:val="en-US" w:eastAsia="zh-CN"/>
        </w:rPr>
        <w:t>10</w:t>
      </w:r>
      <w:r>
        <w:rPr>
          <w:rFonts w:hint="eastAsia" w:cs="宋体" w:asciiTheme="minorEastAsia" w:hAnsiTheme="minorEastAsia" w:eastAsiaTheme="minorEastAsia"/>
          <w:color w:val="auto"/>
          <w:szCs w:val="24"/>
          <w:highlight w:val="none"/>
        </w:rPr>
        <w:t>月</w:t>
      </w:r>
      <w:r>
        <w:rPr>
          <w:rFonts w:hint="eastAsia" w:cs="宋体" w:asciiTheme="minorEastAsia" w:hAnsiTheme="minorEastAsia" w:eastAsiaTheme="minorEastAsia"/>
          <w:color w:val="auto"/>
          <w:szCs w:val="24"/>
          <w:highlight w:val="none"/>
          <w:lang w:val="en-US" w:eastAsia="zh-CN"/>
        </w:rPr>
        <w:t>14</w:t>
      </w:r>
      <w:r>
        <w:rPr>
          <w:rFonts w:hint="eastAsia" w:cs="宋体" w:asciiTheme="minorEastAsia" w:hAnsiTheme="minorEastAsia" w:eastAsiaTheme="minorEastAsia"/>
          <w:color w:val="auto"/>
          <w:szCs w:val="24"/>
          <w:highlight w:val="none"/>
        </w:rPr>
        <w:t>日，每天00:00至12:00，下午12:00至23:59。（北京时间，法定节假日除外）</w:t>
      </w:r>
    </w:p>
    <w:p>
      <w:pPr>
        <w:spacing w:line="360" w:lineRule="auto"/>
        <w:ind w:firstLine="480" w:firstLineChars="200"/>
        <w:jc w:val="left"/>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地点：</w:t>
      </w:r>
      <w:bookmarkEnd w:id="23"/>
      <w:bookmarkEnd w:id="24"/>
      <w:bookmarkStart w:id="25" w:name="_Toc10272"/>
      <w:bookmarkStart w:id="26" w:name="_Toc7791"/>
      <w:r>
        <w:rPr>
          <w:rFonts w:hint="eastAsia" w:cs="宋体" w:asciiTheme="minorEastAsia" w:hAnsiTheme="minorEastAsia" w:eastAsiaTheme="minorEastAsia"/>
          <w:color w:val="auto"/>
          <w:szCs w:val="24"/>
          <w:highlight w:val="none"/>
        </w:rPr>
        <w:t>海南省政府采购电子化交易管理系统（http://218.77.183.212:8094/zfcg/workcenter/cgdl/v_list.do）</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方式：</w:t>
      </w:r>
      <w:bookmarkEnd w:id="25"/>
      <w:bookmarkEnd w:id="26"/>
      <w:bookmarkStart w:id="27" w:name="_Toc11117"/>
      <w:bookmarkStart w:id="28" w:name="_Toc3349"/>
      <w:r>
        <w:rPr>
          <w:rFonts w:hint="eastAsia" w:cs="宋体" w:asciiTheme="minorEastAsia" w:hAnsiTheme="minorEastAsia" w:eastAsiaTheme="minorEastAsia"/>
          <w:color w:val="auto"/>
          <w:szCs w:val="24"/>
          <w:highlight w:val="none"/>
        </w:rPr>
        <w:t>网上下载；</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售价：300元</w:t>
      </w:r>
      <w:bookmarkEnd w:id="27"/>
      <w:bookmarkEnd w:id="28"/>
    </w:p>
    <w:p>
      <w:pPr>
        <w:snapToGrid w:val="0"/>
        <w:spacing w:line="360" w:lineRule="auto"/>
        <w:ind w:firstLine="448" w:firstLineChars="200"/>
        <w:rPr>
          <w:rFonts w:cs="宋体" w:asciiTheme="minorEastAsia" w:hAnsiTheme="minorEastAsia" w:eastAsiaTheme="minorEastAsia"/>
          <w:b/>
          <w:bCs/>
          <w:color w:val="auto"/>
          <w:spacing w:val="-7"/>
          <w:w w:val="99"/>
          <w:szCs w:val="24"/>
          <w:highlight w:val="none"/>
        </w:rPr>
      </w:pPr>
      <w:r>
        <w:rPr>
          <w:rFonts w:hint="eastAsia" w:cs="宋体" w:asciiTheme="minorEastAsia" w:hAnsiTheme="minorEastAsia" w:eastAsiaTheme="minorEastAsia"/>
          <w:b/>
          <w:bCs/>
          <w:color w:val="auto"/>
          <w:spacing w:val="-7"/>
          <w:w w:val="99"/>
          <w:szCs w:val="24"/>
          <w:highlight w:val="none"/>
        </w:rPr>
        <w:t>获取采购文件方式（按以下步骤报名并获取文件）：</w:t>
      </w:r>
    </w:p>
    <w:p>
      <w:pPr>
        <w:snapToGrid w:val="0"/>
        <w:spacing w:line="360" w:lineRule="auto"/>
        <w:ind w:firstLine="480" w:firstLineChars="200"/>
        <w:jc w:val="left"/>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（1）网上注册：投标人须在海南省政府采购网(https://www.ccgp-hainan.gov.cn/zhuzhan/)中的海南省政府采购电子化交易管理系统平台进行注册。</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kern w:val="0"/>
          <w:szCs w:val="24"/>
          <w:highlight w:val="none"/>
        </w:rPr>
        <w:t>（2）报名登记：系统报名后至海南政邦招标代理有限公司填写报名登记表并缴纳登记费。</w:t>
      </w:r>
      <w:r>
        <w:rPr>
          <w:rFonts w:hint="eastAsia" w:cs="宋体" w:asciiTheme="minorEastAsia" w:hAnsiTheme="minorEastAsia" w:eastAsiaTheme="minorEastAsia"/>
          <w:color w:val="auto"/>
          <w:szCs w:val="24"/>
          <w:highlight w:val="none"/>
        </w:rPr>
        <w:t>未按时在系统平台注册报名、未在海南政邦招标代理有限公司进行报名登记并缴纳报名费的，均视为无效报名。</w:t>
      </w:r>
    </w:p>
    <w:p>
      <w:pPr>
        <w:pStyle w:val="146"/>
        <w:spacing w:line="360" w:lineRule="auto"/>
        <w:ind w:left="480" w:firstLine="48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注意事项：本项目采用电子辅助操作，投标人应详细阅读海南政府采购网的通知《关于实施政府采购电子化交易管理系统试点应用工作的通知》，投标人使用交易系统遇到问题可致电技术支持：0898-68546705</w:t>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四、提交投标文件</w:t>
      </w:r>
      <w:bookmarkEnd w:id="17"/>
      <w:bookmarkEnd w:id="18"/>
      <w:r>
        <w:rPr>
          <w:rFonts w:hint="eastAsia" w:asciiTheme="minorEastAsia" w:hAnsiTheme="minorEastAsia" w:eastAsiaTheme="minorEastAsia"/>
          <w:color w:val="auto"/>
          <w:highlight w:val="none"/>
        </w:rPr>
        <w:t>截止时间、开标时间和地点</w:t>
      </w:r>
      <w:bookmarkEnd w:id="19"/>
      <w:bookmarkEnd w:id="20"/>
    </w:p>
    <w:p>
      <w:pPr>
        <w:spacing w:line="360" w:lineRule="auto"/>
        <w:ind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截止时间：</w:t>
      </w:r>
      <w:r>
        <w:rPr>
          <w:rFonts w:hint="eastAsia" w:asciiTheme="minorEastAsia" w:hAnsiTheme="minorEastAsia" w:eastAsiaTheme="minorEastAsia"/>
          <w:color w:val="auto"/>
          <w:szCs w:val="24"/>
          <w:highlight w:val="none"/>
          <w:u w:val="single"/>
          <w:lang w:eastAsia="zh-CN"/>
        </w:rPr>
        <w:t>2022年11月09日09点00分</w:t>
      </w:r>
      <w:r>
        <w:rPr>
          <w:rFonts w:hint="eastAsia" w:asciiTheme="minorEastAsia" w:hAnsiTheme="minorEastAsia" w:eastAsiaTheme="minorEastAsia"/>
          <w:color w:val="auto"/>
          <w:szCs w:val="24"/>
          <w:highlight w:val="none"/>
        </w:rPr>
        <w:t>（北京时间）</w:t>
      </w:r>
    </w:p>
    <w:p>
      <w:pPr>
        <w:spacing w:line="360" w:lineRule="auto"/>
        <w:ind w:firstLine="424" w:firstLineChars="177"/>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地点：</w:t>
      </w:r>
      <w:r>
        <w:rPr>
          <w:rFonts w:hint="eastAsia" w:asciiTheme="minorEastAsia" w:hAnsiTheme="minorEastAsia" w:eastAsiaTheme="minorEastAsia"/>
          <w:color w:val="auto"/>
          <w:szCs w:val="24"/>
          <w:highlight w:val="none"/>
          <w:u w:val="single"/>
        </w:rPr>
        <w:t>海口市西沙路15号星华佳园D1栋2102室-开标室</w:t>
      </w:r>
    </w:p>
    <w:p>
      <w:pPr>
        <w:spacing w:line="360" w:lineRule="auto"/>
        <w:ind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开标时间：</w:t>
      </w:r>
      <w:r>
        <w:rPr>
          <w:rFonts w:hint="eastAsia" w:asciiTheme="minorEastAsia" w:hAnsiTheme="minorEastAsia" w:eastAsiaTheme="minorEastAsia"/>
          <w:color w:val="auto"/>
          <w:szCs w:val="24"/>
          <w:highlight w:val="none"/>
          <w:u w:val="single"/>
          <w:lang w:eastAsia="zh-CN"/>
        </w:rPr>
        <w:t>2022年11月09日09点00分</w:t>
      </w:r>
      <w:r>
        <w:rPr>
          <w:rFonts w:hint="eastAsia" w:asciiTheme="minorEastAsia" w:hAnsiTheme="minorEastAsia" w:eastAsiaTheme="minorEastAsia"/>
          <w:color w:val="auto"/>
          <w:szCs w:val="24"/>
          <w:highlight w:val="none"/>
        </w:rPr>
        <w:t>（北京时间）</w:t>
      </w:r>
    </w:p>
    <w:p>
      <w:pPr>
        <w:spacing w:line="360" w:lineRule="auto"/>
        <w:ind w:firstLine="424" w:firstLineChars="177"/>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地点：</w:t>
      </w:r>
      <w:r>
        <w:rPr>
          <w:rFonts w:hint="eastAsia" w:asciiTheme="minorEastAsia" w:hAnsiTheme="minorEastAsia" w:eastAsiaTheme="minorEastAsia"/>
          <w:color w:val="auto"/>
          <w:szCs w:val="24"/>
          <w:highlight w:val="none"/>
          <w:u w:val="single"/>
        </w:rPr>
        <w:t>海口市西沙路15号星华佳园D1栋2102室-开标室</w:t>
      </w:r>
    </w:p>
    <w:p>
      <w:pPr>
        <w:pStyle w:val="2"/>
        <w:rPr>
          <w:rFonts w:asciiTheme="minorEastAsia" w:hAnsiTheme="minorEastAsia" w:eastAsiaTheme="minorEastAsia"/>
          <w:color w:val="auto"/>
          <w:highlight w:val="none"/>
        </w:rPr>
      </w:pPr>
      <w:bookmarkStart w:id="29" w:name="_Toc28359007"/>
      <w:bookmarkStart w:id="30" w:name="_Toc35393625"/>
      <w:bookmarkStart w:id="31" w:name="_Toc35393794"/>
      <w:bookmarkStart w:id="32" w:name="_Toc28359084"/>
      <w:r>
        <w:rPr>
          <w:rFonts w:hint="eastAsia" w:asciiTheme="minorEastAsia" w:hAnsiTheme="minorEastAsia" w:eastAsiaTheme="minorEastAsia"/>
          <w:color w:val="auto"/>
          <w:highlight w:val="none"/>
        </w:rPr>
        <w:t>五、公告期限</w:t>
      </w:r>
      <w:bookmarkEnd w:id="29"/>
      <w:bookmarkEnd w:id="30"/>
      <w:bookmarkEnd w:id="31"/>
      <w:bookmarkEnd w:id="32"/>
    </w:p>
    <w:p>
      <w:pPr>
        <w:spacing w:line="360" w:lineRule="auto"/>
        <w:ind w:firstLine="480" w:firstLineChars="200"/>
        <w:rPr>
          <w:rFonts w:cs="宋体" w:asciiTheme="minorEastAsia" w:hAnsiTheme="minorEastAsia" w:eastAsiaTheme="minorEastAsia"/>
          <w:color w:val="auto"/>
          <w:kern w:val="0"/>
          <w:szCs w:val="24"/>
          <w:highlight w:val="none"/>
          <w:u w:val="single"/>
        </w:rPr>
      </w:pPr>
      <w:r>
        <w:rPr>
          <w:rFonts w:hint="eastAsia" w:cs="宋体" w:asciiTheme="minorEastAsia" w:hAnsiTheme="minorEastAsia" w:eastAsiaTheme="minorEastAsia"/>
          <w:color w:val="auto"/>
          <w:kern w:val="0"/>
          <w:szCs w:val="24"/>
          <w:highlight w:val="none"/>
        </w:rPr>
        <w:t>自本公告发布之日起5个工作日。</w:t>
      </w:r>
    </w:p>
    <w:p>
      <w:pPr>
        <w:pStyle w:val="2"/>
        <w:rPr>
          <w:rFonts w:asciiTheme="minorEastAsia" w:hAnsiTheme="minorEastAsia" w:eastAsiaTheme="minorEastAsia"/>
          <w:color w:val="auto"/>
          <w:highlight w:val="none"/>
        </w:rPr>
      </w:pPr>
      <w:bookmarkStart w:id="33" w:name="_Toc35393795"/>
      <w:bookmarkStart w:id="34" w:name="_Toc35393626"/>
      <w:r>
        <w:rPr>
          <w:rFonts w:hint="eastAsia" w:asciiTheme="minorEastAsia" w:hAnsiTheme="minorEastAsia" w:eastAsiaTheme="minorEastAsia"/>
          <w:color w:val="auto"/>
          <w:highlight w:val="none"/>
        </w:rPr>
        <w:t>六、其他补充事宜</w:t>
      </w:r>
      <w:bookmarkEnd w:id="33"/>
      <w:bookmarkEnd w:id="34"/>
    </w:p>
    <w:p>
      <w:pPr>
        <w:pStyle w:val="81"/>
        <w:ind w:firstLine="494" w:firstLineChars="206"/>
        <w:rPr>
          <w:rFonts w:cs="宋体"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1.</w:t>
      </w:r>
      <w:r>
        <w:rPr>
          <w:rFonts w:hint="eastAsia" w:asciiTheme="minorEastAsia" w:hAnsiTheme="minorEastAsia" w:eastAsiaTheme="minorEastAsia"/>
          <w:color w:val="auto"/>
          <w:highlight w:val="none"/>
        </w:rPr>
        <w:t>本项目采购信息发布媒体：</w:t>
      </w:r>
      <w:r>
        <w:rPr>
          <w:rFonts w:hint="eastAsia" w:cs="宋体" w:asciiTheme="minorEastAsia" w:hAnsiTheme="minorEastAsia" w:eastAsiaTheme="minorEastAsia"/>
          <w:color w:val="auto"/>
          <w:highlight w:val="none"/>
        </w:rPr>
        <w:t>公告、采购文件修改或澄清等信息，将在海南政府采购网上发布。</w:t>
      </w:r>
    </w:p>
    <w:p>
      <w:pPr>
        <w:pStyle w:val="81"/>
        <w:ind w:firstLine="494" w:firstLineChars="206"/>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highlight w:val="none"/>
        </w:rPr>
        <w:t>2.本项目落实的政府采购政策：</w:t>
      </w:r>
      <w:r>
        <w:rPr>
          <w:rFonts w:hint="eastAsia" w:asciiTheme="minorEastAsia" w:hAnsiTheme="minorEastAsia" w:eastAsiaTheme="minorEastAsia"/>
          <w:color w:val="auto"/>
          <w:highlight w:val="none"/>
        </w:rPr>
        <w:t>《政府采购促进中小企业发展管理办法》、</w:t>
      </w:r>
      <w:r>
        <w:rPr>
          <w:rFonts w:hint="eastAsia" w:asciiTheme="minorEastAsia" w:hAnsiTheme="minorEastAsia" w:eastAsiaTheme="minorEastAsia"/>
          <w:color w:val="auto"/>
          <w:szCs w:val="24"/>
          <w:highlight w:val="none"/>
        </w:rPr>
        <w:t>《关于调整优化节能产品、环境标志产品政府采购执行机制的通知》</w:t>
      </w:r>
      <w:r>
        <w:rPr>
          <w:rFonts w:hint="eastAsia" w:asciiTheme="minorEastAsia" w:hAnsiTheme="minorEastAsia" w:eastAsiaTheme="minorEastAsia"/>
          <w:color w:val="auto"/>
          <w:highlight w:val="none"/>
        </w:rPr>
        <w:t>、《关于信息安全产品实施政府采购的通知》、《关于促进残疾人就业政府采购政策的通知》、《财政部 司法部关于政府采购支持监狱企业发展有关问题的通知书》</w:t>
      </w:r>
    </w:p>
    <w:p>
      <w:pPr>
        <w:pStyle w:val="2"/>
        <w:rPr>
          <w:rFonts w:asciiTheme="minorEastAsia" w:hAnsiTheme="minorEastAsia" w:eastAsiaTheme="minorEastAsia"/>
          <w:color w:val="auto"/>
          <w:highlight w:val="none"/>
        </w:rPr>
      </w:pPr>
      <w:bookmarkStart w:id="35" w:name="_Toc35393796"/>
      <w:bookmarkStart w:id="36" w:name="_Toc28359085"/>
      <w:bookmarkStart w:id="37" w:name="_Toc28359008"/>
      <w:bookmarkStart w:id="38" w:name="_Toc35393627"/>
      <w:r>
        <w:rPr>
          <w:rFonts w:hint="eastAsia" w:asciiTheme="minorEastAsia" w:hAnsiTheme="minorEastAsia" w:eastAsiaTheme="minorEastAsia"/>
          <w:color w:val="auto"/>
          <w:highlight w:val="none"/>
        </w:rPr>
        <w:t>七、对本次招标提出询问，请按</w:t>
      </w:r>
      <w:r>
        <w:rPr>
          <w:rFonts w:asciiTheme="minorEastAsia" w:hAnsiTheme="minorEastAsia" w:eastAsiaTheme="minorEastAsia"/>
          <w:color w:val="auto"/>
          <w:highlight w:val="none"/>
        </w:rPr>
        <w:t>以下方式</w:t>
      </w:r>
      <w:r>
        <w:rPr>
          <w:rFonts w:hint="eastAsia" w:asciiTheme="minorEastAsia" w:hAnsiTheme="minorEastAsia" w:eastAsiaTheme="minorEastAsia"/>
          <w:color w:val="auto"/>
          <w:highlight w:val="none"/>
        </w:rPr>
        <w:t>联系</w:t>
      </w:r>
      <w:bookmarkEnd w:id="35"/>
      <w:bookmarkEnd w:id="36"/>
      <w:bookmarkEnd w:id="37"/>
      <w:bookmarkEnd w:id="38"/>
    </w:p>
    <w:p>
      <w:pPr>
        <w:widowControl/>
        <w:spacing w:line="360" w:lineRule="auto"/>
        <w:ind w:firstLine="720" w:firstLineChars="300"/>
        <w:jc w:val="left"/>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1.采购人信息</w:t>
      </w:r>
    </w:p>
    <w:p>
      <w:pPr>
        <w:spacing w:line="360" w:lineRule="auto"/>
        <w:ind w:left="1190" w:leftChars="371" w:hanging="300" w:hangingChars="125"/>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名称：乐东黎族自治县特殊教育学校</w:t>
      </w:r>
    </w:p>
    <w:p>
      <w:pPr>
        <w:spacing w:line="360" w:lineRule="auto"/>
        <w:ind w:left="1190" w:leftChars="371" w:hanging="300" w:hangingChars="125"/>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地址：海南省乐东县</w:t>
      </w:r>
    </w:p>
    <w:p>
      <w:pPr>
        <w:spacing w:line="360" w:lineRule="auto"/>
        <w:ind w:left="1190" w:leftChars="371" w:hanging="300" w:hangingChars="125"/>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联系方式</w:t>
      </w:r>
      <w:bookmarkStart w:id="39" w:name="_Toc28359009"/>
      <w:bookmarkStart w:id="40" w:name="_Toc28359086"/>
      <w:r>
        <w:rPr>
          <w:rFonts w:hint="eastAsia" w:asciiTheme="minorEastAsia" w:hAnsiTheme="minorEastAsia" w:eastAsiaTheme="minorEastAsia"/>
          <w:color w:val="auto"/>
          <w:szCs w:val="24"/>
          <w:highlight w:val="none"/>
        </w:rPr>
        <w:t>：梁先生 0898-85221419</w:t>
      </w:r>
    </w:p>
    <w:p>
      <w:pPr>
        <w:spacing w:line="360" w:lineRule="auto"/>
        <w:ind w:left="1190" w:leftChars="371" w:hanging="300" w:hangingChars="125"/>
        <w:jc w:val="left"/>
        <w:rPr>
          <w:rFonts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2.采购代理机构信息</w:t>
      </w:r>
      <w:bookmarkEnd w:id="39"/>
      <w:bookmarkEnd w:id="40"/>
    </w:p>
    <w:p>
      <w:pPr>
        <w:spacing w:line="360" w:lineRule="auto"/>
        <w:ind w:firstLine="720" w:firstLineChars="3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名 称：海南政邦招标代理有限公司</w:t>
      </w:r>
    </w:p>
    <w:p>
      <w:pPr>
        <w:spacing w:line="360" w:lineRule="auto"/>
        <w:ind w:firstLine="720" w:firstLineChars="3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地址：海口市西沙路15号星华佳园D1栋2102室</w:t>
      </w:r>
    </w:p>
    <w:p>
      <w:pPr>
        <w:spacing w:line="360" w:lineRule="auto"/>
        <w:ind w:firstLine="720" w:firstLineChars="3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联系方式：</w:t>
      </w:r>
      <w:bookmarkStart w:id="41" w:name="_Toc28359010"/>
      <w:bookmarkStart w:id="42" w:name="_Toc28359087"/>
      <w:r>
        <w:rPr>
          <w:rFonts w:hint="eastAsia" w:asciiTheme="minorEastAsia" w:hAnsiTheme="minorEastAsia" w:eastAsiaTheme="minorEastAsia"/>
          <w:color w:val="auto"/>
          <w:szCs w:val="24"/>
          <w:highlight w:val="none"/>
        </w:rPr>
        <w:t>0898-68525258</w:t>
      </w:r>
    </w:p>
    <w:p>
      <w:pPr>
        <w:spacing w:line="360" w:lineRule="auto"/>
        <w:ind w:firstLine="720" w:firstLineChars="300"/>
        <w:rPr>
          <w:rFonts w:asciiTheme="minorEastAsia" w:hAnsiTheme="minorEastAsia" w:eastAsiaTheme="minorEastAsia"/>
          <w:color w:val="auto"/>
          <w:szCs w:val="24"/>
          <w:highlight w:val="none"/>
          <w:u w:val="single"/>
        </w:rPr>
      </w:pPr>
      <w:r>
        <w:rPr>
          <w:rFonts w:hint="eastAsia" w:cs="宋体" w:asciiTheme="minorEastAsia" w:hAnsiTheme="minorEastAsia" w:eastAsiaTheme="minorEastAsia"/>
          <w:color w:val="auto"/>
          <w:szCs w:val="24"/>
          <w:highlight w:val="none"/>
        </w:rPr>
        <w:t>3.项目</w:t>
      </w:r>
      <w:r>
        <w:rPr>
          <w:rFonts w:cs="宋体" w:asciiTheme="minorEastAsia" w:hAnsiTheme="minorEastAsia" w:eastAsiaTheme="minorEastAsia"/>
          <w:color w:val="auto"/>
          <w:szCs w:val="24"/>
          <w:highlight w:val="none"/>
        </w:rPr>
        <w:t>联系方式</w:t>
      </w:r>
      <w:bookmarkEnd w:id="41"/>
      <w:bookmarkEnd w:id="42"/>
    </w:p>
    <w:p>
      <w:pPr>
        <w:pStyle w:val="22"/>
        <w:spacing w:line="360" w:lineRule="auto"/>
        <w:ind w:firstLine="720" w:firstLineChars="30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项目联系人：吴先生</w:t>
      </w:r>
    </w:p>
    <w:p>
      <w:pPr>
        <w:spacing w:line="360" w:lineRule="auto"/>
        <w:ind w:firstLine="720" w:firstLineChars="30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电话：0898-68525258</w:t>
      </w:r>
    </w:p>
    <w:bookmarkEnd w:id="0"/>
    <w:bookmarkEnd w:id="1"/>
    <w:p>
      <w:pPr>
        <w:spacing w:line="360" w:lineRule="auto"/>
        <w:rPr>
          <w:rFonts w:asciiTheme="minorEastAsia" w:hAnsiTheme="minorEastAsia" w:eastAsiaTheme="minorEastAsia"/>
          <w:color w:val="auto"/>
          <w:sz w:val="36"/>
          <w:szCs w:val="36"/>
          <w:highlight w:val="none"/>
        </w:rPr>
      </w:pPr>
      <w:bookmarkStart w:id="43" w:name="_Toc46510700"/>
      <w:r>
        <w:rPr>
          <w:rFonts w:hint="eastAsia" w:asciiTheme="minorEastAsia" w:hAnsiTheme="minorEastAsia" w:eastAsiaTheme="minorEastAsia"/>
          <w:color w:val="auto"/>
          <w:sz w:val="36"/>
          <w:szCs w:val="36"/>
          <w:highlight w:val="none"/>
        </w:rPr>
        <w:br w:type="page"/>
      </w:r>
    </w:p>
    <w:p>
      <w:pPr>
        <w:pStyle w:val="3"/>
        <w:numPr>
          <w:ilvl w:val="0"/>
          <w:numId w:val="1"/>
        </w:numPr>
        <w:spacing w:before="0" w:after="0"/>
        <w:rPr>
          <w:rFonts w:asciiTheme="minorEastAsia" w:hAnsiTheme="minorEastAsia" w:eastAsiaTheme="minorEastAsia"/>
          <w:color w:val="auto"/>
          <w:sz w:val="36"/>
          <w:szCs w:val="36"/>
          <w:highlight w:val="none"/>
        </w:rPr>
      </w:pPr>
      <w:bookmarkStart w:id="44" w:name="_Toc17921"/>
      <w:r>
        <w:rPr>
          <w:rFonts w:hint="eastAsia" w:asciiTheme="minorEastAsia" w:hAnsiTheme="minorEastAsia" w:eastAsiaTheme="minorEastAsia"/>
          <w:color w:val="auto"/>
          <w:sz w:val="36"/>
          <w:szCs w:val="36"/>
          <w:highlight w:val="none"/>
        </w:rPr>
        <w:t xml:space="preserve"> 投标人须知</w:t>
      </w:r>
      <w:bookmarkEnd w:id="43"/>
      <w:bookmarkEnd w:id="44"/>
    </w:p>
    <w:tbl>
      <w:tblPr>
        <w:tblStyle w:val="349"/>
        <w:tblpPr w:leftFromText="180" w:rightFromText="180" w:vertAnchor="text" w:horzAnchor="page" w:tblpX="1728" w:tblpY="426"/>
        <w:tblOverlap w:val="never"/>
        <w:tblW w:w="881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8"/>
        <w:gridCol w:w="1592"/>
        <w:gridCol w:w="6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548"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序号</w:t>
            </w: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条款名称</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说明和要求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548" w:type="dxa"/>
            <w:vMerge w:val="restart"/>
            <w:tcBorders>
              <w:bottom w:val="nil"/>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1</w:t>
            </w: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 xml:space="preserve">采购预算  </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375万元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548" w:type="dxa"/>
            <w:vMerge w:val="continue"/>
            <w:tcBorders>
              <w:top w:val="nil"/>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 xml:space="preserve">最高限价    </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最高限价：375万元</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超过最高限价的报价为无效报价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7" w:hRule="atLeast"/>
        </w:trPr>
        <w:tc>
          <w:tcPr>
            <w:tcW w:w="548"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2</w:t>
            </w: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 xml:space="preserve">低于成本价不正当竞争预防措施 </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评标委员会认为投标人的报价明显低于其他通过有效性、完整性和响应程度审查投标人的报价，有可能影响产品质量或者不能诚信履约的，应当要求其在评审现场合理的时间内提供书面说明，必要时提交相关证明材料；投标人不能证明其报价的合理性，评标委员会小组应当将其作为无效报价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3" w:hRule="atLeast"/>
        </w:trPr>
        <w:tc>
          <w:tcPr>
            <w:tcW w:w="548" w:type="dxa"/>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3</w:t>
            </w: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递交响应文件截止时间及地点</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截止时间：2022年11月09日09点00分（北京时间）</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地点：海口市西沙路15号星华佳园D1栋2102室-开标室</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在响应文件递交截止时间后递交的响应文件，采购代理机构将拒绝接受。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548" w:type="dxa"/>
            <w:tcBorders>
              <w:bottom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zh-CN"/>
              </w:rPr>
            </w:pPr>
          </w:p>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4</w:t>
            </w:r>
          </w:p>
        </w:tc>
        <w:tc>
          <w:tcPr>
            <w:tcW w:w="1592" w:type="dxa"/>
            <w:tcBorders>
              <w:bottom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p>
          <w:p>
            <w:pPr>
              <w:autoSpaceDE w:val="0"/>
              <w:autoSpaceDN w:val="0"/>
              <w:spacing w:line="360" w:lineRule="auto"/>
              <w:rPr>
                <w:rFonts w:asciiTheme="minorEastAsia" w:hAnsiTheme="minorEastAsia" w:eastAsiaTheme="minorEastAsia"/>
                <w:color w:val="auto"/>
                <w:szCs w:val="22"/>
                <w:highlight w:val="none"/>
                <w:lang w:eastAsia="en-US"/>
              </w:rPr>
            </w:pPr>
          </w:p>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投标保证金</w:t>
            </w:r>
          </w:p>
          <w:p>
            <w:pPr>
              <w:autoSpaceDE w:val="0"/>
              <w:autoSpaceDN w:val="0"/>
              <w:spacing w:line="360" w:lineRule="auto"/>
              <w:rPr>
                <w:rFonts w:asciiTheme="minorEastAsia" w:hAnsiTheme="minorEastAsia" w:eastAsiaTheme="minorEastAsia"/>
                <w:color w:val="auto"/>
                <w:szCs w:val="22"/>
                <w:highlight w:val="none"/>
                <w:lang w:eastAsia="en-US"/>
              </w:rPr>
            </w:pPr>
          </w:p>
        </w:tc>
        <w:tc>
          <w:tcPr>
            <w:tcW w:w="6670" w:type="dxa"/>
            <w:tcBorders>
              <w:bottom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投标保证金是参加本项目的必要条件：</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保证金金额：人民币壹万元整(¥10000.00元)；</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投标保证金可采用下列形式，并符合下列规定：</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递交形式：网上支付或线下银行转账支付、银行保函等非现金方式支付；</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递交时间：在响应文件递交截止时间前划入指定保证金账户。</w:t>
            </w:r>
          </w:p>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保证金账户：</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开户名称：海南政邦招标代理有限公司</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 xml:space="preserve">开户银行：中国建设银行股份有限公司海口大英山支行        </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银行帐号：46050100313600000266</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投标保证金缴纳凭证上用途需备注“(项目名称)投标保证金”或“(标包名称) 投标保证金”、“（项目编号）投标保证金”，详见投标人须知1</w:t>
            </w:r>
            <w:r>
              <w:rPr>
                <w:rFonts w:asciiTheme="minorEastAsia" w:hAnsiTheme="minorEastAsia" w:eastAsiaTheme="minorEastAsia"/>
                <w:color w:val="auto"/>
                <w:szCs w:val="22"/>
                <w:highlight w:val="none"/>
                <w:lang w:eastAsia="zh-CN"/>
              </w:rPr>
              <w:t>2</w:t>
            </w:r>
            <w:r>
              <w:rPr>
                <w:rFonts w:hint="eastAsia" w:asciiTheme="minorEastAsia" w:hAnsiTheme="minorEastAsia" w:eastAsiaTheme="minorEastAsia"/>
                <w:color w:val="auto"/>
                <w:szCs w:val="22"/>
                <w:highlight w:val="none"/>
                <w:lang w:eastAsia="zh-CN"/>
              </w:rPr>
              <w:t>．投标保证金具体要求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548" w:type="dxa"/>
            <w:tcBorders>
              <w:top w:val="single" w:color="auto" w:sz="4" w:space="0"/>
              <w:left w:val="single" w:color="auto" w:sz="4" w:space="0"/>
              <w:bottom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5</w:t>
            </w:r>
          </w:p>
          <w:p>
            <w:pPr>
              <w:autoSpaceDE w:val="0"/>
              <w:autoSpaceDN w:val="0"/>
              <w:spacing w:line="360" w:lineRule="auto"/>
              <w:rPr>
                <w:rFonts w:asciiTheme="minorEastAsia" w:hAnsiTheme="minorEastAsia" w:eastAsiaTheme="minorEastAsia"/>
                <w:color w:val="auto"/>
                <w:szCs w:val="22"/>
                <w:highlight w:val="none"/>
                <w:lang w:eastAsia="en-US"/>
              </w:rPr>
            </w:pPr>
          </w:p>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5</w:t>
            </w:r>
          </w:p>
        </w:tc>
        <w:tc>
          <w:tcPr>
            <w:tcW w:w="1592" w:type="dxa"/>
            <w:tcBorders>
              <w:top w:val="single" w:color="auto" w:sz="4" w:space="0"/>
              <w:bottom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通知书领取</w:t>
            </w:r>
          </w:p>
        </w:tc>
        <w:tc>
          <w:tcPr>
            <w:tcW w:w="6670" w:type="dxa"/>
            <w:tcBorders>
              <w:top w:val="single" w:color="auto" w:sz="4" w:space="0"/>
              <w:bottom w:val="single" w:color="auto" w:sz="4" w:space="0"/>
              <w:right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成交公告在中国政府采购网上公告后，请成交投标人凭有效身份证件到海南政邦招标代理有限公司领取成交通知书。</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联系人：吴先生</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联系电话：0898-68525258</w:t>
            </w:r>
          </w:p>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地址：海口市西沙路15号星华佳园D1栋2102室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548" w:type="dxa"/>
            <w:tcBorders>
              <w:top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6</w:t>
            </w:r>
          </w:p>
        </w:tc>
        <w:tc>
          <w:tcPr>
            <w:tcW w:w="1592" w:type="dxa"/>
            <w:tcBorders>
              <w:top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采购合同公告</w:t>
            </w:r>
          </w:p>
        </w:tc>
        <w:tc>
          <w:tcPr>
            <w:tcW w:w="6670" w:type="dxa"/>
            <w:tcBorders>
              <w:top w:val="single" w:color="auto" w:sz="4" w:space="0"/>
            </w:tcBorders>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政府采购合同签订之日起2个工作日内，将合同送往代理机构进行项目鉴证章并进行合同公告。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548"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p>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7</w:t>
            </w:r>
          </w:p>
          <w:p>
            <w:pPr>
              <w:autoSpaceDE w:val="0"/>
              <w:autoSpaceDN w:val="0"/>
              <w:spacing w:line="360" w:lineRule="auto"/>
              <w:rPr>
                <w:rFonts w:asciiTheme="minorEastAsia" w:hAnsiTheme="minorEastAsia" w:eastAsiaTheme="minorEastAsia"/>
                <w:color w:val="auto"/>
                <w:szCs w:val="22"/>
                <w:highlight w:val="none"/>
                <w:lang w:eastAsia="en-US"/>
              </w:rPr>
            </w:pPr>
          </w:p>
        </w:tc>
        <w:tc>
          <w:tcPr>
            <w:tcW w:w="1592"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参加开标代表证明文件</w:t>
            </w:r>
          </w:p>
        </w:tc>
        <w:tc>
          <w:tcPr>
            <w:tcW w:w="6670" w:type="dxa"/>
            <w:vAlign w:val="center"/>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个人身份证，授权书（或其他有效证件）复印件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 w:hRule="atLeast"/>
        </w:trPr>
        <w:tc>
          <w:tcPr>
            <w:tcW w:w="548" w:type="dxa"/>
          </w:tcPr>
          <w:p>
            <w:pPr>
              <w:autoSpaceDE w:val="0"/>
              <w:autoSpaceDN w:val="0"/>
              <w:spacing w:line="360" w:lineRule="auto"/>
              <w:rPr>
                <w:rFonts w:asciiTheme="minorEastAsia" w:hAnsiTheme="minorEastAsia" w:eastAsiaTheme="minorEastAsia"/>
                <w:color w:val="auto"/>
                <w:szCs w:val="22"/>
                <w:highlight w:val="none"/>
                <w:lang w:eastAsia="en-US"/>
              </w:rPr>
            </w:pPr>
            <w:r>
              <w:rPr>
                <w:rFonts w:hint="eastAsia" w:asciiTheme="minorEastAsia" w:hAnsiTheme="minorEastAsia" w:eastAsiaTheme="minorEastAsia"/>
                <w:color w:val="auto"/>
                <w:szCs w:val="22"/>
                <w:highlight w:val="none"/>
                <w:lang w:eastAsia="en-US"/>
              </w:rPr>
              <w:t>8</w:t>
            </w:r>
          </w:p>
        </w:tc>
        <w:tc>
          <w:tcPr>
            <w:tcW w:w="8262" w:type="dxa"/>
            <w:gridSpan w:val="2"/>
          </w:tcPr>
          <w:p>
            <w:pPr>
              <w:autoSpaceDE w:val="0"/>
              <w:autoSpaceDN w:val="0"/>
              <w:spacing w:line="360" w:lineRule="auto"/>
              <w:rPr>
                <w:rFonts w:asciiTheme="minorEastAsia" w:hAnsiTheme="minorEastAsia" w:eastAsiaTheme="minorEastAsia"/>
                <w:color w:val="auto"/>
                <w:szCs w:val="22"/>
                <w:highlight w:val="none"/>
                <w:lang w:eastAsia="zh-CN"/>
              </w:rPr>
            </w:pPr>
            <w:r>
              <w:rPr>
                <w:rFonts w:hint="eastAsia" w:asciiTheme="minorEastAsia" w:hAnsiTheme="minorEastAsia" w:eastAsiaTheme="minorEastAsia"/>
                <w:color w:val="auto"/>
                <w:szCs w:val="22"/>
                <w:highlight w:val="none"/>
                <w:lang w:eastAsia="zh-CN"/>
              </w:rPr>
              <w:t>本项目对应的小微企业划分标准所属行业：制造业</w:t>
            </w:r>
          </w:p>
          <w:p>
            <w:pPr>
              <w:autoSpaceDE w:val="0"/>
              <w:autoSpaceDN w:val="0"/>
              <w:spacing w:line="360" w:lineRule="auto"/>
              <w:rPr>
                <w:rFonts w:asciiTheme="minorEastAsia" w:hAnsiTheme="minorEastAsia" w:eastAsiaTheme="minorEastAsia"/>
                <w:color w:val="auto"/>
                <w:szCs w:val="22"/>
                <w:highlight w:val="none"/>
                <w:lang w:eastAsia="zh-CN"/>
              </w:rPr>
            </w:pPr>
          </w:p>
        </w:tc>
      </w:tr>
    </w:tbl>
    <w:p>
      <w:pPr>
        <w:spacing w:line="360" w:lineRule="auto"/>
        <w:jc w:val="center"/>
        <w:rPr>
          <w:rFonts w:asciiTheme="minorEastAsia" w:hAnsiTheme="minorEastAsia" w:eastAsiaTheme="minorEastAsia"/>
          <w:color w:val="auto"/>
          <w:sz w:val="28"/>
          <w:szCs w:val="28"/>
          <w:highlight w:val="none"/>
        </w:rPr>
      </w:pPr>
    </w:p>
    <w:p>
      <w:pPr>
        <w:spacing w:line="360" w:lineRule="auto"/>
        <w:rPr>
          <w:rFonts w:asciiTheme="minorEastAsia" w:hAnsiTheme="minorEastAsia" w:eastAsiaTheme="minorEastAsia"/>
          <w:color w:val="auto"/>
          <w:highlight w:val="none"/>
        </w:rPr>
      </w:pPr>
      <w:bookmarkStart w:id="45" w:name="_Toc238907001"/>
      <w:r>
        <w:rPr>
          <w:rFonts w:hint="eastAsia" w:asciiTheme="minorEastAsia" w:hAnsiTheme="minorEastAsia" w:eastAsiaTheme="minorEastAsia"/>
          <w:color w:val="auto"/>
          <w:highlight w:val="none"/>
        </w:rPr>
        <w:br w:type="page"/>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一、总则</w:t>
      </w:r>
      <w:bookmarkEnd w:id="45"/>
    </w:p>
    <w:p>
      <w:pPr>
        <w:spacing w:line="360" w:lineRule="auto"/>
        <w:rPr>
          <w:rFonts w:asciiTheme="minorEastAsia" w:hAnsiTheme="minorEastAsia" w:eastAsiaTheme="minorEastAsia"/>
          <w:b/>
          <w:color w:val="auto"/>
          <w:szCs w:val="24"/>
          <w:highlight w:val="none"/>
        </w:rPr>
      </w:pPr>
      <w:bookmarkStart w:id="46" w:name="_Toc238907002"/>
      <w:r>
        <w:rPr>
          <w:rFonts w:hint="eastAsia" w:asciiTheme="minorEastAsia" w:hAnsiTheme="minorEastAsia" w:eastAsiaTheme="minorEastAsia"/>
          <w:b/>
          <w:color w:val="auto"/>
          <w:szCs w:val="24"/>
          <w:highlight w:val="none"/>
        </w:rPr>
        <w:t>1．</w:t>
      </w:r>
      <w:bookmarkEnd w:id="46"/>
      <w:r>
        <w:rPr>
          <w:rFonts w:hint="eastAsia" w:asciiTheme="minorEastAsia" w:hAnsiTheme="minorEastAsia" w:eastAsiaTheme="minorEastAsia"/>
          <w:b/>
          <w:color w:val="auto"/>
          <w:szCs w:val="24"/>
          <w:highlight w:val="none"/>
        </w:rPr>
        <w:t>综合说明</w:t>
      </w:r>
    </w:p>
    <w:p>
      <w:pPr>
        <w:adjustRightInd w:val="0"/>
        <w:snapToGrid w:val="0"/>
        <w:spacing w:line="360" w:lineRule="auto"/>
        <w:ind w:firstLine="480" w:firstLineChars="200"/>
        <w:rPr>
          <w:rFonts w:asciiTheme="minorEastAsia" w:hAnsiTheme="minorEastAsia" w:eastAsiaTheme="minorEastAsia"/>
          <w:color w:val="auto"/>
          <w:szCs w:val="24"/>
          <w:highlight w:val="none"/>
        </w:rPr>
      </w:pPr>
      <w:bookmarkStart w:id="47" w:name="_Toc238907003"/>
      <w:r>
        <w:rPr>
          <w:rFonts w:asciiTheme="minorEastAsia" w:hAnsiTheme="minorEastAsia" w:eastAsiaTheme="minorEastAsia"/>
          <w:color w:val="auto"/>
          <w:szCs w:val="24"/>
          <w:highlight w:val="none"/>
        </w:rPr>
        <w:t>1.1</w:t>
      </w:r>
      <w:r>
        <w:rPr>
          <w:rFonts w:hint="eastAsia" w:asciiTheme="minorEastAsia" w:hAnsiTheme="minorEastAsia" w:eastAsiaTheme="minorEastAsia"/>
          <w:color w:val="auto"/>
          <w:szCs w:val="24"/>
          <w:highlight w:val="none"/>
        </w:rPr>
        <w:t>采购人： 乐东黎族自治县特殊教育学校</w:t>
      </w:r>
    </w:p>
    <w:p>
      <w:pPr>
        <w:adjustRightInd w:val="0"/>
        <w:snapToGrid w:val="0"/>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1.2</w:t>
      </w:r>
      <w:r>
        <w:rPr>
          <w:rFonts w:hint="eastAsia" w:asciiTheme="minorEastAsia" w:hAnsiTheme="minorEastAsia" w:eastAsiaTheme="minorEastAsia"/>
          <w:color w:val="auto"/>
          <w:szCs w:val="24"/>
          <w:highlight w:val="none"/>
        </w:rPr>
        <w:t>采购代理机构：海南政邦招标代理有限公司</w:t>
      </w:r>
    </w:p>
    <w:p>
      <w:pPr>
        <w:spacing w:line="360" w:lineRule="auto"/>
        <w:ind w:firstLine="54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投标人：已从采购代理机构购买招标文件并提交投标文件的法人、其他组织或自然人。</w:t>
      </w:r>
    </w:p>
    <w:p>
      <w:pPr>
        <w:adjustRightInd w:val="0"/>
        <w:snapToGrid w:val="0"/>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中标人：经过采购确定的提供合同货物或服务的投标人。</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本招标文件仅适用于采购人组织的本次公开招标活动。</w:t>
      </w:r>
    </w:p>
    <w:p>
      <w:pPr>
        <w:spacing w:line="360" w:lineRule="auto"/>
        <w:ind w:firstLine="480" w:firstLineChars="200"/>
        <w:textAlignment w:val="baseline"/>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6</w:t>
      </w:r>
      <w:r>
        <w:rPr>
          <w:rFonts w:hint="eastAsia" w:asciiTheme="minorEastAsia" w:hAnsiTheme="minorEastAsia" w:eastAsiaTheme="minorEastAsia"/>
          <w:color w:val="auto"/>
          <w:szCs w:val="24"/>
          <w:highlight w:val="none"/>
        </w:rPr>
        <w:t>本项目依据《中华人民共和国政府采购法》及相关法规，已办理招标申请，并得到招标管理机构批准，现通过公开招标来择优选定货物和服务的供货商。</w:t>
      </w:r>
      <w:bookmarkStart w:id="48" w:name="_Toc128372733"/>
      <w:bookmarkStart w:id="49" w:name="_Toc128372055"/>
      <w:bookmarkStart w:id="50" w:name="_Toc139965329"/>
      <w:r>
        <w:rPr>
          <w:rFonts w:hint="eastAsia" w:asciiTheme="minorEastAsia" w:hAnsiTheme="minorEastAsia" w:eastAsiaTheme="minorEastAsia"/>
          <w:color w:val="auto"/>
          <w:szCs w:val="24"/>
          <w:highlight w:val="none"/>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p>
    <w:bookmarkEnd w:id="48"/>
    <w:bookmarkEnd w:id="49"/>
    <w:bookmarkEnd w:id="50"/>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2．合格的投标人</w:t>
      </w:r>
      <w:bookmarkEnd w:id="47"/>
    </w:p>
    <w:p>
      <w:pPr>
        <w:spacing w:line="360" w:lineRule="auto"/>
        <w:ind w:firstLine="480" w:firstLineChars="200"/>
        <w:rPr>
          <w:rFonts w:asciiTheme="minorEastAsia" w:hAnsiTheme="minorEastAsia" w:eastAsiaTheme="minorEastAsia"/>
          <w:color w:val="auto"/>
          <w:szCs w:val="24"/>
          <w:highlight w:val="none"/>
        </w:rPr>
      </w:pPr>
      <w:bookmarkStart w:id="51" w:name="_Toc238907004"/>
      <w:r>
        <w:rPr>
          <w:rFonts w:asciiTheme="minorEastAsia" w:hAnsiTheme="minorEastAsia" w:eastAsiaTheme="minorEastAsia"/>
          <w:color w:val="auto"/>
          <w:szCs w:val="24"/>
          <w:highlight w:val="none"/>
        </w:rPr>
        <w:t>2.1</w:t>
      </w:r>
      <w:r>
        <w:rPr>
          <w:rFonts w:hint="eastAsia" w:asciiTheme="minorEastAsia" w:hAnsiTheme="minorEastAsia" w:eastAsiaTheme="minorEastAsia"/>
          <w:color w:val="auto"/>
          <w:szCs w:val="24"/>
          <w:highlight w:val="none"/>
        </w:rPr>
        <w:t>投标人参加本次政府采购活动应当符合《中华人民共和国政府采购法》第二十二条的规定并具备招标文件第一章“申请人的资格要求”规定的条件。</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 xml:space="preserve">2.2 </w:t>
      </w:r>
      <w:r>
        <w:rPr>
          <w:rFonts w:hint="eastAsia" w:asciiTheme="minorEastAsia" w:hAnsiTheme="minorEastAsia" w:eastAsiaTheme="minorEastAsia"/>
          <w:color w:val="auto"/>
          <w:szCs w:val="24"/>
          <w:highlight w:val="none"/>
        </w:rPr>
        <w:t>投标人其他资格条件详见本项目第一章申请人的资格要求。</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3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4如为信息系统采购项目，投标人不得为该整体项目或其中分项目前期工作提供过设计、编制、管理等服务的法人及附属单位。</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5招标</w:t>
      </w:r>
      <w:r>
        <w:rPr>
          <w:rFonts w:asciiTheme="minorEastAsia" w:hAnsiTheme="minorEastAsia" w:eastAsiaTheme="minorEastAsia"/>
          <w:color w:val="auto"/>
          <w:szCs w:val="24"/>
          <w:highlight w:val="none"/>
        </w:rPr>
        <w:t>文件中未明确规定允许进口产品参加的，均视为拒绝进口产品参加。（进口产品是指通过中国海关报关验放进入中国境内且产自关境外的产品，不包括香港、澳门和台湾金马等单独关境地区）。</w:t>
      </w:r>
    </w:p>
    <w:p>
      <w:pPr>
        <w:spacing w:line="360" w:lineRule="auto"/>
        <w:ind w:firstLine="480" w:firstLineChars="200"/>
        <w:rPr>
          <w:rFonts w:cs="仿宋_GB2312"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6因违法经营受到刑事处罚或者责令停产停业、吊销许可证或者执照、较大数额罚款等行政处罚、或者存在财政部门认定的其他重大违法记录</w:t>
      </w:r>
      <w:r>
        <w:rPr>
          <w:rFonts w:hint="eastAsia" w:cs="MingLiU_HKSCS" w:asciiTheme="minorEastAsia" w:hAnsiTheme="minorEastAsia" w:eastAsiaTheme="minorEastAsia"/>
          <w:color w:val="auto"/>
          <w:szCs w:val="24"/>
          <w:highlight w:val="none"/>
        </w:rPr>
        <w:t>，</w:t>
      </w:r>
      <w:r>
        <w:rPr>
          <w:rFonts w:hint="eastAsia" w:cs="仿宋_GB2312" w:asciiTheme="minorEastAsia" w:hAnsiTheme="minorEastAsia" w:eastAsiaTheme="minorEastAsia"/>
          <w:color w:val="auto"/>
          <w:szCs w:val="24"/>
          <w:highlight w:val="none"/>
        </w:rPr>
        <w:t>以及在财政部门禁止参加政府采购活动期限以内的</w:t>
      </w:r>
      <w:r>
        <w:rPr>
          <w:rFonts w:hint="eastAsia" w:cs="宋体" w:asciiTheme="minorEastAsia" w:hAnsiTheme="minorEastAsia" w:eastAsiaTheme="minorEastAsia"/>
          <w:color w:val="auto"/>
          <w:szCs w:val="24"/>
          <w:highlight w:val="none"/>
        </w:rPr>
        <w:t>投标人不得参与投标</w:t>
      </w:r>
      <w:r>
        <w:rPr>
          <w:rFonts w:hint="eastAsia" w:cs="仿宋_GB2312" w:asciiTheme="minorEastAsia" w:hAnsiTheme="minorEastAsia" w:eastAsiaTheme="minorEastAsia"/>
          <w:color w:val="auto"/>
          <w:szCs w:val="24"/>
          <w:highlight w:val="none"/>
        </w:rPr>
        <w:t>。</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3．投标费用</w:t>
      </w:r>
      <w:bookmarkEnd w:id="51"/>
    </w:p>
    <w:p>
      <w:pPr>
        <w:adjustRightInd w:val="0"/>
        <w:snapToGrid w:val="0"/>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r>
        <w:rPr>
          <w:rFonts w:asciiTheme="minorEastAsia" w:hAnsiTheme="minorEastAsia" w:eastAsiaTheme="minorEastAsia"/>
          <w:color w:val="auto"/>
          <w:szCs w:val="24"/>
          <w:highlight w:val="none"/>
        </w:rPr>
        <w:t>.1投标人应承担其</w:t>
      </w:r>
      <w:r>
        <w:rPr>
          <w:rFonts w:hint="eastAsia" w:asciiTheme="minorEastAsia" w:hAnsiTheme="minorEastAsia" w:eastAsiaTheme="minorEastAsia"/>
          <w:color w:val="auto"/>
          <w:szCs w:val="24"/>
          <w:highlight w:val="none"/>
        </w:rPr>
        <w:t>编制投标文件与递交投标文件等投标过程中所涉及的一切费用，不论投标结果如何，招标人及采购代理机构将不予承担。</w:t>
      </w:r>
    </w:p>
    <w:p>
      <w:pPr>
        <w:pStyle w:val="12"/>
        <w:spacing w:line="360" w:lineRule="auto"/>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3.2采购代理机构向中标人收取招标代理服务费，收费标准参考《海南省物价局关于降低部分招标代理服务收费标准的通知》（琼价费管[2011]225号）文件。支付时间：在签发中标通知书时；支付方式：中标人将采购代理费提交至代理公司账上。</w:t>
      </w:r>
    </w:p>
    <w:p>
      <w:pPr>
        <w:spacing w:line="360" w:lineRule="auto"/>
        <w:rPr>
          <w:rFonts w:asciiTheme="minorEastAsia" w:hAnsiTheme="minorEastAsia" w:eastAsiaTheme="minorEastAsia"/>
          <w:b/>
          <w:color w:val="auto"/>
          <w:szCs w:val="24"/>
          <w:highlight w:val="none"/>
        </w:rPr>
      </w:pPr>
      <w:bookmarkStart w:id="52" w:name="_Toc238907005"/>
      <w:r>
        <w:rPr>
          <w:rFonts w:hint="eastAsia" w:asciiTheme="minorEastAsia" w:hAnsiTheme="minorEastAsia" w:eastAsiaTheme="minorEastAsia"/>
          <w:b/>
          <w:color w:val="auto"/>
          <w:szCs w:val="24"/>
          <w:highlight w:val="none"/>
        </w:rPr>
        <w:t>4．法律适用</w:t>
      </w:r>
      <w:bookmarkEnd w:id="52"/>
    </w:p>
    <w:p>
      <w:pPr>
        <w:spacing w:line="360" w:lineRule="auto"/>
        <w:ind w:firstLine="480" w:firstLineChars="200"/>
        <w:rPr>
          <w:rFonts w:asciiTheme="minorEastAsia" w:hAnsiTheme="minorEastAsia" w:eastAsiaTheme="minorEastAsia"/>
          <w:color w:val="auto"/>
          <w:szCs w:val="24"/>
          <w:highlight w:val="none"/>
        </w:rPr>
      </w:pPr>
      <w:bookmarkStart w:id="53" w:name="_Toc238907006"/>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本次招标活动及由本次招标产生的合同受中华人民共和国的法律制约和保护。</w:t>
      </w:r>
    </w:p>
    <w:p>
      <w:pPr>
        <w:spacing w:line="360" w:lineRule="auto"/>
        <w:rPr>
          <w:rFonts w:asciiTheme="minorEastAsia" w:hAnsiTheme="minorEastAsia" w:eastAsiaTheme="minorEastAsia"/>
          <w:b/>
          <w:color w:val="auto"/>
          <w:szCs w:val="24"/>
          <w:highlight w:val="none"/>
        </w:rPr>
      </w:pPr>
      <w:r>
        <w:rPr>
          <w:rFonts w:asciiTheme="minorEastAsia" w:hAnsiTheme="minorEastAsia" w:eastAsiaTheme="minorEastAsia"/>
          <w:b/>
          <w:color w:val="auto"/>
          <w:szCs w:val="24"/>
          <w:highlight w:val="none"/>
        </w:rPr>
        <w:t>5</w:t>
      </w:r>
      <w:r>
        <w:rPr>
          <w:rFonts w:hint="eastAsia" w:asciiTheme="minorEastAsia" w:hAnsiTheme="minorEastAsia" w:eastAsiaTheme="minorEastAsia"/>
          <w:b/>
          <w:color w:val="auto"/>
          <w:szCs w:val="24"/>
          <w:highlight w:val="none"/>
        </w:rPr>
        <w:t>．招标文件的约束力</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1</w:t>
      </w:r>
      <w:r>
        <w:rPr>
          <w:rFonts w:hint="eastAsia" w:asciiTheme="minorEastAsia" w:hAnsiTheme="minorEastAsia" w:eastAsiaTheme="minorEastAsia"/>
          <w:color w:val="auto"/>
          <w:szCs w:val="24"/>
          <w:highlight w:val="none"/>
        </w:rPr>
        <w:t xml:space="preserve"> 投标人一旦购买了本招标文件（或确认投标）并在</w:t>
      </w:r>
      <w:r>
        <w:rPr>
          <w:rFonts w:asciiTheme="minorEastAsia" w:hAnsiTheme="minorEastAsia" w:eastAsiaTheme="minorEastAsia"/>
          <w:color w:val="auto"/>
          <w:szCs w:val="24"/>
          <w:highlight w:val="none"/>
        </w:rPr>
        <w:t>7</w:t>
      </w:r>
      <w:r>
        <w:rPr>
          <w:rFonts w:hint="eastAsia" w:asciiTheme="minorEastAsia" w:hAnsiTheme="minorEastAsia" w:eastAsiaTheme="minorEastAsia"/>
          <w:color w:val="auto"/>
          <w:szCs w:val="24"/>
          <w:highlight w:val="none"/>
        </w:rPr>
        <w:t>个工作日内未对采购代理机构提出书面质疑，即被认为接受了本招标文件中的所有条款和规定。</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highlight w:val="none"/>
        </w:rPr>
        <w:t>本招标文件由采购人或采购代理机构负责解释。</w:t>
      </w:r>
    </w:p>
    <w:bookmarkEnd w:id="53"/>
    <w:p>
      <w:pPr>
        <w:pStyle w:val="2"/>
        <w:rPr>
          <w:rFonts w:asciiTheme="minorEastAsia" w:hAnsiTheme="minorEastAsia" w:eastAsiaTheme="minorEastAsia"/>
          <w:color w:val="auto"/>
          <w:highlight w:val="none"/>
        </w:rPr>
      </w:pPr>
      <w:bookmarkStart w:id="54" w:name="_Toc238907007"/>
      <w:r>
        <w:rPr>
          <w:rFonts w:hint="eastAsia" w:asciiTheme="minorEastAsia" w:hAnsiTheme="minorEastAsia" w:eastAsiaTheme="minorEastAsia"/>
          <w:color w:val="auto"/>
          <w:highlight w:val="none"/>
        </w:rPr>
        <w:t>二、招标文件</w:t>
      </w:r>
      <w:bookmarkEnd w:id="54"/>
    </w:p>
    <w:p>
      <w:pPr>
        <w:spacing w:line="360" w:lineRule="auto"/>
        <w:rPr>
          <w:rFonts w:asciiTheme="minorEastAsia" w:hAnsiTheme="minorEastAsia" w:eastAsiaTheme="minorEastAsia"/>
          <w:b/>
          <w:color w:val="auto"/>
          <w:szCs w:val="24"/>
          <w:highlight w:val="none"/>
        </w:rPr>
      </w:pPr>
      <w:bookmarkStart w:id="55" w:name="_Toc238907008"/>
      <w:r>
        <w:rPr>
          <w:rFonts w:hint="eastAsia" w:asciiTheme="minorEastAsia" w:hAnsiTheme="minorEastAsia" w:eastAsiaTheme="minorEastAsia"/>
          <w:b/>
          <w:color w:val="auto"/>
          <w:szCs w:val="24"/>
          <w:highlight w:val="none"/>
        </w:rPr>
        <w:t>6．招标文件的组成</w:t>
      </w:r>
      <w:bookmarkEnd w:id="55"/>
    </w:p>
    <w:p>
      <w:pPr>
        <w:spacing w:line="360" w:lineRule="auto"/>
        <w:ind w:firstLine="480" w:firstLineChars="200"/>
        <w:rPr>
          <w:rFonts w:asciiTheme="minorEastAsia" w:hAnsiTheme="minorEastAsia" w:eastAsiaTheme="minorEastAsia"/>
          <w:color w:val="auto"/>
          <w:szCs w:val="24"/>
          <w:highlight w:val="none"/>
        </w:rPr>
      </w:pPr>
      <w:bookmarkStart w:id="56" w:name="_Toc238907009"/>
      <w:r>
        <w:rPr>
          <w:rFonts w:hint="eastAsia" w:asciiTheme="minorEastAsia" w:hAnsiTheme="minorEastAsia" w:eastAsiaTheme="minorEastAsia"/>
          <w:color w:val="auto"/>
          <w:szCs w:val="24"/>
          <w:highlight w:val="none"/>
        </w:rPr>
        <w:t>6.l 招标文件由下列部分</w:t>
      </w:r>
      <w:r>
        <w:rPr>
          <w:rFonts w:hint="eastAsia" w:cs="宋体" w:asciiTheme="minorEastAsia" w:hAnsiTheme="minorEastAsia" w:eastAsiaTheme="minorEastAsia"/>
          <w:color w:val="auto"/>
          <w:szCs w:val="24"/>
          <w:highlight w:val="none"/>
        </w:rPr>
        <w:t>以及在采购过程中发出的修正和补充文件</w:t>
      </w:r>
      <w:r>
        <w:rPr>
          <w:rFonts w:hint="eastAsia" w:asciiTheme="minorEastAsia" w:hAnsiTheme="minorEastAsia" w:eastAsiaTheme="minorEastAsia"/>
          <w:color w:val="auto"/>
          <w:szCs w:val="24"/>
          <w:highlight w:val="none"/>
        </w:rPr>
        <w:t>组成：</w:t>
      </w:r>
    </w:p>
    <w:p>
      <w:pPr>
        <w:spacing w:line="360" w:lineRule="auto"/>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第一章  投标邀请函</w:t>
      </w:r>
    </w:p>
    <w:p>
      <w:pPr>
        <w:spacing w:line="360" w:lineRule="auto"/>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第二章  投标人须知</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第三章  采购需求</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第四章  评标方法及标准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第五章  合同文本</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第六章  投标文件格式</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请仔细检查招标文件是否齐全，如有缺漏，请立即与采购代理机构联系解决。</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 xml:space="preserve"> 投标人必须详阅招标文件的所有</w:t>
      </w:r>
      <w:r>
        <w:rPr>
          <w:rFonts w:hint="eastAsia" w:cs="宋体" w:asciiTheme="minorEastAsia" w:hAnsiTheme="minorEastAsia" w:eastAsiaTheme="minorEastAsia"/>
          <w:color w:val="auto"/>
          <w:szCs w:val="24"/>
          <w:highlight w:val="none"/>
        </w:rPr>
        <w:t>事项、格式、条款等</w:t>
      </w:r>
      <w:r>
        <w:rPr>
          <w:rFonts w:hint="eastAsia" w:asciiTheme="minorEastAsia" w:hAnsiTheme="minorEastAsia" w:eastAsiaTheme="minorEastAsia"/>
          <w:color w:val="auto"/>
          <w:szCs w:val="24"/>
          <w:highlight w:val="none"/>
        </w:rPr>
        <w:t>。投标人若未按招标文件的要求和规范编制、提交投标文件，将有可能导致投标文件被拒绝接受或无效投标，所造成的负面后果由投标人负责。</w:t>
      </w:r>
    </w:p>
    <w:bookmarkEnd w:id="56"/>
    <w:p>
      <w:pPr>
        <w:spacing w:line="360" w:lineRule="auto"/>
        <w:rPr>
          <w:rFonts w:asciiTheme="minorEastAsia" w:hAnsiTheme="minorEastAsia" w:eastAsiaTheme="minorEastAsia"/>
          <w:b/>
          <w:color w:val="auto"/>
          <w:szCs w:val="24"/>
          <w:highlight w:val="none"/>
        </w:rPr>
      </w:pPr>
      <w:bookmarkStart w:id="57" w:name="_Toc238907011"/>
      <w:r>
        <w:rPr>
          <w:rFonts w:hint="eastAsia" w:asciiTheme="minorEastAsia" w:hAnsiTheme="minorEastAsia" w:eastAsiaTheme="minorEastAsia"/>
          <w:b/>
          <w:color w:val="auto"/>
          <w:szCs w:val="24"/>
          <w:highlight w:val="none"/>
        </w:rPr>
        <w:t>7．招标文件的询问或澄清</w:t>
      </w:r>
    </w:p>
    <w:p>
      <w:pPr>
        <w:spacing w:line="360" w:lineRule="auto"/>
        <w:ind w:firstLine="540" w:firstLineChars="225"/>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7.1投标人在收到招标文件后，</w:t>
      </w:r>
      <w:r>
        <w:rPr>
          <w:rFonts w:hint="eastAsia" w:cs="宋体" w:asciiTheme="minorEastAsia" w:hAnsiTheme="minorEastAsia" w:eastAsiaTheme="minorEastAsia"/>
          <w:color w:val="auto"/>
          <w:szCs w:val="24"/>
          <w:highlight w:val="none"/>
        </w:rPr>
        <w:t>若有疑问需要询问或要求澄清的，可以书面形式（包括信函、传真、电传，下同）</w:t>
      </w:r>
      <w:r>
        <w:rPr>
          <w:rFonts w:hint="eastAsia" w:asciiTheme="minorEastAsia" w:hAnsiTheme="minorEastAsia" w:eastAsiaTheme="minorEastAsia"/>
          <w:color w:val="auto"/>
          <w:szCs w:val="24"/>
          <w:highlight w:val="none"/>
        </w:rPr>
        <w:t>在投标截止日1</w:t>
      </w: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日前按招标文件中的联系方式，以书面形式通知采购代理机构。</w:t>
      </w:r>
      <w:r>
        <w:rPr>
          <w:rFonts w:hint="eastAsia" w:cs="宋体" w:asciiTheme="minorEastAsia" w:hAnsiTheme="minorEastAsia" w:eastAsiaTheme="minorEastAsia"/>
          <w:color w:val="auto"/>
          <w:szCs w:val="24"/>
          <w:highlight w:val="none"/>
        </w:rPr>
        <w:t>采购代理机构将以澄清或书面形式在收到询问或澄清要求后3个工作日内进行答复，同时采购代理机构有权将答复内容（包括所提问题，但不包括问题来源）分发给所有购买了本招标文件的投标人。未对采购代理机构提出书面意见，即视为接受了本招标文件中的所有条款和规定。</w:t>
      </w:r>
      <w:r>
        <w:rPr>
          <w:rFonts w:hint="eastAsia" w:asciiTheme="minorEastAsia" w:hAnsiTheme="minorEastAsia" w:eastAsiaTheme="minorEastAsia"/>
          <w:color w:val="auto"/>
          <w:szCs w:val="24"/>
          <w:highlight w:val="none"/>
        </w:rPr>
        <w:t>投标人对采购代理机构提供的招标文件所做出的推论、解释和结论，采购代理机构概不负责。投标人由于对招标文件的任何推论误解以及采购代理机构对有关问题的口头解释所造成的后果，均由投标人自负。</w:t>
      </w:r>
      <w:bookmarkStart w:id="58" w:name="_Toc217446041"/>
      <w:bookmarkStart w:id="59" w:name="_Toc183582213"/>
      <w:bookmarkStart w:id="60" w:name="_Toc208848971"/>
      <w:bookmarkStart w:id="61" w:name="_Toc183682350"/>
    </w:p>
    <w:bookmarkEnd w:id="58"/>
    <w:bookmarkEnd w:id="59"/>
    <w:bookmarkEnd w:id="60"/>
    <w:bookmarkEnd w:id="61"/>
    <w:p>
      <w:pPr>
        <w:spacing w:line="360" w:lineRule="auto"/>
        <w:rPr>
          <w:rFonts w:asciiTheme="minorEastAsia" w:hAnsiTheme="minorEastAsia" w:eastAsiaTheme="minorEastAsia"/>
          <w:b/>
          <w:color w:val="auto"/>
          <w:szCs w:val="24"/>
          <w:highlight w:val="none"/>
        </w:rPr>
      </w:pPr>
      <w:bookmarkStart w:id="62" w:name="_Toc238907010"/>
      <w:r>
        <w:rPr>
          <w:rFonts w:hint="eastAsia" w:asciiTheme="minorEastAsia" w:hAnsiTheme="minorEastAsia" w:eastAsiaTheme="minorEastAsia"/>
          <w:b/>
          <w:color w:val="auto"/>
          <w:szCs w:val="24"/>
          <w:highlight w:val="none"/>
        </w:rPr>
        <w:t>8．招标文件的</w:t>
      </w:r>
      <w:bookmarkEnd w:id="62"/>
      <w:r>
        <w:rPr>
          <w:rFonts w:asciiTheme="minorEastAsia" w:hAnsiTheme="minorEastAsia" w:eastAsiaTheme="minorEastAsia"/>
          <w:b/>
          <w:color w:val="auto"/>
          <w:szCs w:val="24"/>
          <w:highlight w:val="none"/>
        </w:rPr>
        <w:t>补遗、澄清及变更信息</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8.l采购人、采购代理机构均可对招标文件用更正公告的方式进行补遗、澄清及变更，补遗、澄清及变更</w:t>
      </w:r>
      <w:r>
        <w:rPr>
          <w:rFonts w:hint="eastAsia" w:cs="宋体" w:asciiTheme="minorEastAsia" w:hAnsiTheme="minorEastAsia" w:eastAsiaTheme="minorEastAsia"/>
          <w:color w:val="auto"/>
          <w:szCs w:val="24"/>
          <w:highlight w:val="none"/>
        </w:rPr>
        <w:t>的内容可能影响投标文件编制的，采购人、采购代理机构应当在投标截止时间1</w:t>
      </w:r>
      <w:r>
        <w:rPr>
          <w:rFonts w:cs="宋体" w:asciiTheme="minorEastAsia" w:hAnsiTheme="minorEastAsia" w:eastAsiaTheme="minorEastAsia"/>
          <w:color w:val="auto"/>
          <w:szCs w:val="24"/>
          <w:highlight w:val="none"/>
        </w:rPr>
        <w:t>5</w:t>
      </w:r>
      <w:r>
        <w:rPr>
          <w:rFonts w:hint="eastAsia" w:cs="宋体" w:asciiTheme="minorEastAsia" w:hAnsiTheme="minorEastAsia" w:eastAsiaTheme="minorEastAsia"/>
          <w:color w:val="auto"/>
          <w:szCs w:val="24"/>
          <w:highlight w:val="none"/>
        </w:rPr>
        <w:t>日前（不足1</w:t>
      </w:r>
      <w:r>
        <w:rPr>
          <w:rFonts w:cs="宋体" w:asciiTheme="minorEastAsia" w:hAnsiTheme="minorEastAsia" w:eastAsiaTheme="minorEastAsia"/>
          <w:color w:val="auto"/>
          <w:szCs w:val="24"/>
          <w:highlight w:val="none"/>
        </w:rPr>
        <w:t>5</w:t>
      </w:r>
      <w:r>
        <w:rPr>
          <w:rFonts w:hint="eastAsia" w:cs="宋体" w:asciiTheme="minorEastAsia" w:hAnsiTheme="minorEastAsia" w:eastAsiaTheme="minorEastAsia"/>
          <w:color w:val="auto"/>
          <w:szCs w:val="24"/>
          <w:highlight w:val="none"/>
        </w:rPr>
        <w:t>日的应当顺延），将有关的</w:t>
      </w:r>
      <w:r>
        <w:rPr>
          <w:rFonts w:hint="eastAsia" w:asciiTheme="minorEastAsia" w:hAnsiTheme="minorEastAsia" w:eastAsiaTheme="minorEastAsia"/>
          <w:color w:val="auto"/>
          <w:szCs w:val="24"/>
          <w:highlight w:val="none"/>
        </w:rPr>
        <w:t>补遗、澄清及变更信息</w:t>
      </w:r>
      <w:r>
        <w:rPr>
          <w:rFonts w:hint="eastAsia" w:cs="宋体" w:asciiTheme="minorEastAsia" w:hAnsiTheme="minorEastAsia" w:eastAsiaTheme="minorEastAsia"/>
          <w:color w:val="auto"/>
          <w:szCs w:val="24"/>
          <w:highlight w:val="none"/>
        </w:rPr>
        <w:t>以公告的形式发布，</w:t>
      </w:r>
      <w:r>
        <w:rPr>
          <w:rFonts w:cs="宋体" w:asciiTheme="minorEastAsia" w:hAnsiTheme="minorEastAsia" w:eastAsiaTheme="minorEastAsia"/>
          <w:color w:val="auto"/>
          <w:szCs w:val="24"/>
          <w:highlight w:val="none"/>
        </w:rPr>
        <w:t>有关本项目采购文件的补遗、澄清及变更信息以上述网站公告与下载为准，采购代理机构不再另行通知，采购文件与更正公告的内容相互矛盾时，以最后发出的更正公告内容为准。</w:t>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三、投标文件</w:t>
      </w:r>
      <w:bookmarkEnd w:id="57"/>
    </w:p>
    <w:p>
      <w:pPr>
        <w:spacing w:line="360" w:lineRule="auto"/>
        <w:rPr>
          <w:rFonts w:asciiTheme="minorEastAsia" w:hAnsiTheme="minorEastAsia" w:eastAsiaTheme="minorEastAsia"/>
          <w:b/>
          <w:color w:val="auto"/>
          <w:szCs w:val="24"/>
          <w:highlight w:val="none"/>
        </w:rPr>
      </w:pPr>
      <w:bookmarkStart w:id="63" w:name="_Toc238907012"/>
      <w:r>
        <w:rPr>
          <w:rFonts w:hint="eastAsia" w:asciiTheme="minorEastAsia" w:hAnsiTheme="minorEastAsia" w:eastAsiaTheme="minorEastAsia"/>
          <w:b/>
          <w:color w:val="auto"/>
          <w:szCs w:val="24"/>
          <w:highlight w:val="none"/>
        </w:rPr>
        <w:t>9．投标文件的语言及度量衡</w:t>
      </w:r>
      <w:bookmarkEnd w:id="63"/>
    </w:p>
    <w:p>
      <w:pPr>
        <w:spacing w:line="360" w:lineRule="auto"/>
        <w:ind w:firstLine="480" w:firstLineChars="200"/>
        <w:rPr>
          <w:rFonts w:asciiTheme="minorEastAsia" w:hAnsiTheme="minorEastAsia" w:eastAsiaTheme="minorEastAsia"/>
          <w:color w:val="auto"/>
          <w:szCs w:val="24"/>
          <w:highlight w:val="none"/>
        </w:rPr>
      </w:pPr>
      <w:bookmarkStart w:id="64" w:name="_Toc238907013"/>
      <w:r>
        <w:rPr>
          <w:rFonts w:hint="eastAsia" w:asciiTheme="minorEastAsia" w:hAnsiTheme="minorEastAsia" w:eastAsiaTheme="minorEastAsia"/>
          <w:color w:val="auto"/>
          <w:szCs w:val="24"/>
          <w:highlight w:val="none"/>
        </w:rPr>
        <w:t>9.1投标人提交的投标文件以及投标人与招标采购人就有关投标的所有来往书面文件均须使用</w:t>
      </w:r>
      <w:r>
        <w:rPr>
          <w:rFonts w:hint="eastAsia" w:asciiTheme="minorEastAsia" w:hAnsiTheme="minorEastAsia" w:eastAsiaTheme="minorEastAsia"/>
          <w:b/>
          <w:color w:val="auto"/>
          <w:szCs w:val="24"/>
          <w:highlight w:val="none"/>
          <w:u w:val="single"/>
        </w:rPr>
        <w:t xml:space="preserve">中文 </w:t>
      </w:r>
      <w:r>
        <w:rPr>
          <w:rFonts w:hint="eastAsia" w:asciiTheme="minorEastAsia" w:hAnsiTheme="minorEastAsia" w:eastAsiaTheme="minorEastAsia"/>
          <w:color w:val="auto"/>
          <w:szCs w:val="24"/>
          <w:highlight w:val="none"/>
        </w:rPr>
        <w:t>（语言文字）。投标文件中如附有外文资料，必须逐一对应翻译成中文并加盖投标人公章后附在相关外文资料后面，否则，投标人的投标文件将作为无效投标处理。</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9</w:t>
      </w:r>
      <w:r>
        <w:rPr>
          <w:rFonts w:hint="eastAsia" w:asciiTheme="minorEastAsia" w:hAnsiTheme="minorEastAsia" w:eastAsiaTheme="minorEastAsia"/>
          <w:color w:val="auto"/>
          <w:szCs w:val="24"/>
          <w:highlight w:val="none"/>
        </w:rPr>
        <w:t>.2 投标人已印刷好的资料如产品样本、说明书等可以用其他语言，但其中要点应附有中文译文。在解释投标文件时，以译文为准。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9.</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除在招标文件第六章中另有规定外，度量衡单位应使用国际单位制。</w:t>
      </w:r>
    </w:p>
    <w:p>
      <w:pPr>
        <w:spacing w:line="360" w:lineRule="auto"/>
        <w:ind w:firstLine="480" w:firstLineChars="200"/>
        <w:rPr>
          <w:rFonts w:cs="宋体"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9.</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 xml:space="preserve"> 本招标文件所表述的时间均为北京时间。</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10．投标文件的组成</w:t>
      </w:r>
      <w:bookmarkEnd w:id="64"/>
    </w:p>
    <w:p>
      <w:pPr>
        <w:spacing w:line="360" w:lineRule="auto"/>
        <w:ind w:firstLine="480" w:firstLineChars="200"/>
        <w:rPr>
          <w:rFonts w:cs="宋体"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10.1</w:t>
      </w:r>
      <w:r>
        <w:rPr>
          <w:rFonts w:hint="eastAsia" w:asciiTheme="minorEastAsia" w:hAnsiTheme="minorEastAsia" w:eastAsiaTheme="minorEastAsia"/>
          <w:color w:val="auto"/>
          <w:szCs w:val="24"/>
          <w:highlight w:val="none"/>
        </w:rPr>
        <w:t>投标文件的组成见第六章“投标文件格式”，投标人应按招标文件第六章“投标文件格式”要求编制。</w:t>
      </w:r>
    </w:p>
    <w:p>
      <w:pPr>
        <w:spacing w:line="360" w:lineRule="auto"/>
        <w:rPr>
          <w:rFonts w:cs="宋体" w:asciiTheme="minorEastAsia" w:hAnsiTheme="minorEastAsia" w:eastAsiaTheme="minorEastAsia"/>
          <w:b/>
          <w:bCs/>
          <w:color w:val="auto"/>
          <w:szCs w:val="24"/>
          <w:highlight w:val="none"/>
        </w:rPr>
      </w:pPr>
      <w:bookmarkStart w:id="65" w:name="_Toc238907015"/>
      <w:r>
        <w:rPr>
          <w:rFonts w:cs="宋体" w:asciiTheme="minorEastAsia" w:hAnsiTheme="minorEastAsia" w:eastAsiaTheme="minorEastAsia"/>
          <w:b/>
          <w:bCs/>
          <w:color w:val="auto"/>
          <w:szCs w:val="24"/>
          <w:highlight w:val="none"/>
        </w:rPr>
        <w:t>11</w:t>
      </w:r>
      <w:r>
        <w:rPr>
          <w:rFonts w:hint="eastAsia" w:cs="宋体" w:asciiTheme="minorEastAsia" w:hAnsiTheme="minorEastAsia" w:eastAsiaTheme="minorEastAsia"/>
          <w:b/>
          <w:bCs/>
          <w:color w:val="auto"/>
          <w:szCs w:val="24"/>
          <w:highlight w:val="none"/>
        </w:rPr>
        <w:t>、投标文件编制</w:t>
      </w:r>
    </w:p>
    <w:p>
      <w:pPr>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lang w:val="en-GB"/>
        </w:rPr>
        <w:t xml:space="preserve">11.1 </w:t>
      </w:r>
      <w:r>
        <w:rPr>
          <w:rFonts w:hint="eastAsia" w:cs="宋体" w:asciiTheme="minorEastAsia" w:hAnsiTheme="minorEastAsia" w:eastAsiaTheme="minorEastAsia"/>
          <w:bCs/>
          <w:color w:val="auto"/>
          <w:szCs w:val="24"/>
          <w:highlight w:val="none"/>
          <w:lang w:val="en-GB"/>
        </w:rPr>
        <w:t>投标人的投标文件应按要求装订和封装。</w:t>
      </w:r>
    </w:p>
    <w:p>
      <w:pPr>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lang w:val="en-GB"/>
        </w:rPr>
        <w:t>11.2</w:t>
      </w:r>
      <w:r>
        <w:rPr>
          <w:rFonts w:hint="eastAsia" w:cs="宋体" w:asciiTheme="minorEastAsia" w:hAnsiTheme="minorEastAsia" w:eastAsiaTheme="minorEastAsia"/>
          <w:bCs/>
          <w:color w:val="auto"/>
          <w:szCs w:val="24"/>
          <w:highlight w:val="none"/>
          <w:lang w:val="en-GB"/>
        </w:rPr>
        <w:t>投标人应完整地填写招标文件中提供的《投标函》、《开标一览表》等招标文件中规定的所有内容。</w:t>
      </w:r>
    </w:p>
    <w:p>
      <w:pPr>
        <w:pStyle w:val="22"/>
        <w:adjustRightInd w:val="0"/>
        <w:snapToGrid w:val="0"/>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lang w:val="en-GB"/>
        </w:rPr>
        <w:t>11.3</w:t>
      </w:r>
      <w:r>
        <w:rPr>
          <w:rFonts w:hint="eastAsia" w:cs="宋体" w:asciiTheme="minorEastAsia" w:hAnsiTheme="minorEastAsia" w:eastAsiaTheme="minorEastAsia"/>
          <w:bCs/>
          <w:color w:val="auto"/>
          <w:szCs w:val="24"/>
          <w:highlight w:val="none"/>
          <w:lang w:val="en-GB"/>
        </w:rPr>
        <w:t>投标人必须保证投标文件所提供的全部资料真实可靠，并接受</w:t>
      </w:r>
      <w:r>
        <w:rPr>
          <w:rFonts w:hint="eastAsia" w:cs="宋体" w:asciiTheme="minorEastAsia" w:hAnsiTheme="minorEastAsia" w:eastAsiaTheme="minorEastAsia"/>
          <w:color w:val="auto"/>
          <w:szCs w:val="24"/>
          <w:highlight w:val="none"/>
        </w:rPr>
        <w:t>采购代理机构</w:t>
      </w:r>
      <w:r>
        <w:rPr>
          <w:rFonts w:hint="eastAsia" w:cs="宋体" w:asciiTheme="minorEastAsia" w:hAnsiTheme="minorEastAsia" w:eastAsiaTheme="minorEastAsia"/>
          <w:bCs/>
          <w:color w:val="auto"/>
          <w:szCs w:val="24"/>
          <w:highlight w:val="none"/>
          <w:lang w:val="en-GB"/>
        </w:rPr>
        <w:t>对其中任何资料进一步审查的要求。</w:t>
      </w:r>
    </w:p>
    <w:p>
      <w:pPr>
        <w:pStyle w:val="22"/>
        <w:adjustRightInd w:val="0"/>
        <w:snapToGrid w:val="0"/>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lang w:val="en-GB"/>
        </w:rPr>
        <w:t>11.4</w:t>
      </w:r>
      <w:r>
        <w:rPr>
          <w:rFonts w:hint="eastAsia" w:cs="宋体" w:asciiTheme="minorEastAsia" w:hAnsiTheme="minorEastAsia" w:eastAsiaTheme="minorEastAsia"/>
          <w:bCs/>
          <w:color w:val="auto"/>
          <w:szCs w:val="24"/>
          <w:highlight w:val="none"/>
          <w:lang w:val="en-GB"/>
        </w:rPr>
        <w:t>如果投标文件填报的内容不详，或没有提供招标文件中所要求的全部资料及数据，使评标委员会无法正常评审的，由此产生的结果由投标人承担。</w:t>
      </w:r>
    </w:p>
    <w:p>
      <w:pPr>
        <w:pStyle w:val="276"/>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color w:val="auto"/>
          <w:kern w:val="2"/>
          <w:szCs w:val="24"/>
          <w:highlight w:val="none"/>
          <w:lang w:val="en-GB"/>
        </w:rPr>
        <w:t>11.5</w:t>
      </w:r>
      <w:r>
        <w:rPr>
          <w:rFonts w:hint="eastAsia" w:cs="宋体" w:asciiTheme="minorEastAsia" w:hAnsiTheme="minorEastAsia" w:eastAsiaTheme="minorEastAsia"/>
          <w:color w:val="auto"/>
          <w:kern w:val="2"/>
          <w:szCs w:val="24"/>
          <w:highlight w:val="none"/>
          <w:lang w:val="en-GB"/>
        </w:rPr>
        <w:t>投标文件外形尺寸应统一为</w:t>
      </w:r>
      <w:r>
        <w:rPr>
          <w:rFonts w:cs="宋体" w:asciiTheme="minorEastAsia" w:hAnsiTheme="minorEastAsia" w:eastAsiaTheme="minorEastAsia"/>
          <w:color w:val="auto"/>
          <w:kern w:val="2"/>
          <w:szCs w:val="24"/>
          <w:highlight w:val="none"/>
          <w:lang w:val="en-GB"/>
        </w:rPr>
        <w:t>A4</w:t>
      </w:r>
      <w:r>
        <w:rPr>
          <w:rFonts w:hint="eastAsia" w:cs="宋体" w:asciiTheme="minorEastAsia" w:hAnsiTheme="minorEastAsia" w:eastAsiaTheme="minorEastAsia"/>
          <w:color w:val="auto"/>
          <w:kern w:val="2"/>
          <w:szCs w:val="24"/>
          <w:highlight w:val="none"/>
          <w:lang w:val="en-GB"/>
        </w:rPr>
        <w:t>纸规格，</w:t>
      </w:r>
      <w:r>
        <w:rPr>
          <w:rFonts w:hint="eastAsia" w:cs="宋体" w:asciiTheme="minorEastAsia" w:hAnsiTheme="minorEastAsia" w:eastAsiaTheme="minorEastAsia"/>
          <w:bCs/>
          <w:color w:val="auto"/>
          <w:szCs w:val="24"/>
          <w:highlight w:val="none"/>
          <w:lang w:val="en-GB"/>
        </w:rPr>
        <w:t>文件所使用的印章必须为企业公章，且与投标人名称完全一致，不能以其它业务章或附属机构印章代替。需签字之处必须由当事人亲笔签署。</w:t>
      </w:r>
    </w:p>
    <w:p>
      <w:pPr>
        <w:pStyle w:val="276"/>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rPr>
        <w:t>11</w:t>
      </w:r>
      <w:r>
        <w:rPr>
          <w:rFonts w:cs="宋体" w:asciiTheme="minorEastAsia" w:hAnsiTheme="minorEastAsia" w:eastAsiaTheme="minorEastAsia"/>
          <w:bCs/>
          <w:color w:val="auto"/>
          <w:szCs w:val="24"/>
          <w:highlight w:val="none"/>
          <w:lang w:val="en-GB"/>
        </w:rPr>
        <w:t>.</w:t>
      </w:r>
      <w:r>
        <w:rPr>
          <w:rFonts w:cs="宋体" w:asciiTheme="minorEastAsia" w:hAnsiTheme="minorEastAsia" w:eastAsiaTheme="minorEastAsia"/>
          <w:bCs/>
          <w:color w:val="auto"/>
          <w:szCs w:val="24"/>
          <w:highlight w:val="none"/>
        </w:rPr>
        <w:t xml:space="preserve">6 </w:t>
      </w:r>
      <w:r>
        <w:rPr>
          <w:rFonts w:hint="eastAsia" w:cs="宋体" w:asciiTheme="minorEastAsia" w:hAnsiTheme="minorEastAsia" w:eastAsiaTheme="minorEastAsia"/>
          <w:bCs/>
          <w:color w:val="auto"/>
          <w:szCs w:val="24"/>
          <w:highlight w:val="none"/>
          <w:lang w:val="en-GB"/>
        </w:rPr>
        <w:t>投标文件每页须按顺序加注页码，装订牢固且不会轻易脱落</w:t>
      </w:r>
      <w:r>
        <w:rPr>
          <w:rFonts w:hint="eastAsia" w:cs="宋体" w:asciiTheme="minorEastAsia" w:hAnsiTheme="minorEastAsia" w:eastAsiaTheme="minorEastAsia"/>
          <w:b/>
          <w:color w:val="auto"/>
          <w:szCs w:val="24"/>
          <w:highlight w:val="none"/>
          <w:lang w:val="en-GB"/>
        </w:rPr>
        <w:t>（注：胶装）</w:t>
      </w:r>
      <w:r>
        <w:rPr>
          <w:rFonts w:hint="eastAsia" w:cs="宋体" w:asciiTheme="minorEastAsia" w:hAnsiTheme="minorEastAsia" w:eastAsiaTheme="minorEastAsia"/>
          <w:bCs/>
          <w:color w:val="auto"/>
          <w:szCs w:val="24"/>
          <w:highlight w:val="none"/>
          <w:lang w:val="en-GB"/>
        </w:rPr>
        <w:t>。如因装订问题而出现漏页或缺页，由此产生的一切后果由投标人自行承担。</w:t>
      </w:r>
    </w:p>
    <w:p>
      <w:pPr>
        <w:pStyle w:val="276"/>
        <w:spacing w:line="360" w:lineRule="auto"/>
        <w:ind w:firstLine="480" w:firstLineChars="200"/>
        <w:rPr>
          <w:rFonts w:cs="宋体" w:asciiTheme="minorEastAsia" w:hAnsiTheme="minorEastAsia" w:eastAsiaTheme="minorEastAsia"/>
          <w:bCs/>
          <w:color w:val="auto"/>
          <w:szCs w:val="24"/>
          <w:highlight w:val="none"/>
          <w:lang w:val="en-GB"/>
        </w:rPr>
      </w:pPr>
      <w:r>
        <w:rPr>
          <w:rFonts w:cs="宋体" w:asciiTheme="minorEastAsia" w:hAnsiTheme="minorEastAsia" w:eastAsiaTheme="minorEastAsia"/>
          <w:bCs/>
          <w:color w:val="auto"/>
          <w:szCs w:val="24"/>
          <w:highlight w:val="none"/>
        </w:rPr>
        <w:t>11</w:t>
      </w:r>
      <w:r>
        <w:rPr>
          <w:rFonts w:cs="宋体" w:asciiTheme="minorEastAsia" w:hAnsiTheme="minorEastAsia" w:eastAsiaTheme="minorEastAsia"/>
          <w:bCs/>
          <w:color w:val="auto"/>
          <w:szCs w:val="24"/>
          <w:highlight w:val="none"/>
          <w:lang w:val="en-GB"/>
        </w:rPr>
        <w:t>.</w:t>
      </w:r>
      <w:r>
        <w:rPr>
          <w:rFonts w:cs="宋体" w:asciiTheme="minorEastAsia" w:hAnsiTheme="minorEastAsia" w:eastAsiaTheme="minorEastAsia"/>
          <w:bCs/>
          <w:color w:val="auto"/>
          <w:szCs w:val="24"/>
          <w:highlight w:val="none"/>
        </w:rPr>
        <w:t xml:space="preserve">7 </w:t>
      </w:r>
      <w:r>
        <w:rPr>
          <w:rFonts w:hint="eastAsia" w:cs="宋体" w:asciiTheme="minorEastAsia" w:hAnsiTheme="minorEastAsia" w:eastAsiaTheme="minorEastAsia"/>
          <w:bCs/>
          <w:color w:val="auto"/>
          <w:szCs w:val="24"/>
          <w:highlight w:val="none"/>
          <w:lang w:val="en-GB"/>
        </w:rPr>
        <w:t>所有密封文件封套正面须按“投标文件的密封及标记”格式进行标贴。</w:t>
      </w:r>
    </w:p>
    <w:bookmarkEnd w:id="65"/>
    <w:p>
      <w:pPr>
        <w:spacing w:line="360" w:lineRule="auto"/>
        <w:rPr>
          <w:rFonts w:asciiTheme="minorEastAsia" w:hAnsiTheme="minorEastAsia" w:eastAsiaTheme="minorEastAsia"/>
          <w:b/>
          <w:color w:val="auto"/>
          <w:szCs w:val="24"/>
          <w:highlight w:val="none"/>
        </w:rPr>
      </w:pPr>
      <w:bookmarkStart w:id="66" w:name="_Toc238907016"/>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2</w:t>
      </w:r>
      <w:r>
        <w:rPr>
          <w:rFonts w:hint="eastAsia" w:asciiTheme="minorEastAsia" w:hAnsiTheme="minorEastAsia" w:eastAsiaTheme="minorEastAsia"/>
          <w:b/>
          <w:color w:val="auto"/>
          <w:szCs w:val="24"/>
          <w:highlight w:val="none"/>
        </w:rPr>
        <w:t>．投标保证金</w:t>
      </w:r>
    </w:p>
    <w:p>
      <w:pPr>
        <w:spacing w:line="360" w:lineRule="auto"/>
        <w:ind w:left="547" w:leftChars="228"/>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.1 投标保证金是参加本项目投标的必要条件：</w:t>
      </w:r>
    </w:p>
    <w:p>
      <w:pPr>
        <w:autoSpaceDE w:val="0"/>
        <w:autoSpaceDN w:val="0"/>
        <w:spacing w:before="157" w:line="360" w:lineRule="auto"/>
        <w:ind w:firstLine="487" w:firstLineChars="203"/>
        <w:rPr>
          <w:rFonts w:cs="宋体"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保证金金额：</w:t>
      </w:r>
      <w:r>
        <w:rPr>
          <w:rFonts w:hint="eastAsia" w:cs="宋体" w:asciiTheme="minorEastAsia" w:hAnsiTheme="minorEastAsia" w:eastAsiaTheme="minorEastAsia"/>
          <w:color w:val="auto"/>
          <w:szCs w:val="24"/>
          <w:highlight w:val="none"/>
        </w:rPr>
        <w:t>人民币壹万元整(¥10000.00元)；</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.2 投标保证金可采用下列形式，并符合下列规定：</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.2.1递交形式：</w:t>
      </w:r>
      <w:r>
        <w:rPr>
          <w:rFonts w:asciiTheme="minorEastAsia" w:hAnsiTheme="minorEastAsia" w:eastAsiaTheme="minorEastAsia"/>
          <w:color w:val="auto"/>
          <w:szCs w:val="24"/>
          <w:highlight w:val="none"/>
        </w:rPr>
        <w:t>保证金应当以支票、汇票、本票或者金融机构、担保机构出具的保函等非现金形式提交</w:t>
      </w:r>
      <w:r>
        <w:rPr>
          <w:rFonts w:hint="eastAsia" w:asciiTheme="minorEastAsia" w:hAnsiTheme="minorEastAsia" w:eastAsiaTheme="minorEastAsia"/>
          <w:color w:val="auto"/>
          <w:szCs w:val="24"/>
          <w:highlight w:val="none"/>
        </w:rPr>
        <w:t>。</w:t>
      </w:r>
    </w:p>
    <w:p>
      <w:pPr>
        <w:pStyle w:val="27"/>
        <w:tabs>
          <w:tab w:val="clear" w:pos="4153"/>
          <w:tab w:val="clear" w:pos="8306"/>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12.2.2递交时间：在</w:t>
      </w:r>
      <w:r>
        <w:rPr>
          <w:rFonts w:hint="eastAsia" w:asciiTheme="minorEastAsia" w:hAnsiTheme="minorEastAsia" w:eastAsiaTheme="minorEastAsia"/>
          <w:color w:val="auto"/>
          <w:sz w:val="24"/>
          <w:szCs w:val="24"/>
          <w:highlight w:val="none"/>
          <w:u w:val="single"/>
        </w:rPr>
        <w:t>投标文件递交截止时间</w:t>
      </w:r>
      <w:r>
        <w:rPr>
          <w:rFonts w:hint="eastAsia" w:asciiTheme="minorEastAsia" w:hAnsiTheme="minorEastAsia" w:eastAsiaTheme="minorEastAsia"/>
          <w:color w:val="auto"/>
          <w:sz w:val="24"/>
          <w:szCs w:val="24"/>
          <w:highlight w:val="none"/>
        </w:rPr>
        <w:t>前划入指定保证金账户。</w:t>
      </w:r>
    </w:p>
    <w:p>
      <w:pPr>
        <w:pStyle w:val="27"/>
        <w:tabs>
          <w:tab w:val="clear" w:pos="4153"/>
          <w:tab w:val="clear" w:pos="8306"/>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12.2.3保证金账户：</w:t>
      </w:r>
    </w:p>
    <w:p>
      <w:pPr>
        <w:pStyle w:val="27"/>
        <w:tabs>
          <w:tab w:val="clear" w:pos="4153"/>
          <w:tab w:val="clear" w:pos="8306"/>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开户名称：海南政邦招标代理有限公司</w:t>
      </w:r>
    </w:p>
    <w:p>
      <w:pPr>
        <w:pStyle w:val="27"/>
        <w:tabs>
          <w:tab w:val="clear" w:pos="4153"/>
          <w:tab w:val="clear" w:pos="8306"/>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开户银行：中国建设银行股份有限公司海口大英山支行        </w:t>
      </w:r>
    </w:p>
    <w:p>
      <w:pPr>
        <w:pStyle w:val="27"/>
        <w:tabs>
          <w:tab w:val="clear" w:pos="4153"/>
          <w:tab w:val="clear" w:pos="8306"/>
        </w:tabs>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银行帐号：46050100313600000266</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.3 若投标人不按第 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.l和 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.2条的规定提交投标保证金，其投标文件将被拒绝接受。</w:t>
      </w:r>
    </w:p>
    <w:p>
      <w:pPr>
        <w:spacing w:line="360" w:lineRule="auto"/>
        <w:ind w:firstLine="48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szCs w:val="24"/>
          <w:highlight w:val="none"/>
        </w:rPr>
        <w:t>12.4投标保证金凭证：须提供投标保证金缴纳凭证，且投标保证金缴纳凭证上用途需备注“(项目名称)投标保证金”或“(标包名称) 投标保证金”、“（项目编号）投标保证金”、“（标包编号）投标保证金”用于确认为本项目投标保证金（如备注字数有限制，项目名称、标包名称可简写，项目编号、标包编号可用后四位数字、字母代替），否则视为无效投标。</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.5 投标保证金的退还</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.5.l 中标人的投标保证金在其与采购人签订了采购合同后5个工作日内办理退还手续。</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.5.2 落标的投标人的投标保证金将在采购代理机构发出中标通知书5个工作日内办理退还手续。</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.6 发生下列情况之一，投标保证金将不予退还：</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（1）投标人在投 标有效期内撤回投标；</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（2）中标人不按第29条规定签订合同；</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（3）投标人提供虚假材料谋取中标、成交的；</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（4）采取不正当手段诋毁、排挤其他投标人的；</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（5）与采购人、其他投标人或者采购代理机构恶意串通的；</w:t>
      </w:r>
    </w:p>
    <w:p>
      <w:pPr>
        <w:spacing w:line="360" w:lineRule="auto"/>
        <w:ind w:firstLine="566" w:firstLineChars="23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（6）向采购人、采购代理机构行贿或者提供其他不正当利益的；</w:t>
      </w:r>
    </w:p>
    <w:bookmarkEnd w:id="66"/>
    <w:p>
      <w:pPr>
        <w:snapToGrid w:val="0"/>
        <w:spacing w:line="360" w:lineRule="auto"/>
        <w:rPr>
          <w:rFonts w:asciiTheme="minorEastAsia" w:hAnsiTheme="minorEastAsia" w:eastAsiaTheme="minorEastAsia"/>
          <w:b/>
          <w:color w:val="auto"/>
          <w:szCs w:val="24"/>
          <w:highlight w:val="none"/>
        </w:rPr>
      </w:pPr>
      <w:bookmarkStart w:id="67" w:name="_Toc238907014"/>
      <w:bookmarkStart w:id="68" w:name="_Toc238907017"/>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3</w:t>
      </w:r>
      <w:r>
        <w:rPr>
          <w:rFonts w:hint="eastAsia" w:asciiTheme="minorEastAsia" w:hAnsiTheme="minorEastAsia" w:eastAsiaTheme="minorEastAsia"/>
          <w:b/>
          <w:color w:val="auto"/>
          <w:szCs w:val="24"/>
          <w:highlight w:val="none"/>
        </w:rPr>
        <w:t>. 投标货币</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.1 投标报价均须以人民币为计算单位。招标文件另有规定的，从其规定。</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4</w:t>
      </w:r>
      <w:r>
        <w:rPr>
          <w:rFonts w:hint="eastAsia" w:asciiTheme="minorEastAsia" w:hAnsiTheme="minorEastAsia" w:eastAsiaTheme="minorEastAsia"/>
          <w:b/>
          <w:color w:val="auto"/>
          <w:szCs w:val="24"/>
          <w:highlight w:val="none"/>
        </w:rPr>
        <w:t>．投标报价</w:t>
      </w:r>
      <w:bookmarkEnd w:id="67"/>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1</w:t>
      </w:r>
      <w:r>
        <w:rPr>
          <w:rFonts w:hint="eastAsia" w:asciiTheme="minorEastAsia" w:hAnsiTheme="minorEastAsia" w:eastAsiaTheme="minorEastAsia"/>
          <w:color w:val="auto"/>
          <w:szCs w:val="24"/>
          <w:highlight w:val="none"/>
        </w:rPr>
        <w:t>本项目的采购预算金额见招标文件第一章。</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4.2</w:t>
      </w:r>
      <w:r>
        <w:rPr>
          <w:rFonts w:hint="eastAsia" w:asciiTheme="minorEastAsia" w:hAnsiTheme="minorEastAsia" w:eastAsiaTheme="minorEastAsia"/>
          <w:color w:val="auto"/>
          <w:szCs w:val="24"/>
          <w:highlight w:val="none"/>
        </w:rPr>
        <w:t>投标人的报价应包括全部货物、服务的价格及相关税费、运输到指定地点的装运费用、安装调试、等其他有关的所有费用。</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采购代理机构不接受任何有选择的报价，必须是唯一报价。</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14.</w:t>
      </w:r>
      <w:r>
        <w:rPr>
          <w:rFonts w:hint="eastAsia" w:asciiTheme="minorEastAsia" w:hAnsiTheme="minorEastAsia" w:eastAsiaTheme="minorEastAsia"/>
          <w:color w:val="auto"/>
          <w:szCs w:val="24"/>
          <w:highlight w:val="none"/>
        </w:rPr>
        <w:t>4投标人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Theme="minorEastAsia" w:hAnsiTheme="minorEastAsia" w:eastAsiaTheme="minorEastAsia"/>
          <w:color w:val="auto"/>
          <w:szCs w:val="24"/>
          <w:highlight w:val="none"/>
        </w:rPr>
        <w:t xml:space="preserve"> </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5</w:t>
      </w:r>
      <w:r>
        <w:rPr>
          <w:rFonts w:hint="eastAsia" w:asciiTheme="minorEastAsia" w:hAnsiTheme="minorEastAsia" w:eastAsiaTheme="minorEastAsia"/>
          <w:b/>
          <w:color w:val="auto"/>
          <w:szCs w:val="24"/>
          <w:highlight w:val="none"/>
        </w:rPr>
        <w:t>．投标有效期</w:t>
      </w:r>
      <w:bookmarkEnd w:id="68"/>
    </w:p>
    <w:p>
      <w:pPr>
        <w:spacing w:line="360" w:lineRule="auto"/>
        <w:ind w:firstLine="482" w:firstLineChars="200"/>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5</w:t>
      </w:r>
      <w:r>
        <w:rPr>
          <w:rFonts w:hint="eastAsia" w:asciiTheme="minorEastAsia" w:hAnsiTheme="minorEastAsia" w:eastAsiaTheme="minorEastAsia"/>
          <w:b/>
          <w:color w:val="auto"/>
          <w:szCs w:val="24"/>
          <w:highlight w:val="none"/>
        </w:rPr>
        <w:t>.l 投标有效期为从开标截止之日起计算的</w:t>
      </w:r>
      <w:r>
        <w:rPr>
          <w:rFonts w:hint="eastAsia" w:asciiTheme="minorEastAsia" w:hAnsiTheme="minorEastAsia" w:eastAsiaTheme="minorEastAsia"/>
          <w:b/>
          <w:color w:val="auto"/>
          <w:szCs w:val="24"/>
          <w:highlight w:val="none"/>
          <w:u w:val="single"/>
        </w:rPr>
        <w:t>六十天</w:t>
      </w:r>
      <w:r>
        <w:rPr>
          <w:rFonts w:hint="eastAsia" w:asciiTheme="minorEastAsia" w:hAnsiTheme="minorEastAsia" w:eastAsiaTheme="minorEastAsia"/>
          <w:b/>
          <w:color w:val="auto"/>
          <w:szCs w:val="24"/>
          <w:highlight w:val="none"/>
        </w:rPr>
        <w:t>，有效期短于此规定的投标文件将被视为无效。</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5</w:t>
      </w:r>
      <w:r>
        <w:rPr>
          <w:rFonts w:hint="eastAsia" w:asciiTheme="minorEastAsia" w:hAnsiTheme="minorEastAsia" w:eastAsiaTheme="minorEastAsia"/>
          <w:color w:val="auto"/>
          <w:szCs w:val="24"/>
          <w:highlight w:val="none"/>
        </w:rPr>
        <w:t>.2 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pacing w:line="360" w:lineRule="auto"/>
        <w:rPr>
          <w:rFonts w:asciiTheme="minorEastAsia" w:hAnsiTheme="minorEastAsia" w:eastAsiaTheme="minorEastAsia"/>
          <w:b/>
          <w:color w:val="auto"/>
          <w:szCs w:val="24"/>
          <w:highlight w:val="none"/>
        </w:rPr>
      </w:pPr>
      <w:bookmarkStart w:id="69" w:name="_Toc238907018"/>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6</w:t>
      </w:r>
      <w:r>
        <w:rPr>
          <w:rFonts w:hint="eastAsia" w:asciiTheme="minorEastAsia" w:hAnsiTheme="minorEastAsia" w:eastAsiaTheme="minorEastAsia"/>
          <w:b/>
          <w:color w:val="auto"/>
          <w:szCs w:val="24"/>
          <w:highlight w:val="none"/>
        </w:rPr>
        <w:t>．投标文件的数量、签署及形式</w:t>
      </w:r>
      <w:bookmarkEnd w:id="69"/>
    </w:p>
    <w:p>
      <w:pPr>
        <w:spacing w:line="360" w:lineRule="auto"/>
        <w:ind w:firstLine="480" w:firstLineChars="200"/>
        <w:rPr>
          <w:rFonts w:asciiTheme="minorEastAsia" w:hAnsiTheme="minorEastAsia" w:eastAsiaTheme="minorEastAsia"/>
          <w:color w:val="auto"/>
          <w:kern w:val="0"/>
          <w:szCs w:val="24"/>
          <w:highlight w:val="none"/>
        </w:rPr>
      </w:pPr>
      <w:bookmarkStart w:id="70" w:name="_Toc238907019"/>
      <w:r>
        <w:rPr>
          <w:rFonts w:hint="eastAsia" w:asciiTheme="minorEastAsia" w:hAnsiTheme="minorEastAsia" w:eastAsiaTheme="minorEastAsia"/>
          <w:color w:val="auto"/>
          <w:kern w:val="0"/>
          <w:szCs w:val="24"/>
          <w:highlight w:val="none"/>
        </w:rPr>
        <w:t>1</w:t>
      </w:r>
      <w:r>
        <w:rPr>
          <w:rFonts w:asciiTheme="minorEastAsia" w:hAnsiTheme="minorEastAsia" w:eastAsiaTheme="minorEastAsia"/>
          <w:color w:val="auto"/>
          <w:kern w:val="0"/>
          <w:szCs w:val="24"/>
          <w:highlight w:val="none"/>
        </w:rPr>
        <w:t>6</w:t>
      </w:r>
      <w:r>
        <w:rPr>
          <w:rFonts w:hint="eastAsia" w:asciiTheme="minorEastAsia" w:hAnsiTheme="minorEastAsia" w:eastAsiaTheme="minorEastAsia"/>
          <w:color w:val="auto"/>
          <w:kern w:val="0"/>
          <w:szCs w:val="24"/>
          <w:highlight w:val="none"/>
        </w:rPr>
        <w:t>.1投标人递交的投标文件为一式伍份，其中正本一份，副本肆份，电子版一份（光盘和</w:t>
      </w:r>
      <w:r>
        <w:rPr>
          <w:rFonts w:asciiTheme="minorEastAsia" w:hAnsiTheme="minorEastAsia" w:eastAsiaTheme="minorEastAsia"/>
          <w:color w:val="auto"/>
          <w:kern w:val="0"/>
          <w:szCs w:val="24"/>
          <w:highlight w:val="none"/>
        </w:rPr>
        <w:t>U</w:t>
      </w:r>
      <w:r>
        <w:rPr>
          <w:rFonts w:hint="eastAsia" w:asciiTheme="minorEastAsia" w:hAnsiTheme="minorEastAsia" w:eastAsiaTheme="minorEastAsia"/>
          <w:color w:val="auto"/>
          <w:kern w:val="0"/>
          <w:szCs w:val="24"/>
          <w:highlight w:val="none"/>
        </w:rPr>
        <w:t>盘，格式为签字盖章后与正本一致的PDF，光盘和</w:t>
      </w:r>
      <w:r>
        <w:rPr>
          <w:rFonts w:asciiTheme="minorEastAsia" w:hAnsiTheme="minorEastAsia" w:eastAsiaTheme="minorEastAsia"/>
          <w:color w:val="auto"/>
          <w:kern w:val="0"/>
          <w:szCs w:val="24"/>
          <w:highlight w:val="none"/>
        </w:rPr>
        <w:t>U</w:t>
      </w:r>
      <w:r>
        <w:rPr>
          <w:rFonts w:hint="eastAsia" w:asciiTheme="minorEastAsia" w:hAnsiTheme="minorEastAsia" w:eastAsiaTheme="minorEastAsia"/>
          <w:color w:val="auto"/>
          <w:kern w:val="0"/>
          <w:szCs w:val="24"/>
          <w:highlight w:val="none"/>
        </w:rPr>
        <w:t>盘上请标明投标人名称及项目编号，如有分包请注明包号，并密封在“唱标信封”中）。投标文件应用不褪色的墨水中文打印，并装订成册。并在投标文件封面标明项目名称、项目编号、投标人名称以及“正本”（或“副本”）字样。投标文件的正本与副本应采用左侧方式固定胶装,不得采用活页夹等可随时拆换的方式装订。“正本”和“副本”之间如有差异，以正本为准。</w:t>
      </w:r>
    </w:p>
    <w:p>
      <w:pPr>
        <w:spacing w:line="360" w:lineRule="auto"/>
        <w:ind w:firstLine="480" w:firstLineChars="200"/>
        <w:rPr>
          <w:rFonts w:asciiTheme="minorEastAsia" w:hAnsiTheme="minorEastAsia" w:eastAsiaTheme="minorEastAsia"/>
          <w:color w:val="auto"/>
          <w:kern w:val="0"/>
          <w:szCs w:val="24"/>
          <w:highlight w:val="none"/>
        </w:rPr>
      </w:pPr>
      <w:r>
        <w:rPr>
          <w:rFonts w:asciiTheme="minorEastAsia" w:hAnsiTheme="minorEastAsia" w:eastAsiaTheme="minorEastAsia"/>
          <w:color w:val="auto"/>
          <w:kern w:val="0"/>
          <w:szCs w:val="24"/>
          <w:highlight w:val="none"/>
        </w:rPr>
        <w:t>16.2</w:t>
      </w:r>
      <w:r>
        <w:rPr>
          <w:rFonts w:hint="eastAsia" w:asciiTheme="minorEastAsia" w:hAnsiTheme="minorEastAsia" w:eastAsiaTheme="minorEastAsia"/>
          <w:color w:val="auto"/>
          <w:kern w:val="0"/>
          <w:szCs w:val="24"/>
          <w:highlight w:val="none"/>
        </w:rPr>
        <w:t>投标文件正本须经投标人的法定代表人或其授权代理人</w:t>
      </w:r>
      <w:r>
        <w:rPr>
          <w:rFonts w:asciiTheme="minorEastAsia" w:hAnsiTheme="minorEastAsia" w:eastAsiaTheme="minorEastAsia"/>
          <w:color w:val="auto"/>
          <w:kern w:val="0"/>
          <w:szCs w:val="24"/>
          <w:highlight w:val="none"/>
        </w:rPr>
        <w:t>在</w:t>
      </w:r>
      <w:r>
        <w:rPr>
          <w:rFonts w:hint="eastAsia" w:asciiTheme="minorEastAsia" w:hAnsiTheme="minorEastAsia" w:eastAsiaTheme="minorEastAsia"/>
          <w:color w:val="auto"/>
          <w:kern w:val="0"/>
          <w:szCs w:val="24"/>
          <w:highlight w:val="none"/>
        </w:rPr>
        <w:t>投标</w:t>
      </w:r>
      <w:r>
        <w:rPr>
          <w:rFonts w:asciiTheme="minorEastAsia" w:hAnsiTheme="minorEastAsia" w:eastAsiaTheme="minorEastAsia"/>
          <w:color w:val="auto"/>
          <w:kern w:val="0"/>
          <w:szCs w:val="24"/>
          <w:highlight w:val="none"/>
        </w:rPr>
        <w:t>文件</w:t>
      </w:r>
      <w:r>
        <w:rPr>
          <w:rFonts w:hint="eastAsia" w:asciiTheme="minorEastAsia" w:hAnsiTheme="minorEastAsia" w:eastAsiaTheme="minorEastAsia"/>
          <w:color w:val="auto"/>
          <w:kern w:val="0"/>
          <w:szCs w:val="24"/>
          <w:highlight w:val="none"/>
        </w:rPr>
        <w:t>对应签字处</w:t>
      </w:r>
      <w:r>
        <w:rPr>
          <w:rFonts w:asciiTheme="minorEastAsia" w:hAnsiTheme="minorEastAsia" w:eastAsiaTheme="minorEastAsia"/>
          <w:color w:val="auto"/>
          <w:kern w:val="0"/>
          <w:szCs w:val="24"/>
          <w:highlight w:val="none"/>
        </w:rPr>
        <w:t>签字</w:t>
      </w:r>
      <w:r>
        <w:rPr>
          <w:rFonts w:hint="eastAsia" w:asciiTheme="minorEastAsia" w:hAnsiTheme="minorEastAsia" w:eastAsiaTheme="minorEastAsia"/>
          <w:color w:val="auto"/>
          <w:kern w:val="0"/>
          <w:szCs w:val="24"/>
          <w:highlight w:val="none"/>
        </w:rPr>
        <w:t>或在对应的盖章加盖单位公章，副本可以采用经盖章的投标文件正本复印，所有投标文件需盖骑缝章。</w:t>
      </w:r>
    </w:p>
    <w:p>
      <w:pPr>
        <w:spacing w:line="360" w:lineRule="auto"/>
        <w:ind w:firstLine="480" w:firstLineChars="200"/>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kern w:val="0"/>
          <w:szCs w:val="24"/>
          <w:highlight w:val="none"/>
        </w:rPr>
        <w:t>1</w:t>
      </w:r>
      <w:r>
        <w:rPr>
          <w:rFonts w:asciiTheme="minorEastAsia" w:hAnsiTheme="minorEastAsia" w:eastAsiaTheme="minorEastAsia"/>
          <w:color w:val="auto"/>
          <w:kern w:val="0"/>
          <w:szCs w:val="24"/>
          <w:highlight w:val="none"/>
        </w:rPr>
        <w:t>6</w:t>
      </w:r>
      <w:r>
        <w:rPr>
          <w:rFonts w:hint="eastAsia" w:asciiTheme="minorEastAsia" w:hAnsiTheme="minorEastAsia" w:eastAsiaTheme="minorEastAsia"/>
          <w:color w:val="auto"/>
          <w:kern w:val="0"/>
          <w:szCs w:val="24"/>
          <w:highlight w:val="none"/>
        </w:rPr>
        <w:t>.3投标文件不得涂改和增删，如要修改错漏处，修改处必须由法人代表或授权代理人签名或盖公章。</w:t>
      </w:r>
    </w:p>
    <w:p>
      <w:pPr>
        <w:spacing w:line="360" w:lineRule="auto"/>
        <w:ind w:firstLine="480" w:firstLineChars="200"/>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kern w:val="0"/>
          <w:szCs w:val="24"/>
          <w:highlight w:val="none"/>
        </w:rPr>
        <w:t>1</w:t>
      </w:r>
      <w:r>
        <w:rPr>
          <w:rFonts w:asciiTheme="minorEastAsia" w:hAnsiTheme="minorEastAsia" w:eastAsiaTheme="minorEastAsia"/>
          <w:color w:val="auto"/>
          <w:kern w:val="0"/>
          <w:szCs w:val="24"/>
          <w:highlight w:val="none"/>
        </w:rPr>
        <w:t>6</w:t>
      </w:r>
      <w:r>
        <w:rPr>
          <w:rFonts w:hint="eastAsia" w:asciiTheme="minorEastAsia" w:hAnsiTheme="minorEastAsia" w:eastAsiaTheme="minorEastAsia"/>
          <w:color w:val="auto"/>
          <w:kern w:val="0"/>
          <w:szCs w:val="24"/>
          <w:highlight w:val="none"/>
        </w:rPr>
        <w:t>.4 投标文件应根据招标文件的要求制作，签署、盖章且内容应完整，如未按要求或有遗漏，将被视为无效投标。</w:t>
      </w:r>
    </w:p>
    <w:p>
      <w:pPr>
        <w:pStyle w:val="2"/>
        <w:rPr>
          <w:rFonts w:asciiTheme="minorEastAsia" w:hAnsiTheme="minorEastAsia" w:eastAsiaTheme="minorEastAsia"/>
          <w:color w:val="auto"/>
          <w:sz w:val="30"/>
          <w:highlight w:val="none"/>
        </w:rPr>
      </w:pPr>
      <w:r>
        <w:rPr>
          <w:rFonts w:hint="eastAsia" w:asciiTheme="minorEastAsia" w:hAnsiTheme="minorEastAsia" w:eastAsiaTheme="minorEastAsia"/>
          <w:color w:val="auto"/>
          <w:sz w:val="30"/>
          <w:highlight w:val="none"/>
        </w:rPr>
        <w:t>四、投标文件的递交</w:t>
      </w:r>
      <w:bookmarkEnd w:id="70"/>
    </w:p>
    <w:p>
      <w:pPr>
        <w:spacing w:line="360" w:lineRule="auto"/>
        <w:rPr>
          <w:rFonts w:asciiTheme="minorEastAsia" w:hAnsiTheme="minorEastAsia" w:eastAsiaTheme="minorEastAsia"/>
          <w:b/>
          <w:color w:val="auto"/>
          <w:szCs w:val="24"/>
          <w:highlight w:val="none"/>
        </w:rPr>
      </w:pPr>
      <w:bookmarkStart w:id="71" w:name="_Toc238907020"/>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7</w:t>
      </w:r>
      <w:r>
        <w:rPr>
          <w:rFonts w:hint="eastAsia" w:asciiTheme="minorEastAsia" w:hAnsiTheme="minorEastAsia" w:eastAsiaTheme="minorEastAsia"/>
          <w:b/>
          <w:color w:val="auto"/>
          <w:szCs w:val="24"/>
          <w:highlight w:val="none"/>
        </w:rPr>
        <w:t>．投标文件的密封及标记</w:t>
      </w:r>
      <w:bookmarkEnd w:id="71"/>
    </w:p>
    <w:p>
      <w:pPr>
        <w:spacing w:line="360" w:lineRule="auto"/>
        <w:ind w:firstLine="480" w:firstLineChars="200"/>
        <w:rPr>
          <w:rFonts w:asciiTheme="minorEastAsia" w:hAnsiTheme="minorEastAsia" w:eastAsiaTheme="minorEastAsia"/>
          <w:bCs/>
          <w:color w:val="auto"/>
          <w:szCs w:val="24"/>
          <w:highlight w:val="none"/>
        </w:rPr>
      </w:pPr>
      <w:bookmarkStart w:id="72" w:name="_Toc238907021"/>
      <w:r>
        <w:rPr>
          <w:rFonts w:hint="eastAsia" w:asciiTheme="minorEastAsia" w:hAnsiTheme="minorEastAsia" w:eastAsiaTheme="minorEastAsia"/>
          <w:bCs/>
          <w:color w:val="auto"/>
          <w:szCs w:val="24"/>
          <w:highlight w:val="none"/>
        </w:rPr>
        <w:t>17．1投标人应将投标文件正本和所有副本分别密封在两个密封专用袋（箱）中（正本一包，副本一包），并在密封专用袋（箱）上标明“正本”、“副本”字样，所有密封专用袋（箱）的封口处应粘贴牢固，并在正面四个角加盖密封骑缝章（投标人公章）。</w:t>
      </w:r>
    </w:p>
    <w:p>
      <w:pPr>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17.2密封专用袋（箱）上须按采购代理机构提供的格式注明：</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（l）项目编号及项目名称；</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（2）分包号（如有的话）；</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（3）投标人的名称、地址、联系人、电话。</w:t>
      </w:r>
    </w:p>
    <w:p>
      <w:pPr>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17.3投标人提交投标文件时应备有一个“唱标信封”，并将下列内容单独密封入该信封，再将其封装于投标文件正本封套内：</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（1）与正本一致的</w:t>
      </w:r>
      <w:r>
        <w:rPr>
          <w:rFonts w:hint="eastAsia" w:asciiTheme="minorEastAsia" w:hAnsiTheme="minorEastAsia" w:eastAsiaTheme="minorEastAsia"/>
          <w:color w:val="auto"/>
          <w:szCs w:val="24"/>
          <w:highlight w:val="none"/>
        </w:rPr>
        <w:t>开标一览表</w:t>
      </w:r>
      <w:r>
        <w:rPr>
          <w:rFonts w:hint="eastAsia" w:asciiTheme="minorEastAsia" w:hAnsiTheme="minorEastAsia" w:eastAsiaTheme="minorEastAsia"/>
          <w:bCs/>
          <w:color w:val="auto"/>
          <w:szCs w:val="24"/>
          <w:highlight w:val="none"/>
        </w:rPr>
        <w:t>；</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（2）交纳投标保证金证明文件的复印件；</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（3）投标函；</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（4）与正本一致的电子版（U盘和光盘）。</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17.4投标文件请按第 16.l-17.3条规定书写标记和密封。</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1</w:t>
      </w:r>
      <w:r>
        <w:rPr>
          <w:rFonts w:asciiTheme="minorEastAsia" w:hAnsiTheme="minorEastAsia" w:eastAsiaTheme="minorEastAsia"/>
          <w:b/>
          <w:color w:val="auto"/>
          <w:szCs w:val="24"/>
          <w:highlight w:val="none"/>
        </w:rPr>
        <w:t>8</w:t>
      </w:r>
      <w:r>
        <w:rPr>
          <w:rFonts w:hint="eastAsia" w:asciiTheme="minorEastAsia" w:hAnsiTheme="minorEastAsia" w:eastAsiaTheme="minorEastAsia"/>
          <w:b/>
          <w:color w:val="auto"/>
          <w:szCs w:val="24"/>
          <w:highlight w:val="none"/>
        </w:rPr>
        <w:t>．投标截止时间</w:t>
      </w:r>
      <w:bookmarkEnd w:id="72"/>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8</w:t>
      </w:r>
      <w:r>
        <w:rPr>
          <w:rFonts w:hint="eastAsia" w:asciiTheme="minorEastAsia" w:hAnsiTheme="minorEastAsia" w:eastAsiaTheme="minorEastAsia"/>
          <w:color w:val="auto"/>
          <w:szCs w:val="24"/>
          <w:highlight w:val="none"/>
        </w:rPr>
        <w:t>.l 投标人须在投标截止时间前将投标文件送达采购代理机构规定的投标地点。</w:t>
      </w:r>
    </w:p>
    <w:p>
      <w:pPr>
        <w:spacing w:line="360" w:lineRule="auto"/>
        <w:ind w:firstLine="480" w:firstLineChars="200"/>
        <w:rPr>
          <w:rFonts w:asciiTheme="minorEastAsia" w:hAnsiTheme="minorEastAsia" w:eastAsiaTheme="minorEastAsia"/>
          <w:b/>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8</w:t>
      </w:r>
      <w:r>
        <w:rPr>
          <w:rFonts w:hint="eastAsia" w:asciiTheme="minorEastAsia" w:hAnsiTheme="minorEastAsia" w:eastAsiaTheme="minorEastAsia"/>
          <w:color w:val="auto"/>
          <w:szCs w:val="24"/>
          <w:highlight w:val="none"/>
        </w:rPr>
        <w:t>.2 若采购代理机构推迟了投标截止时间，采购代理机构和投标人受投标截止时间制约的所有权利和义务均应以新的截止时间为准。</w:t>
      </w:r>
      <w:bookmarkStart w:id="73" w:name="_Toc238907022"/>
    </w:p>
    <w:bookmarkEnd w:id="73"/>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r>
        <w:rPr>
          <w:rFonts w:asciiTheme="minorEastAsia" w:hAnsiTheme="minorEastAsia" w:eastAsiaTheme="minorEastAsia"/>
          <w:color w:val="auto"/>
          <w:szCs w:val="24"/>
          <w:highlight w:val="none"/>
        </w:rPr>
        <w:t>8</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在投标截止时间后递交的投标文件，采购代理机构将拒绝接受。</w:t>
      </w:r>
    </w:p>
    <w:p>
      <w:pPr>
        <w:spacing w:line="360" w:lineRule="auto"/>
        <w:rPr>
          <w:rFonts w:asciiTheme="minorEastAsia" w:hAnsiTheme="minorEastAsia" w:eastAsiaTheme="minorEastAsia"/>
          <w:b/>
          <w:color w:val="auto"/>
          <w:szCs w:val="24"/>
          <w:highlight w:val="none"/>
        </w:rPr>
      </w:pPr>
      <w:bookmarkStart w:id="74" w:name="_Toc238907023"/>
      <w:r>
        <w:rPr>
          <w:rFonts w:hint="eastAsia" w:asciiTheme="minorEastAsia" w:hAnsiTheme="minorEastAsia" w:eastAsiaTheme="minorEastAsia"/>
          <w:b/>
          <w:color w:val="auto"/>
          <w:szCs w:val="24"/>
          <w:highlight w:val="none"/>
        </w:rPr>
        <w:t>19．投标文件的修改和撤回</w:t>
      </w:r>
      <w:bookmarkEnd w:id="74"/>
    </w:p>
    <w:p>
      <w:pPr>
        <w:spacing w:line="360" w:lineRule="auto"/>
        <w:ind w:firstLine="480" w:firstLineChars="200"/>
        <w:rPr>
          <w:rFonts w:asciiTheme="minorEastAsia" w:hAnsiTheme="minorEastAsia" w:eastAsiaTheme="minorEastAsia"/>
          <w:color w:val="auto"/>
          <w:szCs w:val="24"/>
          <w:highlight w:val="none"/>
        </w:rPr>
      </w:pPr>
      <w:bookmarkStart w:id="75" w:name="_Toc238907024"/>
      <w:r>
        <w:rPr>
          <w:rFonts w:hint="eastAsia" w:asciiTheme="minorEastAsia" w:hAnsiTheme="minorEastAsia" w:eastAsiaTheme="minorEastAsia"/>
          <w:color w:val="auto"/>
          <w:szCs w:val="24"/>
          <w:highlight w:val="none"/>
        </w:rPr>
        <w:t>19.l 投标人在提交投标文件后可对其进行修改或撤回，但必须使采购代理机构在投标文件递交截止时间前收到该修改的书面内容或撤回的书面通知，该书面文件须由法人代表或其授权代理人签署。</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19.2 投标文件的修改文件应按文件的规定签署、密封、标记，还须注明“修改投标文件”和“开标前不得启封”字样。修改文件须在投标文件递交截止时间前送达采购代理机构规定的投标地点。上述补充或修改若涉及投标报价，必须注明“最终唯一报价”字样，否则将视为有选择的报价。</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19.3 投标人不得在投标文件递交截止时间以后修改投标文件。</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19.4 投标人不得在投标文件递交截止时间起至投标有效期满前撤回投标文件，否则投标保证金将被没收。该投标人的投标文件不予退还。</w:t>
      </w:r>
    </w:p>
    <w:p>
      <w:pPr>
        <w:pStyle w:val="2"/>
        <w:rPr>
          <w:rFonts w:asciiTheme="minorEastAsia" w:hAnsiTheme="minorEastAsia" w:eastAsiaTheme="minorEastAsia"/>
          <w:color w:val="auto"/>
          <w:sz w:val="30"/>
          <w:highlight w:val="none"/>
        </w:rPr>
      </w:pPr>
      <w:r>
        <w:rPr>
          <w:rFonts w:hint="eastAsia" w:asciiTheme="minorEastAsia" w:hAnsiTheme="minorEastAsia" w:eastAsiaTheme="minorEastAsia"/>
          <w:color w:val="auto"/>
          <w:sz w:val="30"/>
          <w:highlight w:val="none"/>
        </w:rPr>
        <w:t>五、开标及评标</w:t>
      </w:r>
      <w:bookmarkEnd w:id="75"/>
    </w:p>
    <w:p>
      <w:pPr>
        <w:spacing w:line="360" w:lineRule="auto"/>
        <w:rPr>
          <w:rFonts w:asciiTheme="minorEastAsia" w:hAnsiTheme="minorEastAsia" w:eastAsiaTheme="minorEastAsia"/>
          <w:b/>
          <w:color w:val="auto"/>
          <w:szCs w:val="24"/>
          <w:highlight w:val="none"/>
        </w:rPr>
      </w:pPr>
      <w:bookmarkStart w:id="76" w:name="_Toc238907025"/>
      <w:r>
        <w:rPr>
          <w:rFonts w:hint="eastAsia" w:asciiTheme="minorEastAsia" w:hAnsiTheme="minorEastAsia" w:eastAsiaTheme="minorEastAsia"/>
          <w:b/>
          <w:color w:val="auto"/>
          <w:szCs w:val="24"/>
          <w:highlight w:val="none"/>
        </w:rPr>
        <w:t>20．开标</w:t>
      </w:r>
      <w:bookmarkEnd w:id="76"/>
    </w:p>
    <w:p>
      <w:pPr>
        <w:spacing w:line="360" w:lineRule="auto"/>
        <w:ind w:firstLine="480" w:firstLineChars="200"/>
        <w:rPr>
          <w:rFonts w:asciiTheme="minorEastAsia" w:hAnsiTheme="minorEastAsia" w:eastAsiaTheme="minorEastAsia"/>
          <w:color w:val="auto"/>
          <w:szCs w:val="24"/>
          <w:highlight w:val="none"/>
        </w:rPr>
      </w:pPr>
      <w:bookmarkStart w:id="77" w:name="_Toc238907026"/>
      <w:r>
        <w:rPr>
          <w:rFonts w:hint="eastAsia" w:asciiTheme="minorEastAsia" w:hAnsiTheme="minorEastAsia" w:eastAsiaTheme="minorEastAsia"/>
          <w:color w:val="auto"/>
          <w:szCs w:val="24"/>
          <w:highlight w:val="none"/>
        </w:rPr>
        <w:t>20.l 采购代理机构按招标文件第一章规定的时间和地点开标。采购人代表、采购代理机构有关工作人员参加。政府采购主管部门、监督部门、国家公证机关公证员由其视情况决定是否派代表到现场进行监督。</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20.2 投标人应委派授权代理人参加开标活动，参加开标的代表须持本人身份证件签名报到以证明其出席。未派授权代理人或不能证明其授权代理人身份的，采购代理机构对投标文件的处理不承担责任。</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20.3 开标时，采购代理机构、公证员（如有）或投标人代表将查验投标文件密封情况。</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20.4 若投标文件未密封，或投标人未提交投标保证金，采购代理机构将拒绝接受该投标人的投标文件。</w:t>
      </w:r>
    </w:p>
    <w:p>
      <w:pPr>
        <w:spacing w:line="360" w:lineRule="auto"/>
        <w:ind w:firstLine="480" w:firstLineChars="200"/>
        <w:rPr>
          <w:rFonts w:asciiTheme="minorEastAsia" w:hAnsiTheme="minorEastAsia" w:eastAsiaTheme="minorEastAsia"/>
          <w:b/>
          <w:color w:val="auto"/>
          <w:szCs w:val="24"/>
          <w:highlight w:val="none"/>
        </w:rPr>
      </w:pPr>
      <w:r>
        <w:rPr>
          <w:rFonts w:hint="eastAsia" w:asciiTheme="minorEastAsia" w:hAnsiTheme="minorEastAsia" w:eastAsiaTheme="minorEastAsia"/>
          <w:color w:val="auto"/>
          <w:szCs w:val="24"/>
          <w:highlight w:val="none"/>
        </w:rPr>
        <w:t>20.5 按照第19条规定，同意撤回的投标文件将不予拆封。</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21．评标委员会</w:t>
      </w:r>
      <w:bookmarkEnd w:id="77"/>
    </w:p>
    <w:p>
      <w:pPr>
        <w:spacing w:line="360" w:lineRule="auto"/>
        <w:ind w:firstLine="480" w:firstLineChars="200"/>
        <w:rPr>
          <w:rFonts w:asciiTheme="minorEastAsia" w:hAnsiTheme="minorEastAsia" w:eastAsiaTheme="minorEastAsia"/>
          <w:color w:val="auto"/>
          <w:szCs w:val="24"/>
          <w:highlight w:val="none"/>
        </w:rPr>
      </w:pPr>
      <w:bookmarkStart w:id="78" w:name="_Toc238907027"/>
      <w:r>
        <w:rPr>
          <w:rFonts w:hint="eastAsia" w:asciiTheme="minorEastAsia" w:hAnsiTheme="minorEastAsia" w:eastAsiaTheme="minorEastAsia"/>
          <w:color w:val="auto"/>
          <w:szCs w:val="24"/>
          <w:highlight w:val="none"/>
        </w:rPr>
        <w:t>21.1评标委员会由采购人代表和评审专家共5人以上单数组成，其中评审专家人数不少于成员总数的2/3（采购人有权根据项目和本单位实际情况决定是否委派采购人代表参与评审），该评标委员会独立工作，负责评审所有响应文件并推荐中标候选人。</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21.2评审专家与投标人存在利害关系的，应按照《政府采购评审专家管理办法》第十六条等要求予以回避。</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22．对投标文件的符合性审查</w:t>
      </w:r>
      <w:bookmarkEnd w:id="78"/>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22.l符合性审查的内容包括：详见符合性审查表</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符合性审查的内容只要有一条不满足，则投标文件无效。 </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22.3 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22．3.1 判断投标文件的响应与否只根据投标文件本身，而不寻求外部证据。</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 评标委员会在评标中，对算术错误的修正原则如下:</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22.4.l开标一览表（报价表）内容与投标文件中明细表内容不一致的，以开标一览表（报价表）为准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22.4.2 投标文件的大写金额和小写金额不一致的，以大写金额为准；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22.4.3 总价金额与按单价汇总金额不一致的，以单价金额计算结果为准；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22.4.4 单价金额小数点有明显错位的，以总价为准并修改单价。</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22.4.5 若投标人不同意以上修正，投标文件将视为无效。</w:t>
      </w:r>
    </w:p>
    <w:p>
      <w:pPr>
        <w:spacing w:line="360" w:lineRule="auto"/>
        <w:rPr>
          <w:rFonts w:asciiTheme="minorEastAsia" w:hAnsiTheme="minorEastAsia" w:eastAsiaTheme="minorEastAsia"/>
          <w:b/>
          <w:color w:val="auto"/>
          <w:szCs w:val="24"/>
          <w:highlight w:val="none"/>
        </w:rPr>
      </w:pPr>
      <w:bookmarkStart w:id="79" w:name="_Toc238907028"/>
      <w:r>
        <w:rPr>
          <w:rFonts w:hint="eastAsia" w:asciiTheme="minorEastAsia" w:hAnsiTheme="minorEastAsia" w:eastAsiaTheme="minorEastAsia"/>
          <w:b/>
          <w:color w:val="auto"/>
          <w:szCs w:val="24"/>
          <w:highlight w:val="none"/>
        </w:rPr>
        <w:t>23．投标文件的澄清</w:t>
      </w:r>
      <w:bookmarkEnd w:id="79"/>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23.1 在评标期间，评标委员会有权要求投标人对其投标文件中含义不明确、同类问题表述不一致或者有明显文字和计算错误的内容进行澄清。投标人应派授权代理人和技术人员按评标委员会通知的时间和地点接受询标。</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23.2 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23.3投标人不按评标委员会规定的时间和地点作书面澄清，将视为放弃该权利。</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23.4 并非每个投标人都将被询标。</w:t>
      </w:r>
    </w:p>
    <w:p>
      <w:pPr>
        <w:spacing w:line="360" w:lineRule="auto"/>
        <w:rPr>
          <w:rFonts w:asciiTheme="minorEastAsia" w:hAnsiTheme="minorEastAsia" w:eastAsiaTheme="minorEastAsia"/>
          <w:b/>
          <w:color w:val="auto"/>
          <w:szCs w:val="24"/>
          <w:highlight w:val="none"/>
        </w:rPr>
      </w:pPr>
      <w:bookmarkStart w:id="80" w:name="_Toc238907029"/>
      <w:r>
        <w:rPr>
          <w:rFonts w:hint="eastAsia" w:asciiTheme="minorEastAsia" w:hAnsiTheme="minorEastAsia" w:eastAsiaTheme="minorEastAsia"/>
          <w:b/>
          <w:color w:val="auto"/>
          <w:szCs w:val="24"/>
          <w:highlight w:val="none"/>
        </w:rPr>
        <w:t>24．评标及定标</w:t>
      </w:r>
      <w:bookmarkEnd w:id="80"/>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24.1评标委员会分别对通过资格性审查和符合性审查的投标文件进行评价和比较。</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24.2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24.</w:t>
      </w: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4.4</w:t>
      </w:r>
      <w:r>
        <w:rPr>
          <w:rFonts w:hint="eastAsia" w:asciiTheme="minorEastAsia" w:hAnsiTheme="minorEastAsia" w:eastAsiaTheme="minorEastAsia"/>
          <w:color w:val="auto"/>
          <w:szCs w:val="24"/>
          <w:highlight w:val="none"/>
        </w:rPr>
        <w:t>非单一产品采购项目，根据招标文件采购需求中载明的核心产品的情况，多家投标人提供的核心产品品牌相同的，按2</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.2和2</w:t>
      </w:r>
      <w:r>
        <w:rPr>
          <w:rFonts w:asciiTheme="minorEastAsia" w:hAnsiTheme="minorEastAsia" w:eastAsiaTheme="minorEastAsia"/>
          <w:color w:val="auto"/>
          <w:szCs w:val="24"/>
          <w:highlight w:val="none"/>
        </w:rPr>
        <w:t>4</w:t>
      </w:r>
      <w:r>
        <w:rPr>
          <w:rFonts w:hint="eastAsia" w:asciiTheme="minorEastAsia" w:hAnsiTheme="minorEastAsia" w:eastAsiaTheme="minorEastAsia"/>
          <w:color w:val="auto"/>
          <w:szCs w:val="24"/>
          <w:highlight w:val="none"/>
        </w:rPr>
        <w:t>.3规定处理。</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r>
        <w:rPr>
          <w:rFonts w:asciiTheme="minorEastAsia" w:hAnsiTheme="minorEastAsia" w:eastAsiaTheme="minorEastAsia"/>
          <w:color w:val="auto"/>
          <w:szCs w:val="24"/>
          <w:highlight w:val="none"/>
        </w:rPr>
        <w:t>4.5</w:t>
      </w:r>
      <w:r>
        <w:rPr>
          <w:rFonts w:hint="eastAsia" w:asciiTheme="minorEastAsia" w:hAnsiTheme="minorEastAsia" w:eastAsiaTheme="minorEastAsia"/>
          <w:color w:val="auto"/>
          <w:szCs w:val="24"/>
          <w:highlight w:val="none"/>
        </w:rPr>
        <w:t>评标委员会按公布的招标文件中“第四章”评标方法及标准对每份投标文件进行评审，确定中标候选人。最低投标价等任何单项因素的最优不能作为中标的保证。</w:t>
      </w:r>
      <w:bookmarkStart w:id="81" w:name="_Toc238907030"/>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25．评标过程保密</w:t>
      </w:r>
      <w:bookmarkEnd w:id="81"/>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25.l 在宣布中标结果之前，凡属于审查、澄清、评价、比较投标文件和中标意向等有关信息，相关当事人均不得泄露给任何投标人或与评标工作无关的人员。</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25.2 投标人不得探听上述信息，不得以任何行为影响评标过程，否则其投标文件将被作为无效投标文件。</w:t>
      </w:r>
    </w:p>
    <w:p>
      <w:pPr>
        <w:spacing w:line="360" w:lineRule="auto"/>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25.3 在评标期间，采购代理机构将有专门人员与投标人进行联络。</w:t>
      </w:r>
    </w:p>
    <w:p>
      <w:pPr>
        <w:pStyle w:val="2"/>
        <w:rPr>
          <w:rFonts w:asciiTheme="minorEastAsia" w:hAnsiTheme="minorEastAsia" w:eastAsiaTheme="minorEastAsia"/>
          <w:color w:val="auto"/>
          <w:sz w:val="30"/>
          <w:highlight w:val="none"/>
        </w:rPr>
      </w:pPr>
      <w:bookmarkStart w:id="82" w:name="_Toc238907031"/>
      <w:r>
        <w:rPr>
          <w:rFonts w:hint="eastAsia" w:asciiTheme="minorEastAsia" w:hAnsiTheme="minorEastAsia" w:eastAsiaTheme="minorEastAsia"/>
          <w:color w:val="auto"/>
          <w:sz w:val="30"/>
          <w:highlight w:val="none"/>
        </w:rPr>
        <w:t>六、授标、签约和质疑投诉</w:t>
      </w:r>
    </w:p>
    <w:p>
      <w:pPr>
        <w:spacing w:line="360" w:lineRule="auto"/>
        <w:rPr>
          <w:rFonts w:asciiTheme="minorEastAsia" w:hAnsiTheme="minorEastAsia" w:eastAsiaTheme="minorEastAsia"/>
          <w:b/>
          <w:color w:val="auto"/>
          <w:szCs w:val="24"/>
          <w:highlight w:val="none"/>
        </w:rPr>
      </w:pPr>
      <w:bookmarkStart w:id="83" w:name="_Toc238907032"/>
      <w:r>
        <w:rPr>
          <w:rFonts w:hint="eastAsia" w:asciiTheme="minorEastAsia" w:hAnsiTheme="minorEastAsia" w:eastAsiaTheme="minorEastAsia"/>
          <w:b/>
          <w:color w:val="auto"/>
          <w:szCs w:val="24"/>
          <w:highlight w:val="none"/>
        </w:rPr>
        <w:t>26．定标原则</w:t>
      </w:r>
      <w:bookmarkEnd w:id="83"/>
    </w:p>
    <w:p>
      <w:pPr>
        <w:pStyle w:val="231"/>
        <w:spacing w:line="360" w:lineRule="auto"/>
        <w:ind w:left="0"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spacing w:line="360" w:lineRule="auto"/>
        <w:rPr>
          <w:rFonts w:asciiTheme="minorEastAsia" w:hAnsiTheme="minorEastAsia" w:eastAsiaTheme="minorEastAsia"/>
          <w:b/>
          <w:color w:val="auto"/>
          <w:szCs w:val="24"/>
          <w:highlight w:val="none"/>
        </w:rPr>
      </w:pPr>
      <w:bookmarkStart w:id="84" w:name="_Toc238907033"/>
      <w:r>
        <w:rPr>
          <w:rFonts w:hint="eastAsia" w:asciiTheme="minorEastAsia" w:hAnsiTheme="minorEastAsia" w:eastAsiaTheme="minorEastAsia"/>
          <w:b/>
          <w:color w:val="auto"/>
          <w:szCs w:val="24"/>
          <w:highlight w:val="none"/>
        </w:rPr>
        <w:t>27. 质疑</w:t>
      </w:r>
      <w:bookmarkEnd w:id="84"/>
      <w:r>
        <w:rPr>
          <w:rFonts w:hint="eastAsia" w:asciiTheme="minorEastAsia" w:hAnsiTheme="minorEastAsia" w:eastAsiaTheme="minorEastAsia"/>
          <w:b/>
          <w:color w:val="auto"/>
          <w:szCs w:val="24"/>
          <w:highlight w:val="none"/>
        </w:rPr>
        <w:t>的接收和处理、投诉</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asciiTheme="minorEastAsia" w:hAnsiTheme="minorEastAsia" w:eastAsiaTheme="minorEastAsia"/>
          <w:color w:val="auto"/>
          <w:szCs w:val="24"/>
          <w:highlight w:val="none"/>
        </w:rPr>
        <w:t>27.1接收质疑函的联系部门、联系电话和通讯地址：</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联系部门：海南政邦招标代理有限公司   电话：0898-68525258</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 xml:space="preserve">地址：海口市西沙路15号星华佳园D1栋2102室  </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lang w:val="en-GB"/>
        </w:rPr>
        <w:t>7</w:t>
      </w:r>
      <w:r>
        <w:rPr>
          <w:rFonts w:hint="eastAsia" w:cs="宋体" w:asciiTheme="minorEastAsia" w:hAnsiTheme="minorEastAsia" w:eastAsiaTheme="minorEastAsia"/>
          <w:color w:val="auto"/>
          <w:kern w:val="0"/>
          <w:szCs w:val="24"/>
          <w:highlight w:val="none"/>
        </w:rPr>
        <w:t>.2投标人如认为采购文件、采购过程和中标结果使自己的权益受到损害的，应在知道或应知道其权益受到损害之日起七个工作日内以书面形式向采购人、采购代理机构提出质疑。</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lang w:val="en-GB"/>
        </w:rPr>
        <w:t>7</w:t>
      </w:r>
      <w:r>
        <w:rPr>
          <w:rFonts w:hint="eastAsia" w:cs="宋体" w:asciiTheme="minorEastAsia" w:hAnsiTheme="minorEastAsia" w:eastAsiaTheme="minorEastAsia"/>
          <w:color w:val="auto"/>
          <w:kern w:val="0"/>
          <w:szCs w:val="24"/>
          <w:highlight w:val="none"/>
        </w:rPr>
        <w:t>.3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27.4投标人须在质疑期内一次性提出针对同一采购程序环节的质疑。</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27.</w:t>
      </w:r>
      <w:r>
        <w:rPr>
          <w:rFonts w:cs="宋体" w:asciiTheme="minorEastAsia" w:hAnsiTheme="minorEastAsia" w:eastAsiaTheme="minorEastAsia"/>
          <w:color w:val="auto"/>
          <w:kern w:val="0"/>
          <w:szCs w:val="24"/>
          <w:highlight w:val="none"/>
        </w:rPr>
        <w:t>5投标人提出质疑应当提交质疑函和必要的证明材料。质疑函应当包括下列内容：</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1</w:t>
      </w:r>
      <w:r>
        <w:rPr>
          <w:rFonts w:cs="宋体" w:asciiTheme="minorEastAsia" w:hAnsiTheme="minorEastAsia" w:eastAsiaTheme="minorEastAsia"/>
          <w:color w:val="auto"/>
          <w:kern w:val="0"/>
          <w:szCs w:val="24"/>
          <w:highlight w:val="none"/>
        </w:rPr>
        <w:t>）投标人的姓名或者名称、地址、邮编、联系人及联系电话；</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2</w:t>
      </w:r>
      <w:r>
        <w:rPr>
          <w:rFonts w:cs="宋体" w:asciiTheme="minorEastAsia" w:hAnsiTheme="minorEastAsia" w:eastAsiaTheme="minorEastAsia"/>
          <w:color w:val="auto"/>
          <w:kern w:val="0"/>
          <w:szCs w:val="24"/>
          <w:highlight w:val="none"/>
        </w:rPr>
        <w:t>）质疑项目的名称、编号；</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3</w:t>
      </w:r>
      <w:r>
        <w:rPr>
          <w:rFonts w:cs="宋体" w:asciiTheme="minorEastAsia" w:hAnsiTheme="minorEastAsia" w:eastAsiaTheme="minorEastAsia"/>
          <w:color w:val="auto"/>
          <w:kern w:val="0"/>
          <w:szCs w:val="24"/>
          <w:highlight w:val="none"/>
        </w:rPr>
        <w:t>）具体、明确的质疑事项和与质疑事项相关的请求；</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4</w:t>
      </w:r>
      <w:r>
        <w:rPr>
          <w:rFonts w:cs="宋体" w:asciiTheme="minorEastAsia" w:hAnsiTheme="minorEastAsia" w:eastAsiaTheme="minorEastAsia"/>
          <w:color w:val="auto"/>
          <w:kern w:val="0"/>
          <w:szCs w:val="24"/>
          <w:highlight w:val="none"/>
        </w:rPr>
        <w:t>）事实依据；</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5</w:t>
      </w:r>
      <w:r>
        <w:rPr>
          <w:rFonts w:cs="宋体" w:asciiTheme="minorEastAsia" w:hAnsiTheme="minorEastAsia" w:eastAsiaTheme="minorEastAsia"/>
          <w:color w:val="auto"/>
          <w:kern w:val="0"/>
          <w:szCs w:val="24"/>
          <w:highlight w:val="none"/>
        </w:rPr>
        <w:t>）必要的法律依据；</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6</w:t>
      </w:r>
      <w:r>
        <w:rPr>
          <w:rFonts w:cs="宋体" w:asciiTheme="minorEastAsia" w:hAnsiTheme="minorEastAsia" w:eastAsiaTheme="minorEastAsia"/>
          <w:color w:val="auto"/>
          <w:kern w:val="0"/>
          <w:szCs w:val="24"/>
          <w:highlight w:val="none"/>
        </w:rPr>
        <w:t>）提出质疑的日期。</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投标人</w:t>
      </w:r>
      <w:r>
        <w:rPr>
          <w:rFonts w:hint="eastAsia" w:cs="宋体" w:asciiTheme="minorEastAsia" w:hAnsiTheme="minorEastAsia" w:eastAsiaTheme="minorEastAsia"/>
          <w:color w:val="auto"/>
          <w:kern w:val="0"/>
          <w:szCs w:val="24"/>
          <w:highlight w:val="none"/>
        </w:rPr>
        <w:t>为自然人的，应当由本人签字；投标人为法人或者其他组织的，应当由法定代表人、主要负责人，或者其授权代理人签字或者盖章，并加盖公章。</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lang w:val="en-GB"/>
        </w:rPr>
        <w:t>7</w:t>
      </w: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6</w:t>
      </w:r>
      <w:r>
        <w:rPr>
          <w:rFonts w:hint="eastAsia" w:cs="宋体" w:asciiTheme="minorEastAsia" w:hAnsiTheme="minorEastAsia" w:eastAsiaTheme="minorEastAsia"/>
          <w:color w:val="auto"/>
          <w:kern w:val="0"/>
          <w:szCs w:val="24"/>
          <w:highlight w:val="none"/>
        </w:rPr>
        <w:t>未按要求填写、匿名、非书面形式、七个工作日之外的质疑均不予受理。</w:t>
      </w:r>
    </w:p>
    <w:p>
      <w:pPr>
        <w:adjustRightInd w:val="0"/>
        <w:snapToGrid w:val="0"/>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lang w:val="en-GB"/>
        </w:rPr>
        <w:t>7</w:t>
      </w: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7</w:t>
      </w:r>
      <w:r>
        <w:rPr>
          <w:rFonts w:hint="eastAsia" w:cs="宋体" w:asciiTheme="minorEastAsia" w:hAnsiTheme="minorEastAsia" w:eastAsiaTheme="minorEastAsia"/>
          <w:color w:val="auto"/>
          <w:kern w:val="0"/>
          <w:szCs w:val="24"/>
          <w:highlight w:val="none"/>
        </w:rPr>
        <w:t>采购人或采购代理机构应当在收到投标人的书面质疑后7个工作日内作出答复，并以书面形式通知质疑投标人和其他有关投标人。</w:t>
      </w:r>
    </w:p>
    <w:p>
      <w:pPr>
        <w:spacing w:line="360" w:lineRule="auto"/>
        <w:ind w:firstLine="480" w:firstLineChars="200"/>
        <w:rPr>
          <w:rFonts w:cs="宋体" w:asciiTheme="minorEastAsia" w:hAnsiTheme="minorEastAsia" w:eastAsiaTheme="minorEastAsia"/>
          <w:color w:val="auto"/>
          <w:kern w:val="0"/>
          <w:szCs w:val="24"/>
          <w:highlight w:val="none"/>
          <w:lang w:val="en-GB"/>
        </w:rPr>
      </w:pPr>
      <w:r>
        <w:rPr>
          <w:rFonts w:hint="eastAsia"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lang w:val="en-GB"/>
        </w:rPr>
        <w:t>7</w:t>
      </w: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8</w:t>
      </w:r>
      <w:r>
        <w:rPr>
          <w:rFonts w:hint="eastAsia" w:cs="宋体" w:asciiTheme="minorEastAsia" w:hAnsiTheme="minorEastAsia" w:eastAsiaTheme="minorEastAsia"/>
          <w:color w:val="auto"/>
          <w:szCs w:val="24"/>
          <w:highlight w:val="none"/>
        </w:rPr>
        <w:t>采购代理机构</w:t>
      </w:r>
      <w:r>
        <w:rPr>
          <w:rFonts w:hint="eastAsia" w:cs="宋体" w:asciiTheme="minorEastAsia" w:hAnsiTheme="minorEastAsia" w:eastAsiaTheme="minorEastAsia"/>
          <w:color w:val="auto"/>
          <w:kern w:val="0"/>
          <w:szCs w:val="24"/>
          <w:highlight w:val="none"/>
          <w:lang w:val="en-GB"/>
        </w:rPr>
        <w:t>在《中华人民共和国政府采购法》规定的时间内没有对投标人的质疑进行回复，或投标人对</w:t>
      </w:r>
      <w:r>
        <w:rPr>
          <w:rFonts w:hint="eastAsia" w:cs="宋体" w:asciiTheme="minorEastAsia" w:hAnsiTheme="minorEastAsia" w:eastAsiaTheme="minorEastAsia"/>
          <w:color w:val="auto"/>
          <w:szCs w:val="24"/>
          <w:highlight w:val="none"/>
        </w:rPr>
        <w:t>采购代理机构</w:t>
      </w:r>
      <w:r>
        <w:rPr>
          <w:rFonts w:hint="eastAsia" w:cs="宋体" w:asciiTheme="minorEastAsia" w:hAnsiTheme="minorEastAsia" w:eastAsiaTheme="minorEastAsia"/>
          <w:color w:val="auto"/>
          <w:kern w:val="0"/>
          <w:szCs w:val="24"/>
          <w:highlight w:val="none"/>
          <w:lang w:val="en-GB"/>
        </w:rPr>
        <w:t>的回复不满意时，可以在答复期满后15个工作日内按规定向财政部门投诉。</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28．中标通知</w:t>
      </w:r>
    </w:p>
    <w:p>
      <w:pPr>
        <w:autoSpaceDE w:val="0"/>
        <w:autoSpaceDN w:val="0"/>
        <w:adjustRightInd w:val="0"/>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8</w:t>
      </w:r>
      <w:r>
        <w:rPr>
          <w:rFonts w:asciiTheme="minorEastAsia" w:hAnsiTheme="minorEastAsia" w:eastAsiaTheme="minorEastAsia"/>
          <w:color w:val="auto"/>
          <w:szCs w:val="24"/>
          <w:highlight w:val="none"/>
        </w:rPr>
        <w:t xml:space="preserve">.1 </w:t>
      </w:r>
      <w:r>
        <w:rPr>
          <w:rFonts w:hint="eastAsia" w:asciiTheme="minorEastAsia" w:hAnsiTheme="minorEastAsia" w:eastAsiaTheme="minorEastAsia"/>
          <w:color w:val="auto"/>
          <w:szCs w:val="24"/>
          <w:highlight w:val="none"/>
        </w:rPr>
        <w:t>评标结束后确中标候选人，中标公告在法定媒体公告期限为</w:t>
      </w:r>
      <w:r>
        <w:rPr>
          <w:rFonts w:asciiTheme="minorEastAsia" w:hAnsiTheme="minorEastAsia" w:eastAsiaTheme="minorEastAsia"/>
          <w:color w:val="auto"/>
          <w:szCs w:val="24"/>
          <w:highlight w:val="none"/>
        </w:rPr>
        <w:t>1</w:t>
      </w:r>
      <w:r>
        <w:rPr>
          <w:rFonts w:hint="eastAsia" w:asciiTheme="minorEastAsia" w:hAnsiTheme="minorEastAsia" w:eastAsiaTheme="minorEastAsia"/>
          <w:color w:val="auto"/>
          <w:szCs w:val="24"/>
          <w:highlight w:val="none"/>
        </w:rPr>
        <w:t>个工作日。</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8</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2定标后</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采购代理机构应将定标结果通知所有的投标人，并向中标人发出中标通知书。</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8</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3中标人收到中标通知书后，须立即以书面形式回复采购代理机构，确认中标通知书已收到，并同意接受（若到采购代理机构领取则无需回复）。</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rPr>
        <w:t>8</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4中标通知书将是合同的一个组成部分。</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29．签订合同</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29</w:t>
      </w:r>
      <w:r>
        <w:rPr>
          <w:rFonts w:asciiTheme="minorEastAsia" w:hAnsiTheme="minorEastAsia" w:eastAsiaTheme="minorEastAsia"/>
          <w:color w:val="auto"/>
          <w:szCs w:val="24"/>
          <w:highlight w:val="none"/>
        </w:rPr>
        <w:t xml:space="preserve">.l </w:t>
      </w:r>
      <w:r>
        <w:rPr>
          <w:rFonts w:hint="eastAsia" w:asciiTheme="minorEastAsia" w:hAnsiTheme="minorEastAsia" w:eastAsiaTheme="minorEastAsia"/>
          <w:color w:val="auto"/>
          <w:szCs w:val="24"/>
          <w:highlight w:val="none"/>
        </w:rPr>
        <w:t>中标人应按中标通知书规定的时间、地点与采购人签订中标合同</w:t>
      </w:r>
      <w:r>
        <w:rPr>
          <w:rFonts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rPr>
        <w:t>否则投标保证金将不予退还，给采购人和采购代理机构造成损失的，投标人还应承担赔偿责任。</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29</w:t>
      </w:r>
      <w:r>
        <w:rPr>
          <w:rFonts w:asciiTheme="minorEastAsia" w:hAnsiTheme="minorEastAsia" w:eastAsiaTheme="minorEastAsia"/>
          <w:color w:val="auto"/>
          <w:szCs w:val="24"/>
          <w:highlight w:val="none"/>
        </w:rPr>
        <w:t xml:space="preserve">.2 </w:t>
      </w:r>
      <w:r>
        <w:rPr>
          <w:rFonts w:hint="eastAsia" w:asciiTheme="minorEastAsia" w:hAnsiTheme="minorEastAsia" w:eastAsiaTheme="minorEastAsia"/>
          <w:color w:val="auto"/>
          <w:szCs w:val="24"/>
          <w:highlight w:val="none"/>
        </w:rPr>
        <w:t>招标文件、中标人的投标文件及评标过程中有关澄清文件均应作为合同附件。</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29</w:t>
      </w:r>
      <w:r>
        <w:rPr>
          <w:rFonts w:asciiTheme="minorEastAsia" w:hAnsiTheme="minorEastAsia" w:eastAsiaTheme="minorEastAsia"/>
          <w:color w:val="auto"/>
          <w:szCs w:val="24"/>
          <w:highlight w:val="none"/>
        </w:rPr>
        <w:t xml:space="preserve">.3 </w:t>
      </w:r>
      <w:r>
        <w:rPr>
          <w:rFonts w:hint="eastAsia" w:asciiTheme="minorEastAsia" w:hAnsiTheme="minorEastAsia" w:eastAsiaTheme="minorEastAsia"/>
          <w:color w:val="auto"/>
          <w:szCs w:val="24"/>
          <w:highlight w:val="none"/>
        </w:rPr>
        <w:t>签订合同后，中标人应当按照合同约定履行义务，完成项目。不得将货物、工程及其他相关服务进行转包。未经采购人同意，中标人不得采用分包的形式履行合同。</w:t>
      </w:r>
      <w:bookmarkStart w:id="85" w:name="_Toc468811121"/>
      <w:bookmarkStart w:id="86" w:name="_Toc483655694"/>
      <w:r>
        <w:rPr>
          <w:rFonts w:hint="eastAsia" w:asciiTheme="minorEastAsia" w:hAnsiTheme="minorEastAsia" w:eastAsiaTheme="minorEastAsia"/>
          <w:color w:val="auto"/>
          <w:szCs w:val="24"/>
          <w:highlight w:val="none"/>
        </w:rPr>
        <w:t>否则采购人或采购代理机构有权终止合同，中标人的履约保证金（如有）将不予退还。转包或分包造成采购人损失的，中标人还应承担相应赔偿责任。</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30. 腐败和欺诈行为</w:t>
      </w:r>
    </w:p>
    <w:p>
      <w:pPr>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本采购形成的合同项下的买方和卖方（中标人）在合同生效和实施过程中应遵守最高的道德标准。为此目的，定义下述条件：</w:t>
      </w:r>
    </w:p>
    <w:p>
      <w:pPr>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1</w:t>
      </w:r>
      <w:r>
        <w:rPr>
          <w:rFonts w:hint="eastAsia" w:cs="宋体" w:asciiTheme="minorEastAsia" w:hAnsiTheme="minorEastAsia" w:eastAsiaTheme="minorEastAsia"/>
          <w:color w:val="auto"/>
          <w:kern w:val="0"/>
          <w:szCs w:val="24"/>
          <w:highlight w:val="none"/>
        </w:rPr>
        <w:t>）“腐败行为”是指通过提供、给予、接受、索取任何有价值的东西来影响</w:t>
      </w:r>
    </w:p>
    <w:p>
      <w:pPr>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采购人员在采购过程中或合同实施过程中的行为；</w:t>
      </w:r>
    </w:p>
    <w:p>
      <w:pPr>
        <w:spacing w:line="360" w:lineRule="auto"/>
        <w:ind w:firstLine="480" w:firstLineChars="200"/>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rPr>
        <w:t>）“欺诈行为”是指为了影响采购过程或合同实施过程而谎报事实，损害买方和公共利益，包括投标人之间串通投标（递交投标文件之前和之后），人为地使投标丧失竞争性，剥夺了买方从竞争中所获得的利益。如果被推荐的中标人被认为在本采购合同的竞争中有腐败和欺诈行为，则其投标将被拒绝。</w:t>
      </w:r>
    </w:p>
    <w:bookmarkEnd w:id="85"/>
    <w:bookmarkEnd w:id="86"/>
    <w:p>
      <w:pPr>
        <w:spacing w:line="360" w:lineRule="auto"/>
        <w:ind w:firstLine="482" w:firstLineChars="200"/>
        <w:rPr>
          <w:rFonts w:ascii="宋体" w:hAnsi="宋体"/>
          <w:b/>
          <w:color w:val="auto"/>
          <w:szCs w:val="24"/>
          <w:highlight w:val="none"/>
        </w:rPr>
      </w:pPr>
      <w:r>
        <w:rPr>
          <w:rFonts w:hint="eastAsia" w:ascii="宋体" w:hAnsi="宋体"/>
          <w:b/>
          <w:color w:val="auto"/>
          <w:szCs w:val="24"/>
          <w:highlight w:val="none"/>
        </w:rPr>
        <w:t>31．政策功能</w:t>
      </w:r>
    </w:p>
    <w:p>
      <w:pPr>
        <w:spacing w:line="360" w:lineRule="auto"/>
        <w:ind w:firstLine="480" w:firstLineChars="200"/>
        <w:rPr>
          <w:rFonts w:hAnsi="宋体"/>
          <w:color w:val="auto"/>
          <w:highlight w:val="none"/>
        </w:rPr>
      </w:pPr>
      <w:r>
        <w:rPr>
          <w:rFonts w:hint="eastAsia" w:hAnsi="宋体"/>
          <w:color w:val="auto"/>
          <w:highlight w:val="none"/>
        </w:rPr>
        <w:t>31.1政策优惠条件及要求:根据财政部、工业和信息化部关于《政府采购促进中小企业发展管理办法》（财库【2020】46号）、财政部文件《关于促进残疾人就业政府采购政策的通知》（财库【2017】141号）及财政部司法部《财政部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spacing w:line="360" w:lineRule="auto"/>
        <w:ind w:firstLine="480" w:firstLineChars="200"/>
        <w:rPr>
          <w:rFonts w:hAnsi="宋体"/>
          <w:color w:val="auto"/>
          <w:highlight w:val="none"/>
        </w:rPr>
      </w:pPr>
      <w:r>
        <w:rPr>
          <w:rFonts w:hint="eastAsia" w:hAnsi="宋体"/>
          <w:color w:val="auto"/>
          <w:highlight w:val="none"/>
        </w:rPr>
        <w:t>31.2所投分包(如不分包则指本项目)的所有报价产品进入当期节能清单的，其评标价=报价*（1-2%）；报价人所投产品满足此规定的，必须提供声明函并提供相关证明文件。</w:t>
      </w:r>
    </w:p>
    <w:p>
      <w:pPr>
        <w:spacing w:line="360" w:lineRule="auto"/>
        <w:ind w:firstLine="480" w:firstLineChars="200"/>
        <w:rPr>
          <w:rFonts w:hAnsi="宋体"/>
          <w:color w:val="auto"/>
          <w:highlight w:val="none"/>
        </w:rPr>
      </w:pPr>
      <w:r>
        <w:rPr>
          <w:rFonts w:hint="eastAsia" w:hAnsi="宋体"/>
          <w:color w:val="auto"/>
          <w:highlight w:val="none"/>
        </w:rPr>
        <w:t>31.3所投分包(如不分包则指本项目)的所有报价产品进入当期环保清单的，其评标价=报价*（1-1%）；报价人所投产品满足此规定的，必须提供声明函并提供相关证明文件。</w:t>
      </w:r>
    </w:p>
    <w:p>
      <w:pPr>
        <w:spacing w:line="360" w:lineRule="auto"/>
        <w:ind w:firstLine="480" w:firstLineChars="200"/>
        <w:rPr>
          <w:rFonts w:hAnsi="宋体"/>
          <w:color w:val="auto"/>
          <w:highlight w:val="none"/>
        </w:rPr>
      </w:pPr>
      <w:r>
        <w:rPr>
          <w:rFonts w:hint="eastAsia" w:hAnsi="宋体"/>
          <w:color w:val="auto"/>
          <w:highlight w:val="none"/>
        </w:rPr>
        <w:t>31.4所投分包(如不分包则指本项目)的所有投标产品均为绿色产品的，均为绿色产品的，其评审价=报价*（1-4%）；超过一半产品为绿色产品的，其评审价=报价*（1-3%）；个别产品为绿色产品的，其评审价=报价*（1-2%）。供应商所投产品满足此规定的，必须提供声明函并提供相关证明文件。</w:t>
      </w:r>
    </w:p>
    <w:p>
      <w:pPr>
        <w:spacing w:line="360" w:lineRule="auto"/>
        <w:ind w:firstLine="480" w:firstLineChars="200"/>
        <w:rPr>
          <w:rFonts w:hAnsi="宋体"/>
          <w:color w:val="auto"/>
          <w:highlight w:val="none"/>
        </w:rPr>
      </w:pPr>
      <w:r>
        <w:rPr>
          <w:rFonts w:hint="eastAsia" w:hAnsi="宋体"/>
          <w:color w:val="auto"/>
          <w:highlight w:val="none"/>
        </w:rPr>
        <w:t>31.5纳入财政部公布的《政府采购自主创新产品目录》的货物和服务：</w:t>
      </w:r>
    </w:p>
    <w:p>
      <w:pPr>
        <w:spacing w:line="360" w:lineRule="auto"/>
        <w:ind w:firstLine="480" w:firstLineChars="200"/>
        <w:rPr>
          <w:rFonts w:hAnsi="宋体"/>
          <w:color w:val="auto"/>
          <w:highlight w:val="none"/>
        </w:rPr>
      </w:pPr>
      <w:r>
        <w:rPr>
          <w:rFonts w:hint="eastAsia" w:hAnsi="宋体"/>
          <w:color w:val="auto"/>
          <w:highlight w:val="none"/>
        </w:rPr>
        <w:t>31.5.1采用最低评标价法评标的项目，对自主创新产品在评审时对其投标价格给予5％的价格扣除。</w:t>
      </w:r>
    </w:p>
    <w:p>
      <w:pPr>
        <w:spacing w:line="360" w:lineRule="auto"/>
        <w:ind w:firstLine="480" w:firstLineChars="200"/>
        <w:rPr>
          <w:rFonts w:hAnsi="宋体"/>
          <w:color w:val="auto"/>
          <w:highlight w:val="none"/>
        </w:rPr>
      </w:pPr>
      <w:r>
        <w:rPr>
          <w:rFonts w:hint="eastAsia" w:hAnsi="宋体"/>
          <w:color w:val="auto"/>
          <w:highlight w:val="none"/>
        </w:rPr>
        <w:t>31.5.2采用综合评分法评标的项目，对自主创新产品在价格评标项中，对自主创新产品给予价格评标总分值的5％的加分。</w:t>
      </w:r>
    </w:p>
    <w:p>
      <w:pPr>
        <w:spacing w:line="360" w:lineRule="auto"/>
        <w:ind w:firstLine="480" w:firstLineChars="200"/>
        <w:rPr>
          <w:rFonts w:hAnsi="宋体"/>
          <w:color w:val="auto"/>
          <w:highlight w:val="none"/>
        </w:rPr>
      </w:pPr>
      <w:r>
        <w:rPr>
          <w:rFonts w:hint="eastAsia" w:hAnsi="宋体"/>
          <w:color w:val="auto"/>
          <w:highlight w:val="none"/>
        </w:rPr>
        <w:t>31.6报价人为小型和微型企业（含联合体）的情况：</w:t>
      </w:r>
    </w:p>
    <w:p>
      <w:pPr>
        <w:spacing w:line="360" w:lineRule="auto"/>
        <w:ind w:firstLine="480" w:firstLineChars="200"/>
        <w:rPr>
          <w:rFonts w:hAnsi="宋体"/>
          <w:color w:val="auto"/>
          <w:highlight w:val="none"/>
        </w:rPr>
      </w:pPr>
      <w:r>
        <w:rPr>
          <w:rFonts w:hint="eastAsia" w:hAnsi="宋体"/>
          <w:color w:val="auto"/>
          <w:highlight w:val="none"/>
        </w:rPr>
        <w:t>31.6.1中小企业的认定标准：</w:t>
      </w:r>
    </w:p>
    <w:p>
      <w:pPr>
        <w:spacing w:line="360" w:lineRule="auto"/>
        <w:ind w:firstLine="480" w:firstLineChars="200"/>
        <w:rPr>
          <w:rFonts w:hAnsi="宋体"/>
          <w:color w:val="auto"/>
          <w:highlight w:val="none"/>
        </w:rPr>
      </w:pPr>
      <w:r>
        <w:rPr>
          <w:rFonts w:hint="eastAsia" w:hAnsi="宋体"/>
          <w:color w:val="auto"/>
          <w:highlight w:val="none"/>
        </w:rPr>
        <w:t>1）提供本企业制造的货物、承担的工程或者服务，或者提供其他中小企业制造的货物，不包括提供或使用大型企业注册商标的货物；</w:t>
      </w:r>
    </w:p>
    <w:p>
      <w:pPr>
        <w:spacing w:line="360" w:lineRule="auto"/>
        <w:ind w:firstLine="480" w:firstLineChars="200"/>
        <w:rPr>
          <w:rFonts w:hAnsi="宋体"/>
          <w:color w:val="auto"/>
          <w:highlight w:val="none"/>
        </w:rPr>
      </w:pPr>
      <w:r>
        <w:rPr>
          <w:rFonts w:hint="eastAsia" w:hAnsi="宋体"/>
          <w:color w:val="auto"/>
          <w:highlight w:val="none"/>
        </w:rPr>
        <w:t>2）本规定所称中小企业划分标准，是指国务院有关部门根据企业从业人员、营业收入、资产总额等指标制定的中小企业划型标准（工信部联企业〔2011〕300号）；</w:t>
      </w:r>
    </w:p>
    <w:p>
      <w:pPr>
        <w:spacing w:line="360" w:lineRule="auto"/>
        <w:ind w:firstLine="480" w:firstLineChars="200"/>
        <w:rPr>
          <w:rFonts w:hAnsi="宋体"/>
          <w:color w:val="auto"/>
          <w:highlight w:val="none"/>
        </w:rPr>
      </w:pPr>
      <w:r>
        <w:rPr>
          <w:rFonts w:hint="eastAsia" w:hAnsi="宋体"/>
          <w:color w:val="auto"/>
          <w:highlight w:val="none"/>
        </w:rPr>
        <w:t>3）小型、微型企业提供有中型企业制造的货物的，视同为中型企业；小型、微型、中型企业提供有大型企业制造的货物的，视同为大型企业。</w:t>
      </w:r>
    </w:p>
    <w:p>
      <w:pPr>
        <w:spacing w:line="360" w:lineRule="auto"/>
        <w:ind w:firstLine="480" w:firstLineChars="200"/>
        <w:rPr>
          <w:rFonts w:hAnsi="宋体"/>
          <w:color w:val="auto"/>
          <w:highlight w:val="none"/>
        </w:rPr>
      </w:pPr>
      <w:r>
        <w:rPr>
          <w:rFonts w:hint="eastAsia" w:hAnsi="宋体"/>
          <w:color w:val="auto"/>
          <w:highlight w:val="none"/>
        </w:rPr>
        <w:t>4）监狱企业视同为小型、微型企业。</w:t>
      </w:r>
    </w:p>
    <w:p>
      <w:pPr>
        <w:spacing w:line="360" w:lineRule="auto"/>
        <w:ind w:firstLine="480" w:firstLineChars="200"/>
        <w:rPr>
          <w:rFonts w:hAnsi="宋体"/>
          <w:color w:val="auto"/>
          <w:highlight w:val="none"/>
        </w:rPr>
      </w:pPr>
      <w:r>
        <w:rPr>
          <w:rFonts w:hint="eastAsia" w:hAnsi="宋体"/>
          <w:color w:val="auto"/>
          <w:highlight w:val="none"/>
        </w:rPr>
        <w:t>5)残疾人福利性单位视同为小型、微型企业，必须如实填写“残疾人福利性单位声明函”（内容、格式见财库〔2017〕141号）。</w:t>
      </w:r>
    </w:p>
    <w:p>
      <w:pPr>
        <w:spacing w:line="360" w:lineRule="auto"/>
        <w:ind w:firstLine="480" w:firstLineChars="200"/>
        <w:rPr>
          <w:rFonts w:hAnsi="宋体"/>
          <w:color w:val="auto"/>
          <w:highlight w:val="none"/>
        </w:rPr>
      </w:pPr>
      <w:r>
        <w:rPr>
          <w:rFonts w:hint="eastAsia" w:hAnsi="宋体"/>
          <w:color w:val="auto"/>
          <w:highlight w:val="none"/>
        </w:rPr>
        <w:t>31.6.2具体评审价说明：</w:t>
      </w:r>
    </w:p>
    <w:p>
      <w:pPr>
        <w:spacing w:line="360" w:lineRule="auto"/>
        <w:ind w:firstLine="480" w:firstLineChars="200"/>
        <w:rPr>
          <w:rFonts w:hAnsi="宋体"/>
          <w:color w:val="auto"/>
          <w:highlight w:val="none"/>
        </w:rPr>
      </w:pPr>
      <w:r>
        <w:rPr>
          <w:rFonts w:hint="eastAsia" w:hAnsi="宋体"/>
          <w:color w:val="auto"/>
          <w:highlight w:val="none"/>
        </w:rPr>
        <w:t>1）货物和服务项目评审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pacing w:line="360" w:lineRule="auto"/>
        <w:ind w:firstLine="480" w:firstLineChars="200"/>
        <w:rPr>
          <w:rFonts w:hAnsi="宋体"/>
          <w:color w:val="auto"/>
          <w:highlight w:val="none"/>
        </w:rPr>
      </w:pPr>
      <w:r>
        <w:rPr>
          <w:rFonts w:hint="eastAsia" w:hAnsi="宋体"/>
          <w:color w:val="auto"/>
          <w:highlight w:val="none"/>
        </w:rPr>
        <w:t>2) 接受大中型企业与小微企业组成联合体或者允许大中型企业向一家或者多家小微企业分包的采购项目，对于联合协议或者分包意向协议约定小微企业的合同份额占到合同总金额30%以上的，采购人、招标代理机构应当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olor w:val="auto"/>
          <w:highlight w:val="none"/>
        </w:rPr>
      </w:pPr>
      <w:r>
        <w:rPr>
          <w:rFonts w:hint="eastAsia" w:hAnsi="宋体"/>
          <w:color w:val="auto"/>
          <w:highlight w:val="none"/>
        </w:rPr>
        <w:t>31.6.3报价人为工信部联企业〔2011〕300号文规定的小型和微型企业（含联合体）的，必须如实填写“中小企业声明函”（内容、格式见《政府采购促进中小企业发展管理办法》）。</w:t>
      </w:r>
      <w:r>
        <w:rPr>
          <w:rFonts w:hint="eastAsia" w:hAnsi="宋体"/>
          <w:b/>
          <w:bCs/>
          <w:color w:val="auto"/>
          <w:highlight w:val="none"/>
        </w:rPr>
        <w:t>如有虚假骗取政策性加分，将依法承担相应责任。</w:t>
      </w:r>
    </w:p>
    <w:p>
      <w:pPr>
        <w:keepNext/>
        <w:keepLines/>
        <w:spacing w:line="360" w:lineRule="auto"/>
        <w:jc w:val="left"/>
        <w:outlineLvl w:val="1"/>
        <w:rPr>
          <w:rFonts w:asciiTheme="minorEastAsia" w:hAnsiTheme="minorEastAsia" w:eastAsiaTheme="minorEastAsia"/>
          <w:b/>
          <w:bCs/>
          <w:color w:val="auto"/>
          <w:kern w:val="0"/>
          <w:sz w:val="30"/>
          <w:szCs w:val="32"/>
          <w:highlight w:val="none"/>
        </w:rPr>
      </w:pPr>
      <w:r>
        <w:rPr>
          <w:rFonts w:hint="eastAsia" w:asciiTheme="minorEastAsia" w:hAnsiTheme="minorEastAsia" w:eastAsiaTheme="minorEastAsia"/>
          <w:b/>
          <w:bCs/>
          <w:color w:val="auto"/>
          <w:kern w:val="0"/>
          <w:sz w:val="30"/>
          <w:szCs w:val="32"/>
          <w:highlight w:val="none"/>
        </w:rPr>
        <w:t>七、其他</w:t>
      </w:r>
    </w:p>
    <w:p>
      <w:pPr>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32.其他规定</w:t>
      </w:r>
    </w:p>
    <w:p>
      <w:pPr>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2．1本项目不召开答疑会。</w:t>
      </w:r>
    </w:p>
    <w:p>
      <w:pPr>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2．2信用信息查询的查询渠道：“信用中国”网站（www.creditchina.gov.cn）、中国政府采购网（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Theme="minorEastAsia" w:hAnsiTheme="minorEastAsia" w:eastAsiaTheme="minorEastAsia"/>
          <w:color w:val="auto"/>
          <w:szCs w:val="24"/>
          <w:highlight w:val="none"/>
          <w:u w:val="single"/>
        </w:rPr>
        <w:t>www.ccgp.gov.cn</w:t>
      </w:r>
      <w:r>
        <w:rPr>
          <w:rFonts w:hint="eastAsia" w:asciiTheme="minorEastAsia" w:hAnsiTheme="minorEastAsia" w:eastAsiaTheme="minorEastAsia"/>
          <w:color w:val="auto"/>
          <w:szCs w:val="24"/>
          <w:highlight w:val="none"/>
          <w:u w:val="single"/>
        </w:rPr>
        <w:fldChar w:fldCharType="end"/>
      </w:r>
      <w:r>
        <w:rPr>
          <w:rFonts w:hint="eastAsia" w:asciiTheme="minorEastAsia" w:hAnsiTheme="minorEastAsia" w:eastAsiaTheme="minorEastAsia"/>
          <w:color w:val="auto"/>
          <w:szCs w:val="24"/>
          <w:highlight w:val="none"/>
        </w:rPr>
        <w:t>）。</w:t>
      </w:r>
    </w:p>
    <w:p>
      <w:pPr>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2．3信用信息查询的截止时点：</w:t>
      </w:r>
      <w:r>
        <w:rPr>
          <w:rFonts w:hint="eastAsia" w:cs="宋体" w:asciiTheme="minorEastAsia" w:hAnsiTheme="minorEastAsia" w:eastAsiaTheme="minorEastAsia"/>
          <w:color w:val="auto"/>
          <w:szCs w:val="24"/>
          <w:highlight w:val="none"/>
        </w:rPr>
        <w:t>开标时间。</w:t>
      </w:r>
    </w:p>
    <w:p>
      <w:pPr>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2．4信用信息查询记录证据留存的具体方式：代理机构查询并现场打印，作为</w:t>
      </w:r>
      <w:r>
        <w:rPr>
          <w:rFonts w:hint="eastAsia" w:asciiTheme="minorEastAsia" w:hAnsiTheme="minorEastAsia" w:eastAsiaTheme="minorEastAsia"/>
          <w:bCs/>
          <w:color w:val="auto"/>
          <w:szCs w:val="24"/>
          <w:highlight w:val="none"/>
        </w:rPr>
        <w:t>响应文件的一部分一并留存。</w:t>
      </w:r>
    </w:p>
    <w:p>
      <w:pPr>
        <w:spacing w:line="360" w:lineRule="auto"/>
        <w:ind w:firstLine="480" w:firstLineChars="200"/>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5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 xml:space="preserve"> 3</w:t>
      </w:r>
      <w:r>
        <w:rPr>
          <w:rFonts w:hint="eastAsia" w:asciiTheme="minorEastAsia" w:hAnsiTheme="minorEastAsia" w:eastAsiaTheme="minorEastAsia"/>
          <w:color w:val="auto"/>
          <w:szCs w:val="24"/>
          <w:highlight w:val="none"/>
        </w:rPr>
        <w:t>2．6</w:t>
      </w:r>
      <w:r>
        <w:rPr>
          <w:rFonts w:asciiTheme="minorEastAsia" w:hAnsiTheme="minorEastAsia" w:eastAsiaTheme="minorEastAsia"/>
          <w:color w:val="auto"/>
          <w:szCs w:val="24"/>
          <w:highlight w:val="none"/>
        </w:rPr>
        <w:t>两个以上的自然人、法人或者其他组织组成一个联合体，以一个</w:t>
      </w:r>
      <w:r>
        <w:rPr>
          <w:rFonts w:hint="eastAsia" w:asciiTheme="minorEastAsia" w:hAnsiTheme="minorEastAsia" w:eastAsiaTheme="minorEastAsia"/>
          <w:color w:val="auto"/>
          <w:szCs w:val="24"/>
          <w:highlight w:val="none"/>
        </w:rPr>
        <w:t>投标人</w:t>
      </w:r>
      <w:r>
        <w:rPr>
          <w:rFonts w:asciiTheme="minorEastAsia" w:hAnsiTheme="minorEastAsia" w:eastAsiaTheme="minorEastAsia"/>
          <w:color w:val="auto"/>
          <w:szCs w:val="24"/>
          <w:highlight w:val="none"/>
        </w:rPr>
        <w:t>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olor w:val="auto"/>
          <w:szCs w:val="24"/>
          <w:highlight w:val="none"/>
        </w:rPr>
        <w:t>。</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2．7根据《政府采购法实施条例》及有关释义，银行、保险、石油石化、电力、电信运营商等有行业特殊情况的，其分支机构可参与投标，即其分支机构可视为“具有独立承担民事责任能力的其他组织”。</w:t>
      </w:r>
    </w:p>
    <w:p>
      <w:pPr>
        <w:spacing w:line="360" w:lineRule="auto"/>
        <w:ind w:firstLine="480" w:firstLineChars="200"/>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3</w:t>
      </w:r>
      <w:r>
        <w:rPr>
          <w:rFonts w:hint="eastAsia" w:asciiTheme="minorEastAsia" w:hAnsiTheme="minorEastAsia" w:eastAsiaTheme="minorEastAsia"/>
          <w:color w:val="auto"/>
          <w:szCs w:val="24"/>
          <w:highlight w:val="none"/>
        </w:rPr>
        <w:t>2．8若投标人为其他组织或个体工商户等非法人投标人，其他组织的负责人、个体工商户的经营者等同于采购文件中规定的法定代表人，其他组织的负责人、个体工商户经营者的签名同于采购文件中规定的法定代表人签名。</w:t>
      </w:r>
    </w:p>
    <w:p>
      <w:pPr>
        <w:spacing w:line="360" w:lineRule="auto"/>
        <w:ind w:firstLine="480" w:firstLineChars="200"/>
        <w:rPr>
          <w:rFonts w:asciiTheme="minorEastAsia" w:hAnsiTheme="minorEastAsia" w:eastAsiaTheme="minorEastAsia"/>
          <w:color w:val="auto"/>
          <w:szCs w:val="24"/>
          <w:highlight w:val="none"/>
        </w:rPr>
      </w:pPr>
    </w:p>
    <w:p>
      <w:pPr>
        <w:spacing w:line="360" w:lineRule="auto"/>
        <w:ind w:firstLine="480" w:firstLineChars="20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br w:type="page"/>
      </w:r>
    </w:p>
    <w:bookmarkEnd w:id="82"/>
    <w:p>
      <w:pPr>
        <w:pStyle w:val="3"/>
        <w:numPr>
          <w:ilvl w:val="0"/>
          <w:numId w:val="2"/>
        </w:numPr>
        <w:rPr>
          <w:rFonts w:asciiTheme="minorEastAsia" w:hAnsiTheme="minorEastAsia" w:eastAsiaTheme="minorEastAsia"/>
          <w:color w:val="auto"/>
          <w:highlight w:val="none"/>
        </w:rPr>
      </w:pPr>
      <w:bookmarkStart w:id="87" w:name="_Toc46510701"/>
      <w:bookmarkStart w:id="88" w:name="_Toc4023"/>
      <w:bookmarkStart w:id="89" w:name="_Toc46510725"/>
      <w:bookmarkStart w:id="90" w:name="_Toc238907075"/>
      <w:r>
        <w:rPr>
          <w:rFonts w:hint="eastAsia" w:asciiTheme="minorEastAsia" w:hAnsiTheme="minorEastAsia" w:eastAsiaTheme="minorEastAsia"/>
          <w:color w:val="auto"/>
          <w:highlight w:val="none"/>
        </w:rPr>
        <w:t>采购需求</w:t>
      </w:r>
      <w:bookmarkEnd w:id="87"/>
      <w:bookmarkEnd w:id="88"/>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一、采购清单</w:t>
      </w:r>
    </w:p>
    <w:p>
      <w:pPr>
        <w:pStyle w:val="27"/>
        <w:spacing w:line="360" w:lineRule="auto"/>
        <w:rPr>
          <w:rFonts w:asciiTheme="minorEastAsia" w:hAnsiTheme="minorEastAsia" w:eastAsiaTheme="minorEastAsia"/>
          <w:color w:val="auto"/>
          <w:highlight w:val="none"/>
        </w:rPr>
      </w:pPr>
    </w:p>
    <w:tbl>
      <w:tblPr>
        <w:tblStyle w:val="40"/>
        <w:tblW w:w="9030" w:type="dxa"/>
        <w:tblInd w:w="-134" w:type="dxa"/>
        <w:tblLayout w:type="fixed"/>
        <w:tblCellMar>
          <w:top w:w="0" w:type="dxa"/>
          <w:left w:w="108" w:type="dxa"/>
          <w:bottom w:w="0" w:type="dxa"/>
          <w:right w:w="108" w:type="dxa"/>
        </w:tblCellMar>
      </w:tblPr>
      <w:tblGrid>
        <w:gridCol w:w="1165"/>
        <w:gridCol w:w="4108"/>
        <w:gridCol w:w="1217"/>
        <w:gridCol w:w="1270"/>
        <w:gridCol w:w="1270"/>
      </w:tblGrid>
      <w:tr>
        <w:tblPrEx>
          <w:tblCellMar>
            <w:top w:w="0" w:type="dxa"/>
            <w:left w:w="108" w:type="dxa"/>
            <w:bottom w:w="0" w:type="dxa"/>
            <w:right w:w="108" w:type="dxa"/>
          </w:tblCellMar>
        </w:tblPrEx>
        <w:trPr>
          <w:trHeight w:val="604"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auto"/>
                <w:szCs w:val="24"/>
                <w:highlight w:val="none"/>
              </w:rPr>
            </w:pPr>
            <w:r>
              <w:rPr>
                <w:rFonts w:hint="eastAsia" w:ascii="宋体" w:hAnsi="宋体" w:cs="宋体"/>
                <w:b/>
                <w:bCs/>
                <w:color w:val="auto"/>
                <w:kern w:val="0"/>
                <w:szCs w:val="24"/>
                <w:highlight w:val="none"/>
              </w:rPr>
              <w:t>序号</w:t>
            </w:r>
          </w:p>
        </w:tc>
        <w:tc>
          <w:tcPr>
            <w:tcW w:w="4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auto"/>
                <w:szCs w:val="24"/>
                <w:highlight w:val="none"/>
              </w:rPr>
            </w:pPr>
            <w:r>
              <w:rPr>
                <w:rFonts w:hint="eastAsia" w:ascii="宋体" w:hAnsi="宋体" w:cs="宋体"/>
                <w:b/>
                <w:bCs/>
                <w:color w:val="auto"/>
                <w:kern w:val="0"/>
                <w:szCs w:val="24"/>
                <w:highlight w:val="none"/>
              </w:rPr>
              <w:t>设备名称</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auto"/>
                <w:szCs w:val="24"/>
                <w:highlight w:val="none"/>
              </w:rPr>
            </w:pPr>
            <w:r>
              <w:rPr>
                <w:rFonts w:hint="eastAsia" w:ascii="宋体" w:hAnsi="宋体" w:cs="宋体"/>
                <w:b/>
                <w:bCs/>
                <w:color w:val="auto"/>
                <w:kern w:val="0"/>
                <w:szCs w:val="24"/>
                <w:highlight w:val="none"/>
              </w:rPr>
              <w:t>数量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auto"/>
                <w:szCs w:val="24"/>
                <w:highlight w:val="none"/>
              </w:rPr>
            </w:pPr>
            <w:r>
              <w:rPr>
                <w:rFonts w:hint="eastAsia" w:ascii="宋体" w:hAnsi="宋体" w:cs="宋体"/>
                <w:b/>
                <w:bCs/>
                <w:color w:val="auto"/>
                <w:kern w:val="0"/>
                <w:szCs w:val="24"/>
                <w:highlight w:val="none"/>
              </w:rPr>
              <w:t>单位</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b/>
                <w:bCs/>
                <w:color w:val="auto"/>
                <w:kern w:val="0"/>
                <w:szCs w:val="24"/>
                <w:highlight w:val="none"/>
              </w:rPr>
            </w:pPr>
            <w:r>
              <w:rPr>
                <w:rFonts w:hint="eastAsia" w:ascii="宋体" w:hAnsi="宋体" w:cs="宋体"/>
                <w:b/>
                <w:bCs/>
                <w:color w:val="auto"/>
                <w:kern w:val="0"/>
                <w:szCs w:val="24"/>
                <w:highlight w:val="none"/>
              </w:rPr>
              <w:t>备注</w:t>
            </w:r>
          </w:p>
        </w:tc>
      </w:tr>
      <w:tr>
        <w:tblPrEx>
          <w:tblCellMar>
            <w:top w:w="0" w:type="dxa"/>
            <w:left w:w="108" w:type="dxa"/>
            <w:bottom w:w="0" w:type="dxa"/>
            <w:right w:w="108" w:type="dxa"/>
          </w:tblCellMar>
        </w:tblPrEx>
        <w:trPr>
          <w:trHeight w:val="34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食堂设备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12"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2</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宿舍设备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78"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3</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演出活动厅设备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10"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4</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户外LED屏改造</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91"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5</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户外师生运动器材</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374"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6</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教学楼LED屏</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82"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7</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学农基地改造</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24"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8</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足球场改造</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r>
        <w:tblPrEx>
          <w:tblCellMar>
            <w:top w:w="0" w:type="dxa"/>
            <w:left w:w="108" w:type="dxa"/>
            <w:bottom w:w="0" w:type="dxa"/>
            <w:right w:w="108" w:type="dxa"/>
          </w:tblCellMar>
        </w:tblPrEx>
        <w:trPr>
          <w:trHeight w:val="461"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9</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Cs w:val="24"/>
                <w:highlight w:val="none"/>
              </w:rPr>
            </w:pPr>
            <w:r>
              <w:rPr>
                <w:rFonts w:hint="eastAsia" w:ascii="宋体" w:hAnsi="宋体" w:cs="宋体"/>
                <w:color w:val="auto"/>
                <w:kern w:val="0"/>
                <w:szCs w:val="24"/>
                <w:highlight w:val="none"/>
              </w:rPr>
              <w:t>其它设备</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1</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Cs w:val="24"/>
                <w:highlight w:val="none"/>
              </w:rPr>
            </w:pPr>
            <w:r>
              <w:rPr>
                <w:rFonts w:hint="eastAsia" w:ascii="宋体" w:hAnsi="宋体" w:cs="宋体"/>
                <w:color w:val="auto"/>
                <w:kern w:val="0"/>
                <w:szCs w:val="24"/>
                <w:highlight w:val="none"/>
              </w:rPr>
              <w:t>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kern w:val="0"/>
                <w:szCs w:val="24"/>
                <w:highlight w:val="none"/>
              </w:rPr>
            </w:pPr>
          </w:p>
        </w:tc>
      </w:tr>
    </w:tbl>
    <w:p>
      <w:pPr>
        <w:spacing w:line="360" w:lineRule="auto"/>
        <w:rPr>
          <w:rFonts w:asciiTheme="minorEastAsia" w:hAnsiTheme="minorEastAsia" w:eastAsiaTheme="minorEastAsia"/>
          <w:color w:val="auto"/>
          <w:highlight w:val="none"/>
        </w:rPr>
      </w:pPr>
    </w:p>
    <w:p>
      <w:pPr>
        <w:pStyle w:val="2"/>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二、设备技术参数要求</w:t>
      </w:r>
    </w:p>
    <w:tbl>
      <w:tblPr>
        <w:tblStyle w:val="40"/>
        <w:tblW w:w="9113" w:type="dxa"/>
        <w:tblInd w:w="-148" w:type="dxa"/>
        <w:tblLayout w:type="fixed"/>
        <w:tblCellMar>
          <w:top w:w="0" w:type="dxa"/>
          <w:left w:w="108" w:type="dxa"/>
          <w:bottom w:w="0" w:type="dxa"/>
          <w:right w:w="108" w:type="dxa"/>
        </w:tblCellMar>
      </w:tblPr>
      <w:tblGrid>
        <w:gridCol w:w="796"/>
        <w:gridCol w:w="960"/>
        <w:gridCol w:w="5315"/>
        <w:gridCol w:w="662"/>
        <w:gridCol w:w="14"/>
        <w:gridCol w:w="703"/>
        <w:gridCol w:w="13"/>
        <w:gridCol w:w="635"/>
        <w:gridCol w:w="15"/>
      </w:tblGrid>
      <w:tr>
        <w:tblPrEx>
          <w:tblCellMar>
            <w:top w:w="0" w:type="dxa"/>
            <w:left w:w="108" w:type="dxa"/>
            <w:bottom w:w="0" w:type="dxa"/>
            <w:right w:w="108" w:type="dxa"/>
          </w:tblCellMar>
        </w:tblPrEx>
        <w:trPr>
          <w:trHeight w:val="505" w:hRule="atLeast"/>
        </w:trPr>
        <w:tc>
          <w:tcPr>
            <w:tcW w:w="9113"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厨房设备清单</w:t>
            </w: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编号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规格</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单位</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备注</w:t>
            </w: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热炒区</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双层工作台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1360*800*800mm±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双层工作台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1800*800*800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22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油烟净化一体机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4500*1400*600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304#磨砂不锈钢板材制作，板材厚度1.0MM，1.设备为全201不锈钢材质，内置静电油烟净化单元、动态油烟分离单元以及自带抽风动力，带LED照明灯，可前/后/上三向出风，灵活安装；</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2.电场为铝合金板式净化结构，净化效率高；电离部分采用不锈钢齿形结构，不易拉断，坚固耐用；同时满足可单独拆卸，方便设备清洗维护保养；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3.电场主体绝缘子采用聚四氟绝缘子，设备高压电源输出绝缘子采用聚四氟绝缘子；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设备电源为智能数字高频高压电源，内置微电脑芯片，可选择高效、延长清洗周期、安全等工作模式，高压数字电源发生器需配置有电流调节功能，并带有多项保护功能，包括软启动、电场短路保护，放电跳停保护、电源过载保护和变压器过温保护等多重保护功能，确保设备安全；</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燃气双头大锅灶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2100*1150*800/450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，采用304不锈钢磨砂板制作，板材厚度为1.2mm，配置国内天然气炉头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配置550W低噪音高效风机</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靠墙型油网烟罩</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304#磨砂不锈钢板材制作，板材厚度1.0MM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71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六门双温高身雪柜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1800*705*1950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，电源:220V/50HZ,门数:4,制冷方式:直冷,温度范围:+4 - -5℃/-3 - -18℃,制冷剂:R134A,容积:≥980L；不锈钢,钣金成型设备,经久耐用;微电脑控制,多按键设计,操作简便;硬质环戊烷聚氨酯整体磨具发泡,节能保温,无氟环保;门体自动回归铰链;不锈钢门衬板和内底板圆弧拐角,无死角;防垢外置门把手;高效制冷机组,压缩机,噪音小;制冷冷机组和压缩机单独安装,噪音小</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燃气双头矮汤炉</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1200*700*550/650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，采用304不锈钢磨砂板制作，板材厚度为1.2mm，配置国内天然气炉头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配置550W低噪音高效风机</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蒸饭间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洗米机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550*450*850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360°循环水洗  </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自动排除漂浮物  </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超声波震动器   </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单次清洗≥35KG</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带格栅工作台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1000*760*800/150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12盘蒸饭柜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电压：220V，功率：8千瓦，蒸饭时间：25-50min，自动进水，缺水断电，防止干烧，定温定时控制器，内箱201不锈钢材质，泄压阀，发热管为304不锈钢，耐高温橡塑加重脚轮，一机多用</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排风</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墙面开孔及修补，排风扇及安装等</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排水</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地面排水改造，含接水盘、导水管等</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售饭区</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电热暖汤车</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600*700*800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五格保温售饭台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1800*700*800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单通打荷台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1200*700*800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双门双星盆台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1200*700*800/100mm±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041"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四门双温高身雪柜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1200*705*1950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，电源:220V/50HZ,门数:4,制冷方式:直冷,温度范围:+4 - -5℃/-3 - -18℃,制冷剂:R134A,容积:≥980L；不锈钢,钣金成型设备,经久耐用;微电脑控制,多按键设计,操作简便;硬质环戊烷聚氨酯整体磨具发泡,节能保温,无氟环保;门体自动回归铰链;不锈钢门衬板和内底板圆弧拐角,无死角;防垢外置门把手;高效制冷机组,压缩机,噪音小;制冷冷机组和压缩机单独安装</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双星洗手池带电子感应龙头</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900*450*250/150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，304#磨砂不锈钢板材制作，板材厚度 1.0MM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配电子感应龙头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餐具储存间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移门碗碟柜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1200*500*1800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移门碗碟柜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1100*500*1800mm±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43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热风循环工程双门消毒柜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1310*690*1980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电源：220V，功率：4.4千瓦，容积：720L，温度范围20-150度，层架承重：≥25KG；不锈钢板材，整体拉伸箱底干净卫生，采用保温棉保温，双温度传感器，放心使用，浅框设计，双温度传感器，操作方便，360℃高温热风循环，消毒等级可达二星级</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38"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鱼类加工</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单星杀鱼台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1640*800*800/150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肉类加工</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双星中平台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1800*800*800/150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绞切肉机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1、采用不锈钢制作厚度为1.0mm；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2、电机功率:1.1kw/220v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3、滚刀转速:505r/min,绞刀转速:325r/min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4、加工能力:绞肉150kg/h,肉丝200kg/h,肉片400kg/h。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菜类加工</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圆脚四层栅格层架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1780*500*1550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，304#磨砂不锈钢板材制作，板材厚度 1.0MM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立柱1.0mm钢板定制，打孔可调节层板位置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全钢可调节子弹脚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三星盆台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1800*800*800/150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16"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面点间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木质案板台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1500*800*800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，不锈钢架+木面</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1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压面机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535*410*1020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，电源:220V/380V/50HZ,功率:1.5KW,生产能力:80KG/H,压轴调整范围:1-25MM,压轴转速:110R/MIN,防水等级:IPX1；弱点控制,压面辊特殊处理,不易生锈,压面光洁,单相增加变频器,更静音,链条传动,噪音低,高速系列,转速高,效率高</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单星盆台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700*700*800/100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四门高身雪柜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1200*705*1950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，风冷温度：10-~20度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冷冻温度：-15~0度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制冷方式：直冷（管冷）</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能效等级: 一级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箱门材质: 不锈钢,多层保温</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门数量: 4门</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和面机（380V）</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304#不锈钢材质；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功率：≥2.2KW；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效率：150kg/h；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一次性和面量：≥25kg。</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1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台式搅拌机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规格：400*240*390mm±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；额定电压：220V；功率：350W；料桶容积：7L.全自动无级变速、有三个不同功能打头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1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双门醒发箱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30层,双门，全钢板材制作利用电热管对水加热,温控和温度自动控制,大幕玻璃门,工作温度为35 度-40 度,性能稳定.220V</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2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烤箱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三层六盘，采用304 不锈钢板，厚度1.3mm，功率：≥19.5KW，精准温控，温度范围：50-300 度，电源：380V/50HZ内设隔热保温层，安全，提高热效率，采用远红外金属电热管加热，加热速度快、温度均匀、省电，过热保护装置在超温时能全极断开电源。</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主食库</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米面台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1000*600*300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，201#磨砂不锈钢板材制作，板材厚度 1.0MM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立柱1.0mm钢板定制，打孔可调节层板位置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米面台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1500*600*300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48"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副食库</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圆脚四层平板层架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1200*500*1550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灭蝇灯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370*70*450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，外壳采用铝型材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用恒流高压变压器，采用粗线经、宽网缝电网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采用诱中灯管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电功率：40W</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冷藏库</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圆脚四层平板层架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1500*500*1550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单掩门冷库</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1649*3596*2800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，材质：彩钢板  谷轮机组</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微电脑智能自动恒温</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全铜加大冷凝器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低噪音设计&lt;20Db</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检测间</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单通打荷台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1800*700*800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支撑管采用40不锈钢管配可活动脚</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留样柜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600*515*1600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，无机械转动，静音省电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食品级材质，安全无异味</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食品留样2-3天</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8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食材检测设备</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含：全功能食品快速检测仪1台（≧10通道，含全套检测配件）；农药残留英语课盒、亚硝酸盐试剂盒、重金属试剂盒、双氧水试剂盒、甲醛试剂盒、亚硝酸盐试剂盒、吊白块试剂盒、硼砂试剂盒（以上试剂盒≧20盒）；瘦肉精检测卡≧50张，</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w:t>
            </w:r>
          </w:p>
        </w:tc>
        <w:tc>
          <w:tcPr>
            <w:tcW w:w="6275" w:type="dxa"/>
            <w:gridSpan w:val="2"/>
            <w:tcBorders>
              <w:top w:val="single" w:color="000000" w:sz="4" w:space="0"/>
              <w:left w:val="single" w:color="000000" w:sz="4" w:space="0"/>
              <w:bottom w:val="single" w:color="000000" w:sz="4" w:space="0"/>
              <w:right w:val="nil"/>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更衣室</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12格更衣柜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900*300*1800 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，304#磨砂不锈钢板材制作，板材厚度1.0MM   </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w:t>
            </w:r>
          </w:p>
        </w:tc>
        <w:tc>
          <w:tcPr>
            <w:tcW w:w="6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餐厅</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餐桌椅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1.桌面采用玻璃钢制成，规格：1.2M*0.6M；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2、框架采用冷轧钢</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3.连带4张玻璃钢坐凳</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61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信息显示屏</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1、≥65寸液晶屏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2、面板类型：LED</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3、显示比例：16：9</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4、分辨率：1920X1080</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5、可视角度：178度</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6、支架U盘导入信息、通过WIFI导入信息</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7、支持文字、图片、视频等多种信息展示</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8、壁挂式，带挂架</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不锈钢收送餐车</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三层，用材标准：SUS-304不锈钢  详细说明：台面采用SUS304厚度1.2mm磨砂不锈钢板。采用1.2mm磨砂不锈钢板支架为20圆管，配4只脚轮。</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不锈钢取餐台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用材标准：SUS-304不锈钢  详细说明：台面采用SUS304厚度1.2mm磨砂不锈钢板。支撑采用不锈钢20方管，固定安装</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6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其它设备</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空调匹数:1匹，制冷量：2600W；能效等级：≥2级；安装方式：挂式；含内外机挂架，铜管加长（5米内）含安装及运输</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388"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饮水机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1.电源：220V 50Hz，功率：3KW；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2.尺寸900mm×410mm×1100mm ±5mm；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3.水胆容量≥26L；</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4.出水口：三个龙头,一开两温。</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5.出水：开水≥20L/H温开水≥80L/H，过滤配置（PP棉+烧结活性炭+颗粒活性炭），保证出水水质达到或高于国家标准GB5749-2006。(提供第三方检测机构出具的检测报告复印件加盖投标单位公章)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 产品材质：水槽采用304不锈钢，厚度≥0.8mm；水胆采用304不锈钢，厚度≥1.0mm；水槽、水胆的材料化学成分含量应符合GB/T11170-2008、GB/T20123-2006标准且送检单位必须为投标产品生产厂家。(提供第三方检测机构出具的检测报告复印件加盖投标单位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7.产品必须符合食品安全国家标准GB 4806.7-2016，GB 4806.9-2016，GB 4806.11-2016(提供第三方检测机构出具的检测报告复印件加盖投标单位公章)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8. 水槽采用一体冲压成型水槽没有焊点，门板采用一体压花成型图案带3D纳米防指纹图层，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 所使用的滤芯、主要配件水胆和热交换器具有卫生部门颁发的涉水卫生许可批件，和饮水机均为同一品牌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 智能滤芯识别、监测技术：具有滤芯真伪射频识别、使用寿命提醒功能，保证水质卫生安全；（需提供国家质检、技术部门所出具的证书复印件。）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 设备所使用的ABS塑料阀，水龙头和滤壳必须符合生活饮水输配水及防护材料卫生安全评价范围。(提供第三方检测机构出具的检测报告复印件加盖投标单位公章)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12.节能技术：采用饮水机用高效热交换器技术，内外管均采用304不锈钢波纹管，高效节能，节省加热时间和电源，水温调控不得采用原水或经过净化的原水和开水直接混合方式。（提供相关证明材料）</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13.设有液晶中文显示屏。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14.为保证节能饮水机的安全，保障用户的安全，采用常压式节能饮水机技术，使节能饮水机系统不承压。</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15.采用双联水阀常压技术或水电联动阀技术：打开龙头时，水路和电路控制系统同步，该技术使内胆承受压强和冲击力大大降低，增加内胆使用寿命。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16.可防爆、防触电、防渗漏、防干烧、防缺水、防超温、防火、防蒸汽，安全可靠；防触电保护I类，外壳防护等级IP44。</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17.设备外表平整光滑，其易触及零部件棱边和尖角圆滑；</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18.配置泄压装置，确保内胆的使用安全及延长内胆使用寿命。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19.整机采用电脑主板进行智能化管理，做到无人值守、自我管理。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20.生产厂商同时通过ISO9001、ISO14001、OHSAS18001认证，中国节能认证，拥有全国工业生产许可证，投标产品必须投保保险，保险金额应≥6千万，提供相关证书复印件。</w:t>
            </w:r>
          </w:p>
          <w:p>
            <w:pPr>
              <w:pStyle w:val="27"/>
              <w:rPr>
                <w:b/>
                <w:color w:val="auto"/>
                <w:highlight w:val="none"/>
              </w:rPr>
            </w:pPr>
            <w:r>
              <w:rPr>
                <w:rFonts w:hint="eastAsia" w:ascii="宋体" w:hAnsi="宋体" w:cs="宋体"/>
                <w:b/>
                <w:color w:val="auto"/>
                <w:kern w:val="0"/>
                <w:sz w:val="22"/>
                <w:szCs w:val="22"/>
                <w:highlight w:val="none"/>
              </w:rPr>
              <w:t>★21. 通过3C认证，提供证书复印件加盖厂家公章。</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不锈钢油缸</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￠25 CM，采用SUS304不锈钢，高度15CM</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不锈钢调料缸</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 CM，采用SUS304不锈钢，高度8CM</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不锈钢大盆</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 CM，采用SUS304不锈钢，高度16CM</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不锈钢中盆</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￠40 CM，采用SUS304不锈钢，高度12CM</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木柄大炒菜铲</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不锈钢大勺</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长800mm，采用SUS304不锈钢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不锈钢水舀</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钢刀</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长约200mm，采用SUS304不锈钢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砍骨刀</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长约200mm，采用SUS304不锈钢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柳木刀板</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500*500*150 mm，选用柳木材质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木柄大漏勺</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 Φ400MM，采用SUS304不锈钢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厨师服</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定型，棉质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件</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厨师帽</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定型，棉质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顶</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大垃圾桶</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240L，环保材料、有盖</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餐厅消毒灯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功率：20W，消毒方式：紫外线消毒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5格快餐盘</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汤勺</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筷子</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木筷</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双</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不锈钢汤碗</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Φ15CM采用SUS304不锈钢</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IC卡消费机</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1、双面液晶显示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2、壁挂式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3、可通过网络集中管理</w:t>
            </w:r>
          </w:p>
          <w:p>
            <w:pPr>
              <w:pStyle w:val="27"/>
              <w:spacing w:line="360" w:lineRule="auto"/>
              <w:rPr>
                <w:color w:val="auto"/>
                <w:highlight w:val="none"/>
              </w:rPr>
            </w:pPr>
            <w:r>
              <w:rPr>
                <w:rFonts w:hint="eastAsia" w:ascii="宋体" w:hAnsi="宋体" w:cs="宋体"/>
                <w:color w:val="auto"/>
                <w:kern w:val="0"/>
                <w:sz w:val="22"/>
                <w:szCs w:val="22"/>
                <w:highlight w:val="none"/>
              </w:rPr>
              <w:t>4、含管理软件一套，功能：人员管理（增加、删除人员）、卡管理（发卡、换卡、销卡)、消费管理（消费报表、卡充值、人员报表），配USB接口IC卡发卡器一套</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饭卡</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1、IC卡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2、可选钥匙扣型或卡片型</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不锈钢收残车</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整体采用不锈钢制作，底部带4个滚轮，车上设有推手，尺寸为900*500*900MM ±</w:t>
            </w:r>
            <w:r>
              <w:rPr>
                <w:rFonts w:ascii="宋体" w:hAnsi="宋体" w:cs="宋体"/>
                <w:color w:val="auto"/>
                <w:kern w:val="0"/>
                <w:sz w:val="22"/>
                <w:szCs w:val="22"/>
                <w:highlight w:val="none"/>
              </w:rPr>
              <w:t>5%</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厨房杂件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内含：防鼠栏 2套；水管接头30个，水管100米，聚水器一个（大小根据设备安装后的情况定制），水管卡扣60个，6平方电源线200米，16A明装墙插20个及其它设备安装需要的杂件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吊顶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主体布局为通用铝方通材质，侧板采用铝扣板，含照明灯光，含安装和辅材</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平方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水电配套</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水管、线路安装及改造</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配件及安装</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安装调试、运输及配件</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50" w:hRule="atLeast"/>
        </w:trPr>
        <w:tc>
          <w:tcPr>
            <w:tcW w:w="9113"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宿舍设备</w:t>
            </w: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规格参数</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单位</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备注</w:t>
            </w:r>
          </w:p>
        </w:tc>
      </w:tr>
      <w:tr>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学生储物柜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木质，60*60*1120CM，一柜六格柜顶面</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学生储物柜</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木质，60*60*1300CM，一柜六格柜顶面</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鞋架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不锈钢，35*54*135CM，</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空调匹数:1匹，制冷量：2600W；能效等级：≥2级；安装方式：挂式；含内外机挂架，铜管加长（5米内）含安装及运输</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50" w:hRule="atLeast"/>
        </w:trPr>
        <w:tc>
          <w:tcPr>
            <w:tcW w:w="9113"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演出活动厅清单</w:t>
            </w: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规格参数</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单位</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480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户内全彩LED模组</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1.LED灯珠选用表贴三合一等原厂铜线封装，LED封装形式：SMD1515黑灯。</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2.LED灯珠发光点颜色组合（像素结构）由1R1G1B构成。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3.驱动IC采用高刷IC技术，采用恒流驱动方式，刷新频率≥3840Hz。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4.LED显示屏采用≤2.0mm点间距，像素密度≥250000点/㎡。</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5.模组尺寸：256*128（mm），模组分辨率≥128*64，规格：磁吸式；支持前维护。</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6.亮度要求满足200-800CD/㎡，对比度可达对比度：10000:1，并支持亮度/ 色度矫正功能，支持单点色度校正，软件具有亮暗线修缝，亮度均匀性≥98%，色度均匀性±0.003Cx，Cy之内。</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7.为保证观看和播放效果，要求观看水平视角≥160°、垂直视角≥160°，换帧频率≥60Hz，灰度等级支持12/14/16bit；要求LED显示屏具有防消影技术，无鬼影、无拖影，无“毛毛虫”现象。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8.LED显示屏像素失控率≤1/10000，且无连续失控点。要求LED显示屏使用寿命100000H，平均无故障时间：≥10000H。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9.LED显示屏需能在-10℃至40℃的温度中正常运行。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10.LED显示屏PCB板需经过EN60695-2-11:2014标准检测，阻燃等级V-0级。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11.LED显示屏需经过抗紫外线UV测试并符合要求。</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12.LED显示屏需通过中性盐雾抗腐蚀性GB2423.17-2008标准试验，进行72小时试验后无明显腐蚀现象，应能正常工作。</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13.LED显示屏须经过噪音测试，并要求屏前2米处噪音≤6dB。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14.为充分保证模块抗氧化性，模组PCB板应采用沉金工艺处理方式，模组接插件信号简牛、电源座采用镀金工艺处理，有效提高信号传输、直流供电稳定性，镀金厚度≥2μ。</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 xml:space="preserve">255.0000 </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4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发送盒</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1.一路DVI视频输入。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2.一路HDMI高清视频输入。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3.一路音频输入。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4.六路网口输出。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5.USB接口控制，可级联多台进行统一控制。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6.带载能力达230万像素，最宽可达3840点，或最高可达3840点。</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3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户内单红LED屏</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1.LED封装形式：SMD2121，发光点颜色组合：1R。</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2.物理点间距：4.75mm；分辨率：44321点/m²。</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3.单元板分辨率(</w:t>
            </w:r>
            <w:r>
              <w:rPr>
                <w:rFonts w:ascii="宋体" w:hAnsi="宋体" w:cs="宋体"/>
                <w:color w:val="auto"/>
                <w:kern w:val="0"/>
                <w:sz w:val="22"/>
                <w:szCs w:val="22"/>
                <w:highlight w:val="none"/>
              </w:rPr>
              <w:t>DPI</w:t>
            </w:r>
            <w:r>
              <w:rPr>
                <w:rFonts w:hint="eastAsia" w:ascii="宋体" w:hAnsi="宋体" w:cs="宋体"/>
                <w:color w:val="auto"/>
                <w:kern w:val="0"/>
                <w:sz w:val="22"/>
                <w:szCs w:val="22"/>
                <w:highlight w:val="none"/>
              </w:rPr>
              <w:t>)：64*32，单元板尺寸（mm）：304*152，白平衡亮度：200CD/m²。</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4.水平视角：120°；垂直视角：120°。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5.杂点率：≤1/10000且无连续失控点</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6.平均无故障时间：≥10000H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7.控制方式：异步控制；驱动器件：恒流；刷新频率：360Hz；换帧频率：≥60Hz；驱动方式：1/16扫描。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8.环境温度：存储-35℃~+85℃，工作温度：－20℃~+50℃。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9.亮度调节方式：软件0到16无级调节。</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1.LED封装形式：SMD2121，发光点颜色组合：1R。</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2.物理点间距：4.75mm；分辨率：44321点/m²。</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3.单元板分辨率：64*32，单元板尺寸（mm）：304*152，白平衡亮度：200CD/m²。</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4.水平视角：120°；垂直视角：120°。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5.杂点率：≤1/10000且无连续失控点</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6.平均无故障时间：≥10000H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7.控制方式：异步控制；驱动器件：恒流；刷新频率：360Hz；换帧频率：≥60Hz；驱动方式：1/16扫描。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8.环境温度：存储-35℃~+85℃，工作温度：－20℃~+50℃。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9.亮度调节方式：软件0到16无级调节。</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平方米</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82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控制卡</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1.支持控制单色1024K点：8192*128、5440*192、4096*256；双色512K点：8192*64、4096*128、2720*192、2048*256。</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2.支持适配各种规格的单色/双基色LED显示屏。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3.支持分组集群管理、多节目编辑、多区域显示、多种语言版本。</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4.支持256个节目，每个节目划分为32个区域。</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5.支持中英文语音播报功能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6.支持区域有天气区、图文区、字幕区、动画区、农历区、时间区、模拟表盘区、正负计时区、传感器区。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7.支持节目炫彩边框、区域炫彩边框。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8.支持时钟显示农历、模拟表盘、中英文时钟、正负计时 (均支持多组显示)。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9.支持温度、温湿度、亮度传感器；，扩展支持其它RS485接口传感器。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10.支持遥控器功能、节目选择、画面锁定、亮度调整、开关机、屏幕测试。</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11.支持风速、风向、空气质量、噪声、大气压力、光照等各类环境监测传感器的便捷接入和显示。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12.支持16级亮度，支持分时调亮、软件调亮、遥控调亮。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13.支持定时自动开关机、软件开关机、遥控开关机。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14.支持二次开发，提供完整功能的DLL动态库。</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15.支持屏幕配置参数的保存与回读。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16.支持全能编辑器便捷支持蒙古文、希伯来文、阿拉伯文等任意排版规则，轻松实现横屏竖排。</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转接板</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1.配套转接板，双色；5PIN背插连接，结构紧凑；最大高度：128行（4组T8接口）。</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钢结构</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定制钢结构落地拼接设计，采用20mm*40mm/40mm*80mm方管定做，管厚不低于1.5mm，整体结构稳固；防静电、防锈处理；结构整体用黑色不锈钢包边</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发送板卡</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1.软件回显输出卡兼控制卡，可对输入的信号进行可视化识别，通过显示器即可查看系统的当前显示状态。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2.具有流畅清晰的预监回显界面，软件运行图像回显刷新速度＞30Hz。</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接收板卡</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1.LED图像处理器的高清图像输入板卡，支持4路HDMI高清数字信号输入。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2.接口类型：HDMI Type A，接口数量：4个</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3.板卡尺寸：≥210*240*20mm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4.信号类型：HDMI高清数字信号</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5.HDCP：支持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6.EDID编辑：支持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7.信号分辨率：1920*1080@60Hz</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张</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7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配电柜</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1.额定功率：50KW，输出路数：15路</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2.配电柜输入电压为交流380V±15%，工频50Hz。具有过压、浪涌、短路、过流、过载、漏电等保护功能。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3.内置避雷器，具有避雷防雷功能。</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线材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屏体和配电柜所需动力电缆、电源线、网线、强弱电材料槽式电缆桥架等</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台式电脑</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办公台式电脑整机≥(Intel i5-10400F  8G 1T+128GSSD GT730 2G独显 键鼠 )21.5英寸</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200W面光灯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   压：AC100-230V 50-60Hz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源：led 4颗50WCOB灯珠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消耗功率：250W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   温：冷白5600K暖白3200K</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   光：0-100%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控制模式：DMX512,自走，声控，主从</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通    道：8CH</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产品尺寸：220*230*320mm±5%</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防护等级: IP20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0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LED影视会议灯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输入电压：AC100-240V/50/60HZ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源：432颗0.5W 5730 LED</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消耗功率：260W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光源寿命：50000小时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通 量：3200K标准光通量55lm、5600K标准光通量60lm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效：3200K标准光效112 lm/W、5600K标准光效125 lm/W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    温：3200K/5600K双色（3200K+5600K）可选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显色指数：Ra≥90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驱动方式：恒流驱动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    光：0~100%线性电子调光（16bit无闪烁调光）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频    闪：1~30次/秒</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灯体温度：≥55℃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冷却系统：高导热纯铝成型散热器（超静音风机散热）</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光源类型：泛光型</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控制方式：标准DMX512信号，手动调光、频闪，主从模式同步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控制模式：单色1CH/2CH通道可选、双色3CH/4CH通道可选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操    作：数码管显示控制地址码和调光数值</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产品尺寸：≥583*300*150mm</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55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LED帕灯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电   压：AC100-230V 50-60Hz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LED光源：54颗x3w RGBW/RGBA LED (54颗3合一3W可选）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消耗功率：180W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   温：可调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角   度：25°或是45°光束角度可选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照   度：4960Lux（5米距离）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   光：0-100%线性电子调光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频   闪：高速白光或RGBW 频闪效果，频率范围为1-13Hz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可承温度：可承受40°C 最大环境使用温度，可承受60°最大灯体温度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性能特点：内置自走功能，RGB或RGB+琥珀色可选，60000-100000小时灯珠寿命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控制模式：DMX512,自走，声控，主从</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通    道：8CH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产品尺寸：≥245*245*355mm</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防护等级: IP20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72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LED影视会议灯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输入电压：AC100-240V/50/60HZ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源：432颗0.5W 5730 LED</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消耗功率：260W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光源寿命：50000小时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通 量：3200K标准光通量55lm、5600K标准光通量60lm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    效：3200K标准光效112 lm/W、5600K标准光效125 lm/W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    温：3200K/5600K双色（3200K+5600K）可选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显色指数：Ra≥90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驱动方式：恒流驱动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    光：0~100%线性电子调光（16bit无闪烁调光）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频    闪：1~30次/秒</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灯体温度：≥55℃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冷却系统：高导热纯铝成型散热器（超静音风机散热）</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光源类型：泛光型</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控制方式：标准DMX512信号，手动调光、频闪，主从模式同步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控制模式：单色1CH/2CH通道可选、双色3CH/4CH通道可选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操    作：数码管显示控制地址码和调光数值</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产品尺寸：≥583*300*150mm</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97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LED帕灯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   压：AC100-230V 50-60Hz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LED光源：54颗x3w RGBW/RGBA LED (54颗3合一3W可选）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消耗功率：180W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   温：可调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角   度：25°或是45°光束角度可选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照   度：4960Lux（5米距离）</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   光：0-100%线性电子调光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频   闪：高速白光或RGBW 频闪效果，频率范围为1-13Hz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可承温度：可承受40°C 最大环境使用温度，可承受60°最大灯体温度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性能特点：内置自走功能，RGB或RGB+琥珀色可选，60000-100000小时灯珠寿命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控制模式：DMX512,自走，声控，主从</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通    道：8CH</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产品尺寸：≥245*245*355mm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防护等级: IP20</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9</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2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1024控制台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带art-net内置模拟器，可直接连接电脑 模拟灯光效果</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带RDM功能，可直接在控台上面设置灯的地址码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DMX512/1990标准，最大1024个DMX控制通道，两路光电隔离信号输出。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最大控制96台电脑灯或96路调光。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使用珍珠灯库（R20格式灯库），且控台上可自行编写灯库。</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带背光的LCD显示屏，首创的中英文显示可切换界面。面板中英文可选。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内置图形轨迹发生器，有135个内置图形，方便用户对电脑灯进行图形轨迹控制，如画圆、螺旋、彩虹、追逐等多种效果</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图形参数（如：振幅、速度、间隔、波浪、方向）均可独立设置，更方便快捷的做出想要的造型和场景。</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每个场景可保存图形数量5个；同时可运行图形数量10个。</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可储存60个素材，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支持独享素材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可储存60个重演场景，用于储存多步场景和单步场景。每个多步场景最多可储存600个单步。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可同时输出和运行10个重演场景。</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带10根集控推杆。按键点控和推杆集控兼容。</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支持重新配节地址码、垂直水平交换、通道输出反向等功能。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关机或者突发断电等情况数据可记忆保持。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U盘可备份控台数据，并支持重新导入到控台使用，同型号控台数据可共享。</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支持远程软件升级，随时随地增加新的功能。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预置推杆可控制电脑灯的属性，属性控制更方便快捷。</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支持立即黑场、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产品尺寸：≥485*400*105mm</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电源：AC 100 -240V / 50-60Hz。</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35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信号放大器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供电：115V/230V  频率：50HZ.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每一路都是独立的变压器供电和八个光学隔离信号放大器来扩大DMX输出.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放大功能可以令连接延长超过标准的DMX512长度.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若需要额外的位置，可以在同一连接上使用多个信号放大器.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每个连接的位置可以独立地连接，最多可达32台灯具.</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外观设计轻便，结构坚固，减少问题再发生</w:t>
            </w:r>
          </w:p>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产品尺寸：≥480*100*40mm</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782"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直通箱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输入电源：AC380V/220V，输出功率：每路4KW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12路16A空气回路短路保护</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产品尺寸：≥490*510*130mm</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1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追光灯</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strike/>
                <w:color w:val="auto"/>
                <w:kern w:val="0"/>
                <w:sz w:val="22"/>
                <w:szCs w:val="22"/>
                <w:highlight w:val="none"/>
              </w:rPr>
            </w:pPr>
            <w:r>
              <w:rPr>
                <w:rFonts w:hint="eastAsia" w:ascii="宋体" w:hAnsi="宋体" w:cs="宋体"/>
                <w:color w:val="auto"/>
                <w:kern w:val="0"/>
                <w:sz w:val="22"/>
                <w:szCs w:val="22"/>
                <w:highlight w:val="none"/>
              </w:rPr>
              <w:t xml:space="preserve">电源电压：AC230V 50/60Hz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功率：1200W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光源：HMI-1200W球型短弧金属卤化物灯</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色温：5600K</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顯色指數：Ra&gt;95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调焦范围：5°-18°</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功能：开盖保护，温度保护，闸光、大小光圈调节。</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9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无源全频音箱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1.箱体采用大斑点水性油漆喷涂处理技术，前面板采用有孔金属网背贴声学透声棉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2.单元结构LF:15"低音×1，HF:1"高音×1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3.频响范围(±3dB)：55 Hz -18,000Hz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4.灵敏度（折算到1m，1W）：99dB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5.最大声压级126dB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6.输入阻抗8Ω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7.额定功率450W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8.指向性（H×V）90°H×40°V</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9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专业立体声功放</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1.双声道立体声专业功率放大器，具有2两路输入电平调节旋钮，每声道音量单独可调；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2.支持LED指示灯显示各通道工作状态，显示内容包括:电源“power”,削顶“clip”,信号“signal”,直流保护“DC”,高温“TEMP”等；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3.支持2路XLR接口音频信号输入，2路XLR接口音频信号输出；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4.支持常用接线柱和专业SPEAKON扬声器插座（仅限于立体声工作模式）两种方式功率输出；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5.支持三种输出方式供选择：双声道、单声道和BTL桥接，支持开关选择输出方式；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6.内置高通滤波器，支持保护低音喇叭受过重的震动破坏；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7.支持低频激励功能，可控制调节低频信号的量；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8.支持短路保护、直流保护、电源通断多种保护和告警功能；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9.多个功率级别的设计满足于不同场合的应用需求,每声道（8Ω）额定输出≥800W，每声道（4Ω）额定输出≥1200W，桥接（8Ω）额定输出≥2400W；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10.为保证系统安全稳定运行需满足以下要求:频率响应:20Hz-20kHz（±0.5dB）；谐波失真系数4Ω/1kHz:≦0.1%；输入灵敏度:0.77V；信噪比：≥98dB；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▲11、生产厂家需提供中国质量认证管理中心颁发的“中国绿色环保产品”证书提供证书复印件并加盖厂家公章</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支架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全金属音箱壁架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材料：钢材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承重≥30公斤</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架子伸缩长度：210MM~390MM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音箱支柱直径：35mm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可左右调节角度，中间杆子可伸缩调节，架子稳重扎实，稳定性强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6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无源全频音箱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1.箱体采用大斑点水性油漆喷涂处理技术，前面采用有孔金属网背贴声学透声棉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2.单元结构LF:12"低音×1，HF:1"高音×1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3.频响范围：50Hz-18,000Hz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4.灵敏度：≧98dB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5.最大声压级≧123dB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6.输入阻抗8Ω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7.额定功率≧350W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8.指向性（H×V）90°H×40°V</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9.总波谐失真度：≦4%</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▲10.提供产品通过带有“ILAC-MRA/CNAS/CMA”标识的第三方检测报告复印件并加盖厂家公章（报告内容需要包含第4、5项）。</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77"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专业立体声功放</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1.双声道立体声专业功率放大器，具有2两路输入电平调节旋钮，每声道音量单独可调；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2.支持LED指示灯显示各通道工作状态，显示内容包括:电源“power”,削顶“clip”,信号“signal”,直流保护“DC”,高温“TEMP”等；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3.支持2路XLR接口音频信号输入，2路XLR接口音频信号输出；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4.支持常用接线柱和专业SPEAKON扬声器插座（仅限于立体声工作模式）两种方式功率输出；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5.支持三种输出方式供选择：双声道、单声道和BTL桥接，支持开关选择输出方式；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6.内置高通滤波器，支持保护低音喇叭受过重的震动破坏；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7.支持低频激励功能，可控制调节低频信号的量；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8.支持短路保护、直流保护、电源通断多种保护和告警功能；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9.多个功率级别的设计满足于不同场合的应用需求,每声道（8Ω）额定输出≥650W，每声道（4Ω）额定输出≥950W，桥接（8Ω）额定输出≥1900W；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为保证系统安全稳定运行需满足以下要求:频率响应:20Hz-20kHz（±0.5dB）；谐波失真系数4Ω/1kHz:≦0.1%；输入灵敏度:0.77V；信噪比：≥98dB；阻尼系数/8Ω,1kHz≥230；输入共模抑制:≥90dB；通道阻抗:4-16Ω；通道串音:≦-62dB；电压增益:≥38dB；</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6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支架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全金属音箱壁架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材料：钢材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承重≥30公斤</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架子伸缩长度：210MM~390MM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音箱支柱直径：35mm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可左右调节角度，中间杆子可伸缩调节，架子稳重扎实，稳定性强</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40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无源全频音箱</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1.箱体采用大斑点水性油漆喷涂处理技术，前面采用有孔金属网背贴声学透声棉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2.单元结构LF:10"低音×1，HF:1"高音×1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3.频响范围(±3dB)：56 Hz -20,000Hz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4.灵敏度（折算到1m，1W）：96dB±2dB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5.最大声压级：≧118dB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6.输入阻抗：8Ω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7.额定功率：250W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8.指向性（H×V）90°H×40°V</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▲9.提供产品通过带有“ILAC-MRA/CNAS/CMA”标识的第三方检测报告复印件并加盖原厂公章（报告内容需要包含第3、4、5项）。</w:t>
            </w:r>
          </w:p>
        </w:tc>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26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专业立体声功放</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1.双声道立体声专业功率放大器，具有2两路输入电平调节旋钮，每声道音量单独可调；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2.支持LED指示灯显示各通道工作状态，显示内容包括:电源“power”,削顶“clip”,信号“signal”,直流保护“DC”,高温“TEMP”等；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3.支持2路XLR接口音频信号输入，2路XLR接口音频信号输出；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4.支持常用接线柱和专业SPEAKON扬声器插座（仅限于立体声工作模式）两种方式功率输出；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5.支持三种输出方式供选择：双声道、单声道和BTL桥接，支持开关选择输出方式；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6.内置高通滤波器，支持保护低音喇叭受过重的震动破坏；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7.支持低频激励功能，可控制调节低频信号的量；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8.支持短路保护、直流保护、电源通断多种保护和告警功能；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9.多个功率级别的设计满足于不同场合的应用需求,每声道（8Ω）额定输出≥650W，每声道（4Ω）额定输出≥950W，桥接（8Ω）额定输出≥1900W；</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为保证系统安全稳定运行需满足以下要求:频率响应:20Hz-20kHz（±0.5dB）；谐波失真系数4Ω/1kHz:≦0.1%；输入灵敏度:0.77V；信噪比：≥98dB；阻尼系数/8Ω,1kHz≥230；输入共模抑制:≥90dB；通道阻抗:4-16Ω；通道串音:≦-62dB；电压增益:≥38dB；</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979"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数字音频处理器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1.支持12路平衡式话筒/线路输入，16路平衡式输出，采用裸线接口端子；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2.内置DSP音频处理，内置高速DSP处理芯片Ti450MHzFLOPSDSP处理内核，支持120db的A/D与D/A转换，最高可达96kHz/48K采样率；</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3.每个输入通道均包含：前级放大、信号发生器、扩展器、压缩器、5段参量均衡、自动混音台、AFC、AEC、ANC；</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4.每个输出通道均包含：8段参量均衡器、延时器、分频器、高低通滤波器、限幅器；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5.支持≥1路RS-232双向串行控制接口，≥8组GPIO控制接口，≥支持1路RJ45接口；</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6.具有均衡器功能：分别在1-5段均衡的中心频率、增益、带宽框输入正确数值，对应旋钮位置和图上对应点的位置相应改变；</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▲7.具有自动增益处理功能：在阀值框输入正确数值，对应旋钮的位置、图形对应点的位置相应改变；（提供第三方检测测报告复印件并加盖厂家公章）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▲8.具有输出音箱管理器处理功能：支持高低通滤波器功能，支持延时器处理功能；（提供第三方检测报告复印件并加盖厂家公章）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▲9.具有输入反馈消除功能：使用该设备的反馈消除对已啸叫信号进行反馈消除，在一定范围内能消除啸叫声即正常；（提供第三方检测测报告复印件并加盖厂家公章）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10.具有自动混音台功能，可实现全功能矩阵混音功能；</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模拟调音台</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1、12路XLR平衡单声道输入+2路立体声输入 (6.3与RAC切换）；</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 每通道3段均衡调节，MUTE静音开关，PFL耳机开关，平滑60MM行程推子器，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3、2编组输出 +2组AUX输出（包括FX),</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4、内置48V幻象电源供电；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5、立体声输出带7段图示均衡器，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6、16种DSP数字效果器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7、USB音频播放MP3；USB录音、也可连电脑播放音乐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8、内置蓝牙5.0接收播放</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9、LCD显示屏清淅显示播放状态;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10、十段三色电平灯显示信号状态</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11、XLR平衡输入话放噪声极低，超低噪音线路设计，动态余量大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12、适用全球供电电压功率30瓦；使用灵活。具有无噪声、瞬间反应好、电耗低的特性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13、可安装19寸机柜</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33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反馈抑制器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1.64/128超取样24-bitA/D和D/A转换，高解析度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2.每个声道12个频道反馈自动搜寻，智能处理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3.及时方便的缺省处置，完备的反馈抑制性能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4.单点模式自动搜寻并处理和锁定陷波频点，直到手动复位或重新设置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5.手动模式可设置2×12个滤波器的所有参数，包括频率、Q值等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6.伺服平衡输入和输出，镀金XLR和TRS端子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7.每个滤波器均有单点、自动两种模式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8.两个并行处理块，左右声道可单独或并联调整</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9.24-bit高性能DSP处理器，保证了信号的解析度和动态范围</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10.开关软启动，无冲击声，噪声门功能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11.背光2×16字符LCD显示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12.2×8LED电平显示，可显示输入或输出电平</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13.采用高质量贴片元件和贴片自动焊接和在线检测工艺，保证产品的品质和可靠性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14.采用专业设计内部供电系统</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2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真分集无线话筒</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1：波段范围（UHF）：632MHz～695MHz；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2：PLL双频道锁相环回路设计；</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3：UHF200频道PLL数字锁定自动通讯功能；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4：显示屏显示功能(显示频率、频道、静噪、电平等)；</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5：每通道有音量调节功能；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6：AF输出（采用“XLR”型插座分别输出，混合输出）；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7:发射功率调节，高功率14dBm; 低功率6dBm；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8:发射机采用2节5号1.5V碱性电池；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9：动态范围：88dB;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10:最大频偏：±45KHz；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11：频率响应：120Hz-16KHz(±3dB)；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12：综合信噪比：&gt;73dB；</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13：综合失真度：≤1%；</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14:发射机工作时间8小时以上；</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15.含1台一拖二接收机及2只手持式话筒.</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83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电源时序器</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1.采用16A万能插座，能兼容全部产品电源接口，支持8路时序电源；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▲2.采用工业级液晶显示屏，实时显示当前日期、时间、星期、每路的电能指标、通道开关状态及定时点信息等；（提供设备高清面板图片并加盖厂家公章）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3.内置高精度时钟芯片，可根据日期时间设定，无需人为操作，自动联网校时功能，让设备管理更简单；</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▲4.具有1路RJ45网络口，支持无线WIFI路由器接入，支持Web页面远程管理控制操作，实现远程开启或关闭每个通道；（提供设备定时开关管理功能界面截图并加盖厂家公章）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每路独立手动控制电源输出，也可一键开关控制8路电源从前到后输出，按设定间隔时间顺序开机，从后向前按设定间隔时间关机，间隔时间可调；（提供设备设置间隔时间管理功能界面截图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▲6.每路通道均可设置定时开关时间，支持≥500个定时方案，可设定单次开关或循环周期开关；（提供设备管理功能界面截图并加盖厂家公章）</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7.支持电脑远程监控设备每个通道的当前电流、功率等参数；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8.支持场景调用，可保存多种情景下每路开关状态，方便快速调用；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9.支持每路设置“电流上限”、“电流下限”、开启“断电保护”功能；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10.支持≥254台设备远距离级联功能；</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11.最大输入电流60A，单路</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配件及线材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灯光配件及连接线，电源线等</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灯杆/桁架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外径50镀锌圆管</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电视机（含移动支架）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≥55英寸 4K超高清 HDR 蓝牙语音遥控 ≥2GB+8GB 人工智能语音网络液晶平板电视</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9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HDBaseT地插发送盒</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1.HDBaseT地插发送盒使用HDBaseT传输技术，10.2Gbps传输速率，信号无压缩、无损耗、无延时。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2.最高支持1920x1200P@60Hz的分辨率。</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3.完全支持HDMI 1.4标准和HDCP 1.4标准。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4.支持1路HDMI和1路VGA接口输入，支持通过面板按键手动切换信号。</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5.支持3.5mm模拟音频口输入，支持音视频同步。</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6.传输距离远，使用CAT5e/6 网线最远可达100米。</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7.支持通过POC远程供电，方便安装和布线。</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8.电源接口：2个，~220V  50Hz 5A</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6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超高清KVM发送器</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1.输入接口支持有1x HDMI TYPE-A；1x DVI-D，1x3.5mm音频，输出接口支持有1x HDBaseT网口；1x HDMI TYPE-A监视输出口，1 x USB TYPE B接口（KVM接口），支持1个红外接口，1路RS232接口，自带显示屏及面板操作按键。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2.使用先进的HDBaseT传输技术，10.2Gbps传输速率，信号无压缩、无损耗、无延时。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3.支持HDMI 1.4标准（兼容DVI 1.0）和HDCP 1.4标准。最大分辨率支持4Kx2K @30Hz，输出分辨率与输入分辨率完全直通。</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4.HDMI线可支持15米，传输距离远，双绞线长度支持100米，支持通过双绞线POE远程供电。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5.支持将音频数据嵌入视频数据，音视频信号同步传输。支持RS232串口数据的双向透传，波特率最高可达256000bps。支持红外信号的双向透传功能，并且支持38KHz载波调制。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6.支持USB在线升级固件。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 xml:space="preserve">7.支持KVM功能，可透传鼠标键盘数据，支持通过鼠标键盘的快捷键切换矩阵。                                          </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40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超高清KVM接收器</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1.输入接口支持有1x HDBaseT网口，输出接口支持有1x HDMI TYPE-A；1x DVI-D，1x3.5mm音频，2 x USB TYPE A接口（KVM接口），支持1个红外接口，1路RS232接口，自带显示屏及面板操作按键。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2.使用先进的HDBaseT传输技术，10.2Gbps传输速率，信号无压缩、无损耗、无延时。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3.支持HDMI 1.4标准（兼容DVI 1.0）和HDCP 1.4标准。最大分辨率支持4Kx2K @30Hz，输出分辨率与输入分辨率完全直通。</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4.HDMI线可支持15米，传输距离远，双绞线长度支持100米，支持通过双绞线POE远程供电。</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5.支持从视频中实时提取音频数据，同步输出。支持RS232串口数据的双向透传，波特率最高可达256000bps。支持红外信号的双向透传功能，并且支持38KHz载波调制。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6.支持USB在线升级固件。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7.支持KVM功能，可透传鼠标键盘数据，支持通过鼠标键盘的快捷键切换矩阵。</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多媒体视频地插</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配置模块：2*RJ45+1*5孔电源</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话筒地插盒</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弹起式/2个卡侬口</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音箱地插盒</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弹起式/2位欧姆头</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个</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40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摄像机</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1.采用1/2.8英寸高品质图像传感器，最大分辨率可达1920×1080，输出帧率高达60帧/秒。</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2.多种控制协议：支持VISCA/Pelco-D/Pelco-P协议。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3.支持AAC音频编码，音质更佳，带宽占用更小。</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4.支持H.264编码的高清摄像机，可实现全高清1080p超低带宽传输。</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5.超高信噪比的全新CMOS图像传感器可有效降低在低照度情况下的图像噪声，同时应用2D和3D降噪算法，大幅降低了图像噪声，即便是超低照度情况下，依然保持画面干净清晰，图像信噪比高达55dB以上。</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6.支持HDMI高清输出，配备3G-SDI接口，有效传输距离最高长达150米（1080p30）。HDMI、SDI、网络三路可同时输出。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7.采用高品质超长焦镜头，变焦达到30倍。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8.采用RS232和RS485串口，可对摄像机进行控制。</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4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摄像机支架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strike/>
                <w:color w:val="auto"/>
                <w:kern w:val="0"/>
                <w:sz w:val="22"/>
                <w:szCs w:val="22"/>
                <w:highlight w:val="none"/>
              </w:rPr>
            </w:pPr>
            <w:r>
              <w:rPr>
                <w:rFonts w:hint="eastAsia" w:ascii="宋体" w:hAnsi="宋体" w:cs="宋体"/>
                <w:color w:val="auto"/>
                <w:kern w:val="0"/>
                <w:sz w:val="22"/>
                <w:szCs w:val="22"/>
                <w:highlight w:val="none"/>
              </w:rPr>
              <w:t>落地支架，铝合金，4节</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最大管径：28mm，最小管径：19mm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最大高度：2600mm，不升中轴：2350mm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反折高度：780mm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云台高度：105mm，云台球径：36mm</w:t>
            </w:r>
          </w:p>
          <w:p>
            <w:pPr>
              <w:widowControl/>
              <w:spacing w:line="360" w:lineRule="auto"/>
              <w:jc w:val="left"/>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负重：15Kg</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7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机柜</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42U机柜，600*600*2055mm ±</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8口PDU国标电源插排×1，固定板部件×1,风扇×2,2"重型脚轮×4，M12支脚×4，M6方螺母螺钉×40，内六角扳手×1</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专业扩声配电箱</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根据现场需求定制</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线材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包含：各种音频线、视频线、电源线及网线</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管材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包含：各种线管、弯头、直接及相关配件</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其它耗材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包含：水晶头及各种音、视频接插头及其它相关配件、耗材</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新建舞台</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新建演出舞台，根据现场情况定制，主体结构为不锈钢，面层铺地毯</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LED屏底架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新建LED固定底架，根据现场情况定制</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隔音板</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与现有墙面材质一致，按实际工程量给付</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平方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空调匹数:1匹，制冷量：2600W；能效等级：≥2级；安装方式：挂式；含内外机挂架，铜管加长（5米内）含安装及运输</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空调匹数:3匹，制冷量：7200W；能效等级：≥2级；安装方式：挂式；含内外机挂架，铜管加长（5米内）含安装及运输</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台</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消防管装饰</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消防管装饰美化，与现场环境协调</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80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米</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新开门</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原有墙体改造为门（含门及拆除旧墙，拆后修补及涂料粉刷），新开门大小为0.975*2.06M，采用防火理化板为主材</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套</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造型吊顶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主体布局为通用铝方通材质，侧板采用铝扣板，含照明灯光，含安装和辅材</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380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平方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周边软包</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仿皮外包层，内填海绵</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200</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平方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59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安装调试</w:t>
            </w:r>
          </w:p>
        </w:tc>
        <w:tc>
          <w:tcPr>
            <w:tcW w:w="53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包含：安装调试及运输</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160" w:hRule="atLeast"/>
        </w:trPr>
        <w:tc>
          <w:tcPr>
            <w:tcW w:w="79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60</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室内运动器材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（1）蝴蝶机训练器 1 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L-990mm  W-720mm  H-1290mm±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用于肩关节及胸背部康复训练。训练肌肉：胸大肌、三角肌、菱形肌、斜方肌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（2）推胸训练器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L-1020mm  W-780mm  H-1630mm±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用于肘关节及胸背部康复训练。训练肌肉：前三角肌、胸大肌、肱三头肌、背阔肌、肱二头肌。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（3）伸腿训练器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L-1290mm  W-760mm  H-1330mm±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用于膝关节的康复训练。训练肌肉：股四头肌、腘绳肌。</w:t>
            </w:r>
          </w:p>
        </w:tc>
        <w:tc>
          <w:tcPr>
            <w:tcW w:w="662" w:type="dxa"/>
            <w:vMerge w:val="restart"/>
            <w:tcBorders>
              <w:top w:val="single" w:color="000000" w:sz="4" w:space="0"/>
              <w:left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w:t>
            </w:r>
          </w:p>
        </w:tc>
        <w:tc>
          <w:tcPr>
            <w:tcW w:w="717" w:type="dxa"/>
            <w:gridSpan w:val="2"/>
            <w:vMerge w:val="restart"/>
            <w:tcBorders>
              <w:top w:val="single" w:color="000000" w:sz="4" w:space="0"/>
              <w:left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批</w:t>
            </w:r>
          </w:p>
        </w:tc>
        <w:tc>
          <w:tcPr>
            <w:tcW w:w="663" w:type="dxa"/>
            <w:gridSpan w:val="3"/>
            <w:vMerge w:val="restart"/>
            <w:tcBorders>
              <w:top w:val="single" w:color="000000" w:sz="4" w:space="0"/>
              <w:left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199" w:hRule="atLeast"/>
        </w:trPr>
        <w:tc>
          <w:tcPr>
            <w:tcW w:w="796" w:type="dxa"/>
            <w:vMerge w:val="continue"/>
            <w:tcBorders>
              <w:left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cs="宋体"/>
                <w:color w:val="auto"/>
                <w:sz w:val="22"/>
                <w:szCs w:val="22"/>
                <w:highlight w:val="none"/>
              </w:rPr>
            </w:pP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（4）背肌训练器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L-1240mm  W-720mm  H-990mm±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用于腹背部的康复训练。训练肌肉：腹直肌、竖脊肌。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（5）摆腿训练器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L-1380mm  W-720mm  H-1305mm ±</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二、产品用途：用于髋关节内收外展的训练。训练肌肉：内收肌群、臀中肌、阔筋膜张肌。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（6）上斜训练器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L-990mm  W-720mm  H-1300mm±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用于肩关节的康复训练。训练肌肉：肱三头肌、前三角肌、胸大肌上束、肱二头肌、背阔肌</w:t>
            </w:r>
          </w:p>
        </w:tc>
        <w:tc>
          <w:tcPr>
            <w:tcW w:w="662" w:type="dxa"/>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717" w:type="dxa"/>
            <w:gridSpan w:val="2"/>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663" w:type="dxa"/>
            <w:gridSpan w:val="3"/>
            <w:vMerge w:val="continue"/>
            <w:tcBorders>
              <w:left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078" w:hRule="atLeast"/>
        </w:trPr>
        <w:tc>
          <w:tcPr>
            <w:tcW w:w="796" w:type="dxa"/>
            <w:vMerge w:val="continue"/>
            <w:tcBorders>
              <w:left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cs="宋体"/>
                <w:color w:val="auto"/>
                <w:sz w:val="22"/>
                <w:szCs w:val="22"/>
                <w:highlight w:val="none"/>
              </w:rPr>
            </w:pP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（7）二头肌训练器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L-1025mm  W-710mm  H-880mm ±</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用于肘关节的康复训练。训练肌肉：肱二头肌、肱三头肌、三角肌前束。</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（8）蹬腿训练器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L-1615mm  W-670mm  H-1600mm±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用于下肢的髋膝关节的屈伸训练。训练肌肉：股四头肌、臀大肌、腘绳肌。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（9）深蹲训练器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L-1760mm  W-720mm  H-1340mm ±</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用于膝关节的康复训练。训练肌肉：股四头肌、腘绳肌，臀部肌群。</w:t>
            </w:r>
          </w:p>
        </w:tc>
        <w:tc>
          <w:tcPr>
            <w:tcW w:w="662" w:type="dxa"/>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717" w:type="dxa"/>
            <w:gridSpan w:val="2"/>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663" w:type="dxa"/>
            <w:gridSpan w:val="3"/>
            <w:vMerge w:val="continue"/>
            <w:tcBorders>
              <w:left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1089" w:hRule="atLeast"/>
        </w:trPr>
        <w:tc>
          <w:tcPr>
            <w:tcW w:w="796" w:type="dxa"/>
            <w:vMerge w:val="continue"/>
            <w:tcBorders>
              <w:left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cs="宋体"/>
                <w:color w:val="auto"/>
                <w:sz w:val="22"/>
                <w:szCs w:val="22"/>
                <w:highlight w:val="none"/>
              </w:rPr>
            </w:pP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（10）转体训练器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1）器械主架：管材采用（40*80*T2.5）平椭圆管（φ50*T2.5）圆管，材质Q235。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2）外观造形：外观精致，结构简约。</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3）运动轨迹：液压油缸6档位调节阻力，顺畅的运动轨迹更符合人体工学原理</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4）靠背、坐垫：采用汽车工艺，聚氨酯发泡一次成型坐垫，质感柔软，超纤皮革贴合表面，皮革颜色可以根据喜欢定制搭配。</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5）把手装饰盖：采用铝合金材质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尺寸: L-1020mm  W-930mm  H-950mm±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用于躯干旋转功能的训练。训练肌肉：腹外斜肌、腹内斜肌、竖脊肌。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（11）肌力训练弹力带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1）外形尺寸（长×宽）：700mm×110mm±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2）每组肌力训练弹力带由六件组成，橡筋绳用不同颜色区分，橡筋绳的直径及阻力（拉长100%时）：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a)浅绿：直径φ0.6cm，阻力85N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b)黑：直径φ0.6cm，阻力75N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c)红：直径φ0.6cm，阻力55N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d)黄：直径φ0.6cm，阻力45N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e)深绿：直径φ0.4cm，阻力25N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f)蓝：直径φ0.4cm，阻力15N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适用于全身各主要肌肉进行力量训练。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（12）划船运动器  1架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1）外形尺寸（长×宽×高）：1300mm×565mm×800mm±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2）油缸力值调节档数：12档</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3）座垫中心至脚踏板轴线距离：700mm～1050mm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4）把手至油缸力点距离：410mm、460mm、510mm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5）后横杆处座垫至地面距离：210mm、250mm、290mm、330mm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6）额定承载:2000N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适用于腰背肌、上肢屈肌群、下肢伸肌群的肌力及耐力训练。</w:t>
            </w:r>
          </w:p>
        </w:tc>
        <w:tc>
          <w:tcPr>
            <w:tcW w:w="662" w:type="dxa"/>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717" w:type="dxa"/>
            <w:gridSpan w:val="2"/>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663" w:type="dxa"/>
            <w:gridSpan w:val="3"/>
            <w:vMerge w:val="continue"/>
            <w:tcBorders>
              <w:left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381" w:hRule="atLeast"/>
        </w:trPr>
        <w:tc>
          <w:tcPr>
            <w:tcW w:w="796" w:type="dxa"/>
            <w:vMerge w:val="continue"/>
            <w:tcBorders>
              <w:left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cs="宋体"/>
                <w:color w:val="auto"/>
                <w:sz w:val="22"/>
                <w:szCs w:val="22"/>
                <w:highlight w:val="none"/>
              </w:rPr>
            </w:pP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（13）胸背部矫正运动器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1）外形尺寸（长×宽×高）：1400mm×600mm×2100mm±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2）靠背垫额定承载：750N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3）踏脚板额定承载：2000N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适用于防止和矫正脊柱弯曲、驼背。</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（14）复式墙拉力器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一、产品组成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由固定支架、滑轮、配重器、配重块、脚用拉力带组成。</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1）外形尺寸（长×宽×高）：630mm×200mm×1750mm±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2）拉力器套数：2套</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3）配重块质量及数量：2kg/块，共12块</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4）最大行程：1150mm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5）拉手额定承载：480N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6）绳索额定承载：720N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三、产品用途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适用于对关节功能障碍患者进行康复训练。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（15）下肢康复训练器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1）外形尺寸（长×宽×高）：1500mm×580mm×1360mm±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2）座垫前后调节距离：253mm（共11档，每档23mm）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3）阻尼调节档数：11档</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4）座垫额定承载：2000N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5）座垫额定承载：2000N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适用于对关节功能障碍患者进行康复训练。</w:t>
            </w:r>
          </w:p>
        </w:tc>
        <w:tc>
          <w:tcPr>
            <w:tcW w:w="662" w:type="dxa"/>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717" w:type="dxa"/>
            <w:gridSpan w:val="2"/>
            <w:vMerge w:val="continue"/>
            <w:tcBorders>
              <w:left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663" w:type="dxa"/>
            <w:gridSpan w:val="3"/>
            <w:vMerge w:val="continue"/>
            <w:tcBorders>
              <w:left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trHeight w:val="2235" w:hRule="atLeast"/>
        </w:trPr>
        <w:tc>
          <w:tcPr>
            <w:tcW w:w="796"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2"/>
                <w:szCs w:val="22"/>
                <w:highlight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宋体" w:hAnsi="宋体" w:cs="宋体"/>
                <w:color w:val="auto"/>
                <w:sz w:val="22"/>
                <w:szCs w:val="22"/>
                <w:highlight w:val="none"/>
              </w:rPr>
            </w:pP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（16）肢体康复训练器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1）外形尺寸（长×宽×高）：520mm×460mm×560mm±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2）拉手杆高度调节距离：330mm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3）曲柄调节角度：80°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4）扶手/脚踏的额定承载：200N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5）扶手额定承载:1000N（垂直力）、500N（水平力）</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二、产品特性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1）配有脚轮及可调式拉手杆，方便移动。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2）阻力可调，以适应不同肌力人群使用。</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3）配有电子表显示时间等训练数据。</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4）可进行上下肢训练。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三、产品用途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适用于对关节功能障碍患者进行康复训练。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（17）体位活动助力架  1台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一、正常工作条件</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1）环境温度：+5℃～+40℃；</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2）相对湿度：30%～75%；；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3）大气压力：700 hPa～1060 hPa；</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4）电源电压：DC24 V（充电时电源：交流220 V，50 Hz）。</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二、主要技术指标和参数</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1）外形尺寸（长×宽×高）：1100mm×780mm×880mm±</w:t>
            </w:r>
            <w:r>
              <w:rPr>
                <w:rFonts w:ascii="宋体" w:hAnsi="宋体" w:cs="宋体"/>
                <w:color w:val="auto"/>
                <w:kern w:val="0"/>
                <w:sz w:val="22"/>
                <w:szCs w:val="22"/>
                <w:highlight w:val="none"/>
              </w:rPr>
              <w:t>5%</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2）台面升降距离：430mm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3）膝托上下调节距离：100mm</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4）支撑座转动角度：90º</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5）台面额定载荷：750N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6）支承座、踏脚板额定载荷：2000N</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7）输入功率：250VA</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三、产品特性</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通过电动方式操作台面和座垫的升降。方便受训者从轮椅上移坐到支撑座上进行训练。</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四、产品用途</w:t>
            </w:r>
            <w:r>
              <w:rPr>
                <w:rFonts w:hint="eastAsia" w:ascii="宋体" w:hAnsi="宋体" w:cs="宋体"/>
                <w:color w:val="auto"/>
                <w:kern w:val="0"/>
                <w:sz w:val="22"/>
                <w:szCs w:val="22"/>
                <w:highlight w:val="none"/>
              </w:rPr>
              <w:br w:type="textWrapping"/>
            </w:r>
            <w:r>
              <w:rPr>
                <w:rFonts w:hint="eastAsia" w:ascii="宋体" w:hAnsi="宋体" w:cs="宋体"/>
                <w:color w:val="auto"/>
                <w:kern w:val="0"/>
                <w:sz w:val="22"/>
                <w:szCs w:val="22"/>
                <w:highlight w:val="none"/>
              </w:rPr>
              <w:t>适用于站立训练。</w:t>
            </w:r>
          </w:p>
        </w:tc>
        <w:tc>
          <w:tcPr>
            <w:tcW w:w="662" w:type="dxa"/>
            <w:vMerge w:val="continue"/>
            <w:tcBorders>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717" w:type="dxa"/>
            <w:gridSpan w:val="2"/>
            <w:vMerge w:val="continue"/>
            <w:tcBorders>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ascii="宋体" w:hAnsi="宋体" w:cs="宋体"/>
                <w:color w:val="auto"/>
                <w:sz w:val="22"/>
                <w:szCs w:val="22"/>
                <w:highlight w:val="none"/>
              </w:rPr>
            </w:pPr>
          </w:p>
        </w:tc>
        <w:tc>
          <w:tcPr>
            <w:tcW w:w="663" w:type="dxa"/>
            <w:gridSpan w:val="3"/>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2"/>
                <w:szCs w:val="22"/>
                <w:highlight w:val="none"/>
              </w:rPr>
            </w:pPr>
          </w:p>
        </w:tc>
      </w:tr>
      <w:tr>
        <w:tblPrEx>
          <w:tblCellMar>
            <w:top w:w="0" w:type="dxa"/>
            <w:left w:w="108" w:type="dxa"/>
            <w:bottom w:w="0" w:type="dxa"/>
            <w:right w:w="108" w:type="dxa"/>
          </w:tblCellMar>
        </w:tblPrEx>
        <w:trPr>
          <w:gridAfter w:val="1"/>
          <w:wAfter w:w="15" w:type="dxa"/>
          <w:trHeight w:val="450" w:hRule="atLeast"/>
        </w:trPr>
        <w:tc>
          <w:tcPr>
            <w:tcW w:w="9098" w:type="dxa"/>
            <w:gridSpan w:val="8"/>
            <w:tcBorders>
              <w:top w:val="nil"/>
              <w:left w:val="nil"/>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户外LED屏改造</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规格参数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03" w:type="dxa"/>
            <w:tcBorders>
              <w:top w:val="single" w:color="000000" w:sz="4" w:space="0"/>
              <w:left w:val="single" w:color="000000" w:sz="4" w:space="0"/>
              <w:bottom w:val="single" w:color="000000" w:sz="4" w:space="0"/>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blPrEx>
          <w:tblCellMar>
            <w:top w:w="0" w:type="dxa"/>
            <w:left w:w="108" w:type="dxa"/>
            <w:bottom w:w="0" w:type="dxa"/>
            <w:right w:w="108" w:type="dxa"/>
          </w:tblCellMar>
        </w:tblPrEx>
        <w:trPr>
          <w:gridAfter w:val="1"/>
          <w:wAfter w:w="15" w:type="dxa"/>
          <w:trHeight w:val="643"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室外全彩LED模组</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1.LED灯珠选用表贴三合一等原厂铜线封装，LED封装形式：SMD1515黑灯。</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2.LED灯珠发光点颜色组合（像素结构）由1R1G1B构成。</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3.驱动IC采用高刷IC技术，采用恒流驱动方式，刷新频率≥3840Hz。</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4.LED显示屏采用≤4.0mm点间距，像素密度≥62500点/㎡。</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5.模组尺寸：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320*160（mm），模组分辨率≥80*40</w:t>
            </w:r>
            <w:r>
              <w:rPr>
                <w:color w:val="auto"/>
                <w:highlight w:val="none"/>
              </w:rPr>
              <w:t xml:space="preserve"> </w:t>
            </w:r>
            <w:r>
              <w:rPr>
                <w:rFonts w:ascii="宋体" w:hAnsi="宋体" w:cs="宋体"/>
                <w:color w:val="auto"/>
                <w:kern w:val="0"/>
                <w:sz w:val="21"/>
                <w:szCs w:val="21"/>
                <w:highlight w:val="none"/>
              </w:rPr>
              <w:t>DPI</w:t>
            </w:r>
            <w:r>
              <w:rPr>
                <w:rFonts w:hint="eastAsia" w:ascii="宋体" w:hAnsi="宋体" w:cs="宋体"/>
                <w:color w:val="auto"/>
                <w:kern w:val="0"/>
                <w:sz w:val="21"/>
                <w:szCs w:val="21"/>
                <w:highlight w:val="none"/>
              </w:rPr>
              <w:t>，规格：磁吸式；支持前维护。</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320</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14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发送盒</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1.一路DVI视频输入。</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2.一路HDMI高清视频输入。</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3.一路音频输入。</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4.六路网口输出。</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5.USB接口控制，可级联多台进行统一控制。</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6.带载能力达230万像素，最宽可达3840点，或最高可达3840点。</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台</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55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控制卡</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1.支持控制单色1024K点：8192*128、5440*192、4096*256；双色512K点：8192*64、4096*128、2720*192、2048*256。</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2.支持适配各种规格的单色/双基色LED显示屏。</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3.支持分组集群管理、多节目编辑、多区域显示、多种语言版本。</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4.支持256个节目，每个节目划分为32个区域。</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5.支持中英文语音播报功能</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6.支持区域有天气区、图文区、字幕区、动画区、农历区、时间区、模拟表盘区、正负计时区、传感器区。</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7.支持节目炫彩边框、区域炫彩边框。</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8.支持时钟显示农历、模拟表盘、中英文时钟、正负计时 (均支持多组显示)。</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9.支持温度、温湿度、亮度传感器；，扩展支持其它RS485接口传感器。</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10.支持遥控器功能、节目选择、画面锁定、亮度调整、开关机、屏幕测试。</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11.支持风速、风向、空气质量、噪声、大气压力、光照等各类环境监测传感器的便捷接入和显示。</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12.支持16级亮度，支持分时调亮、软件调亮、遥控调亮。</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13.支持定时自动开关机、软件开关机、遥控开关机。</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14.支持二次开发，提供完整功能的DLL动态库。</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15.支持屏幕配置参数的保存与回读。</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16.支持全能编辑器便捷支持蒙古文、希伯来文、阿拉伯文等任意排版规则，轻松实现横屏竖排。</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张</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转接板</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1.配套转接板，双色；5PIN背插连接，结构紧凑；最大高度：128行（4组T8接口）。</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96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发送板卡</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1.软件回显输出卡兼控制卡，可对输入的信号进行可视化识别，通过显示器即可查看系统的当前显示状态。</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2.具有流畅清晰的预监回显界面，软件运行图像回显刷新速度＞30Hz。</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张</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19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接收板卡</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1.LED图像处理器的高清图像输入板卡，支持4路HDMI高清数字信号输入。</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2.接口类型：HDMI Type A，接口数量：4个</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3.板卡尺寸：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210*240*20mm</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4.信号类型：HDMI高清数字信号</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5.HDCP：支持</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6.EDID编辑：支持</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7.信号分辨率：1920*1080@60Hz</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40</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张</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线材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屏体和配电柜所需动力电缆、电源线、网线、强弱电材料槽式电缆桥架等</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项</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空调</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空调匹数:2匹，制冷量：5010W；能效等级：≥2级；安装方式：挂式；含内外机挂架，铜管加长（5米内）含安装及运输</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台</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安装运输</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安装调试运输及其它配件</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nil"/>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项</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50" w:hRule="atLeast"/>
        </w:trPr>
        <w:tc>
          <w:tcPr>
            <w:tcW w:w="9098" w:type="dxa"/>
            <w:gridSpan w:val="8"/>
            <w:tcBorders>
              <w:top w:val="nil"/>
              <w:left w:val="nil"/>
              <w:bottom w:val="single" w:color="000000" w:sz="4" w:space="0"/>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户外师生运动器材</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规格参数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双人漫步机</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材质：钢管，外喷防锈漆。ABS保护盖，尺寸：180*50*110CM</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5%</w:t>
            </w:r>
            <w:r>
              <w:rPr>
                <w:rFonts w:hint="eastAsia" w:ascii="宋体" w:hAnsi="宋体" w:cs="宋体"/>
                <w:color w:val="auto"/>
                <w:kern w:val="0"/>
                <w:sz w:val="21"/>
                <w:szCs w:val="21"/>
                <w:highlight w:val="none"/>
              </w:rPr>
              <w:t>。含旧器材拆除，新器材安装及拆除造成地面损坏修补。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三人扭腰器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材质：钢管，外喷防锈漆。ABS保护盖，尺寸：120*120*130CM</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5%</w:t>
            </w:r>
            <w:r>
              <w:rPr>
                <w:rFonts w:hint="eastAsia" w:ascii="宋体" w:hAnsi="宋体" w:cs="宋体"/>
                <w:color w:val="auto"/>
                <w:kern w:val="0"/>
                <w:sz w:val="21"/>
                <w:szCs w:val="21"/>
                <w:highlight w:val="none"/>
              </w:rPr>
              <w:t>。含旧器材拆除，新器材安装及拆除造成地面损坏修补。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腿部按摩器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材质：钢管，外喷防锈漆。ABS保护盖，尺寸：60*60*160CM</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5%</w:t>
            </w:r>
            <w:r>
              <w:rPr>
                <w:rFonts w:hint="eastAsia" w:ascii="宋体" w:hAnsi="宋体" w:cs="宋体"/>
                <w:color w:val="auto"/>
                <w:kern w:val="0"/>
                <w:sz w:val="21"/>
                <w:szCs w:val="21"/>
                <w:highlight w:val="none"/>
              </w:rPr>
              <w:t>。含旧器材拆除，新器材安装及拆除造成地面损坏修补。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太极揉推器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材质：钢管，外喷防锈漆。ABS保护盖，尺寸：105*105*160CM</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5%</w:t>
            </w:r>
            <w:r>
              <w:rPr>
                <w:rFonts w:hint="eastAsia" w:ascii="宋体" w:hAnsi="宋体" w:cs="宋体"/>
                <w:color w:val="auto"/>
                <w:kern w:val="0"/>
                <w:sz w:val="21"/>
                <w:szCs w:val="21"/>
                <w:highlight w:val="none"/>
              </w:rPr>
              <w:t>。含旧器材拆除，新器材安装及拆除造成地面损坏修补。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肩关节器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材质：钢管，外喷防锈漆。ABS保护盖，尺寸：100*100*130CM</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5%</w:t>
            </w:r>
            <w:r>
              <w:rPr>
                <w:rFonts w:hint="eastAsia" w:ascii="宋体" w:hAnsi="宋体" w:cs="宋体"/>
                <w:color w:val="auto"/>
                <w:kern w:val="0"/>
                <w:sz w:val="21"/>
                <w:szCs w:val="21"/>
                <w:highlight w:val="none"/>
              </w:rPr>
              <w:t>。含旧器材拆除，新器材安装及拆除造成地面损坏修补。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手掌按摩器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90*90*160CM。含旧器材拆除，新器材安装及拆除造成地面损坏修补。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单人平步机</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100*45*130CM。含旧器材拆除，新器材安装及拆除造成地面损坏修补。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单人腹肌板</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1.6*40*50CM。含旧器材拆除，新器材安装及拆除造成地面损坏修补。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划船器</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120*80*90CM。含旧器材拆除，新器材安装及拆除造成地面损坏修补。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椭圆机</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材质：钢管，外喷防锈漆。ABS保护盖，尺寸：</w:t>
            </w:r>
            <w:r>
              <w:rPr>
                <w:rFonts w:hint="eastAsia" w:ascii="宋体" w:hAnsi="宋体" w:cs="宋体"/>
                <w:color w:val="auto"/>
                <w:kern w:val="0"/>
                <w:sz w:val="22"/>
                <w:szCs w:val="22"/>
                <w:highlight w:val="none"/>
              </w:rPr>
              <w:t>≥</w:t>
            </w:r>
            <w:r>
              <w:rPr>
                <w:rFonts w:hint="eastAsia" w:ascii="宋体" w:hAnsi="宋体" w:cs="宋体"/>
                <w:color w:val="auto"/>
                <w:kern w:val="0"/>
                <w:sz w:val="21"/>
                <w:szCs w:val="21"/>
                <w:highlight w:val="none"/>
              </w:rPr>
              <w:t>100*45*130CM。含旧器材拆除，新器材安装及拆除造成地面损坏修补。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50" w:hRule="atLeast"/>
        </w:trPr>
        <w:tc>
          <w:tcPr>
            <w:tcW w:w="9098" w:type="dxa"/>
            <w:gridSpan w:val="8"/>
            <w:tcBorders>
              <w:top w:val="nil"/>
              <w:left w:val="nil"/>
              <w:bottom w:val="single" w:color="000000" w:sz="4" w:space="0"/>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教学楼LED屏</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规格参数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blPrEx>
          <w:tblCellMar>
            <w:top w:w="0" w:type="dxa"/>
            <w:left w:w="108" w:type="dxa"/>
            <w:bottom w:w="0" w:type="dxa"/>
            <w:right w:w="108" w:type="dxa"/>
          </w:tblCellMar>
        </w:tblPrEx>
        <w:trPr>
          <w:gridAfter w:val="1"/>
          <w:wAfter w:w="15" w:type="dxa"/>
          <w:trHeight w:val="14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室外模组</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1.LED灯珠选用原厂铜线封装。</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2.LED灯珠发光点颜色：红色。</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3.驱动IC采用高刷IC技术，采用恒流驱动方式，刷新频率≥3840Hz。</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4.LED显示屏采用≤10.0mm点间距。</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5.模组尺寸：320*160（mm）规格：磁吸式；支持前维护。</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150</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转接板</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1.配套转接板，双色；5PIN背插连接，结构紧凑；最大高度：128行（4组T8接口）。</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72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接收板卡</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 xml:space="preserve">1、单卡控制像素点：256*256像素点； </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2、灰度等级：14/16Bit； </w:t>
            </w:r>
            <w:r>
              <w:rPr>
                <w:rFonts w:hint="eastAsia" w:ascii="宋体" w:hAnsi="宋体" w:cs="宋体"/>
                <w:color w:val="auto"/>
                <w:kern w:val="0"/>
                <w:sz w:val="21"/>
                <w:szCs w:val="21"/>
                <w:highlight w:val="none"/>
              </w:rPr>
              <w:br w:type="textWrapping"/>
            </w:r>
            <w:r>
              <w:rPr>
                <w:rFonts w:hint="eastAsia" w:ascii="宋体" w:hAnsi="宋体" w:cs="宋体"/>
                <w:color w:val="auto"/>
                <w:kern w:val="0"/>
                <w:sz w:val="21"/>
                <w:szCs w:val="21"/>
                <w:highlight w:val="none"/>
              </w:rPr>
              <w:t xml:space="preserve">3、刷新频率：480Hz- 3840Hz之间； </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25</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张</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信号板</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控制方式：无线WIFI+U盘，支持手机APP控制。带载面积：3块高，60块长</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张</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框架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铝合金材质：内长16M，内高0.48M</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套</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模块支撑架</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方条钢管，长度0.48M</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50</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条</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线材</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屏体和配电柜所需动力电缆、电源线、网线、强弱电材料槽式电缆桥架等</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项</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9</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安装运输</w:t>
            </w:r>
          </w:p>
        </w:tc>
        <w:tc>
          <w:tcPr>
            <w:tcW w:w="53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安装调试运输及其它配件</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项</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50" w:hRule="atLeast"/>
        </w:trPr>
        <w:tc>
          <w:tcPr>
            <w:tcW w:w="9098" w:type="dxa"/>
            <w:gridSpan w:val="8"/>
            <w:tcBorders>
              <w:top w:val="nil"/>
              <w:left w:val="nil"/>
              <w:bottom w:val="single" w:color="000000" w:sz="4" w:space="0"/>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学农基地改造</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规格参数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栅栏</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主材质：木质，高约1.2米</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米</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遮阳棚</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主材质：铁，高度2.5米</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40</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水泥小道</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含：场地平整，8CM垫层及C25水泥面层。</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30</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8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场地改造</w:t>
            </w:r>
          </w:p>
        </w:tc>
        <w:tc>
          <w:tcPr>
            <w:tcW w:w="5315" w:type="dxa"/>
            <w:tcBorders>
              <w:top w:val="single" w:color="000000" w:sz="4" w:space="0"/>
              <w:left w:val="nil"/>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用造型将场地划分为10个小块，造型结合场地实际情况由供应商设计后由学校确定。</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150</w:t>
            </w:r>
          </w:p>
        </w:tc>
        <w:tc>
          <w:tcPr>
            <w:tcW w:w="7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450" w:hRule="atLeast"/>
        </w:trPr>
        <w:tc>
          <w:tcPr>
            <w:tcW w:w="9098" w:type="dxa"/>
            <w:gridSpan w:val="8"/>
            <w:tcBorders>
              <w:top w:val="nil"/>
              <w:left w:val="nil"/>
              <w:bottom w:val="single" w:color="000000" w:sz="4" w:space="0"/>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足球场改造</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规格参数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足球场场地清理</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含去除杂物，垫层基础平整</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bidi w:val="0"/>
              <w:snapToGrid/>
              <w:spacing w:line="360" w:lineRule="auto"/>
              <w:jc w:val="center"/>
              <w:textAlignment w:val="center"/>
              <w:rPr>
                <w:rFonts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rPr>
              <w:t>576</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285"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足球场场地硬化</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砂浆垫层，含找平，硬化16公分</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bidi w:val="0"/>
              <w:snapToGrid/>
              <w:spacing w:line="360" w:lineRule="auto"/>
              <w:jc w:val="center"/>
              <w:textAlignment w:val="center"/>
              <w:rPr>
                <w:rFonts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rPr>
              <w:t>576</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gridAfter w:val="1"/>
          <w:wAfter w:w="15" w:type="dxa"/>
          <w:trHeight w:val="5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足球场草皮</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含仿真草皮（足球运动用）、运费，胶水、敷设，固定等</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widowControl/>
              <w:kinsoku/>
              <w:wordWrap/>
              <w:overflowPunct/>
              <w:topLinePunct w:val="0"/>
              <w:bidi w:val="0"/>
              <w:snapToGrid/>
              <w:spacing w:line="360" w:lineRule="auto"/>
              <w:jc w:val="center"/>
              <w:textAlignment w:val="center"/>
              <w:rPr>
                <w:rFonts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rPr>
              <w:t>576</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900" w:hRule="atLeast"/>
        </w:trPr>
        <w:tc>
          <w:tcPr>
            <w:tcW w:w="9113" w:type="dxa"/>
            <w:gridSpan w:val="9"/>
            <w:tcBorders>
              <w:top w:val="nil"/>
              <w:left w:val="nil"/>
              <w:bottom w:val="nil"/>
              <w:right w:val="nil"/>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其它设备</w:t>
            </w:r>
          </w:p>
        </w:tc>
      </w:tr>
      <w:tr>
        <w:tblPrEx>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名称</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参数</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数量</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单位</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备注</w:t>
            </w:r>
          </w:p>
        </w:tc>
      </w:tr>
      <w:tr>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窗帘</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棉布遮光窗帘，颜色根据功能室现场需求定制，遮光度不低于85%，含挂杆或导轨，含设计制作及安装。</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180</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米</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27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隔栏</w:t>
            </w:r>
          </w:p>
        </w:tc>
        <w:tc>
          <w:tcPr>
            <w:tcW w:w="5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不锈钢材质，厚度1.0MM</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412</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jc w:val="center"/>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网络设备</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含16口全千兆汇聚交换机1台、5口百兆POE交换机4台、千兆AP8台、网线2箱、线管200米、含安装及配件等</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批</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防坠落网</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网孔大小10CM，绳粗7MM，采用多股尼龙绳绞合制成，面积约150平方</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吊顶</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主体布局为通用铝方通材质，侧板采用铝扣板，含照明灯光，含安装和辅材</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180</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81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综合楼文化</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22块铝合金材质60*90CM文化宣传牌；4层楼楼梯文化（约120㎡，材质：亚克力，厚度：3MM或以上）；走廊文化（约160㎡，材质：PVC）</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1</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批</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围墙墙面文化</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墙面刷白，内容采用彩色喷绘，内容应针对特殊儿童。</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200</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r>
        <w:tblPrEx>
          <w:tblCellMar>
            <w:top w:w="0" w:type="dxa"/>
            <w:left w:w="108" w:type="dxa"/>
            <w:bottom w:w="0" w:type="dxa"/>
            <w:right w:w="108" w:type="dxa"/>
          </w:tblCellMar>
        </w:tblPrEx>
        <w:trPr>
          <w:trHeight w:val="540" w:hRule="atLeast"/>
        </w:trPr>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遮雨棚校道</w:t>
            </w:r>
          </w:p>
        </w:tc>
        <w:tc>
          <w:tcPr>
            <w:tcW w:w="5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支撑采用不锈钢圆管，壁厚1MM。顶棚采用弧形树脂瓦，校道长220M，宽2.25M</w:t>
            </w:r>
          </w:p>
        </w:tc>
        <w:tc>
          <w:tcPr>
            <w:tcW w:w="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300</w:t>
            </w:r>
          </w:p>
        </w:tc>
        <w:tc>
          <w:tcPr>
            <w:tcW w:w="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auto"/>
                <w:sz w:val="21"/>
                <w:szCs w:val="21"/>
                <w:highlight w:val="none"/>
              </w:rPr>
            </w:pPr>
            <w:r>
              <w:rPr>
                <w:rFonts w:hint="eastAsia" w:ascii="宋体" w:hAnsi="宋体" w:cs="宋体"/>
                <w:color w:val="auto"/>
                <w:kern w:val="0"/>
                <w:sz w:val="21"/>
                <w:szCs w:val="21"/>
                <w:highlight w:val="none"/>
              </w:rPr>
              <w:t>㎡</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ascii="宋体" w:hAnsi="宋体" w:cs="宋体"/>
                <w:color w:val="auto"/>
                <w:sz w:val="21"/>
                <w:szCs w:val="21"/>
                <w:highlight w:val="none"/>
              </w:rPr>
            </w:pPr>
          </w:p>
        </w:tc>
      </w:tr>
    </w:tbl>
    <w:p>
      <w:p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注：1、核心产品：户内全彩LED模组、专业立体声功放；</w:t>
      </w:r>
    </w:p>
    <w:p>
      <w:pPr>
        <w:pStyle w:val="27"/>
        <w:rPr>
          <w:rFonts w:ascii="宋体" w:hAnsi="宋体" w:cs="宋体"/>
          <w:b/>
          <w:color w:val="auto"/>
          <w:sz w:val="28"/>
          <w:szCs w:val="28"/>
          <w:highlight w:val="none"/>
        </w:rPr>
      </w:pPr>
      <w:r>
        <w:rPr>
          <w:rFonts w:hint="eastAsia" w:ascii="宋体" w:hAnsi="宋体" w:cs="宋体"/>
          <w:b/>
          <w:color w:val="auto"/>
          <w:sz w:val="28"/>
          <w:szCs w:val="28"/>
          <w:highlight w:val="none"/>
        </w:rPr>
        <w:t>2、带★的为实质性响应参数，如不满足，视为无效投标；带▲的为重要参数，如不满足，将加重扣分。</w:t>
      </w:r>
    </w:p>
    <w:p>
      <w:pPr>
        <w:pStyle w:val="17"/>
        <w:spacing w:before="127" w:line="360" w:lineRule="auto"/>
        <w:outlineLvl w:val="1"/>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三、其他要求</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1</w:t>
      </w:r>
      <w:r>
        <w:rPr>
          <w:rFonts w:hint="eastAsia" w:cs="宋体" w:asciiTheme="minorEastAsia" w:hAnsiTheme="minorEastAsia" w:eastAsiaTheme="minorEastAsia"/>
          <w:color w:val="auto"/>
          <w:kern w:val="0"/>
          <w:szCs w:val="24"/>
          <w:highlight w:val="none"/>
        </w:rPr>
        <w:t>、合同履行期限：</w:t>
      </w:r>
      <w:r>
        <w:rPr>
          <w:rFonts w:hint="eastAsia" w:cs="宋体" w:asciiTheme="minorEastAsia" w:hAnsiTheme="minorEastAsia" w:eastAsiaTheme="minorEastAsia"/>
          <w:bCs/>
          <w:color w:val="auto"/>
          <w:kern w:val="0"/>
          <w:szCs w:val="24"/>
          <w:highlight w:val="none"/>
        </w:rPr>
        <w:t>签订合同之日起60天内</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rPr>
        <w:t xml:space="preserve">、项目地点：采购人指定地点 </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3</w:t>
      </w:r>
      <w:r>
        <w:rPr>
          <w:rFonts w:hint="eastAsia" w:cs="宋体" w:asciiTheme="minorEastAsia" w:hAnsiTheme="minorEastAsia" w:eastAsiaTheme="minorEastAsia"/>
          <w:color w:val="auto"/>
          <w:kern w:val="0"/>
          <w:szCs w:val="24"/>
          <w:highlight w:val="none"/>
        </w:rPr>
        <w:t xml:space="preserve">、付款方式和条件：合同签订后，甲方凭乙方开具的正式有效发票在5个工作日内向乙方支付预付款，预付款为合同金额的30%；项目安装、调试并通过合格验收后5个工作日内，甲方凭乙方开具的正式有效发票在5个工作日内向乙方支付款，支付款为合同金额的67%；项目质保期（壹年）满后10个工作日内，甲方凭乙方开具的正式有效发票向乙方支付合同总价3%金额。（具体以实际合同签订为准） </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4</w:t>
      </w:r>
      <w:r>
        <w:rPr>
          <w:rFonts w:hint="eastAsia" w:cs="宋体" w:asciiTheme="minorEastAsia" w:hAnsiTheme="minorEastAsia" w:eastAsiaTheme="minorEastAsia"/>
          <w:color w:val="auto"/>
          <w:kern w:val="0"/>
          <w:szCs w:val="24"/>
          <w:highlight w:val="none"/>
        </w:rPr>
        <w:t xml:space="preserve">、质量要求： </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1</w:t>
      </w:r>
      <w:r>
        <w:rPr>
          <w:rFonts w:hint="eastAsia" w:cs="宋体" w:asciiTheme="minorEastAsia" w:hAnsiTheme="minorEastAsia" w:eastAsiaTheme="minorEastAsia"/>
          <w:color w:val="auto"/>
          <w:kern w:val="0"/>
          <w:szCs w:val="24"/>
          <w:highlight w:val="none"/>
        </w:rPr>
        <w:t>）投标人必须承诺提供厂商原装、全新的、符合用户提出的有关质量标准的设备、货物。</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2</w:t>
      </w:r>
      <w:r>
        <w:rPr>
          <w:rFonts w:hint="eastAsia" w:cs="宋体" w:asciiTheme="minorEastAsia" w:hAnsiTheme="minorEastAsia" w:eastAsiaTheme="minorEastAsia"/>
          <w:color w:val="auto"/>
          <w:kern w:val="0"/>
          <w:szCs w:val="24"/>
          <w:highlight w:val="none"/>
        </w:rPr>
        <w:t>）所有货物在开箱检验时必须完好，无破损，配置与装箱单相符。货物外观清洁，标记编号以及盘面显示等字体清晰，明确数量等。</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3</w:t>
      </w:r>
      <w:r>
        <w:rPr>
          <w:rFonts w:hint="eastAsia" w:cs="宋体" w:asciiTheme="minorEastAsia" w:hAnsiTheme="minorEastAsia" w:eastAsiaTheme="minorEastAsia"/>
          <w:color w:val="auto"/>
          <w:kern w:val="0"/>
          <w:szCs w:val="24"/>
          <w:highlight w:val="none"/>
        </w:rPr>
        <w:t>）投标人所投设备应符合中华人民共和国有关规范和安全要求；</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4</w:t>
      </w:r>
      <w:r>
        <w:rPr>
          <w:rFonts w:hint="eastAsia" w:cs="宋体" w:asciiTheme="minorEastAsia" w:hAnsiTheme="minorEastAsia" w:eastAsiaTheme="minorEastAsia"/>
          <w:color w:val="auto"/>
          <w:kern w:val="0"/>
          <w:szCs w:val="24"/>
          <w:highlight w:val="none"/>
        </w:rPr>
        <w:t>）投标人须负责投标货物的运输、验收、技术培训并承担相应的费用。</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5</w:t>
      </w:r>
      <w:r>
        <w:rPr>
          <w:rFonts w:hint="eastAsia" w:cs="宋体" w:asciiTheme="minorEastAsia" w:hAnsiTheme="minorEastAsia" w:eastAsiaTheme="minorEastAsia"/>
          <w:color w:val="auto"/>
          <w:kern w:val="0"/>
          <w:szCs w:val="24"/>
          <w:highlight w:val="none"/>
        </w:rPr>
        <w:t>、售后服务（提供承诺函）：</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1</w:t>
      </w:r>
      <w:r>
        <w:rPr>
          <w:rFonts w:hint="eastAsia" w:cs="宋体" w:asciiTheme="minorEastAsia" w:hAnsiTheme="minorEastAsia" w:eastAsiaTheme="minorEastAsia"/>
          <w:color w:val="auto"/>
          <w:kern w:val="0"/>
          <w:szCs w:val="24"/>
          <w:highlight w:val="none"/>
        </w:rPr>
        <w:t>）投标人所提供的设备应为全新的未使用过的设备，应完全符合国家相关产品及技术质量标准，符合各系统所要求的数量、技术规格和质量标准。应保证所提供的货物经正确安装、正常运转和保养在其使用寿命期内应需具有满意的性能。根据用户按检验标准自己检验的结果或当地技术监督部门的检验结果、或者在质量保证期内，如果货物的数量、质量或规格与合同不符或证实货物是有缺陷的，包括潜在缺陷或使用不符合要求等，用户可向投标人提出索赔。</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2）自产品验收合格之日起，提供所投标产品投标产品至少壹年质量保证期，如厂商提供的保修期有超出部分，则按厂家标准提供质保维护，质保期内，因产品自身问题导致采购人无法正常使用的，中标投标人应无条件负责更换。</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3</w:t>
      </w:r>
      <w:r>
        <w:rPr>
          <w:rFonts w:hint="eastAsia" w:cs="宋体" w:asciiTheme="minorEastAsia" w:hAnsiTheme="minorEastAsia" w:eastAsiaTheme="minorEastAsia"/>
          <w:color w:val="auto"/>
          <w:kern w:val="0"/>
          <w:szCs w:val="24"/>
          <w:highlight w:val="none"/>
        </w:rPr>
        <w:t>）按照国家有关标准、采购文件及投标的技术要求进行验收，中标投标人必须提供完整、合格、有效的产品出厂文件及有关货物资证文件配合验收。</w:t>
      </w:r>
    </w:p>
    <w:p>
      <w:pPr>
        <w:widowControl/>
        <w:spacing w:line="360" w:lineRule="auto"/>
        <w:rPr>
          <w:rFonts w:cs="宋体" w:asciiTheme="minorEastAsia" w:hAnsiTheme="minorEastAsia" w:eastAsiaTheme="minorEastAsia"/>
          <w:color w:val="auto"/>
          <w:kern w:val="0"/>
          <w:szCs w:val="24"/>
          <w:highlight w:val="none"/>
        </w:rPr>
      </w:pPr>
      <w:r>
        <w:rPr>
          <w:rFonts w:hint="eastAsia" w:cs="宋体" w:asciiTheme="minorEastAsia" w:hAnsiTheme="minorEastAsia" w:eastAsiaTheme="minorEastAsia"/>
          <w:color w:val="auto"/>
          <w:kern w:val="0"/>
          <w:szCs w:val="24"/>
          <w:highlight w:val="none"/>
        </w:rPr>
        <w:t>（</w:t>
      </w:r>
      <w:r>
        <w:rPr>
          <w:rFonts w:cs="宋体" w:asciiTheme="minorEastAsia" w:hAnsiTheme="minorEastAsia" w:eastAsiaTheme="minorEastAsia"/>
          <w:color w:val="auto"/>
          <w:kern w:val="0"/>
          <w:szCs w:val="24"/>
          <w:highlight w:val="none"/>
        </w:rPr>
        <w:t>4</w:t>
      </w:r>
      <w:r>
        <w:rPr>
          <w:rFonts w:hint="eastAsia" w:cs="宋体" w:asciiTheme="minorEastAsia" w:hAnsiTheme="minorEastAsia" w:eastAsiaTheme="minorEastAsia"/>
          <w:color w:val="auto"/>
          <w:kern w:val="0"/>
          <w:szCs w:val="24"/>
          <w:highlight w:val="none"/>
        </w:rPr>
        <w:t>）运输、税费及其他费用：由中标投标人负责。</w:t>
      </w:r>
    </w:p>
    <w:p>
      <w:pPr>
        <w:widowControl/>
        <w:spacing w:line="360" w:lineRule="auto"/>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w:t>
      </w:r>
      <w:r>
        <w:rPr>
          <w:rFonts w:hint="eastAsia" w:cs="宋体" w:asciiTheme="minorEastAsia" w:hAnsiTheme="minorEastAsia" w:eastAsiaTheme="minorEastAsia"/>
          <w:color w:val="auto"/>
          <w:kern w:val="0"/>
          <w:szCs w:val="24"/>
          <w:highlight w:val="none"/>
        </w:rPr>
        <w:t>5</w:t>
      </w:r>
      <w:r>
        <w:rPr>
          <w:rFonts w:cs="宋体" w:asciiTheme="minorEastAsia" w:hAnsiTheme="minorEastAsia" w:eastAsiaTheme="minorEastAsia"/>
          <w:color w:val="auto"/>
          <w:kern w:val="0"/>
          <w:szCs w:val="24"/>
          <w:highlight w:val="none"/>
        </w:rPr>
        <w:t xml:space="preserve">）验收： </w:t>
      </w:r>
    </w:p>
    <w:p>
      <w:pPr>
        <w:pStyle w:val="81"/>
        <w:widowControl/>
        <w:numPr>
          <w:ilvl w:val="0"/>
          <w:numId w:val="3"/>
        </w:numPr>
        <w:ind w:firstLine="6" w:firstLineChars="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 xml:space="preserve">验收标准：由招标人在指定地点对所购设备进行验收，验收标准除采购要求的货物技术参数外，可溯源到国家相关标准。 </w:t>
      </w:r>
    </w:p>
    <w:p>
      <w:pPr>
        <w:pStyle w:val="81"/>
        <w:widowControl/>
        <w:numPr>
          <w:ilvl w:val="0"/>
          <w:numId w:val="3"/>
        </w:numPr>
        <w:ind w:firstLine="6" w:firstLineChars="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 xml:space="preserve">开箱检验，招标人和投标人应共同对设备的包装、外观、设备品牌、原厂商、产地、规格型号、数量进行检验。如在开箱检验中发现所交付的合同设备有短缺、 损坏、不合格产品等或与合同、随机文件不相符的情形，投标人应于 5 日内予以更换，并承担一切损失和费用。待设备补足或更换后，招标人和投标人重新对合同设备进行检验，合格后再进行安装调试。 </w:t>
      </w:r>
    </w:p>
    <w:p>
      <w:pPr>
        <w:pStyle w:val="81"/>
        <w:widowControl/>
        <w:numPr>
          <w:ilvl w:val="0"/>
          <w:numId w:val="3"/>
        </w:numPr>
        <w:ind w:firstLine="6" w:firstLineChars="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 xml:space="preserve">投标人应派专业工程师到现场进行安装，调试设备，并对相关人员进行培训。在安装过程中，招标人工程师负责对设备安装调试予以配合和相应的协调工作。 </w:t>
      </w:r>
    </w:p>
    <w:p>
      <w:pPr>
        <w:pStyle w:val="81"/>
        <w:widowControl/>
        <w:numPr>
          <w:ilvl w:val="0"/>
          <w:numId w:val="3"/>
        </w:numPr>
        <w:ind w:firstLine="6" w:firstLineChars="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 xml:space="preserve">验收服务要求：投标人提供的设备安装调试应达到有关标准的要求并确保整体通过招标人的验收。 </w:t>
      </w:r>
    </w:p>
    <w:p>
      <w:pPr>
        <w:pStyle w:val="81"/>
        <w:widowControl/>
        <w:numPr>
          <w:ilvl w:val="0"/>
          <w:numId w:val="3"/>
        </w:numPr>
        <w:ind w:firstLine="6" w:firstLineChars="0"/>
        <w:rPr>
          <w:rFonts w:cs="宋体" w:asciiTheme="minorEastAsia" w:hAnsiTheme="minorEastAsia" w:eastAsiaTheme="minorEastAsia"/>
          <w:color w:val="auto"/>
          <w:kern w:val="0"/>
          <w:szCs w:val="24"/>
          <w:highlight w:val="none"/>
        </w:rPr>
      </w:pPr>
      <w:r>
        <w:rPr>
          <w:rFonts w:cs="宋体" w:asciiTheme="minorEastAsia" w:hAnsiTheme="minorEastAsia" w:eastAsiaTheme="minorEastAsia"/>
          <w:color w:val="auto"/>
          <w:kern w:val="0"/>
          <w:szCs w:val="24"/>
          <w:highlight w:val="none"/>
        </w:rPr>
        <w:t>投标人对设备所进行的安装调试应与产品说明书要求的性能完全一致。安装调试完毕，双方根据投标文件和产品说明书的技术标准共同进行验收，并交付合同设备相关的文件资料。在验收过程中，如合同设备的一项或数项指标未达到规定要求，投标人应于5日内予以更换设备，由此产生的费用由投标人承担。验收合格后，双方签署验收报告，并加盖招标人公章、投标人公章确认。</w:t>
      </w:r>
    </w:p>
    <w:p>
      <w:pPr>
        <w:spacing w:line="360" w:lineRule="auto"/>
        <w:jc w:val="center"/>
        <w:rPr>
          <w:rFonts w:asciiTheme="minorEastAsia" w:hAnsiTheme="minorEastAsia" w:eastAsiaTheme="minorEastAsia"/>
          <w:color w:val="auto"/>
          <w:sz w:val="28"/>
          <w:szCs w:val="28"/>
          <w:highlight w:val="none"/>
        </w:rPr>
        <w:sectPr>
          <w:footerReference r:id="rId4" w:type="default"/>
          <w:pgSz w:w="11906" w:h="16838"/>
          <w:pgMar w:top="1440" w:right="1146" w:bottom="930" w:left="1800" w:header="851" w:footer="992" w:gutter="0"/>
          <w:cols w:space="425" w:num="1"/>
          <w:docGrid w:type="lines" w:linePitch="312" w:charSpace="0"/>
        </w:sectPr>
      </w:pPr>
    </w:p>
    <w:p>
      <w:pPr>
        <w:pStyle w:val="3"/>
        <w:rPr>
          <w:rFonts w:asciiTheme="minorEastAsia" w:hAnsiTheme="minorEastAsia" w:eastAsiaTheme="minorEastAsia"/>
          <w:color w:val="auto"/>
          <w:highlight w:val="none"/>
        </w:rPr>
      </w:pPr>
      <w:bookmarkStart w:id="91" w:name="_Toc1892"/>
      <w:r>
        <w:rPr>
          <w:rFonts w:hint="eastAsia" w:asciiTheme="minorEastAsia" w:hAnsiTheme="minorEastAsia" w:eastAsiaTheme="minorEastAsia"/>
          <w:color w:val="auto"/>
          <w:highlight w:val="none"/>
        </w:rPr>
        <w:t>第四章  评标方法及标准</w:t>
      </w:r>
      <w:bookmarkEnd w:id="89"/>
      <w:bookmarkEnd w:id="91"/>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一、评标方法</w:t>
      </w:r>
    </w:p>
    <w:p>
      <w:pPr>
        <w:numPr>
          <w:ilvl w:val="1"/>
          <w:numId w:val="4"/>
        </w:numPr>
        <w:spacing w:line="360" w:lineRule="auto"/>
        <w:ind w:left="0" w:firstLine="424" w:firstLineChars="177"/>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评标办法：采用综合评分法。</w:t>
      </w:r>
    </w:p>
    <w:p>
      <w:pPr>
        <w:numPr>
          <w:ilvl w:val="1"/>
          <w:numId w:val="4"/>
        </w:numPr>
        <w:spacing w:line="360" w:lineRule="auto"/>
        <w:ind w:left="0"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综合评分法评标步骤：先进行资格和符合性审查，再进行技术、商务及价格的详细评审。只有通过资格和符合性审查的投标人才能进入详细的评审。</w:t>
      </w:r>
    </w:p>
    <w:p>
      <w:pPr>
        <w:numPr>
          <w:ilvl w:val="1"/>
          <w:numId w:val="4"/>
        </w:numPr>
        <w:spacing w:line="360" w:lineRule="auto"/>
        <w:ind w:left="0"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投标人，综合得分次高的投标人为第二中标候选投标人，以此类推，评标委员会推荐出一至三名中标候选投标人。</w:t>
      </w:r>
    </w:p>
    <w:p>
      <w:pPr>
        <w:pStyle w:val="2"/>
        <w:rPr>
          <w:rFonts w:asciiTheme="minorEastAsia" w:hAnsiTheme="minorEastAsia" w:eastAsiaTheme="minorEastAsia"/>
          <w:color w:val="auto"/>
          <w:highlight w:val="none"/>
        </w:rPr>
      </w:pPr>
      <w:bookmarkStart w:id="92" w:name="_Toc417386191"/>
      <w:bookmarkStart w:id="93" w:name="_Toc462068984"/>
      <w:bookmarkStart w:id="94" w:name="_Toc491437839"/>
      <w:bookmarkStart w:id="95" w:name="_Toc505762934"/>
      <w:bookmarkStart w:id="96" w:name="_Toc504551336"/>
      <w:bookmarkStart w:id="97" w:name="_Toc505763674"/>
      <w:r>
        <w:rPr>
          <w:rFonts w:hint="eastAsia" w:asciiTheme="minorEastAsia" w:hAnsiTheme="minorEastAsia" w:eastAsiaTheme="minorEastAsia"/>
          <w:color w:val="auto"/>
          <w:highlight w:val="none"/>
        </w:rPr>
        <w:t>二、资格</w:t>
      </w:r>
      <w:bookmarkEnd w:id="92"/>
      <w:bookmarkEnd w:id="93"/>
      <w:bookmarkEnd w:id="94"/>
      <w:r>
        <w:rPr>
          <w:rFonts w:hint="eastAsia" w:asciiTheme="minorEastAsia" w:hAnsiTheme="minorEastAsia" w:eastAsiaTheme="minorEastAsia"/>
          <w:color w:val="auto"/>
          <w:highlight w:val="none"/>
        </w:rPr>
        <w:t>审查</w:t>
      </w:r>
      <w:bookmarkEnd w:id="95"/>
      <w:bookmarkEnd w:id="96"/>
      <w:bookmarkEnd w:id="97"/>
    </w:p>
    <w:p>
      <w:pPr>
        <w:numPr>
          <w:ilvl w:val="0"/>
          <w:numId w:val="5"/>
        </w:numPr>
        <w:spacing w:line="360" w:lineRule="auto"/>
        <w:ind w:left="0"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根据财政部第87号令</w:t>
      </w:r>
      <w:r>
        <w:rPr>
          <w:rFonts w:hint="eastAsia" w:cs="宋体" w:asciiTheme="minorEastAsia" w:hAnsiTheme="minorEastAsia" w:eastAsiaTheme="minorEastAsia"/>
          <w:color w:val="auto"/>
          <w:szCs w:val="24"/>
          <w:highlight w:val="none"/>
        </w:rPr>
        <w:t>第四十四条的规定，采购人、采购代理机构对投标人的资格进行审查。</w:t>
      </w:r>
    </w:p>
    <w:p>
      <w:pPr>
        <w:numPr>
          <w:ilvl w:val="0"/>
          <w:numId w:val="5"/>
        </w:numPr>
        <w:spacing w:line="360" w:lineRule="auto"/>
        <w:ind w:left="0" w:firstLine="424" w:firstLineChars="177"/>
        <w:rPr>
          <w:rFonts w:asciiTheme="minorEastAsia" w:hAnsiTheme="minorEastAsia" w:eastAsiaTheme="minorEastAsia"/>
          <w:color w:val="auto"/>
          <w:highlight w:val="none"/>
        </w:rPr>
      </w:pPr>
      <w:r>
        <w:rPr>
          <w:rFonts w:hint="eastAsia" w:cs="宋体" w:asciiTheme="minorEastAsia" w:hAnsiTheme="minorEastAsia" w:eastAsiaTheme="minorEastAsia"/>
          <w:color w:val="auto"/>
          <w:szCs w:val="24"/>
          <w:highlight w:val="none"/>
        </w:rPr>
        <w:t>采购人、采购代理机构</w:t>
      </w:r>
      <w:r>
        <w:rPr>
          <w:rFonts w:hint="eastAsia" w:asciiTheme="minorEastAsia" w:hAnsiTheme="minorEastAsia" w:eastAsiaTheme="minorEastAsia"/>
          <w:color w:val="auto"/>
          <w:szCs w:val="24"/>
          <w:highlight w:val="none"/>
        </w:rPr>
        <w:t>根据“资格审查表”对投标人的资格进行评审，只有对“资格审查表”所列各项作出实质性响应的投标文件才能</w:t>
      </w:r>
      <w:r>
        <w:rPr>
          <w:rFonts w:hint="eastAsia" w:asciiTheme="minorEastAsia" w:hAnsiTheme="minorEastAsia" w:eastAsiaTheme="minorEastAsia"/>
          <w:color w:val="auto"/>
          <w:highlight w:val="none"/>
        </w:rPr>
        <w:t>通过资格评审。</w:t>
      </w:r>
    </w:p>
    <w:p>
      <w:pPr>
        <w:numPr>
          <w:ilvl w:val="0"/>
          <w:numId w:val="5"/>
        </w:numPr>
        <w:shd w:val="clear" w:color="auto" w:fill="FFFFFF"/>
        <w:snapToGrid w:val="0"/>
        <w:spacing w:line="360" w:lineRule="auto"/>
        <w:ind w:left="0" w:firstLine="424" w:firstLineChars="177"/>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判断投标文件的响应与否只根据投标文件本身，而不寻求外部证据。</w:t>
      </w:r>
    </w:p>
    <w:p>
      <w:pPr>
        <w:numPr>
          <w:ilvl w:val="0"/>
          <w:numId w:val="5"/>
        </w:numPr>
        <w:shd w:val="clear" w:color="auto" w:fill="FFFFFF"/>
        <w:snapToGrid w:val="0"/>
        <w:spacing w:line="360" w:lineRule="auto"/>
        <w:ind w:left="0" w:firstLine="424" w:firstLineChars="177"/>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通过资格审查的投标人不足三家，则本次招标失败。</w:t>
      </w:r>
    </w:p>
    <w:p>
      <w:pPr>
        <w:pStyle w:val="2"/>
        <w:rPr>
          <w:rFonts w:asciiTheme="minorEastAsia" w:hAnsiTheme="minorEastAsia" w:eastAsiaTheme="minorEastAsia"/>
          <w:color w:val="auto"/>
          <w:highlight w:val="none"/>
        </w:rPr>
      </w:pPr>
      <w:bookmarkStart w:id="98" w:name="_Toc505763675"/>
      <w:bookmarkStart w:id="99" w:name="_Toc505762935"/>
      <w:bookmarkStart w:id="100" w:name="_Toc504551337"/>
      <w:r>
        <w:rPr>
          <w:rFonts w:hint="eastAsia" w:asciiTheme="minorEastAsia" w:hAnsiTheme="minorEastAsia" w:eastAsiaTheme="minorEastAsia"/>
          <w:color w:val="auto"/>
          <w:highlight w:val="none"/>
        </w:rPr>
        <w:t>三、符合性审查</w:t>
      </w:r>
      <w:bookmarkEnd w:id="98"/>
      <w:bookmarkEnd w:id="99"/>
      <w:bookmarkEnd w:id="100"/>
    </w:p>
    <w:p>
      <w:pPr>
        <w:numPr>
          <w:ilvl w:val="0"/>
          <w:numId w:val="6"/>
        </w:numPr>
        <w:shd w:val="clear" w:color="auto" w:fill="FFFFFF"/>
        <w:spacing w:line="360" w:lineRule="auto"/>
        <w:ind w:left="0" w:firstLine="424" w:firstLineChars="177"/>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评标委员会根据“符合性审查表”对通过资格审查的投标文件的符合性进行评审，只有对“符合性审查表”所列各项作出实质性响应的投标文件才能</w:t>
      </w:r>
      <w:r>
        <w:rPr>
          <w:rFonts w:hint="eastAsia" w:asciiTheme="minorEastAsia" w:hAnsiTheme="minorEastAsia" w:eastAsiaTheme="minorEastAsia"/>
          <w:color w:val="auto"/>
          <w:highlight w:val="none"/>
        </w:rPr>
        <w:t>通过符合性审查。对是否实质性响应招标文件的要求有争议的投标内容，评标委员会将以记名方式表决，得票超过半数的投标人有资格进入下一阶段的评审，否则将被淘汰。</w:t>
      </w:r>
    </w:p>
    <w:p>
      <w:pPr>
        <w:numPr>
          <w:ilvl w:val="0"/>
          <w:numId w:val="6"/>
        </w:numPr>
        <w:shd w:val="clear" w:color="auto" w:fill="FFFFFF"/>
        <w:spacing w:line="360" w:lineRule="auto"/>
        <w:ind w:left="0" w:firstLine="424" w:firstLineChars="17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判断投标文件的响应与否只根据投标文件本身，而不寻求外部证据。</w:t>
      </w:r>
    </w:p>
    <w:p>
      <w:pPr>
        <w:numPr>
          <w:ilvl w:val="0"/>
          <w:numId w:val="6"/>
        </w:numPr>
        <w:shd w:val="clear" w:color="auto" w:fill="FFFFFF"/>
        <w:spacing w:line="360" w:lineRule="auto"/>
        <w:ind w:left="0" w:firstLine="424" w:firstLineChars="17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评标委员会在符合性审查中，对算术错误的修正原则如下:</w:t>
      </w:r>
    </w:p>
    <w:p>
      <w:pPr>
        <w:shd w:val="clear" w:color="auto" w:fill="FFFFFF"/>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（1）开标一览表内容与投标文件中明细表内容不一致的，以开标一览表为准</w:t>
      </w:r>
    </w:p>
    <w:p>
      <w:pPr>
        <w:shd w:val="clear" w:color="auto" w:fill="FFFFFF"/>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（2）投标文件的大写金额和小写金额不一致的，以大写金额为准；</w:t>
      </w:r>
    </w:p>
    <w:p>
      <w:pPr>
        <w:shd w:val="clear" w:color="auto" w:fill="FFFFFF"/>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（3）总价金额与按单价汇总金额不一致的，以单价金额计算结果为准；</w:t>
      </w:r>
    </w:p>
    <w:p>
      <w:pPr>
        <w:shd w:val="clear" w:color="auto" w:fill="FFFFFF"/>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（4）单价金额小数点有明显错位的，以总价为准并修改单价。</w:t>
      </w:r>
    </w:p>
    <w:p>
      <w:pPr>
        <w:shd w:val="clear" w:color="auto" w:fill="FFFFFF"/>
        <w:spacing w:line="360" w:lineRule="auto"/>
        <w:ind w:firstLine="24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（5）若投标人不同意以上修正，投标文件将视为无效。</w:t>
      </w:r>
    </w:p>
    <w:p>
      <w:pPr>
        <w:numPr>
          <w:ilvl w:val="0"/>
          <w:numId w:val="6"/>
        </w:numPr>
        <w:shd w:val="clear" w:color="auto" w:fill="FFFFFF"/>
        <w:spacing w:line="360" w:lineRule="auto"/>
        <w:ind w:left="0" w:firstLine="424" w:firstLineChars="17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无效投标的认定</w:t>
      </w:r>
    </w:p>
    <w:p>
      <w:pPr>
        <w:shd w:val="clear" w:color="auto" w:fill="FFFFFF"/>
        <w:spacing w:line="360" w:lineRule="auto"/>
        <w:ind w:firstLine="240" w:firstLineChars="100"/>
        <w:rPr>
          <w:rFonts w:asciiTheme="minorEastAsia" w:hAnsiTheme="minorEastAsia" w:eastAsiaTheme="minorEastAsia"/>
          <w:b/>
          <w:color w:val="auto"/>
          <w:highlight w:val="none"/>
        </w:rPr>
      </w:pPr>
      <w:r>
        <w:rPr>
          <w:rFonts w:hint="eastAsia" w:asciiTheme="minorEastAsia" w:hAnsiTheme="minorEastAsia" w:eastAsiaTheme="minorEastAsia"/>
          <w:color w:val="auto"/>
          <w:highlight w:val="none"/>
        </w:rPr>
        <w:t>投标文件出现但不限于下列情况的将被认定为无效投标</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）未按照招标文件的规定提交投标保证金的；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）投标文件未按招标文件要求签署</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盖章的；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）不具备招标文件中规定的资格要求</w:t>
      </w:r>
      <w:r>
        <w:rPr>
          <w:rFonts w:hint="eastAsia" w:asciiTheme="minorEastAsia" w:hAnsiTheme="minorEastAsia" w:eastAsiaTheme="minorEastAsia"/>
          <w:color w:val="auto"/>
          <w:highlight w:val="none"/>
        </w:rPr>
        <w:t>或实质性响应要求</w:t>
      </w:r>
      <w:r>
        <w:rPr>
          <w:rFonts w:asciiTheme="minorEastAsia" w:hAnsiTheme="minorEastAsia" w:eastAsiaTheme="minorEastAsia"/>
          <w:color w:val="auto"/>
          <w:highlight w:val="none"/>
        </w:rPr>
        <w:t>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4</w:t>
      </w:r>
      <w:r>
        <w:rPr>
          <w:rFonts w:asciiTheme="minorEastAsia" w:hAnsiTheme="minorEastAsia" w:eastAsiaTheme="minorEastAsia"/>
          <w:color w:val="auto"/>
          <w:highlight w:val="none"/>
        </w:rPr>
        <w:t>）报价超过招标文件中规定的预算金额或者最高限价的；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）投标文件含有采购人不能接受的附加条件的;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）投标文件未按规定要求提交的；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7</w:t>
      </w:r>
      <w:r>
        <w:rPr>
          <w:rFonts w:asciiTheme="minorEastAsia" w:hAnsiTheme="minorEastAsia" w:eastAsiaTheme="minorEastAsia"/>
          <w:color w:val="auto"/>
          <w:highlight w:val="none"/>
        </w:rPr>
        <w:t>）相关人员未按时进行开标签到的；</w:t>
      </w:r>
    </w:p>
    <w:p>
      <w:pPr>
        <w:shd w:val="clear" w:color="auto" w:fill="FFFFFF"/>
        <w:spacing w:line="360" w:lineRule="auto"/>
        <w:ind w:firstLine="240" w:firstLineChars="100"/>
        <w:rPr>
          <w:rFonts w:asciiTheme="minorEastAsia" w:hAnsiTheme="minorEastAsia" w:eastAsia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8</w:t>
      </w:r>
      <w:r>
        <w:rPr>
          <w:rFonts w:asciiTheme="minorEastAsia" w:hAnsiTheme="minorEastAsia" w:eastAsiaTheme="minorEastAsia"/>
          <w:color w:val="auto"/>
          <w:highlight w:val="none"/>
        </w:rPr>
        <w:t>）法律、法规和招标文件规定的其他无效情形。</w:t>
      </w:r>
    </w:p>
    <w:p>
      <w:pPr>
        <w:shd w:val="clear" w:color="auto" w:fill="FFFFFF"/>
        <w:spacing w:line="360" w:lineRule="auto"/>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通过符合性审查的投标人不足三家，则本次招标失败。</w:t>
      </w:r>
    </w:p>
    <w:p>
      <w:pPr>
        <w:pStyle w:val="2"/>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四、技术、商务和价格评审</w:t>
      </w:r>
    </w:p>
    <w:p>
      <w:pPr>
        <w:spacing w:line="360" w:lineRule="auto"/>
        <w:ind w:firstLine="424" w:firstLineChars="177"/>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1、评标委员会根据评审办法对通过符合性审查的投标文件进行详细评审，并进行技术和商务的评审打分。</w:t>
      </w:r>
    </w:p>
    <w:p>
      <w:pPr>
        <w:spacing w:line="360" w:lineRule="auto"/>
        <w:ind w:firstLine="424" w:firstLineChars="177"/>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2、技术、商务评分：评标委员会就投标人对技术、商务响应表中各项要求的响应程度等因素进行打分（技术商务评分各单项因素及其所占权值详见附表）；</w:t>
      </w:r>
    </w:p>
    <w:p>
      <w:pPr>
        <w:spacing w:line="360" w:lineRule="auto"/>
        <w:ind w:firstLine="424" w:firstLineChars="177"/>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3、综合评分法中的价格分统一采用低价优先法计算，即满足招标文件要求且投标价格最低的投标报价为评标基准价，其价格分为满分。其他投标人的价格分统一按照下列公式计算：</w:t>
      </w:r>
    </w:p>
    <w:p>
      <w:pPr>
        <w:spacing w:line="360" w:lineRule="auto"/>
        <w:ind w:firstLine="424" w:firstLineChars="177"/>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投标报价得分</w:t>
      </w:r>
      <w:r>
        <w:rPr>
          <w:rFonts w:cs="宋体" w:asciiTheme="minorEastAsia" w:hAnsiTheme="minorEastAsia" w:eastAsiaTheme="minorEastAsia"/>
          <w:color w:val="auto"/>
          <w:szCs w:val="24"/>
          <w:highlight w:val="none"/>
        </w:rPr>
        <w:t>=(</w:t>
      </w:r>
      <w:r>
        <w:rPr>
          <w:rFonts w:hint="eastAsia" w:cs="宋体" w:asciiTheme="minorEastAsia" w:hAnsiTheme="minorEastAsia" w:eastAsiaTheme="minorEastAsia"/>
          <w:color w:val="auto"/>
          <w:szCs w:val="24"/>
          <w:highlight w:val="none"/>
        </w:rPr>
        <w:t>评标基准价／投标报价</w:t>
      </w:r>
      <w:r>
        <w:rPr>
          <w:rFonts w:cs="宋体" w:asciiTheme="minorEastAsia" w:hAnsiTheme="minorEastAsia" w:eastAsiaTheme="minorEastAsia"/>
          <w:color w:val="auto"/>
          <w:szCs w:val="24"/>
          <w:highlight w:val="none"/>
        </w:rPr>
        <w:t>)</w:t>
      </w:r>
      <w:r>
        <w:rPr>
          <w:rFonts w:hint="eastAsia" w:cs="宋体" w:asciiTheme="minorEastAsia" w:hAnsiTheme="minorEastAsia" w:eastAsiaTheme="minorEastAsia"/>
          <w:color w:val="auto"/>
          <w:szCs w:val="24"/>
          <w:highlight w:val="none"/>
        </w:rPr>
        <w:t>×价格权值×</w:t>
      </w:r>
      <w:r>
        <w:rPr>
          <w:rFonts w:cs="宋体" w:asciiTheme="minorEastAsia" w:hAnsiTheme="minorEastAsia" w:eastAsiaTheme="minorEastAsia"/>
          <w:color w:val="auto"/>
          <w:szCs w:val="24"/>
          <w:highlight w:val="none"/>
        </w:rPr>
        <w:t>100</w:t>
      </w:r>
    </w:p>
    <w:p>
      <w:pPr>
        <w:spacing w:line="360" w:lineRule="auto"/>
        <w:ind w:left="2"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附表：技术、商务及价格权值分配</w:t>
      </w:r>
    </w:p>
    <w:tbl>
      <w:tblPr>
        <w:tblStyle w:val="4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60"/>
        <w:gridCol w:w="3744"/>
        <w:gridCol w:w="31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0"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评分项目</w:t>
            </w:r>
          </w:p>
        </w:tc>
        <w:tc>
          <w:tcPr>
            <w:tcW w:w="3744"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技术、商务评分</w:t>
            </w:r>
          </w:p>
        </w:tc>
        <w:tc>
          <w:tcPr>
            <w:tcW w:w="3118" w:type="dxa"/>
            <w:tcBorders>
              <w:right w:val="single" w:color="auto" w:sz="4" w:space="0"/>
            </w:tcBorders>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960"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权值</w:t>
            </w:r>
          </w:p>
        </w:tc>
        <w:tc>
          <w:tcPr>
            <w:tcW w:w="3744"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70%</w:t>
            </w:r>
          </w:p>
        </w:tc>
        <w:tc>
          <w:tcPr>
            <w:tcW w:w="3118" w:type="dxa"/>
            <w:tcBorders>
              <w:right w:val="single" w:color="auto" w:sz="4" w:space="0"/>
            </w:tcBorders>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30%</w:t>
            </w:r>
          </w:p>
        </w:tc>
      </w:tr>
    </w:tbl>
    <w:p>
      <w:pPr>
        <w:pStyle w:val="52"/>
        <w:ind w:firstLine="0" w:firstLineChars="0"/>
        <w:rPr>
          <w:rFonts w:asciiTheme="minorEastAsia" w:hAnsiTheme="minorEastAsia" w:eastAsiaTheme="minorEastAsia"/>
          <w:color w:val="auto"/>
          <w:highlight w:val="none"/>
        </w:rPr>
      </w:pPr>
    </w:p>
    <w:p>
      <w:pPr>
        <w:spacing w:line="360" w:lineRule="auto"/>
        <w:ind w:firstLine="424" w:firstLineChars="177"/>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4、评标委员会认为投标人的报价明显低于其他通过符合性审查投标人的报价，有可能影响产品质量或者不能诚信履约的，将要求其在评标现场接到通知后在规定时间内提供书面说明，提交相关证明材料。投标人不能证明其报价合理性的，评标委员会将其作为无效投标处理</w:t>
      </w:r>
      <w:r>
        <w:rPr>
          <w:rFonts w:hint="eastAsia" w:cs="宋体" w:asciiTheme="minorEastAsia" w:hAnsiTheme="minorEastAsia" w:eastAsiaTheme="minorEastAsia"/>
          <w:color w:val="auto"/>
          <w:kern w:val="0"/>
          <w:szCs w:val="24"/>
          <w:highlight w:val="none"/>
        </w:rPr>
        <w:t>。</w:t>
      </w:r>
    </w:p>
    <w:p>
      <w:pPr>
        <w:spacing w:line="360" w:lineRule="auto"/>
        <w:ind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评标小组各评委的技术、商务评分结果，评标小组评的算术平均值即为该投标文件的技术、商务评分，技术、商务评分与价格评分相加即得综合得分。综合得分最高的投标人为第一中标候选人，综合得分第二高的投标人为第二中标候选人，依此类推。综合得分相同的，按投标报价由低到高顺序排列。综合得分且投标报价相同的，按技术指标优劣顺序排列。</w:t>
      </w:r>
    </w:p>
    <w:p>
      <w:pPr>
        <w:spacing w:line="360" w:lineRule="auto"/>
        <w:ind w:left="2"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6、评标过程中遇到有争议的情况，由评标委员会遵循公平、公正原则，采取记名投票方式按照少数服从多数原则决定。</w:t>
      </w:r>
    </w:p>
    <w:p>
      <w:pPr>
        <w:spacing w:line="360" w:lineRule="auto"/>
        <w:rPr>
          <w:rFonts w:asciiTheme="minorEastAsia" w:hAnsiTheme="minorEastAsia" w:eastAsiaTheme="minorEastAsia"/>
          <w:color w:val="auto"/>
          <w:szCs w:val="24"/>
          <w:highlight w:val="none"/>
        </w:rPr>
      </w:pPr>
    </w:p>
    <w:p>
      <w:pPr>
        <w:pStyle w:val="27"/>
        <w:spacing w:line="360" w:lineRule="auto"/>
        <w:rPr>
          <w:rFonts w:asciiTheme="minorEastAsia" w:hAnsiTheme="minorEastAsia" w:eastAsiaTheme="minorEastAsia"/>
          <w:color w:val="auto"/>
          <w:highlight w:val="none"/>
        </w:rPr>
      </w:pPr>
    </w:p>
    <w:p>
      <w:pPr>
        <w:pStyle w:val="5"/>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highlight w:val="none"/>
        </w:rPr>
        <w:t>资格审查表</w:t>
      </w:r>
    </w:p>
    <w:p>
      <w:pPr>
        <w:spacing w:line="360" w:lineRule="auto"/>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项目名称：综合楼（食堂和宿舍）设备和教学楼附属文化</w:t>
      </w:r>
    </w:p>
    <w:p>
      <w:pPr>
        <w:spacing w:line="360" w:lineRule="auto"/>
        <w:jc w:val="left"/>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项目编号：ZB2022-0802</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103"/>
        <w:gridCol w:w="226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spacing w:line="360" w:lineRule="auto"/>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序号</w:t>
            </w:r>
          </w:p>
        </w:tc>
        <w:tc>
          <w:tcPr>
            <w:tcW w:w="5103" w:type="dxa"/>
            <w:vAlign w:val="center"/>
          </w:tcPr>
          <w:p>
            <w:pPr>
              <w:spacing w:line="360" w:lineRule="auto"/>
              <w:jc w:val="center"/>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审查项目</w:t>
            </w:r>
          </w:p>
        </w:tc>
        <w:tc>
          <w:tcPr>
            <w:tcW w:w="2268" w:type="dxa"/>
            <w:vAlign w:val="center"/>
          </w:tcPr>
          <w:p>
            <w:pPr>
              <w:spacing w:line="360" w:lineRule="auto"/>
              <w:jc w:val="center"/>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评议内容</w:t>
            </w:r>
          </w:p>
        </w:tc>
        <w:tc>
          <w:tcPr>
            <w:tcW w:w="945" w:type="dxa"/>
            <w:vAlign w:val="center"/>
          </w:tcPr>
          <w:p>
            <w:pPr>
              <w:spacing w:line="360" w:lineRule="auto"/>
              <w:rPr>
                <w:rFonts w:cs="宋体" w:asciiTheme="minorEastAsia" w:hAnsiTheme="minorEastAsia" w:eastAsiaTheme="minorEastAsia"/>
                <w:b/>
                <w:color w:val="auto"/>
                <w:szCs w:val="24"/>
                <w:highlight w:val="none"/>
              </w:rPr>
            </w:pPr>
            <w:r>
              <w:rPr>
                <w:rFonts w:hint="eastAsia" w:cs="宋体" w:asciiTheme="minorEastAsia" w:hAnsiTheme="minorEastAsia" w:eastAsiaTheme="minorEastAsia"/>
                <w:b/>
                <w:color w:val="auto"/>
                <w:szCs w:val="24"/>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1</w:t>
            </w:r>
          </w:p>
        </w:tc>
        <w:tc>
          <w:tcPr>
            <w:tcW w:w="5103" w:type="dxa"/>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申请人的资格要求</w:t>
            </w:r>
          </w:p>
        </w:tc>
        <w:tc>
          <w:tcPr>
            <w:tcW w:w="2268" w:type="dxa"/>
            <w:vAlign w:val="center"/>
          </w:tcPr>
          <w:p>
            <w:pPr>
              <w:autoSpaceDE w:val="0"/>
              <w:autoSpaceDN w:val="0"/>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是否满足招标文件要求</w:t>
            </w:r>
          </w:p>
        </w:tc>
        <w:tc>
          <w:tcPr>
            <w:tcW w:w="945" w:type="dxa"/>
          </w:tcPr>
          <w:p>
            <w:pPr>
              <w:spacing w:line="360" w:lineRule="auto"/>
              <w:rPr>
                <w:rFonts w:cs="宋体"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09" w:type="dxa"/>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2</w:t>
            </w:r>
          </w:p>
        </w:tc>
        <w:tc>
          <w:tcPr>
            <w:tcW w:w="5103" w:type="dxa"/>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投标文件数量</w:t>
            </w:r>
          </w:p>
        </w:tc>
        <w:tc>
          <w:tcPr>
            <w:tcW w:w="2268" w:type="dxa"/>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是否满足招标文件要求</w:t>
            </w:r>
          </w:p>
        </w:tc>
        <w:tc>
          <w:tcPr>
            <w:tcW w:w="945" w:type="dxa"/>
          </w:tcPr>
          <w:p>
            <w:pPr>
              <w:spacing w:line="360" w:lineRule="auto"/>
              <w:rPr>
                <w:rFonts w:cs="宋体"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0" w:type="dxa"/>
            <w:gridSpan w:val="3"/>
            <w:vAlign w:val="center"/>
          </w:tcPr>
          <w:p>
            <w:pPr>
              <w:spacing w:line="360" w:lineRule="auto"/>
              <w:jc w:val="center"/>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结论</w:t>
            </w:r>
          </w:p>
        </w:tc>
        <w:tc>
          <w:tcPr>
            <w:tcW w:w="945" w:type="dxa"/>
          </w:tcPr>
          <w:p>
            <w:pPr>
              <w:spacing w:line="360" w:lineRule="auto"/>
              <w:rPr>
                <w:rFonts w:cs="宋体" w:asciiTheme="minorEastAsia" w:hAnsiTheme="minorEastAsia" w:eastAsiaTheme="minorEastAsia"/>
                <w:color w:val="auto"/>
                <w:szCs w:val="24"/>
                <w:highlight w:val="none"/>
              </w:rPr>
            </w:pPr>
          </w:p>
        </w:tc>
      </w:tr>
    </w:tbl>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1、表中只需填写“√/通过”或“×/不通过”。</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2、在结论中按“一项否决”的原则，只有全部是√/通过的，填写“合格”；只要其中有一项是×/不通过的，填写“不合格”。</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3、结论是合格的，才能进入下一轮；不合格的被淘汰。</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采购人/采购代理机构签名：</w:t>
      </w:r>
    </w:p>
    <w:p>
      <w:pPr>
        <w:pStyle w:val="5"/>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highlight w:val="none"/>
        </w:rPr>
        <w:t>符合性审查表</w:t>
      </w:r>
    </w:p>
    <w:p>
      <w:pPr>
        <w:shd w:val="clear" w:color="auto" w:fill="FFFFFF"/>
        <w:spacing w:line="360" w:lineRule="auto"/>
        <w:rPr>
          <w:rFonts w:asciiTheme="minorEastAsia" w:hAnsiTheme="minorEastAsia" w:eastAsiaTheme="minorEastAsia"/>
          <w:bCs/>
          <w:color w:val="auto"/>
          <w:highlight w:val="non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bCs/>
          <w:color w:val="auto"/>
          <w:highlight w:val="none"/>
        </w:rPr>
        <w:t>综合楼（食堂和宿舍）设备和教学楼附属文化</w:t>
      </w:r>
    </w:p>
    <w:p>
      <w:pPr>
        <w:shd w:val="clear" w:color="auto" w:fill="FFFFFF"/>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项目编号：ZB2022-0802</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595"/>
        <w:gridCol w:w="47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06" w:type="dxa"/>
            <w:vAlign w:val="center"/>
          </w:tcPr>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序号</w:t>
            </w:r>
          </w:p>
        </w:tc>
        <w:tc>
          <w:tcPr>
            <w:tcW w:w="2595" w:type="dxa"/>
            <w:vAlign w:val="center"/>
          </w:tcPr>
          <w:p>
            <w:pPr>
              <w:spacing w:line="360" w:lineRule="auto"/>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审查项目</w:t>
            </w:r>
          </w:p>
        </w:tc>
        <w:tc>
          <w:tcPr>
            <w:tcW w:w="4779" w:type="dxa"/>
            <w:vAlign w:val="center"/>
          </w:tcPr>
          <w:p>
            <w:pPr>
              <w:spacing w:line="360" w:lineRule="auto"/>
              <w:jc w:val="center"/>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评议内容</w:t>
            </w:r>
          </w:p>
        </w:tc>
        <w:tc>
          <w:tcPr>
            <w:tcW w:w="992" w:type="dxa"/>
            <w:vAlign w:val="center"/>
          </w:tcPr>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p>
        </w:tc>
        <w:tc>
          <w:tcPr>
            <w:tcW w:w="2595"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合同履行期限</w:t>
            </w:r>
          </w:p>
        </w:tc>
        <w:tc>
          <w:tcPr>
            <w:tcW w:w="4779"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是否满足招标文件要求</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p>
        </w:tc>
        <w:tc>
          <w:tcPr>
            <w:tcW w:w="2595"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保证金</w:t>
            </w:r>
          </w:p>
        </w:tc>
        <w:tc>
          <w:tcPr>
            <w:tcW w:w="4779"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是否按时提交足额投标保证金</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p>
        </w:tc>
        <w:tc>
          <w:tcPr>
            <w:tcW w:w="2595" w:type="dxa"/>
            <w:vAlign w:val="center"/>
          </w:tcPr>
          <w:p>
            <w:pPr>
              <w:spacing w:line="360" w:lineRule="auto"/>
              <w:jc w:val="center"/>
              <w:rPr>
                <w:rFonts w:asciiTheme="minorEastAsia" w:hAnsiTheme="minorEastAsia" w:eastAsiaTheme="minorEastAsia"/>
                <w:color w:val="auto"/>
                <w:szCs w:val="24"/>
                <w:highlight w:val="none"/>
              </w:rPr>
            </w:pPr>
            <w:r>
              <w:rPr>
                <w:rFonts w:ascii="宋体" w:hAnsi="宋体" w:cs="宋体"/>
                <w:color w:val="auto"/>
                <w:szCs w:val="24"/>
                <w:highlight w:val="none"/>
              </w:rPr>
              <w:t>投标报价</w:t>
            </w:r>
          </w:p>
        </w:tc>
        <w:tc>
          <w:tcPr>
            <w:tcW w:w="4779" w:type="dxa"/>
            <w:vAlign w:val="center"/>
          </w:tcPr>
          <w:p>
            <w:pPr>
              <w:spacing w:line="360" w:lineRule="auto"/>
              <w:jc w:val="center"/>
              <w:rPr>
                <w:rFonts w:asciiTheme="minorEastAsia" w:hAnsiTheme="minorEastAsia" w:eastAsiaTheme="minorEastAsia"/>
                <w:color w:val="auto"/>
                <w:szCs w:val="24"/>
                <w:highlight w:val="none"/>
              </w:rPr>
            </w:pPr>
            <w:r>
              <w:rPr>
                <w:rFonts w:hint="eastAsia" w:ascii="宋体" w:hAnsi="宋体"/>
                <w:color w:val="auto"/>
                <w:szCs w:val="24"/>
                <w:highlight w:val="none"/>
              </w:rPr>
              <w:t>是否超出最高限价</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w:t>
            </w:r>
          </w:p>
        </w:tc>
        <w:tc>
          <w:tcPr>
            <w:tcW w:w="2595"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投标有效期</w:t>
            </w:r>
          </w:p>
        </w:tc>
        <w:tc>
          <w:tcPr>
            <w:tcW w:w="4779"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是否满足招标文件要求</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w:t>
            </w:r>
          </w:p>
        </w:tc>
        <w:tc>
          <w:tcPr>
            <w:tcW w:w="2595" w:type="dxa"/>
            <w:vAlign w:val="center"/>
          </w:tcPr>
          <w:p>
            <w:pPr>
              <w:spacing w:line="360" w:lineRule="auto"/>
              <w:jc w:val="center"/>
              <w:rPr>
                <w:rFonts w:ascii="宋体" w:hAnsi="宋体"/>
                <w:color w:val="auto"/>
                <w:szCs w:val="24"/>
                <w:highlight w:val="none"/>
              </w:rPr>
            </w:pPr>
            <w:r>
              <w:rPr>
                <w:rFonts w:hint="eastAsia" w:ascii="宋体" w:hAnsi="宋体"/>
                <w:color w:val="auto"/>
                <w:szCs w:val="24"/>
                <w:highlight w:val="none"/>
              </w:rPr>
              <w:t>投标文件的格式，签署及有效性、完整性</w:t>
            </w:r>
          </w:p>
        </w:tc>
        <w:tc>
          <w:tcPr>
            <w:tcW w:w="4779" w:type="dxa"/>
            <w:vAlign w:val="center"/>
          </w:tcPr>
          <w:p>
            <w:pPr>
              <w:spacing w:line="360" w:lineRule="auto"/>
              <w:jc w:val="center"/>
              <w:rPr>
                <w:rFonts w:ascii="宋体" w:hAnsi="宋体"/>
                <w:color w:val="auto"/>
                <w:szCs w:val="24"/>
                <w:highlight w:val="none"/>
              </w:rPr>
            </w:pPr>
            <w:r>
              <w:rPr>
                <w:rFonts w:hint="eastAsia" w:ascii="宋体" w:hAnsi="宋体"/>
                <w:color w:val="auto"/>
                <w:szCs w:val="24"/>
                <w:highlight w:val="none"/>
              </w:rPr>
              <w:t>是否满足招标文件要求</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w:t>
            </w:r>
          </w:p>
        </w:tc>
        <w:tc>
          <w:tcPr>
            <w:tcW w:w="2595" w:type="dxa"/>
            <w:vAlign w:val="center"/>
          </w:tcPr>
          <w:p>
            <w:pPr>
              <w:widowControl/>
              <w:spacing w:beforeLines="30" w:afterLines="3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其它</w:t>
            </w:r>
          </w:p>
        </w:tc>
        <w:tc>
          <w:tcPr>
            <w:tcW w:w="4779" w:type="dxa"/>
            <w:vAlign w:val="center"/>
          </w:tcPr>
          <w:p>
            <w:pPr>
              <w:widowControl/>
              <w:spacing w:beforeLines="30" w:afterLines="30"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无其它无效报价认定条件</w:t>
            </w:r>
          </w:p>
        </w:tc>
        <w:tc>
          <w:tcPr>
            <w:tcW w:w="992" w:type="dxa"/>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trPr>
        <w:tc>
          <w:tcPr>
            <w:tcW w:w="70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7</w:t>
            </w:r>
          </w:p>
        </w:tc>
        <w:tc>
          <w:tcPr>
            <w:tcW w:w="7374" w:type="dxa"/>
            <w:gridSpan w:val="2"/>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结论</w:t>
            </w:r>
          </w:p>
        </w:tc>
        <w:tc>
          <w:tcPr>
            <w:tcW w:w="992" w:type="dxa"/>
          </w:tcPr>
          <w:p>
            <w:pPr>
              <w:spacing w:line="360" w:lineRule="auto"/>
              <w:rPr>
                <w:rFonts w:asciiTheme="minorEastAsia" w:hAnsiTheme="minorEastAsia" w:eastAsiaTheme="minorEastAsia"/>
                <w:color w:val="auto"/>
                <w:szCs w:val="24"/>
                <w:highlight w:val="none"/>
              </w:rPr>
            </w:pPr>
          </w:p>
        </w:tc>
      </w:tr>
    </w:tbl>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1、表中只需填写“√/通过”或“×/不通过”。</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2、在结论中按“一项否决”的原则，只有全部是√/通过的，填写“合格”；只要其中有一项是×/不通过的，填写“不合格”。</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3、结论是合格的，才能进入下一轮；不合格的被淘汰。</w:t>
      </w:r>
    </w:p>
    <w:p>
      <w:pPr>
        <w:spacing w:line="360" w:lineRule="auto"/>
        <w:rPr>
          <w:rFonts w:asciiTheme="minorEastAsia" w:hAnsiTheme="minorEastAsia" w:eastAsiaTheme="minorEastAsia"/>
          <w:color w:val="auto"/>
          <w:sz w:val="22"/>
          <w:szCs w:val="22"/>
          <w:highlight w:val="none"/>
        </w:rPr>
      </w:pPr>
      <w:r>
        <w:rPr>
          <w:rFonts w:hint="eastAsia" w:asciiTheme="minorEastAsia" w:hAnsiTheme="minorEastAsia" w:eastAsiaTheme="minorEastAsia"/>
          <w:color w:val="auto"/>
          <w:sz w:val="22"/>
          <w:szCs w:val="22"/>
          <w:highlight w:val="none"/>
        </w:rPr>
        <w:t>评委签名：</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5"/>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技术、商务评分表</w:t>
      </w:r>
    </w:p>
    <w:p>
      <w:pPr>
        <w:shd w:val="clear" w:color="auto" w:fill="FFFFFF"/>
        <w:spacing w:line="360" w:lineRule="auto"/>
        <w:rPr>
          <w:rFonts w:asciiTheme="minorEastAsia" w:hAnsiTheme="minorEastAsia" w:eastAsiaTheme="minorEastAsia"/>
          <w:bCs/>
          <w:color w:val="auto"/>
          <w:highlight w:val="none"/>
        </w:rPr>
      </w:pPr>
      <w:r>
        <w:rPr>
          <w:rFonts w:hint="eastAsia" w:asciiTheme="minorEastAsia" w:hAnsiTheme="minorEastAsia" w:eastAsiaTheme="minorEastAsia"/>
          <w:color w:val="auto"/>
          <w:highlight w:val="none"/>
        </w:rPr>
        <w:t>项目名称：</w:t>
      </w:r>
      <w:r>
        <w:rPr>
          <w:rFonts w:hint="eastAsia" w:asciiTheme="minorEastAsia" w:hAnsiTheme="minorEastAsia" w:eastAsiaTheme="minorEastAsia"/>
          <w:bCs/>
          <w:color w:val="auto"/>
          <w:highlight w:val="none"/>
        </w:rPr>
        <w:t>综合楼（食堂和宿舍）设备和教学楼附属文化</w:t>
      </w:r>
    </w:p>
    <w:p>
      <w:pPr>
        <w:shd w:val="clear" w:color="auto" w:fill="FFFFFF"/>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项目编号：ZB2022-0802</w:t>
      </w:r>
    </w:p>
    <w:tbl>
      <w:tblPr>
        <w:tblStyle w:val="40"/>
        <w:tblpPr w:leftFromText="180" w:rightFromText="180" w:vertAnchor="text" w:horzAnchor="page" w:tblpX="1367" w:tblpY="442"/>
        <w:tblOverlap w:val="never"/>
        <w:tblW w:w="5372" w:type="pct"/>
        <w:tblInd w:w="0" w:type="dxa"/>
        <w:tblLayout w:type="autofit"/>
        <w:tblCellMar>
          <w:top w:w="0" w:type="dxa"/>
          <w:left w:w="10" w:type="dxa"/>
          <w:bottom w:w="0" w:type="dxa"/>
          <w:right w:w="10" w:type="dxa"/>
        </w:tblCellMar>
      </w:tblPr>
      <w:tblGrid>
        <w:gridCol w:w="832"/>
        <w:gridCol w:w="1321"/>
        <w:gridCol w:w="6754"/>
        <w:gridCol w:w="1070"/>
      </w:tblGrid>
      <w:tr>
        <w:tblPrEx>
          <w:tblCellMar>
            <w:top w:w="0" w:type="dxa"/>
            <w:left w:w="10" w:type="dxa"/>
            <w:bottom w:w="0" w:type="dxa"/>
            <w:right w:w="10" w:type="dxa"/>
          </w:tblCellMar>
        </w:tblPrEx>
        <w:trPr>
          <w:trHeight w:val="90" w:hRule="atLeast"/>
        </w:trPr>
        <w:tc>
          <w:tcPr>
            <w:tcW w:w="417"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序号</w:t>
            </w:r>
          </w:p>
        </w:tc>
        <w:tc>
          <w:tcPr>
            <w:tcW w:w="662" w:type="pct"/>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评审因素</w:t>
            </w:r>
          </w:p>
        </w:tc>
        <w:tc>
          <w:tcPr>
            <w:tcW w:w="3385" w:type="pct"/>
            <w:tcBorders>
              <w:top w:val="single" w:color="000000" w:sz="4" w:space="0"/>
              <w:left w:val="single" w:color="000000" w:sz="4" w:space="0"/>
              <w:bottom w:val="single" w:color="000000" w:sz="4" w:space="0"/>
              <w:right w:val="single" w:color="auto" w:sz="4" w:space="0"/>
            </w:tcBorders>
            <w:shd w:val="clear" w:color="000000" w:fill="FFFFFF"/>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评审标准</w:t>
            </w:r>
          </w:p>
        </w:tc>
        <w:tc>
          <w:tcPr>
            <w:tcW w:w="536" w:type="pct"/>
            <w:tcBorders>
              <w:top w:val="single" w:color="000000" w:sz="4" w:space="0"/>
              <w:left w:val="single" w:color="auto"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分值</w:t>
            </w:r>
          </w:p>
        </w:tc>
      </w:tr>
      <w:tr>
        <w:tblPrEx>
          <w:tblCellMar>
            <w:top w:w="0" w:type="dxa"/>
            <w:left w:w="10" w:type="dxa"/>
            <w:bottom w:w="0" w:type="dxa"/>
            <w:right w:w="10" w:type="dxa"/>
          </w:tblCellMar>
        </w:tblPrEx>
        <w:trPr>
          <w:trHeight w:val="3268" w:hRule="atLeast"/>
        </w:trPr>
        <w:tc>
          <w:tcPr>
            <w:tcW w:w="417"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1</w:t>
            </w:r>
          </w:p>
        </w:tc>
        <w:tc>
          <w:tcPr>
            <w:tcW w:w="662"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技术指标响应</w:t>
            </w:r>
          </w:p>
        </w:tc>
        <w:tc>
          <w:tcPr>
            <w:tcW w:w="3385"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仿宋"/>
                <w:color w:val="auto"/>
                <w:highlight w:val="none"/>
              </w:rPr>
            </w:pPr>
            <w:r>
              <w:rPr>
                <w:rFonts w:hint="eastAsia" w:ascii="宋体" w:hAnsi="宋体" w:cs="仿宋"/>
                <w:color w:val="auto"/>
                <w:highlight w:val="none"/>
              </w:rPr>
              <w:t>对照采购需求的设备技术参数要求，按序号逐条审查投标文件的响应性质，作出满足或不满足招标文件要求的判断。</w:t>
            </w:r>
          </w:p>
          <w:p>
            <w:pPr>
              <w:spacing w:line="360" w:lineRule="auto"/>
              <w:rPr>
                <w:rFonts w:ascii="宋体" w:hAnsi="宋体" w:cs="宋体"/>
                <w:color w:val="auto"/>
                <w:szCs w:val="24"/>
                <w:highlight w:val="none"/>
              </w:rPr>
            </w:pPr>
            <w:r>
              <w:rPr>
                <w:rFonts w:hint="eastAsia" w:ascii="宋体" w:hAnsi="宋体" w:cs="仿宋"/>
                <w:color w:val="auto"/>
                <w:highlight w:val="none"/>
              </w:rPr>
              <w:t>本项分值36分，其中标注“▲”号的满分10分，未标注“▲”号的满分26分。投标人提供的设备技术参数与招标文件中的参照参数进行点对点比较：（1）完全满足招标文件要求，得36分；（2)不能满足带“▲”号招标要求的每项扣1分，扣完为止；（3）不能满足未带“▲”号招标要求的每项扣0.2分，扣完为止；</w:t>
            </w:r>
          </w:p>
        </w:tc>
        <w:tc>
          <w:tcPr>
            <w:tcW w:w="536"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36</w:t>
            </w:r>
          </w:p>
        </w:tc>
      </w:tr>
      <w:tr>
        <w:tblPrEx>
          <w:tblCellMar>
            <w:top w:w="0" w:type="dxa"/>
            <w:left w:w="10" w:type="dxa"/>
            <w:bottom w:w="0" w:type="dxa"/>
            <w:right w:w="10" w:type="dxa"/>
          </w:tblCellMar>
        </w:tblPrEx>
        <w:trPr>
          <w:trHeight w:val="584" w:hRule="atLeast"/>
        </w:trPr>
        <w:tc>
          <w:tcPr>
            <w:tcW w:w="417"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2</w:t>
            </w:r>
          </w:p>
        </w:tc>
        <w:tc>
          <w:tcPr>
            <w:tcW w:w="662"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ascii="宋体" w:hAnsi="宋体" w:cs="宋体"/>
                <w:color w:val="auto"/>
                <w:szCs w:val="24"/>
                <w:highlight w:val="none"/>
              </w:rPr>
              <w:t>投标人项目业绩</w:t>
            </w:r>
          </w:p>
        </w:tc>
        <w:tc>
          <w:tcPr>
            <w:tcW w:w="3385"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ascii="宋体" w:hAnsi="宋体" w:cs="宋体"/>
                <w:color w:val="auto"/>
                <w:szCs w:val="24"/>
                <w:highlight w:val="none"/>
              </w:rPr>
              <w:t>投标人提供</w:t>
            </w:r>
            <w:r>
              <w:rPr>
                <w:rFonts w:hint="eastAsia" w:ascii="宋体" w:hAnsi="宋体" w:cs="宋体"/>
                <w:color w:val="auto"/>
                <w:szCs w:val="24"/>
                <w:highlight w:val="none"/>
              </w:rPr>
              <w:t>2019年1月至今</w:t>
            </w:r>
            <w:r>
              <w:rPr>
                <w:rFonts w:ascii="宋体" w:hAnsi="宋体" w:cs="宋体"/>
                <w:color w:val="auto"/>
                <w:szCs w:val="24"/>
                <w:highlight w:val="none"/>
              </w:rPr>
              <w:t>类似项目业绩，每提供一个得</w:t>
            </w:r>
            <w:r>
              <w:rPr>
                <w:rFonts w:hint="eastAsia" w:ascii="宋体" w:hAnsi="宋体" w:cs="宋体"/>
                <w:color w:val="auto"/>
                <w:szCs w:val="24"/>
                <w:highlight w:val="none"/>
              </w:rPr>
              <w:t>2</w:t>
            </w:r>
            <w:r>
              <w:rPr>
                <w:rFonts w:ascii="宋体" w:hAnsi="宋体" w:cs="宋体"/>
                <w:color w:val="auto"/>
                <w:szCs w:val="24"/>
                <w:highlight w:val="none"/>
              </w:rPr>
              <w:t>分，最高得</w:t>
            </w:r>
            <w:r>
              <w:rPr>
                <w:rFonts w:hint="eastAsia" w:ascii="宋体" w:hAnsi="宋体" w:cs="宋体"/>
                <w:color w:val="auto"/>
                <w:szCs w:val="24"/>
                <w:highlight w:val="none"/>
              </w:rPr>
              <w:t>4</w:t>
            </w:r>
            <w:r>
              <w:rPr>
                <w:rFonts w:ascii="宋体" w:hAnsi="宋体" w:cs="宋体"/>
                <w:color w:val="auto"/>
                <w:szCs w:val="24"/>
                <w:highlight w:val="none"/>
              </w:rPr>
              <w:t>分。（投标文件中须提供加盖投标人公章的合同复印件）</w:t>
            </w:r>
          </w:p>
        </w:tc>
        <w:tc>
          <w:tcPr>
            <w:tcW w:w="536"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4</w:t>
            </w:r>
          </w:p>
        </w:tc>
      </w:tr>
      <w:tr>
        <w:tblPrEx>
          <w:tblCellMar>
            <w:top w:w="0" w:type="dxa"/>
            <w:left w:w="10" w:type="dxa"/>
            <w:bottom w:w="0" w:type="dxa"/>
            <w:right w:w="10" w:type="dxa"/>
          </w:tblCellMar>
        </w:tblPrEx>
        <w:trPr>
          <w:trHeight w:val="2900" w:hRule="atLeast"/>
        </w:trPr>
        <w:tc>
          <w:tcPr>
            <w:tcW w:w="417"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3</w:t>
            </w:r>
          </w:p>
        </w:tc>
        <w:tc>
          <w:tcPr>
            <w:tcW w:w="662"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ascii="宋体" w:hAnsi="宋体" w:cs="宋体"/>
                <w:color w:val="auto"/>
                <w:szCs w:val="24"/>
                <w:highlight w:val="none"/>
              </w:rPr>
              <w:t>实施方案</w:t>
            </w:r>
          </w:p>
        </w:tc>
        <w:tc>
          <w:tcPr>
            <w:tcW w:w="3385"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ascii="宋体" w:hAnsi="宋体" w:cs="宋体"/>
                <w:color w:val="auto"/>
                <w:szCs w:val="24"/>
                <w:highlight w:val="none"/>
              </w:rPr>
              <w:t>投标人需制定详细的项目实施方案（至少包含组织机构、设备供货、安装调试方案、试运行及验收方案等内容），评委根据方案的科学性、规范性和</w:t>
            </w:r>
            <w:r>
              <w:rPr>
                <w:rFonts w:hint="eastAsia" w:ascii="宋体" w:hAnsi="宋体" w:cs="宋体"/>
                <w:color w:val="auto"/>
                <w:szCs w:val="24"/>
                <w:highlight w:val="none"/>
              </w:rPr>
              <w:t>针对</w:t>
            </w:r>
            <w:r>
              <w:rPr>
                <w:rFonts w:ascii="宋体" w:hAnsi="宋体" w:cs="宋体"/>
                <w:color w:val="auto"/>
                <w:szCs w:val="24"/>
                <w:highlight w:val="none"/>
              </w:rPr>
              <w:t>性进行</w:t>
            </w:r>
            <w:r>
              <w:rPr>
                <w:rFonts w:hint="eastAsia" w:ascii="宋体" w:hAnsi="宋体" w:cs="宋体"/>
                <w:color w:val="auto"/>
                <w:szCs w:val="24"/>
                <w:highlight w:val="none"/>
              </w:rPr>
              <w:t>评分</w:t>
            </w:r>
            <w:r>
              <w:rPr>
                <w:rFonts w:ascii="宋体" w:hAnsi="宋体" w:cs="宋体"/>
                <w:color w:val="auto"/>
                <w:szCs w:val="24"/>
                <w:highlight w:val="none"/>
              </w:rPr>
              <w:t xml:space="preserve">： </w:t>
            </w:r>
          </w:p>
          <w:p>
            <w:pPr>
              <w:spacing w:line="360" w:lineRule="auto"/>
              <w:rPr>
                <w:rFonts w:ascii="宋体" w:hAnsi="宋体" w:cs="宋体"/>
                <w:color w:val="auto"/>
                <w:szCs w:val="24"/>
                <w:highlight w:val="none"/>
              </w:rPr>
            </w:pPr>
            <w:r>
              <w:rPr>
                <w:rFonts w:ascii="宋体" w:hAnsi="宋体" w:cs="宋体"/>
                <w:color w:val="auto"/>
                <w:szCs w:val="24"/>
                <w:highlight w:val="none"/>
              </w:rPr>
              <w:t>（1）项目实施方案科学合理，内容全面，适用性强，思路清晰，考虑问题周全</w:t>
            </w:r>
            <w:r>
              <w:rPr>
                <w:rFonts w:hint="eastAsia" w:ascii="宋体" w:hAnsi="宋体" w:cs="仿宋"/>
                <w:color w:val="auto"/>
                <w:highlight w:val="none"/>
              </w:rPr>
              <w:t>各项内容有详细流程</w:t>
            </w:r>
            <w:r>
              <w:rPr>
                <w:rFonts w:ascii="宋体" w:hAnsi="宋体" w:cs="仿宋"/>
                <w:color w:val="auto"/>
                <w:highlight w:val="none"/>
              </w:rPr>
              <w:t>，能够根据实际情况制订，</w:t>
            </w:r>
            <w:r>
              <w:rPr>
                <w:rFonts w:hint="eastAsia" w:ascii="宋体" w:hAnsi="宋体" w:cs="仿宋"/>
                <w:color w:val="auto"/>
                <w:highlight w:val="none"/>
              </w:rPr>
              <w:t>方案针对性强</w:t>
            </w:r>
            <w:r>
              <w:rPr>
                <w:rFonts w:ascii="宋体" w:hAnsi="宋体" w:cs="宋体"/>
                <w:color w:val="auto"/>
                <w:szCs w:val="24"/>
                <w:highlight w:val="none"/>
              </w:rPr>
              <w:t>完全满足客户需求，得</w:t>
            </w:r>
            <w:r>
              <w:rPr>
                <w:rFonts w:hint="eastAsia" w:ascii="宋体" w:hAnsi="宋体" w:cs="宋体"/>
                <w:color w:val="auto"/>
                <w:szCs w:val="24"/>
                <w:highlight w:val="none"/>
              </w:rPr>
              <w:t>10</w:t>
            </w:r>
            <w:r>
              <w:rPr>
                <w:rFonts w:ascii="宋体" w:hAnsi="宋体" w:cs="宋体"/>
                <w:color w:val="auto"/>
                <w:szCs w:val="24"/>
                <w:highlight w:val="none"/>
              </w:rPr>
              <w:t xml:space="preserve">分； </w:t>
            </w:r>
          </w:p>
          <w:p>
            <w:pPr>
              <w:spacing w:line="360" w:lineRule="auto"/>
              <w:rPr>
                <w:rFonts w:ascii="宋体" w:hAnsi="宋体" w:cs="宋体"/>
                <w:color w:val="auto"/>
                <w:szCs w:val="24"/>
                <w:highlight w:val="none"/>
              </w:rPr>
            </w:pPr>
            <w:r>
              <w:rPr>
                <w:rFonts w:ascii="宋体" w:hAnsi="宋体" w:cs="宋体"/>
                <w:color w:val="auto"/>
                <w:szCs w:val="24"/>
                <w:highlight w:val="none"/>
              </w:rPr>
              <w:t>（2）</w:t>
            </w:r>
            <w:r>
              <w:rPr>
                <w:rFonts w:ascii="宋体" w:hAnsi="宋体" w:cs="仿宋"/>
                <w:color w:val="auto"/>
                <w:highlight w:val="none"/>
              </w:rPr>
              <w:t>方案基本满足项目需要，</w:t>
            </w:r>
            <w:r>
              <w:rPr>
                <w:rFonts w:hint="eastAsia" w:ascii="宋体" w:hAnsi="宋体" w:cs="仿宋"/>
                <w:bCs/>
                <w:color w:val="auto"/>
                <w:highlight w:val="none"/>
              </w:rPr>
              <w:t>方案各项内容提供大纲及对应流程，方案措施针对性一般的</w:t>
            </w:r>
            <w:r>
              <w:rPr>
                <w:rFonts w:ascii="宋体" w:hAnsi="宋体" w:cs="宋体"/>
                <w:color w:val="auto"/>
                <w:szCs w:val="24"/>
                <w:highlight w:val="none"/>
              </w:rPr>
              <w:t>，得</w:t>
            </w:r>
            <w:r>
              <w:rPr>
                <w:rFonts w:hint="eastAsia" w:ascii="宋体" w:hAnsi="宋体" w:cs="宋体"/>
                <w:color w:val="auto"/>
                <w:szCs w:val="24"/>
                <w:highlight w:val="none"/>
              </w:rPr>
              <w:t>7</w:t>
            </w:r>
            <w:r>
              <w:rPr>
                <w:rFonts w:ascii="宋体" w:hAnsi="宋体" w:cs="宋体"/>
                <w:color w:val="auto"/>
                <w:szCs w:val="24"/>
                <w:highlight w:val="none"/>
              </w:rPr>
              <w:t xml:space="preserve">分； </w:t>
            </w:r>
          </w:p>
          <w:p>
            <w:pPr>
              <w:spacing w:line="360" w:lineRule="auto"/>
              <w:rPr>
                <w:rFonts w:hint="eastAsia" w:ascii="宋体" w:hAnsi="宋体" w:eastAsia="宋体" w:cs="宋体"/>
                <w:color w:val="auto"/>
                <w:szCs w:val="24"/>
                <w:highlight w:val="none"/>
                <w:lang w:eastAsia="zh-CN"/>
              </w:rPr>
            </w:pPr>
            <w:r>
              <w:rPr>
                <w:rFonts w:ascii="宋体" w:hAnsi="宋体" w:cs="宋体"/>
                <w:color w:val="auto"/>
                <w:szCs w:val="24"/>
                <w:highlight w:val="none"/>
              </w:rPr>
              <w:t>（3）</w:t>
            </w:r>
            <w:r>
              <w:rPr>
                <w:rFonts w:hint="eastAsia" w:ascii="宋体" w:hAnsi="宋体"/>
                <w:color w:val="auto"/>
                <w:highlight w:val="none"/>
              </w:rPr>
              <w:t>提供了相关方案，但有个别漏项或提供的方案针对性较差的</w:t>
            </w:r>
            <w:r>
              <w:rPr>
                <w:rFonts w:ascii="宋体" w:hAnsi="宋体" w:cs="宋体"/>
                <w:color w:val="auto"/>
                <w:szCs w:val="24"/>
                <w:highlight w:val="none"/>
              </w:rPr>
              <w:t>，得</w:t>
            </w:r>
            <w:r>
              <w:rPr>
                <w:rFonts w:hint="eastAsia" w:ascii="宋体" w:hAnsi="宋体" w:cs="宋体"/>
                <w:color w:val="auto"/>
                <w:szCs w:val="24"/>
                <w:highlight w:val="none"/>
              </w:rPr>
              <w:t>4</w:t>
            </w:r>
            <w:r>
              <w:rPr>
                <w:rFonts w:ascii="宋体" w:hAnsi="宋体" w:cs="宋体"/>
                <w:color w:val="auto"/>
                <w:szCs w:val="24"/>
                <w:highlight w:val="none"/>
              </w:rPr>
              <w:t>分</w:t>
            </w:r>
            <w:r>
              <w:rPr>
                <w:rFonts w:hint="eastAsia" w:ascii="宋体" w:hAnsi="宋体" w:cs="宋体"/>
                <w:color w:val="auto"/>
                <w:szCs w:val="24"/>
                <w:highlight w:val="none"/>
                <w:lang w:eastAsia="zh-CN"/>
              </w:rPr>
              <w:t>；</w:t>
            </w:r>
          </w:p>
          <w:p>
            <w:pPr>
              <w:spacing w:line="360" w:lineRule="auto"/>
              <w:rPr>
                <w:rFonts w:ascii="宋体" w:hAnsi="宋体" w:cs="宋体"/>
                <w:color w:val="auto"/>
                <w:szCs w:val="24"/>
                <w:highlight w:val="none"/>
              </w:rPr>
            </w:pPr>
            <w:r>
              <w:rPr>
                <w:rFonts w:ascii="宋体" w:hAnsi="宋体" w:cs="宋体"/>
                <w:color w:val="auto"/>
                <w:szCs w:val="24"/>
                <w:highlight w:val="none"/>
              </w:rPr>
              <w:t>（</w:t>
            </w:r>
            <w:r>
              <w:rPr>
                <w:rFonts w:hint="eastAsia" w:ascii="宋体" w:hAnsi="宋体" w:cs="宋体"/>
                <w:color w:val="auto"/>
                <w:szCs w:val="24"/>
                <w:highlight w:val="none"/>
                <w:lang w:val="en-US" w:eastAsia="zh-CN"/>
              </w:rPr>
              <w:t>4</w:t>
            </w:r>
            <w:r>
              <w:rPr>
                <w:rFonts w:ascii="宋体" w:hAnsi="宋体" w:cs="宋体"/>
                <w:color w:val="auto"/>
                <w:szCs w:val="24"/>
                <w:highlight w:val="none"/>
              </w:rPr>
              <w:t>）</w:t>
            </w:r>
            <w:r>
              <w:rPr>
                <w:rFonts w:hint="eastAsia" w:ascii="宋体" w:hAnsi="宋体" w:cs="宋体"/>
                <w:color w:val="auto"/>
                <w:szCs w:val="24"/>
                <w:highlight w:val="none"/>
              </w:rPr>
              <w:t>不提供不得分。</w:t>
            </w:r>
          </w:p>
        </w:tc>
        <w:tc>
          <w:tcPr>
            <w:tcW w:w="536"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10</w:t>
            </w:r>
          </w:p>
        </w:tc>
      </w:tr>
      <w:tr>
        <w:tblPrEx>
          <w:tblCellMar>
            <w:top w:w="0" w:type="dxa"/>
            <w:left w:w="10" w:type="dxa"/>
            <w:bottom w:w="0" w:type="dxa"/>
            <w:right w:w="10" w:type="dxa"/>
          </w:tblCellMar>
        </w:tblPrEx>
        <w:trPr>
          <w:trHeight w:val="2900" w:hRule="atLeast"/>
        </w:trPr>
        <w:tc>
          <w:tcPr>
            <w:tcW w:w="417"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cs="宋体"/>
                <w:color w:val="auto"/>
                <w:szCs w:val="24"/>
                <w:highlight w:val="none"/>
              </w:rPr>
            </w:pPr>
            <w:r>
              <w:rPr>
                <w:rFonts w:hint="eastAsia" w:ascii="宋体" w:hAnsi="宋体" w:cs="宋体"/>
                <w:color w:val="auto"/>
                <w:szCs w:val="24"/>
                <w:highlight w:val="none"/>
              </w:rPr>
              <w:t>4</w:t>
            </w:r>
          </w:p>
        </w:tc>
        <w:tc>
          <w:tcPr>
            <w:tcW w:w="662"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进度计划方案</w:t>
            </w:r>
          </w:p>
        </w:tc>
        <w:tc>
          <w:tcPr>
            <w:tcW w:w="3385"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500" w:lineRule="exact"/>
              <w:rPr>
                <w:rFonts w:ascii="宋体" w:hAnsi="宋体" w:cs="仿宋"/>
                <w:bCs/>
                <w:color w:val="auto"/>
                <w:highlight w:val="none"/>
              </w:rPr>
            </w:pPr>
            <w:r>
              <w:rPr>
                <w:rFonts w:ascii="宋体" w:hAnsi="宋体" w:cs="宋体"/>
                <w:color w:val="auto"/>
                <w:szCs w:val="24"/>
                <w:highlight w:val="none"/>
              </w:rPr>
              <w:t>投标人需制定详细的</w:t>
            </w:r>
            <w:r>
              <w:rPr>
                <w:rFonts w:hint="eastAsia" w:ascii="宋体" w:hAnsi="宋体" w:cs="宋体"/>
                <w:color w:val="auto"/>
                <w:szCs w:val="24"/>
                <w:highlight w:val="none"/>
              </w:rPr>
              <w:t>进度计划</w:t>
            </w:r>
            <w:r>
              <w:rPr>
                <w:rFonts w:ascii="宋体" w:hAnsi="宋体" w:cs="宋体"/>
                <w:color w:val="auto"/>
                <w:szCs w:val="24"/>
                <w:highlight w:val="none"/>
              </w:rPr>
              <w:t>方案（</w:t>
            </w:r>
            <w:r>
              <w:rPr>
                <w:rFonts w:hint="eastAsia" w:ascii="宋体" w:hAnsi="宋体" w:cs="仿宋"/>
                <w:bCs/>
                <w:color w:val="auto"/>
                <w:highlight w:val="none"/>
              </w:rPr>
              <w:t>根据项目</w:t>
            </w:r>
            <w:r>
              <w:rPr>
                <w:rFonts w:hint="eastAsia" w:cs="宋体" w:asciiTheme="minorEastAsia" w:hAnsiTheme="minorEastAsia" w:eastAsiaTheme="minorEastAsia"/>
                <w:color w:val="auto"/>
                <w:kern w:val="0"/>
                <w:szCs w:val="24"/>
                <w:highlight w:val="none"/>
              </w:rPr>
              <w:t>合同履行期限</w:t>
            </w:r>
            <w:r>
              <w:rPr>
                <w:rFonts w:hint="eastAsia" w:ascii="宋体" w:hAnsi="宋体" w:cs="仿宋"/>
                <w:bCs/>
                <w:color w:val="auto"/>
                <w:highlight w:val="none"/>
              </w:rPr>
              <w:t>要求，</w:t>
            </w:r>
            <w:r>
              <w:rPr>
                <w:rFonts w:ascii="宋体" w:hAnsi="宋体" w:cs="宋体"/>
                <w:color w:val="auto"/>
                <w:szCs w:val="24"/>
                <w:highlight w:val="none"/>
              </w:rPr>
              <w:t>至少包含</w:t>
            </w:r>
            <w:r>
              <w:rPr>
                <w:rFonts w:hint="eastAsia" w:ascii="宋体" w:hAnsi="宋体" w:cs="宋体"/>
                <w:color w:val="auto"/>
                <w:kern w:val="0"/>
                <w:szCs w:val="24"/>
                <w:highlight w:val="none"/>
              </w:rPr>
              <w:t>总体进度安排、分项执行进度安排、关键点的控制、进度保障措施</w:t>
            </w:r>
            <w:r>
              <w:rPr>
                <w:rFonts w:ascii="宋体" w:hAnsi="宋体" w:cs="宋体"/>
                <w:color w:val="auto"/>
                <w:szCs w:val="24"/>
                <w:highlight w:val="none"/>
              </w:rPr>
              <w:t>等内容），评委根据方案的科学性、规范性和</w:t>
            </w:r>
            <w:r>
              <w:rPr>
                <w:rFonts w:hint="eastAsia" w:ascii="宋体" w:hAnsi="宋体" w:cs="宋体"/>
                <w:color w:val="auto"/>
                <w:szCs w:val="24"/>
                <w:highlight w:val="none"/>
              </w:rPr>
              <w:t>针对</w:t>
            </w:r>
            <w:r>
              <w:rPr>
                <w:rFonts w:ascii="宋体" w:hAnsi="宋体" w:cs="宋体"/>
                <w:color w:val="auto"/>
                <w:szCs w:val="24"/>
                <w:highlight w:val="none"/>
              </w:rPr>
              <w:t>性进行</w:t>
            </w:r>
            <w:r>
              <w:rPr>
                <w:rFonts w:hint="eastAsia" w:ascii="宋体" w:hAnsi="宋体" w:cs="宋体"/>
                <w:color w:val="auto"/>
                <w:szCs w:val="24"/>
                <w:highlight w:val="none"/>
              </w:rPr>
              <w:t>评分</w:t>
            </w:r>
            <w:r>
              <w:rPr>
                <w:rFonts w:hint="eastAsia" w:ascii="宋体" w:hAnsi="宋体" w:cs="仿宋"/>
                <w:bCs/>
                <w:color w:val="auto"/>
                <w:highlight w:val="none"/>
              </w:rPr>
              <w:t>：</w:t>
            </w:r>
          </w:p>
          <w:p>
            <w:pPr>
              <w:spacing w:line="360" w:lineRule="auto"/>
              <w:rPr>
                <w:rFonts w:ascii="宋体" w:hAnsi="宋体" w:cs="仿宋"/>
                <w:color w:val="auto"/>
                <w:highlight w:val="none"/>
              </w:rPr>
            </w:pPr>
            <w:r>
              <w:rPr>
                <w:rFonts w:ascii="宋体" w:hAnsi="宋体" w:cs="仿宋"/>
                <w:color w:val="auto"/>
                <w:highlight w:val="none"/>
              </w:rPr>
              <w:t>（1）</w:t>
            </w:r>
            <w:r>
              <w:rPr>
                <w:rFonts w:hint="eastAsia" w:ascii="宋体" w:hAnsi="宋体" w:cs="宋体"/>
                <w:color w:val="auto"/>
                <w:kern w:val="0"/>
                <w:szCs w:val="24"/>
                <w:highlight w:val="none"/>
              </w:rPr>
              <w:t>方案完整无漏项，完全满足用户需求，能够针对项目实际情况，进度安排量化到具体时间，关键点控制等有具体实施步骤、进度保障措施切实可行</w:t>
            </w:r>
            <w:r>
              <w:rPr>
                <w:rFonts w:ascii="宋体" w:hAnsi="宋体" w:cs="仿宋"/>
                <w:color w:val="auto"/>
                <w:highlight w:val="none"/>
              </w:rPr>
              <w:t>，</w:t>
            </w:r>
            <w:r>
              <w:rPr>
                <w:rFonts w:hint="eastAsia" w:ascii="宋体" w:hAnsi="宋体" w:cs="仿宋"/>
                <w:color w:val="auto"/>
                <w:highlight w:val="none"/>
              </w:rPr>
              <w:t>方案针对性强</w:t>
            </w:r>
            <w:r>
              <w:rPr>
                <w:rFonts w:ascii="宋体" w:hAnsi="宋体" w:cs="仿宋"/>
                <w:color w:val="auto"/>
                <w:highlight w:val="none"/>
              </w:rPr>
              <w:t>，得</w:t>
            </w:r>
            <w:r>
              <w:rPr>
                <w:rFonts w:hint="eastAsia" w:ascii="宋体" w:hAnsi="宋体" w:cs="仿宋"/>
                <w:color w:val="auto"/>
                <w:highlight w:val="none"/>
              </w:rPr>
              <w:t>10</w:t>
            </w:r>
            <w:r>
              <w:rPr>
                <w:rFonts w:ascii="宋体" w:hAnsi="宋体" w:cs="仿宋"/>
                <w:color w:val="auto"/>
                <w:highlight w:val="none"/>
              </w:rPr>
              <w:t xml:space="preserve">分； </w:t>
            </w:r>
          </w:p>
          <w:p>
            <w:pPr>
              <w:spacing w:line="360" w:lineRule="auto"/>
              <w:rPr>
                <w:rFonts w:ascii="宋体" w:hAnsi="宋体" w:cs="仿宋"/>
                <w:color w:val="auto"/>
                <w:highlight w:val="none"/>
              </w:rPr>
            </w:pPr>
            <w:r>
              <w:rPr>
                <w:rFonts w:ascii="宋体" w:hAnsi="宋体" w:cs="仿宋"/>
                <w:color w:val="auto"/>
                <w:highlight w:val="none"/>
              </w:rPr>
              <w:t>（2）</w:t>
            </w:r>
            <w:r>
              <w:rPr>
                <w:rFonts w:hint="eastAsia" w:ascii="宋体" w:hAnsi="宋体" w:cs="仿宋"/>
                <w:color w:val="auto"/>
                <w:highlight w:val="none"/>
              </w:rPr>
              <w:t>进度计划内容完整</w:t>
            </w:r>
            <w:r>
              <w:rPr>
                <w:rFonts w:ascii="宋体" w:hAnsi="宋体" w:cs="仿宋"/>
                <w:color w:val="auto"/>
                <w:highlight w:val="none"/>
              </w:rPr>
              <w:t>方案基本满足项目需要，</w:t>
            </w:r>
            <w:r>
              <w:rPr>
                <w:rFonts w:hint="eastAsia" w:ascii="宋体" w:hAnsi="宋体" w:cs="宋体"/>
                <w:color w:val="auto"/>
                <w:kern w:val="0"/>
                <w:szCs w:val="24"/>
                <w:highlight w:val="none"/>
              </w:rPr>
              <w:t>提供了进度计划安排大纲方案</w:t>
            </w:r>
            <w:r>
              <w:rPr>
                <w:rFonts w:hint="eastAsia" w:ascii="宋体" w:hAnsi="宋体" w:cs="仿宋"/>
                <w:bCs/>
                <w:color w:val="auto"/>
                <w:highlight w:val="none"/>
              </w:rPr>
              <w:t>，方案措施针对性一般的</w:t>
            </w:r>
            <w:r>
              <w:rPr>
                <w:rFonts w:ascii="宋体" w:hAnsi="宋体" w:cs="仿宋"/>
                <w:color w:val="auto"/>
                <w:highlight w:val="none"/>
              </w:rPr>
              <w:t>，得</w:t>
            </w:r>
            <w:r>
              <w:rPr>
                <w:rFonts w:hint="eastAsia" w:ascii="宋体" w:hAnsi="宋体" w:cs="仿宋"/>
                <w:color w:val="auto"/>
                <w:highlight w:val="none"/>
              </w:rPr>
              <w:t>7</w:t>
            </w:r>
            <w:r>
              <w:rPr>
                <w:rFonts w:ascii="宋体" w:hAnsi="宋体" w:cs="仿宋"/>
                <w:color w:val="auto"/>
                <w:highlight w:val="none"/>
              </w:rPr>
              <w:t xml:space="preserve">分； </w:t>
            </w:r>
          </w:p>
          <w:p>
            <w:pPr>
              <w:spacing w:line="360" w:lineRule="auto"/>
              <w:rPr>
                <w:rFonts w:hint="eastAsia" w:ascii="宋体" w:hAnsi="宋体" w:eastAsia="宋体" w:cs="仿宋"/>
                <w:color w:val="auto"/>
                <w:highlight w:val="none"/>
                <w:lang w:eastAsia="zh-CN"/>
              </w:rPr>
            </w:pPr>
            <w:r>
              <w:rPr>
                <w:rFonts w:ascii="宋体" w:hAnsi="宋体" w:cs="仿宋"/>
                <w:color w:val="auto"/>
                <w:highlight w:val="none"/>
              </w:rPr>
              <w:t>（3）</w:t>
            </w:r>
            <w:r>
              <w:rPr>
                <w:rFonts w:hint="eastAsia" w:ascii="宋体" w:hAnsi="宋体" w:cs="仿宋"/>
                <w:color w:val="auto"/>
                <w:highlight w:val="none"/>
              </w:rPr>
              <w:t>提供了相关进度方案，但有个别漏项或提供的方案针对性较差的</w:t>
            </w:r>
            <w:r>
              <w:rPr>
                <w:rFonts w:ascii="宋体" w:hAnsi="宋体" w:cs="仿宋"/>
                <w:color w:val="auto"/>
                <w:highlight w:val="none"/>
              </w:rPr>
              <w:t>，得</w:t>
            </w:r>
            <w:r>
              <w:rPr>
                <w:rFonts w:hint="eastAsia" w:ascii="宋体" w:hAnsi="宋体" w:cs="仿宋"/>
                <w:color w:val="auto"/>
                <w:highlight w:val="none"/>
              </w:rPr>
              <w:t>4</w:t>
            </w:r>
            <w:r>
              <w:rPr>
                <w:rFonts w:ascii="宋体" w:hAnsi="宋体" w:cs="仿宋"/>
                <w:color w:val="auto"/>
                <w:highlight w:val="none"/>
              </w:rPr>
              <w:t>分</w:t>
            </w:r>
            <w:r>
              <w:rPr>
                <w:rFonts w:hint="eastAsia" w:ascii="宋体" w:hAnsi="宋体" w:cs="仿宋"/>
                <w:color w:val="auto"/>
                <w:highlight w:val="none"/>
                <w:lang w:eastAsia="zh-CN"/>
              </w:rPr>
              <w:t>；</w:t>
            </w:r>
          </w:p>
          <w:p>
            <w:pPr>
              <w:spacing w:line="360" w:lineRule="auto"/>
              <w:rPr>
                <w:rFonts w:ascii="宋体" w:hAnsi="宋体" w:cs="宋体"/>
                <w:color w:val="auto"/>
                <w:szCs w:val="24"/>
                <w:highlight w:val="none"/>
              </w:rPr>
            </w:pPr>
            <w:r>
              <w:rPr>
                <w:rFonts w:ascii="宋体" w:hAnsi="宋体" w:cs="宋体"/>
                <w:color w:val="auto"/>
                <w:szCs w:val="24"/>
                <w:highlight w:val="none"/>
              </w:rPr>
              <w:t>（</w:t>
            </w:r>
            <w:r>
              <w:rPr>
                <w:rFonts w:hint="eastAsia" w:ascii="宋体" w:hAnsi="宋体" w:cs="宋体"/>
                <w:color w:val="auto"/>
                <w:szCs w:val="24"/>
                <w:highlight w:val="none"/>
                <w:lang w:val="en-US" w:eastAsia="zh-CN"/>
              </w:rPr>
              <w:t>4</w:t>
            </w:r>
            <w:r>
              <w:rPr>
                <w:rFonts w:ascii="宋体" w:hAnsi="宋体" w:cs="宋体"/>
                <w:color w:val="auto"/>
                <w:szCs w:val="24"/>
                <w:highlight w:val="none"/>
              </w:rPr>
              <w:t>）</w:t>
            </w:r>
            <w:r>
              <w:rPr>
                <w:rFonts w:hint="eastAsia" w:ascii="宋体" w:hAnsi="宋体" w:cs="仿宋"/>
                <w:color w:val="auto"/>
                <w:highlight w:val="none"/>
              </w:rPr>
              <w:t>不提供不得分。</w:t>
            </w:r>
          </w:p>
        </w:tc>
        <w:tc>
          <w:tcPr>
            <w:tcW w:w="536"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宋体" w:hAnsi="宋体" w:cs="宋体"/>
                <w:color w:val="auto"/>
                <w:szCs w:val="24"/>
                <w:highlight w:val="none"/>
              </w:rPr>
            </w:pPr>
            <w:r>
              <w:rPr>
                <w:rFonts w:hint="eastAsia" w:ascii="宋体" w:hAnsi="宋体" w:cs="宋体"/>
                <w:color w:val="auto"/>
                <w:szCs w:val="24"/>
                <w:highlight w:val="none"/>
              </w:rPr>
              <w:t>10</w:t>
            </w:r>
          </w:p>
        </w:tc>
      </w:tr>
      <w:tr>
        <w:tblPrEx>
          <w:tblCellMar>
            <w:top w:w="0" w:type="dxa"/>
            <w:left w:w="10" w:type="dxa"/>
            <w:bottom w:w="0" w:type="dxa"/>
            <w:right w:w="10" w:type="dxa"/>
          </w:tblCellMar>
        </w:tblPrEx>
        <w:trPr>
          <w:trHeight w:val="3084" w:hRule="atLeast"/>
        </w:trPr>
        <w:tc>
          <w:tcPr>
            <w:tcW w:w="417" w:type="pct"/>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5</w:t>
            </w:r>
          </w:p>
        </w:tc>
        <w:tc>
          <w:tcPr>
            <w:tcW w:w="662"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售后服务方案</w:t>
            </w:r>
          </w:p>
        </w:tc>
        <w:tc>
          <w:tcPr>
            <w:tcW w:w="3385"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color w:val="auto"/>
                <w:szCs w:val="24"/>
                <w:highlight w:val="none"/>
              </w:rPr>
            </w:pPr>
            <w:r>
              <w:rPr>
                <w:rFonts w:ascii="宋体" w:hAnsi="宋体" w:cs="宋体"/>
                <w:color w:val="auto"/>
                <w:szCs w:val="24"/>
                <w:highlight w:val="none"/>
              </w:rPr>
              <w:t>投标人需制定详细的售后服务方案（至少包含客服中心、故障排除快速响应机制、远程技术支持服务和质量服务保证措施、应急维修措施方案、培训计划方案等内容），评委根据方案的科学性、规范性和</w:t>
            </w:r>
            <w:r>
              <w:rPr>
                <w:rFonts w:hint="eastAsia" w:ascii="宋体" w:hAnsi="宋体" w:cs="宋体"/>
                <w:color w:val="auto"/>
                <w:szCs w:val="24"/>
                <w:highlight w:val="none"/>
              </w:rPr>
              <w:t>针对</w:t>
            </w:r>
            <w:r>
              <w:rPr>
                <w:rFonts w:ascii="宋体" w:hAnsi="宋体" w:cs="宋体"/>
                <w:color w:val="auto"/>
                <w:szCs w:val="24"/>
                <w:highlight w:val="none"/>
              </w:rPr>
              <w:t>性进行</w:t>
            </w:r>
            <w:r>
              <w:rPr>
                <w:rFonts w:hint="eastAsia" w:ascii="宋体" w:hAnsi="宋体" w:cs="宋体"/>
                <w:color w:val="auto"/>
                <w:szCs w:val="24"/>
                <w:highlight w:val="none"/>
              </w:rPr>
              <w:t>评</w:t>
            </w:r>
            <w:r>
              <w:rPr>
                <w:rFonts w:ascii="宋体" w:hAnsi="宋体" w:cs="宋体"/>
                <w:color w:val="auto"/>
                <w:szCs w:val="24"/>
                <w:highlight w:val="none"/>
              </w:rPr>
              <w:t xml:space="preserve">分： </w:t>
            </w:r>
          </w:p>
          <w:p>
            <w:pPr>
              <w:numPr>
                <w:ilvl w:val="0"/>
                <w:numId w:val="7"/>
              </w:numPr>
              <w:spacing w:line="360" w:lineRule="auto"/>
              <w:rPr>
                <w:rFonts w:ascii="宋体" w:hAnsi="宋体" w:cs="宋体"/>
                <w:color w:val="auto"/>
                <w:szCs w:val="24"/>
                <w:highlight w:val="none"/>
              </w:rPr>
            </w:pPr>
            <w:r>
              <w:rPr>
                <w:rFonts w:ascii="宋体" w:hAnsi="宋体" w:cs="宋体"/>
                <w:color w:val="auto"/>
                <w:szCs w:val="24"/>
                <w:highlight w:val="none"/>
              </w:rPr>
              <w:t>售后服务方案科学合理，内容全面， 适用性强，思路清晰，考虑问题周全</w:t>
            </w:r>
            <w:r>
              <w:rPr>
                <w:rFonts w:hint="eastAsia" w:ascii="宋体" w:hAnsi="宋体" w:cs="仿宋"/>
                <w:color w:val="auto"/>
                <w:highlight w:val="none"/>
              </w:rPr>
              <w:t>各项内容有详细流程</w:t>
            </w:r>
            <w:r>
              <w:rPr>
                <w:rFonts w:ascii="宋体" w:hAnsi="宋体" w:cs="仿宋"/>
                <w:color w:val="auto"/>
                <w:highlight w:val="none"/>
              </w:rPr>
              <w:t>，能够根据实际情况制订，</w:t>
            </w:r>
            <w:r>
              <w:rPr>
                <w:rFonts w:hint="eastAsia" w:ascii="宋体" w:hAnsi="宋体" w:cs="仿宋"/>
                <w:color w:val="auto"/>
                <w:highlight w:val="none"/>
              </w:rPr>
              <w:t>方案针对性强</w:t>
            </w:r>
            <w:r>
              <w:rPr>
                <w:rFonts w:ascii="宋体" w:hAnsi="宋体" w:cs="宋体"/>
                <w:color w:val="auto"/>
                <w:szCs w:val="24"/>
                <w:highlight w:val="none"/>
              </w:rPr>
              <w:t>完全满足客户需求，得</w:t>
            </w:r>
            <w:r>
              <w:rPr>
                <w:rFonts w:hint="eastAsia" w:ascii="宋体" w:hAnsi="宋体" w:cs="宋体"/>
                <w:color w:val="auto"/>
                <w:szCs w:val="24"/>
                <w:highlight w:val="none"/>
              </w:rPr>
              <w:t>10</w:t>
            </w:r>
            <w:r>
              <w:rPr>
                <w:rFonts w:ascii="宋体" w:hAnsi="宋体" w:cs="宋体"/>
                <w:color w:val="auto"/>
                <w:szCs w:val="24"/>
                <w:highlight w:val="none"/>
              </w:rPr>
              <w:t xml:space="preserve">分； </w:t>
            </w:r>
          </w:p>
          <w:p>
            <w:pPr>
              <w:spacing w:line="360" w:lineRule="auto"/>
              <w:rPr>
                <w:rFonts w:ascii="宋体" w:hAnsi="宋体" w:cs="宋体"/>
                <w:color w:val="auto"/>
                <w:szCs w:val="24"/>
                <w:highlight w:val="none"/>
              </w:rPr>
            </w:pPr>
            <w:r>
              <w:rPr>
                <w:rFonts w:ascii="宋体" w:hAnsi="宋体" w:cs="宋体"/>
                <w:color w:val="auto"/>
                <w:szCs w:val="24"/>
                <w:highlight w:val="none"/>
              </w:rPr>
              <w:t>（2）售后服务</w:t>
            </w:r>
            <w:r>
              <w:rPr>
                <w:rFonts w:ascii="宋体" w:hAnsi="宋体" w:cs="仿宋"/>
                <w:color w:val="auto"/>
                <w:highlight w:val="none"/>
              </w:rPr>
              <w:t>方案基本满足项目需要，</w:t>
            </w:r>
            <w:r>
              <w:rPr>
                <w:rFonts w:hint="eastAsia" w:ascii="宋体" w:hAnsi="宋体" w:cs="仿宋"/>
                <w:bCs/>
                <w:color w:val="auto"/>
                <w:highlight w:val="none"/>
              </w:rPr>
              <w:t>方案各项内容提供大纲及对应流程，方案措施针对性一般的</w:t>
            </w:r>
            <w:r>
              <w:rPr>
                <w:rFonts w:ascii="宋体" w:hAnsi="宋体" w:cs="宋体"/>
                <w:color w:val="auto"/>
                <w:szCs w:val="24"/>
                <w:highlight w:val="none"/>
              </w:rPr>
              <w:t>，得</w:t>
            </w:r>
            <w:r>
              <w:rPr>
                <w:rFonts w:hint="eastAsia" w:ascii="宋体" w:hAnsi="宋体" w:cs="宋体"/>
                <w:color w:val="auto"/>
                <w:szCs w:val="24"/>
                <w:highlight w:val="none"/>
              </w:rPr>
              <w:t>7</w:t>
            </w:r>
            <w:r>
              <w:rPr>
                <w:rFonts w:ascii="宋体" w:hAnsi="宋体" w:cs="宋体"/>
                <w:color w:val="auto"/>
                <w:szCs w:val="24"/>
                <w:highlight w:val="none"/>
              </w:rPr>
              <w:t xml:space="preserve">分； </w:t>
            </w:r>
          </w:p>
          <w:p>
            <w:pPr>
              <w:spacing w:line="360" w:lineRule="auto"/>
              <w:rPr>
                <w:rFonts w:hint="eastAsia" w:ascii="宋体" w:hAnsi="宋体" w:eastAsia="宋体" w:cs="宋体"/>
                <w:color w:val="auto"/>
                <w:szCs w:val="24"/>
                <w:highlight w:val="none"/>
                <w:lang w:eastAsia="zh-CN"/>
              </w:rPr>
            </w:pPr>
            <w:r>
              <w:rPr>
                <w:rFonts w:ascii="宋体" w:hAnsi="宋体" w:cs="宋体"/>
                <w:color w:val="auto"/>
                <w:szCs w:val="24"/>
                <w:highlight w:val="none"/>
              </w:rPr>
              <w:t>（3）售后服务</w:t>
            </w:r>
            <w:r>
              <w:rPr>
                <w:rFonts w:hint="eastAsia" w:ascii="宋体" w:hAnsi="宋体"/>
                <w:color w:val="auto"/>
                <w:highlight w:val="none"/>
              </w:rPr>
              <w:t>提供了相关方案，但有个别漏项或提供的方案针对性较差的</w:t>
            </w:r>
            <w:r>
              <w:rPr>
                <w:rFonts w:ascii="宋体" w:hAnsi="宋体" w:cs="宋体"/>
                <w:color w:val="auto"/>
                <w:szCs w:val="24"/>
                <w:highlight w:val="none"/>
              </w:rPr>
              <w:t>，得</w:t>
            </w:r>
            <w:r>
              <w:rPr>
                <w:rFonts w:hint="eastAsia" w:ascii="宋体" w:hAnsi="宋体" w:cs="宋体"/>
                <w:color w:val="auto"/>
                <w:szCs w:val="24"/>
                <w:highlight w:val="none"/>
              </w:rPr>
              <w:t>4</w:t>
            </w:r>
            <w:r>
              <w:rPr>
                <w:rFonts w:ascii="宋体" w:hAnsi="宋体" w:cs="宋体"/>
                <w:color w:val="auto"/>
                <w:szCs w:val="24"/>
                <w:highlight w:val="none"/>
              </w:rPr>
              <w:t>分</w:t>
            </w:r>
            <w:r>
              <w:rPr>
                <w:rFonts w:hint="eastAsia" w:ascii="宋体" w:hAnsi="宋体" w:cs="宋体"/>
                <w:color w:val="auto"/>
                <w:szCs w:val="24"/>
                <w:highlight w:val="none"/>
                <w:lang w:val="en-US" w:eastAsia="zh-CN"/>
              </w:rPr>
              <w:t>；</w:t>
            </w:r>
          </w:p>
          <w:p>
            <w:pPr>
              <w:spacing w:line="360" w:lineRule="auto"/>
              <w:rPr>
                <w:rFonts w:hint="eastAsia" w:ascii="宋体" w:hAnsi="宋体" w:eastAsia="宋体" w:cs="宋体"/>
                <w:color w:val="auto"/>
                <w:szCs w:val="24"/>
                <w:highlight w:val="none"/>
                <w:lang w:eastAsia="zh-CN"/>
              </w:rPr>
            </w:pPr>
            <w:r>
              <w:rPr>
                <w:rFonts w:ascii="宋体" w:hAnsi="宋体" w:cs="宋体"/>
                <w:color w:val="auto"/>
                <w:szCs w:val="24"/>
                <w:highlight w:val="none"/>
              </w:rPr>
              <w:t>（</w:t>
            </w:r>
            <w:r>
              <w:rPr>
                <w:rFonts w:hint="eastAsia" w:ascii="宋体" w:hAnsi="宋体" w:cs="宋体"/>
                <w:color w:val="auto"/>
                <w:szCs w:val="24"/>
                <w:highlight w:val="none"/>
                <w:lang w:val="en-US" w:eastAsia="zh-CN"/>
              </w:rPr>
              <w:t>4</w:t>
            </w:r>
            <w:r>
              <w:rPr>
                <w:rFonts w:ascii="宋体" w:hAnsi="宋体" w:cs="宋体"/>
                <w:color w:val="auto"/>
                <w:szCs w:val="24"/>
                <w:highlight w:val="none"/>
              </w:rPr>
              <w:t>）</w:t>
            </w:r>
            <w:r>
              <w:rPr>
                <w:rFonts w:hint="eastAsia" w:ascii="宋体" w:hAnsi="宋体" w:cs="宋体"/>
                <w:color w:val="auto"/>
                <w:szCs w:val="24"/>
                <w:highlight w:val="none"/>
              </w:rPr>
              <w:t>不提供不得分</w:t>
            </w:r>
            <w:r>
              <w:rPr>
                <w:rFonts w:hint="eastAsia" w:ascii="宋体" w:hAnsi="宋体" w:cs="宋体"/>
                <w:color w:val="auto"/>
                <w:szCs w:val="24"/>
                <w:highlight w:val="none"/>
                <w:lang w:eastAsia="zh-CN"/>
              </w:rPr>
              <w:t>。</w:t>
            </w:r>
          </w:p>
        </w:tc>
        <w:tc>
          <w:tcPr>
            <w:tcW w:w="536"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10</w:t>
            </w:r>
          </w:p>
        </w:tc>
      </w:tr>
      <w:tr>
        <w:tblPrEx>
          <w:tblCellMar>
            <w:top w:w="0" w:type="dxa"/>
            <w:left w:w="10" w:type="dxa"/>
            <w:bottom w:w="0" w:type="dxa"/>
            <w:right w:w="10" w:type="dxa"/>
          </w:tblCellMar>
        </w:tblPrEx>
        <w:trPr>
          <w:trHeight w:val="90" w:hRule="atLeast"/>
        </w:trPr>
        <w:tc>
          <w:tcPr>
            <w:tcW w:w="417"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6</w:t>
            </w:r>
          </w:p>
        </w:tc>
        <w:tc>
          <w:tcPr>
            <w:tcW w:w="662" w:type="pct"/>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报价得分</w:t>
            </w:r>
          </w:p>
        </w:tc>
        <w:tc>
          <w:tcPr>
            <w:tcW w:w="3385" w:type="pct"/>
            <w:tcBorders>
              <w:top w:val="single" w:color="000000" w:sz="4" w:space="0"/>
              <w:left w:val="single" w:color="auto" w:sz="4" w:space="0"/>
              <w:bottom w:val="single" w:color="000000" w:sz="4" w:space="0"/>
              <w:right w:val="single" w:color="000000" w:sz="4" w:space="0"/>
            </w:tcBorders>
            <w:shd w:val="clear" w:color="000000" w:fill="FFFFFF"/>
            <w:vAlign w:val="center"/>
          </w:tcPr>
          <w:p>
            <w:pPr>
              <w:widowControl/>
              <w:spacing w:line="360" w:lineRule="auto"/>
              <w:jc w:val="left"/>
              <w:rPr>
                <w:rFonts w:ascii="宋体" w:hAnsi="宋体" w:cs="宋体"/>
                <w:color w:val="auto"/>
                <w:kern w:val="0"/>
                <w:szCs w:val="24"/>
                <w:highlight w:val="none"/>
              </w:rPr>
            </w:pPr>
            <w:r>
              <w:rPr>
                <w:rFonts w:hint="eastAsia" w:ascii="宋体" w:hAnsi="宋体" w:cs="宋体"/>
                <w:color w:val="auto"/>
                <w:szCs w:val="24"/>
                <w:highlight w:val="none"/>
              </w:rPr>
              <w:t>满足招标文件要求且最低的有效投标报价为评标基准价，其价格分为满分。其他有效响应人的价格分统一按照下列公式计算：投标报价得分=（评标基准价／投标报价）×价格权值×100。</w:t>
            </w:r>
          </w:p>
        </w:tc>
        <w:tc>
          <w:tcPr>
            <w:tcW w:w="536" w:type="pc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auto"/>
                <w:szCs w:val="24"/>
                <w:highlight w:val="none"/>
              </w:rPr>
            </w:pPr>
            <w:r>
              <w:rPr>
                <w:rFonts w:hint="eastAsia" w:ascii="宋体" w:hAnsi="宋体" w:cs="宋体"/>
                <w:color w:val="auto"/>
                <w:szCs w:val="24"/>
                <w:highlight w:val="none"/>
              </w:rPr>
              <w:t>3</w:t>
            </w:r>
            <w:r>
              <w:rPr>
                <w:rFonts w:ascii="宋体" w:hAnsi="宋体" w:cs="宋体"/>
                <w:color w:val="auto"/>
                <w:szCs w:val="24"/>
                <w:highlight w:val="none"/>
              </w:rPr>
              <w:t>0</w:t>
            </w:r>
          </w:p>
        </w:tc>
      </w:tr>
    </w:tbl>
    <w:p>
      <w:pPr>
        <w:pStyle w:val="27"/>
        <w:spacing w:line="360" w:lineRule="auto"/>
        <w:rPr>
          <w:color w:val="auto"/>
          <w:highlight w:val="none"/>
        </w:rPr>
      </w:pPr>
    </w:p>
    <w:p>
      <w:pPr>
        <w:spacing w:line="360" w:lineRule="auto"/>
        <w:rPr>
          <w:rFonts w:asciiTheme="minorEastAsia" w:hAnsiTheme="minorEastAsia" w:eastAsiaTheme="minorEastAsia"/>
          <w:color w:val="auto"/>
          <w:highlight w:val="none"/>
        </w:rPr>
        <w:sectPr>
          <w:headerReference r:id="rId5" w:type="default"/>
          <w:footerReference r:id="rId6" w:type="default"/>
          <w:pgSz w:w="11906" w:h="16838"/>
          <w:pgMar w:top="1418" w:right="1418" w:bottom="1418" w:left="1418" w:header="851" w:footer="695" w:gutter="0"/>
          <w:cols w:space="720" w:num="1"/>
          <w:docGrid w:linePitch="285" w:charSpace="0"/>
        </w:sectPr>
      </w:pPr>
    </w:p>
    <w:p>
      <w:pPr>
        <w:pStyle w:val="3"/>
        <w:rPr>
          <w:rFonts w:asciiTheme="minorEastAsia" w:hAnsiTheme="minorEastAsia" w:eastAsiaTheme="minorEastAsia"/>
          <w:color w:val="auto"/>
          <w:highlight w:val="none"/>
        </w:rPr>
      </w:pPr>
      <w:bookmarkStart w:id="101" w:name="_Toc15929"/>
      <w:bookmarkStart w:id="102" w:name="_Toc46510726"/>
      <w:r>
        <w:rPr>
          <w:rFonts w:hint="eastAsia" w:asciiTheme="minorEastAsia" w:hAnsiTheme="minorEastAsia" w:eastAsiaTheme="minorEastAsia"/>
          <w:color w:val="auto"/>
          <w:highlight w:val="none"/>
        </w:rPr>
        <w:t>第五章  合同文本</w:t>
      </w:r>
      <w:bookmarkEnd w:id="101"/>
      <w:bookmarkEnd w:id="102"/>
    </w:p>
    <w:bookmarkEnd w:id="90"/>
    <w:p>
      <w:pPr>
        <w:spacing w:line="360" w:lineRule="auto"/>
        <w:ind w:right="36" w:rightChars="15"/>
        <w:jc w:val="center"/>
        <w:rPr>
          <w:rFonts w:asciiTheme="minorEastAsia" w:hAnsiTheme="minorEastAsia" w:eastAsiaTheme="minorEastAsia"/>
          <w:bCs/>
          <w:color w:val="auto"/>
          <w:szCs w:val="24"/>
          <w:highlight w:val="none"/>
        </w:rPr>
      </w:pPr>
      <w:bookmarkStart w:id="103" w:name="_Toc171325097"/>
      <w:bookmarkStart w:id="104" w:name="_Toc238907083"/>
      <w:r>
        <w:rPr>
          <w:rFonts w:hint="eastAsia" w:asciiTheme="minorEastAsia" w:hAnsiTheme="minorEastAsia" w:eastAsiaTheme="minorEastAsia"/>
          <w:bCs/>
          <w:color w:val="auto"/>
          <w:szCs w:val="24"/>
          <w:highlight w:val="none"/>
        </w:rPr>
        <w:t>（格式仅供参考，以双方最终协议为准）</w:t>
      </w:r>
    </w:p>
    <w:p>
      <w:pPr>
        <w:spacing w:line="360" w:lineRule="auto"/>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合同编号：           </w:t>
      </w:r>
    </w:p>
    <w:p>
      <w:pPr>
        <w:spacing w:line="360" w:lineRule="auto"/>
        <w:ind w:right="36" w:rightChars="15" w:firstLine="48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甲方（采购人）：</w:t>
      </w:r>
      <w:r>
        <w:rPr>
          <w:rFonts w:hint="eastAsia" w:asciiTheme="minorEastAsia" w:hAnsiTheme="minorEastAsia" w:eastAsiaTheme="minorEastAsia"/>
          <w:bCs/>
          <w:color w:val="auto"/>
          <w:szCs w:val="24"/>
          <w:highlight w:val="none"/>
          <w:u w:val="single"/>
        </w:rPr>
        <w:t xml:space="preserve">                                          </w:t>
      </w:r>
    </w:p>
    <w:p>
      <w:pPr>
        <w:spacing w:line="360" w:lineRule="auto"/>
        <w:ind w:right="36" w:rightChars="15" w:firstLine="48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乙方（中标人）：</w:t>
      </w:r>
      <w:r>
        <w:rPr>
          <w:rFonts w:hint="eastAsia" w:asciiTheme="minorEastAsia" w:hAnsiTheme="minorEastAsia" w:eastAsiaTheme="minorEastAsia"/>
          <w:bCs/>
          <w:color w:val="auto"/>
          <w:szCs w:val="24"/>
          <w:highlight w:val="none"/>
          <w:u w:val="single"/>
        </w:rPr>
        <w:t xml:space="preserve">                                          </w:t>
      </w:r>
    </w:p>
    <w:p>
      <w:pPr>
        <w:spacing w:line="360" w:lineRule="auto"/>
        <w:ind w:firstLine="480"/>
        <w:jc w:val="left"/>
        <w:rPr>
          <w:rFonts w:cs="宋体"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甲乙双方根据</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r>
        <w:rPr>
          <w:rFonts w:hint="eastAsia" w:asciiTheme="minorEastAsia" w:hAnsiTheme="minorEastAsia" w:eastAsiaTheme="minorEastAsia"/>
          <w:color w:val="auto"/>
          <w:szCs w:val="24"/>
          <w:highlight w:val="none"/>
          <w:u w:val="single"/>
        </w:rPr>
        <w:t xml:space="preserve">   项目名称       </w:t>
      </w:r>
      <w:r>
        <w:rPr>
          <w:rFonts w:hint="eastAsia" w:asciiTheme="minorEastAsia" w:hAnsiTheme="minorEastAsia" w:eastAsiaTheme="minorEastAsia"/>
          <w:color w:val="auto"/>
          <w:szCs w:val="24"/>
          <w:highlight w:val="none"/>
        </w:rPr>
        <w:t>（项目编号:    ）采购结果及招标文件的要求,经协商一致,</w:t>
      </w:r>
      <w:r>
        <w:rPr>
          <w:rFonts w:hint="eastAsia" w:cs="宋体" w:asciiTheme="minorEastAsia" w:hAnsiTheme="minorEastAsia" w:eastAsiaTheme="minorEastAsia"/>
          <w:color w:val="auto"/>
          <w:szCs w:val="24"/>
          <w:highlight w:val="none"/>
        </w:rPr>
        <w:t>愿意共同遵守并履行本合同各条款。</w:t>
      </w:r>
    </w:p>
    <w:p>
      <w:pPr>
        <w:numPr>
          <w:ilvl w:val="0"/>
          <w:numId w:val="8"/>
        </w:num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标的内容、数量、规格、价款等</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65"/>
        <w:gridCol w:w="720"/>
        <w:gridCol w:w="1131"/>
        <w:gridCol w:w="581"/>
        <w:gridCol w:w="978"/>
        <w:gridCol w:w="1375"/>
        <w:gridCol w:w="160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序号</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名称</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品牌、规格型号</w:t>
            </w: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技术参数</w:t>
            </w: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数量</w:t>
            </w: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单位</w:t>
            </w: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单价（元）</w:t>
            </w: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ind w:firstLine="120" w:firstLineChars="5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总价（元）</w:t>
            </w: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ind w:firstLine="120" w:firstLineChars="50"/>
              <w:jc w:val="center"/>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kern w:val="0"/>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395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合同价（人民币/元）：</w:t>
            </w:r>
          </w:p>
        </w:tc>
        <w:tc>
          <w:tcPr>
            <w:tcW w:w="5406" w:type="dxa"/>
            <w:gridSpan w:val="5"/>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bl>
    <w:p>
      <w:pPr>
        <w:pStyle w:val="27"/>
        <w:spacing w:line="360" w:lineRule="auto"/>
        <w:rPr>
          <w:rFonts w:asciiTheme="minorEastAsia" w:hAnsiTheme="minorEastAsia" w:eastAsiaTheme="minorEastAsia"/>
          <w:color w:val="auto"/>
          <w:highlight w:val="none"/>
        </w:rPr>
      </w:pPr>
    </w:p>
    <w:p>
      <w:pPr>
        <w:spacing w:line="360" w:lineRule="auto"/>
        <w:ind w:firstLine="1200" w:firstLineChars="500"/>
        <w:rPr>
          <w:rFonts w:asciiTheme="minorEastAsia" w:hAnsiTheme="minorEastAsia" w:eastAsiaTheme="minorEastAsia"/>
          <w:b/>
          <w:color w:val="auto"/>
          <w:szCs w:val="24"/>
          <w:highlight w:val="none"/>
        </w:rPr>
      </w:pPr>
      <w:bookmarkStart w:id="105" w:name="_Toc417386176"/>
      <w:bookmarkStart w:id="106" w:name="_Toc462068968"/>
      <w:r>
        <w:rPr>
          <w:rFonts w:hint="eastAsia" w:asciiTheme="minorEastAsia" w:hAnsiTheme="minorEastAsia" w:eastAsiaTheme="minorEastAsia"/>
          <w:bCs/>
          <w:color w:val="auto"/>
          <w:highlight w:val="none"/>
        </w:rPr>
        <w:t>甲方不再另付任何费用，合同总价为完成项目含税的全包价。</w:t>
      </w:r>
    </w:p>
    <w:p>
      <w:pPr>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二、履约时间及方式</w:t>
      </w:r>
    </w:p>
    <w:bookmarkEnd w:id="105"/>
    <w:bookmarkEnd w:id="106"/>
    <w:p>
      <w:pPr>
        <w:spacing w:line="360" w:lineRule="auto"/>
        <w:ind w:left="480"/>
        <w:rPr>
          <w:rFonts w:asciiTheme="minorEastAsia" w:hAnsiTheme="minorEastAsia" w:eastAsiaTheme="minorEastAsia"/>
          <w:bCs/>
          <w:color w:val="auto"/>
          <w:szCs w:val="24"/>
          <w:highlight w:val="none"/>
        </w:rPr>
      </w:pPr>
      <w:bookmarkStart w:id="107" w:name="_Toc424566854"/>
      <w:bookmarkStart w:id="108" w:name="_Toc424563315"/>
      <w:bookmarkStart w:id="109" w:name="_Toc424716420"/>
      <w:bookmarkStart w:id="110" w:name="_Toc425425703"/>
      <w:r>
        <w:rPr>
          <w:rFonts w:hint="eastAsia" w:asciiTheme="minorEastAsia" w:hAnsiTheme="minorEastAsia" w:eastAsiaTheme="minorEastAsia"/>
          <w:bCs/>
          <w:color w:val="auto"/>
          <w:szCs w:val="24"/>
          <w:highlight w:val="none"/>
        </w:rPr>
        <w:t xml:space="preserve">1. </w:t>
      </w:r>
      <w:r>
        <w:rPr>
          <w:rFonts w:hint="eastAsia" w:asciiTheme="minorEastAsia" w:hAnsiTheme="minorEastAsia" w:eastAsiaTheme="minorEastAsia"/>
          <w:bCs/>
          <w:color w:val="auto"/>
          <w:highlight w:val="none"/>
        </w:rPr>
        <w:t>合同履约期限</w:t>
      </w:r>
      <w:r>
        <w:rPr>
          <w:rFonts w:hint="eastAsia" w:asciiTheme="minorEastAsia" w:hAnsiTheme="minorEastAsia" w:eastAsiaTheme="minorEastAsia"/>
          <w:bCs/>
          <w:color w:val="auto"/>
          <w:szCs w:val="24"/>
          <w:highlight w:val="none"/>
        </w:rPr>
        <w:t>：</w:t>
      </w:r>
      <w:r>
        <w:rPr>
          <w:rFonts w:hint="eastAsia" w:asciiTheme="minorEastAsia" w:hAnsiTheme="minorEastAsia" w:eastAsiaTheme="minorEastAsia"/>
          <w:bCs/>
          <w:color w:val="auto"/>
          <w:szCs w:val="24"/>
          <w:highlight w:val="none"/>
          <w:u w:val="single"/>
        </w:rPr>
        <w:t xml:space="preserve">                                               </w:t>
      </w:r>
      <w:r>
        <w:rPr>
          <w:rFonts w:hint="eastAsia" w:asciiTheme="minorEastAsia" w:hAnsiTheme="minorEastAsia" w:eastAsiaTheme="minorEastAsia"/>
          <w:bCs/>
          <w:color w:val="auto"/>
          <w:szCs w:val="24"/>
          <w:highlight w:val="none"/>
        </w:rPr>
        <w:t>。</w:t>
      </w:r>
    </w:p>
    <w:p>
      <w:pPr>
        <w:spacing w:line="360" w:lineRule="auto"/>
        <w:ind w:left="48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 xml:space="preserve">2. </w:t>
      </w:r>
      <w:r>
        <w:rPr>
          <w:rFonts w:hint="eastAsia" w:asciiTheme="minorEastAsia" w:hAnsiTheme="minorEastAsia" w:eastAsiaTheme="minorEastAsia"/>
          <w:bCs/>
          <w:color w:val="auto"/>
          <w:highlight w:val="none"/>
        </w:rPr>
        <w:t>合同履约期限</w:t>
      </w:r>
      <w:r>
        <w:rPr>
          <w:rFonts w:hint="eastAsia" w:asciiTheme="minorEastAsia" w:hAnsiTheme="minorEastAsia" w:eastAsiaTheme="minorEastAsia"/>
          <w:bCs/>
          <w:color w:val="auto"/>
          <w:szCs w:val="24"/>
          <w:highlight w:val="none"/>
        </w:rPr>
        <w:t>地点：</w:t>
      </w:r>
      <w:r>
        <w:rPr>
          <w:rFonts w:hint="eastAsia" w:asciiTheme="minorEastAsia" w:hAnsiTheme="minorEastAsia" w:eastAsiaTheme="minorEastAsia"/>
          <w:bCs/>
          <w:color w:val="auto"/>
          <w:szCs w:val="24"/>
          <w:highlight w:val="none"/>
          <w:u w:val="single"/>
        </w:rPr>
        <w:t xml:space="preserve">                                             </w:t>
      </w:r>
      <w:r>
        <w:rPr>
          <w:rFonts w:hint="eastAsia" w:asciiTheme="minorEastAsia" w:hAnsiTheme="minorEastAsia" w:eastAsiaTheme="minorEastAsia"/>
          <w:bCs/>
          <w:color w:val="auto"/>
          <w:szCs w:val="24"/>
          <w:highlight w:val="none"/>
        </w:rPr>
        <w:t>。</w:t>
      </w:r>
    </w:p>
    <w:p>
      <w:pPr>
        <w:snapToGrid w:val="0"/>
        <w:spacing w:line="360" w:lineRule="auto"/>
        <w:rPr>
          <w:rFonts w:asciiTheme="minorEastAsia" w:hAnsiTheme="minorEastAsia" w:eastAsiaTheme="minorEastAsia"/>
          <w:b/>
          <w:color w:val="auto"/>
          <w:szCs w:val="24"/>
          <w:highlight w:val="none"/>
          <w:u w:val="single"/>
        </w:rPr>
      </w:pPr>
      <w:r>
        <w:rPr>
          <w:rFonts w:hint="eastAsia" w:asciiTheme="minorEastAsia" w:hAnsiTheme="minorEastAsia" w:eastAsiaTheme="minorEastAsia"/>
          <w:b/>
          <w:color w:val="auto"/>
          <w:szCs w:val="24"/>
          <w:highlight w:val="none"/>
        </w:rPr>
        <w:t>三、付款时间、方式</w:t>
      </w:r>
      <w:bookmarkEnd w:id="107"/>
      <w:bookmarkEnd w:id="108"/>
      <w:bookmarkEnd w:id="109"/>
      <w:bookmarkEnd w:id="110"/>
      <w:r>
        <w:rPr>
          <w:rFonts w:hint="eastAsia" w:asciiTheme="minorEastAsia" w:hAnsiTheme="minorEastAsia" w:eastAsiaTheme="minorEastAsia"/>
          <w:b/>
          <w:color w:val="auto"/>
          <w:szCs w:val="24"/>
          <w:highlight w:val="none"/>
        </w:rPr>
        <w:t>及条件:</w:t>
      </w:r>
    </w:p>
    <w:p>
      <w:p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四、验收</w:t>
      </w:r>
    </w:p>
    <w:p>
      <w:pPr>
        <w:spacing w:line="360" w:lineRule="auto"/>
        <w:ind w:firstLine="480" w:firstLineChars="200"/>
        <w:rPr>
          <w:rFonts w:asciiTheme="minorEastAsia" w:hAnsiTheme="minorEastAsia" w:eastAsiaTheme="minorEastAsia"/>
          <w:bCs/>
          <w:color w:val="auto"/>
          <w:szCs w:val="24"/>
          <w:highlight w:val="none"/>
          <w:u w:val="single"/>
        </w:rPr>
      </w:pPr>
      <w:r>
        <w:rPr>
          <w:rFonts w:hint="eastAsia" w:asciiTheme="minorEastAsia" w:hAnsiTheme="minorEastAsia" w:eastAsiaTheme="minorEastAsia"/>
          <w:bCs/>
          <w:color w:val="auto"/>
          <w:szCs w:val="24"/>
          <w:highlight w:val="none"/>
        </w:rPr>
        <w:t>1.验收方式：</w:t>
      </w:r>
      <w:r>
        <w:rPr>
          <w:rFonts w:hint="eastAsia" w:asciiTheme="minorEastAsia" w:hAnsiTheme="minorEastAsia" w:eastAsiaTheme="minorEastAsia"/>
          <w:bCs/>
          <w:color w:val="auto"/>
          <w:szCs w:val="24"/>
          <w:highlight w:val="none"/>
          <w:u w:val="single"/>
        </w:rPr>
        <w:t xml:space="preserve">                                                      </w:t>
      </w:r>
      <w:r>
        <w:rPr>
          <w:rFonts w:hint="eastAsia" w:asciiTheme="minorEastAsia" w:hAnsiTheme="minorEastAsia" w:eastAsiaTheme="minorEastAsia"/>
          <w:bCs/>
          <w:color w:val="auto"/>
          <w:szCs w:val="24"/>
          <w:highlight w:val="none"/>
        </w:rPr>
        <w:t>。</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2.验收标准：</w:t>
      </w:r>
      <w:r>
        <w:rPr>
          <w:rFonts w:hint="eastAsia" w:asciiTheme="minorEastAsia" w:hAnsiTheme="minorEastAsia" w:eastAsiaTheme="minorEastAsia"/>
          <w:bCs/>
          <w:color w:val="auto"/>
          <w:szCs w:val="24"/>
          <w:highlight w:val="none"/>
          <w:u w:val="single"/>
        </w:rPr>
        <w:t xml:space="preserve">                                                      </w:t>
      </w:r>
      <w:r>
        <w:rPr>
          <w:rFonts w:hint="eastAsia" w:asciiTheme="minorEastAsia" w:hAnsiTheme="minorEastAsia" w:eastAsiaTheme="minorEastAsia"/>
          <w:bCs/>
          <w:color w:val="auto"/>
          <w:szCs w:val="24"/>
          <w:highlight w:val="none"/>
        </w:rPr>
        <w:t>。</w:t>
      </w:r>
    </w:p>
    <w:p>
      <w:p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五、违约责任</w:t>
      </w:r>
    </w:p>
    <w:p>
      <w:pPr>
        <w:spacing w:line="360" w:lineRule="auto"/>
        <w:ind w:firstLine="480"/>
        <w:rPr>
          <w:rFonts w:asciiTheme="minorEastAsia" w:hAnsiTheme="minorEastAsia" w:eastAsiaTheme="minorEastAsia"/>
          <w:color w:val="auto"/>
          <w:szCs w:val="24"/>
          <w:highlight w:val="none"/>
        </w:rPr>
      </w:pPr>
      <w:bookmarkStart w:id="111" w:name="_Toc417386177"/>
      <w:bookmarkStart w:id="112" w:name="_Toc462068969"/>
      <w:r>
        <w:rPr>
          <w:rFonts w:hint="eastAsia" w:asciiTheme="minorEastAsia" w:hAnsiTheme="minorEastAsia" w:eastAsiaTheme="minorEastAsia"/>
          <w:color w:val="auto"/>
          <w:szCs w:val="24"/>
          <w:highlight w:val="none"/>
        </w:rPr>
        <w:t>1</w:t>
      </w:r>
      <w:r>
        <w:rPr>
          <w:rFonts w:hint="eastAsia" w:asciiTheme="minorEastAsia" w:hAnsiTheme="minorEastAsia" w:eastAsiaTheme="minorEastAsia"/>
          <w:bCs/>
          <w:color w:val="auto"/>
          <w:szCs w:val="24"/>
          <w:highlight w:val="none"/>
        </w:rPr>
        <w:t>.</w:t>
      </w:r>
      <w:r>
        <w:rPr>
          <w:rFonts w:hint="eastAsia" w:asciiTheme="minorEastAsia" w:hAnsiTheme="minorEastAsia" w:eastAsiaTheme="minorEastAsia"/>
          <w:color w:val="auto"/>
          <w:szCs w:val="24"/>
          <w:highlight w:val="none"/>
        </w:rPr>
        <w:t>乙方所提供的货物、服务质量、拟投入人员不符合招标文件规定的，由乙方负责按照原招标文件、更正公告内容和质疑答疑文件、投标文件、中标通知书等实质性内容重新免费提供该项目服务内容。</w:t>
      </w:r>
    </w:p>
    <w:p>
      <w:pPr>
        <w:tabs>
          <w:tab w:val="left" w:pos="945"/>
          <w:tab w:val="left" w:pos="1506"/>
        </w:tabs>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2.甲方违反合同规定的，应当承担由此对乙方造成的损失。</w:t>
      </w:r>
    </w:p>
    <w:p>
      <w:pPr>
        <w:tabs>
          <w:tab w:val="left" w:pos="945"/>
          <w:tab w:val="left" w:pos="1506"/>
        </w:tabs>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3.其他：</w:t>
      </w:r>
      <w:r>
        <w:rPr>
          <w:rFonts w:hint="eastAsia" w:asciiTheme="minorEastAsia" w:hAnsiTheme="minorEastAsia" w:eastAsiaTheme="minorEastAsia"/>
          <w:bCs/>
          <w:color w:val="auto"/>
          <w:szCs w:val="24"/>
          <w:highlight w:val="none"/>
          <w:u w:val="single"/>
        </w:rPr>
        <w:t xml:space="preserve">       </w:t>
      </w:r>
      <w:r>
        <w:rPr>
          <w:rFonts w:hint="eastAsia" w:asciiTheme="minorEastAsia" w:hAnsiTheme="minorEastAsia" w:eastAsiaTheme="minorEastAsia"/>
          <w:bCs/>
          <w:color w:val="auto"/>
          <w:szCs w:val="24"/>
          <w:highlight w:val="none"/>
        </w:rPr>
        <w:t>。</w:t>
      </w:r>
    </w:p>
    <w:p>
      <w:p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六、</w:t>
      </w:r>
      <w:bookmarkEnd w:id="111"/>
      <w:bookmarkEnd w:id="112"/>
      <w:r>
        <w:rPr>
          <w:rFonts w:hint="eastAsia" w:asciiTheme="minorEastAsia" w:hAnsiTheme="minorEastAsia" w:eastAsiaTheme="minorEastAsia"/>
          <w:b/>
          <w:color w:val="auto"/>
          <w:szCs w:val="24"/>
          <w:highlight w:val="none"/>
        </w:rPr>
        <w:t>解决争议的办法</w:t>
      </w:r>
    </w:p>
    <w:p>
      <w:pPr>
        <w:snapToGrid w:val="0"/>
        <w:spacing w:line="360" w:lineRule="auto"/>
        <w:ind w:firstLine="470" w:firstLineChars="196"/>
        <w:rPr>
          <w:rFonts w:asciiTheme="minorEastAsia" w:hAnsiTheme="minorEastAsia" w:eastAsiaTheme="minorEastAsia"/>
          <w:color w:val="auto"/>
          <w:szCs w:val="24"/>
          <w:highlight w:val="none"/>
        </w:rPr>
      </w:pPr>
      <w:bookmarkStart w:id="113" w:name="_Toc417386178"/>
      <w:bookmarkStart w:id="114" w:name="_Toc462068970"/>
      <w:r>
        <w:rPr>
          <w:rFonts w:hint="eastAsia" w:asciiTheme="minorEastAsia" w:hAnsiTheme="minorEastAsia" w:eastAsiaTheme="minorEastAsia"/>
          <w:color w:val="auto"/>
          <w:szCs w:val="24"/>
          <w:highlight w:val="none"/>
        </w:rPr>
        <w:t>合同实施或与合同有关的一切争议应通过双方友好协商解决。如果友好协商不能解决，作如下处理：</w:t>
      </w:r>
    </w:p>
    <w:p>
      <w:pPr>
        <w:snapToGrid w:val="0"/>
        <w:spacing w:line="360" w:lineRule="auto"/>
        <w:ind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（1）申请仲裁。仲裁机构为海南仲裁委员会。</w:t>
      </w:r>
    </w:p>
    <w:p>
      <w:pPr>
        <w:snapToGrid w:val="0"/>
        <w:spacing w:line="360" w:lineRule="auto"/>
        <w:ind w:firstLine="424" w:firstLineChars="177"/>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（2）提起诉讼。诉讼地点为采购人所在地。</w:t>
      </w:r>
    </w:p>
    <w:p>
      <w:p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七、合同生效</w:t>
      </w:r>
      <w:bookmarkEnd w:id="113"/>
      <w:bookmarkEnd w:id="114"/>
    </w:p>
    <w:p>
      <w:pPr>
        <w:snapToGrid w:val="0"/>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本合同由甲乙双方签字盖章后生效。</w:t>
      </w:r>
    </w:p>
    <w:p>
      <w:pPr>
        <w:snapToGrid w:val="0"/>
        <w:spacing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八、其他未尽事宜由甲乙双方友好协商确定。</w:t>
      </w:r>
    </w:p>
    <w:p>
      <w:pPr>
        <w:snapToGrid w:val="0"/>
        <w:spacing w:line="360" w:lineRule="auto"/>
        <w:rPr>
          <w:rFonts w:asciiTheme="minorEastAsia" w:hAnsiTheme="minorEastAsia" w:eastAsiaTheme="minorEastAsia"/>
          <w:b/>
          <w:color w:val="auto"/>
          <w:szCs w:val="24"/>
          <w:highlight w:val="none"/>
        </w:rPr>
      </w:pPr>
      <w:bookmarkStart w:id="115" w:name="_Toc417386179"/>
      <w:bookmarkStart w:id="116" w:name="_Toc462068971"/>
      <w:r>
        <w:rPr>
          <w:rFonts w:hint="eastAsia" w:asciiTheme="minorEastAsia" w:hAnsiTheme="minorEastAsia" w:eastAsiaTheme="minorEastAsia"/>
          <w:b/>
          <w:color w:val="auto"/>
          <w:szCs w:val="24"/>
          <w:highlight w:val="none"/>
        </w:rPr>
        <w:t>九、合同鉴证</w:t>
      </w:r>
      <w:bookmarkEnd w:id="115"/>
      <w:bookmarkEnd w:id="116"/>
    </w:p>
    <w:p>
      <w:pPr>
        <w:snapToGrid w:val="0"/>
        <w:spacing w:line="360" w:lineRule="auto"/>
        <w:ind w:firstLine="480"/>
        <w:rPr>
          <w:rFonts w:asciiTheme="minorEastAsia" w:hAnsiTheme="minorEastAsia" w:eastAsiaTheme="minorEastAsia"/>
          <w:b/>
          <w:color w:val="auto"/>
          <w:szCs w:val="24"/>
          <w:highlight w:val="none"/>
        </w:rPr>
      </w:pPr>
      <w:r>
        <w:rPr>
          <w:rFonts w:hint="eastAsia" w:asciiTheme="minorEastAsia" w:hAnsiTheme="minorEastAsia" w:eastAsiaTheme="minorEastAsia"/>
          <w:color w:val="auto"/>
          <w:szCs w:val="24"/>
          <w:highlight w:val="none"/>
        </w:rPr>
        <w:t>采购代理机构应当在本合同上签章，以证明本合同条款与招标文件、投标文件的相关要求相符并且未对采购内容或技术参数进行实质性修改。</w:t>
      </w:r>
    </w:p>
    <w:p>
      <w:pPr>
        <w:snapToGrid w:val="0"/>
        <w:spacing w:line="360" w:lineRule="auto"/>
        <w:rPr>
          <w:rFonts w:asciiTheme="minorEastAsia" w:hAnsiTheme="minorEastAsia" w:eastAsiaTheme="minorEastAsia"/>
          <w:b/>
          <w:color w:val="auto"/>
          <w:szCs w:val="24"/>
          <w:highlight w:val="none"/>
        </w:rPr>
      </w:pPr>
      <w:bookmarkStart w:id="117" w:name="_Toc462068972"/>
      <w:bookmarkStart w:id="118" w:name="_Toc417386180"/>
      <w:r>
        <w:rPr>
          <w:rFonts w:hint="eastAsia" w:asciiTheme="minorEastAsia" w:hAnsiTheme="minorEastAsia" w:eastAsiaTheme="minorEastAsia"/>
          <w:b/>
          <w:color w:val="auto"/>
          <w:szCs w:val="24"/>
          <w:highlight w:val="none"/>
        </w:rPr>
        <w:t>十、本合同的组成文件</w:t>
      </w:r>
      <w:bookmarkEnd w:id="117"/>
      <w:bookmarkEnd w:id="118"/>
    </w:p>
    <w:p>
      <w:pPr>
        <w:snapToGrid w:val="0"/>
        <w:spacing w:line="360" w:lineRule="auto"/>
        <w:ind w:left="55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1.招标文件、乙方的投标文件和投标时的澄清函（如有）；</w:t>
      </w:r>
    </w:p>
    <w:p>
      <w:pPr>
        <w:snapToGrid w:val="0"/>
        <w:spacing w:line="360" w:lineRule="auto"/>
        <w:ind w:left="55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2.中标通知书；</w:t>
      </w:r>
    </w:p>
    <w:p>
      <w:pPr>
        <w:snapToGrid w:val="0"/>
        <w:spacing w:line="360" w:lineRule="auto"/>
        <w:ind w:left="556"/>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3.甲乙双方商定的其他必要文件。</w:t>
      </w:r>
    </w:p>
    <w:p>
      <w:pPr>
        <w:snapToGrid w:val="0"/>
        <w:spacing w:line="360" w:lineRule="auto"/>
        <w:ind w:firstLine="48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上述合同文件内容互为补充，如有不明确，由甲方负责解释。</w:t>
      </w:r>
    </w:p>
    <w:p>
      <w:pPr>
        <w:snapToGrid w:val="0"/>
        <w:spacing w:line="360" w:lineRule="auto"/>
        <w:rPr>
          <w:rFonts w:asciiTheme="minorEastAsia" w:hAnsiTheme="minorEastAsia" w:eastAsiaTheme="minorEastAsia"/>
          <w:b/>
          <w:color w:val="auto"/>
          <w:szCs w:val="24"/>
          <w:highlight w:val="none"/>
        </w:rPr>
      </w:pPr>
      <w:bookmarkStart w:id="119" w:name="_Toc417386181"/>
      <w:bookmarkStart w:id="120" w:name="_Toc462068973"/>
      <w:r>
        <w:rPr>
          <w:rFonts w:hint="eastAsia" w:asciiTheme="minorEastAsia" w:hAnsiTheme="minorEastAsia" w:eastAsiaTheme="minorEastAsia"/>
          <w:b/>
          <w:color w:val="auto"/>
          <w:szCs w:val="24"/>
          <w:highlight w:val="none"/>
        </w:rPr>
        <w:t>十一、合同备案</w:t>
      </w:r>
      <w:bookmarkEnd w:id="119"/>
      <w:bookmarkEnd w:id="120"/>
    </w:p>
    <w:p>
      <w:pPr>
        <w:snapToGrid w:val="0"/>
        <w:spacing w:line="360" w:lineRule="auto"/>
        <w:ind w:firstLine="48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highlight w:val="none"/>
        </w:rPr>
        <w:t>本合同一式</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rPr>
        <w:t>份，中文书写。甲方</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rPr>
        <w:t>份、乙方</w:t>
      </w:r>
      <w:r>
        <w:rPr>
          <w:rFonts w:hint="eastAsia" w:asciiTheme="minorEastAsia" w:hAnsiTheme="minorEastAsia" w:eastAsiaTheme="minorEastAsia"/>
          <w:bCs/>
          <w:color w:val="auto"/>
          <w:highlight w:val="none"/>
          <w:u w:val="single"/>
        </w:rPr>
        <w:t xml:space="preserve">   </w:t>
      </w:r>
      <w:r>
        <w:rPr>
          <w:rFonts w:hint="eastAsia" w:asciiTheme="minorEastAsia" w:hAnsiTheme="minorEastAsia" w:eastAsiaTheme="minorEastAsia"/>
          <w:bCs/>
          <w:color w:val="auto"/>
          <w:highlight w:val="none"/>
        </w:rPr>
        <w:t>份，采购代理机构壹份，政府采购行政主管部门壹份。</w:t>
      </w:r>
    </w:p>
    <w:p>
      <w:pPr>
        <w:snapToGrid w:val="0"/>
        <w:spacing w:before="19" w:line="360" w:lineRule="auto"/>
        <w:ind w:firstLine="482"/>
        <w:rPr>
          <w:rFonts w:asciiTheme="minorEastAsia" w:hAnsiTheme="minorEastAsia" w:eastAsiaTheme="minorEastAsia"/>
          <w:color w:val="auto"/>
          <w:szCs w:val="24"/>
          <w:highlight w:val="none"/>
        </w:rPr>
      </w:pPr>
      <w:r>
        <w:rPr>
          <w:rFonts w:hint="eastAsia" w:asciiTheme="minorEastAsia" w:hAnsiTheme="minorEastAsia" w:eastAsiaTheme="minorEastAsia"/>
          <w:b/>
          <w:color w:val="auto"/>
          <w:szCs w:val="24"/>
          <w:highlight w:val="none"/>
        </w:rPr>
        <w:t>甲方：</w:t>
      </w:r>
      <w:r>
        <w:rPr>
          <w:rFonts w:asciiTheme="minorEastAsia" w:hAnsiTheme="minorEastAsia" w:eastAsiaTheme="minorEastAsia"/>
          <w:b/>
          <w:color w:val="auto"/>
          <w:szCs w:val="24"/>
          <w:highlight w:val="none"/>
          <w:u w:val="single"/>
        </w:rPr>
        <w:t xml:space="preserve">                   </w:t>
      </w:r>
      <w:r>
        <w:rPr>
          <w:rFonts w:hint="eastAsia" w:asciiTheme="minorEastAsia" w:hAnsiTheme="minorEastAsia" w:eastAsiaTheme="minorEastAsia"/>
          <w:b/>
          <w:color w:val="auto"/>
          <w:szCs w:val="24"/>
          <w:highlight w:val="none"/>
          <w:u w:val="single"/>
        </w:rPr>
        <w:t>（盖章）</w:t>
      </w:r>
      <w:r>
        <w:rPr>
          <w:rFonts w:hint="eastAsia" w:asciiTheme="minorEastAsia" w:hAnsiTheme="minorEastAsia" w:eastAsiaTheme="minorEastAsia"/>
          <w:b/>
          <w:color w:val="auto"/>
          <w:szCs w:val="24"/>
          <w:highlight w:val="none"/>
        </w:rPr>
        <w:t xml:space="preserve"> </w:t>
      </w:r>
      <w:r>
        <w:rPr>
          <w:rFonts w:asciiTheme="minorEastAsia" w:hAnsiTheme="minorEastAsia" w:eastAsiaTheme="minorEastAsia"/>
          <w:b/>
          <w:color w:val="auto"/>
          <w:szCs w:val="24"/>
          <w:highlight w:val="none"/>
        </w:rPr>
        <w:t xml:space="preserve">    </w:t>
      </w:r>
      <w:r>
        <w:rPr>
          <w:rFonts w:hint="eastAsia" w:asciiTheme="minorEastAsia" w:hAnsiTheme="minorEastAsia" w:eastAsiaTheme="minorEastAsia"/>
          <w:b/>
          <w:color w:val="auto"/>
          <w:szCs w:val="24"/>
          <w:highlight w:val="none"/>
        </w:rPr>
        <w:t>乙方：</w:t>
      </w:r>
      <w:r>
        <w:rPr>
          <w:rFonts w:asciiTheme="minorEastAsia" w:hAnsiTheme="minorEastAsia" w:eastAsiaTheme="minorEastAsia"/>
          <w:b/>
          <w:color w:val="auto"/>
          <w:szCs w:val="24"/>
          <w:highlight w:val="none"/>
          <w:u w:val="single"/>
        </w:rPr>
        <w:t xml:space="preserve">                  </w:t>
      </w:r>
      <w:r>
        <w:rPr>
          <w:rFonts w:hint="eastAsia" w:asciiTheme="minorEastAsia" w:hAnsiTheme="minorEastAsia" w:eastAsiaTheme="minorEastAsia"/>
          <w:b/>
          <w:color w:val="auto"/>
          <w:szCs w:val="24"/>
          <w:highlight w:val="none"/>
          <w:u w:val="single"/>
        </w:rPr>
        <w:t>（盖章）</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地址：</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地址</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法定（或授权）代表人：</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法定（或授权）代表人</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u w:val="single"/>
        </w:rPr>
        <w:t xml:space="preserve">            </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联系人：</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联系人</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u w:val="single"/>
        </w:rPr>
        <w:t xml:space="preserve">                 </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联系电话：</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联系电话</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u w:val="single"/>
        </w:rPr>
        <w:t xml:space="preserve">                  </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 xml:space="preserve">账号： </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账号</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u w:val="single"/>
        </w:rPr>
        <w:t xml:space="preserve">                        </w:t>
      </w:r>
    </w:p>
    <w:p>
      <w:pPr>
        <w:snapToGrid w:val="0"/>
        <w:spacing w:before="19" w:line="360" w:lineRule="auto"/>
        <w:ind w:firstLine="480"/>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开户行：</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 xml:space="preserve">              开户行</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r>
        <w:rPr>
          <w:rFonts w:hint="eastAsia"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u w:val="single"/>
        </w:rPr>
        <w:t xml:space="preserve">                    </w:t>
      </w:r>
    </w:p>
    <w:p>
      <w:pPr>
        <w:snapToGrid w:val="0"/>
        <w:spacing w:before="19" w:line="360" w:lineRule="auto"/>
        <w:ind w:firstLine="48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r>
        <w:rPr>
          <w:rFonts w:asciiTheme="minorEastAsia" w:hAnsiTheme="minorEastAsia" w:eastAsiaTheme="minorEastAsia"/>
          <w:color w:val="auto"/>
          <w:szCs w:val="24"/>
          <w:highlight w:val="none"/>
        </w:rPr>
        <w:t xml:space="preserve">                   </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snapToGrid w:val="0"/>
        <w:spacing w:line="360" w:lineRule="auto"/>
        <w:ind w:firstLine="472" w:firstLineChars="196"/>
        <w:rPr>
          <w:rFonts w:asciiTheme="minorEastAsia" w:hAnsiTheme="minorEastAsia" w:eastAsiaTheme="minorEastAsia"/>
          <w:b/>
          <w:color w:val="auto"/>
          <w:szCs w:val="24"/>
          <w:highlight w:val="none"/>
        </w:rPr>
      </w:pPr>
    </w:p>
    <w:p>
      <w:pPr>
        <w:snapToGrid w:val="0"/>
        <w:spacing w:before="19" w:line="360" w:lineRule="auto"/>
        <w:ind w:firstLine="472" w:firstLineChars="196"/>
        <w:rPr>
          <w:rFonts w:asciiTheme="minorEastAsia" w:hAnsiTheme="minorEastAsia" w:eastAsiaTheme="minorEastAsia"/>
          <w:b/>
          <w:color w:val="auto"/>
          <w:szCs w:val="24"/>
          <w:highlight w:val="none"/>
        </w:rPr>
      </w:pPr>
    </w:p>
    <w:p>
      <w:pPr>
        <w:snapToGrid w:val="0"/>
        <w:spacing w:before="19" w:line="360" w:lineRule="auto"/>
        <w:ind w:firstLine="472" w:firstLineChars="196"/>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(采购代理机构声明：本合同标的依法定程序采购，合同条款内容与招标文件及投标文件的内容一致。）</w:t>
      </w:r>
    </w:p>
    <w:p>
      <w:pPr>
        <w:snapToGrid w:val="0"/>
        <w:spacing w:before="19" w:line="360" w:lineRule="auto"/>
        <w:rPr>
          <w:rFonts w:asciiTheme="minorEastAsia" w:hAnsiTheme="minorEastAsia" w:eastAsiaTheme="minorEastAsia"/>
          <w:b/>
          <w:color w:val="auto"/>
          <w:szCs w:val="24"/>
          <w:highlight w:val="none"/>
          <w:u w:val="single"/>
        </w:rPr>
      </w:pPr>
      <w:r>
        <w:rPr>
          <w:rFonts w:hint="eastAsia" w:asciiTheme="minorEastAsia" w:hAnsiTheme="minorEastAsia" w:eastAsiaTheme="minorEastAsia"/>
          <w:b/>
          <w:color w:val="auto"/>
          <w:szCs w:val="24"/>
          <w:highlight w:val="none"/>
        </w:rPr>
        <w:t>采购代理机构：</w:t>
      </w:r>
      <w:r>
        <w:rPr>
          <w:rFonts w:hint="eastAsia" w:asciiTheme="minorEastAsia" w:hAnsiTheme="minorEastAsia" w:eastAsiaTheme="minorEastAsia"/>
          <w:b/>
          <w:color w:val="auto"/>
          <w:szCs w:val="24"/>
          <w:highlight w:val="none"/>
          <w:u w:val="single"/>
        </w:rPr>
        <w:t>海南政邦招标代理有限公司（盖章）</w:t>
      </w:r>
    </w:p>
    <w:p>
      <w:pPr>
        <w:snapToGrid w:val="0"/>
        <w:spacing w:before="19" w:line="360" w:lineRule="auto"/>
        <w:rPr>
          <w:rFonts w:asciiTheme="minorEastAsia" w:hAnsiTheme="minorEastAsia" w:eastAsiaTheme="minorEastAsia"/>
          <w:b/>
          <w:color w:val="auto"/>
          <w:szCs w:val="24"/>
          <w:highlight w:val="none"/>
          <w:u w:val="single"/>
        </w:rPr>
      </w:pPr>
      <w:r>
        <w:rPr>
          <w:rFonts w:hint="eastAsia" w:asciiTheme="minorEastAsia" w:hAnsiTheme="minorEastAsia" w:eastAsiaTheme="minorEastAsia"/>
          <w:b/>
          <w:color w:val="auto"/>
          <w:szCs w:val="24"/>
          <w:highlight w:val="none"/>
        </w:rPr>
        <w:t>地址：</w:t>
      </w:r>
      <w:r>
        <w:rPr>
          <w:rFonts w:hint="eastAsia" w:asciiTheme="minorEastAsia" w:hAnsiTheme="minorEastAsia" w:eastAsiaTheme="minorEastAsia"/>
          <w:b/>
          <w:color w:val="auto"/>
          <w:szCs w:val="24"/>
          <w:highlight w:val="none"/>
          <w:u w:val="single"/>
        </w:rPr>
        <w:t>海口市西沙路15号星华佳园D1栋2102室</w:t>
      </w:r>
    </w:p>
    <w:p>
      <w:pPr>
        <w:snapToGrid w:val="0"/>
        <w:spacing w:before="19" w:line="360" w:lineRule="auto"/>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电话：</w:t>
      </w:r>
      <w:r>
        <w:rPr>
          <w:rFonts w:hint="eastAsia" w:asciiTheme="minorEastAsia" w:hAnsiTheme="minorEastAsia" w:eastAsiaTheme="minorEastAsia"/>
          <w:b/>
          <w:color w:val="auto"/>
          <w:szCs w:val="24"/>
          <w:highlight w:val="none"/>
          <w:u w:val="single"/>
        </w:rPr>
        <w:t>0898-68525258</w:t>
      </w:r>
    </w:p>
    <w:p>
      <w:pPr>
        <w:snapToGrid w:val="0"/>
        <w:spacing w:before="19"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rPr>
        <w:t>经办人</w:t>
      </w:r>
      <w:r>
        <w:rPr>
          <w:rFonts w:asciiTheme="minorEastAsia" w:hAnsiTheme="minorEastAsia" w:eastAsiaTheme="minorEastAsia"/>
          <w:color w:val="auto"/>
          <w:szCs w:val="24"/>
          <w:highlight w:val="none"/>
          <w:u w:val="single"/>
        </w:rPr>
        <w:t xml:space="preserve">            </w:t>
      </w:r>
      <w:r>
        <w:rPr>
          <w:rFonts w:asciiTheme="minorEastAsia" w:hAnsiTheme="minorEastAsia" w:eastAsiaTheme="minorEastAsia"/>
          <w:color w:val="auto"/>
          <w:szCs w:val="24"/>
          <w:highlight w:val="none"/>
        </w:rPr>
        <w:t xml:space="preserve"> </w:t>
      </w:r>
    </w:p>
    <w:p>
      <w:pPr>
        <w:pStyle w:val="3"/>
        <w:rPr>
          <w:rFonts w:asciiTheme="minorEastAsia" w:hAnsiTheme="minorEastAsia" w:eastAsiaTheme="minorEastAsia"/>
          <w:color w:val="auto"/>
          <w:highlight w:val="none"/>
        </w:rPr>
      </w:pPr>
      <w:r>
        <w:rPr>
          <w:rFonts w:asciiTheme="minorEastAsia" w:hAnsiTheme="minorEastAsia" w:eastAsiaTheme="minorEastAsia"/>
          <w:color w:val="auto"/>
          <w:kern w:val="28"/>
          <w:sz w:val="24"/>
          <w:szCs w:val="24"/>
          <w:highlight w:val="none"/>
        </w:rPr>
        <w:br w:type="page"/>
      </w:r>
      <w:bookmarkEnd w:id="103"/>
      <w:bookmarkEnd w:id="104"/>
      <w:bookmarkStart w:id="121" w:name="_Toc29073"/>
      <w:bookmarkStart w:id="122" w:name="_Toc46510727"/>
      <w:r>
        <w:rPr>
          <w:rFonts w:hint="eastAsia" w:asciiTheme="minorEastAsia" w:hAnsiTheme="minorEastAsia" w:eastAsiaTheme="minorEastAsia"/>
          <w:color w:val="auto"/>
          <w:highlight w:val="none"/>
        </w:rPr>
        <w:t>第六章  投标文件格式要求</w:t>
      </w:r>
      <w:bookmarkEnd w:id="121"/>
      <w:bookmarkEnd w:id="122"/>
    </w:p>
    <w:p>
      <w:pPr>
        <w:pStyle w:val="27"/>
        <w:spacing w:line="360" w:lineRule="auto"/>
        <w:rPr>
          <w:rFonts w:asciiTheme="minorEastAsia" w:hAnsiTheme="minorEastAsia" w:eastAsiaTheme="minorEastAsia"/>
          <w:color w:val="auto"/>
          <w:highlight w:val="none"/>
        </w:rPr>
      </w:pPr>
    </w:p>
    <w:p>
      <w:pPr>
        <w:pStyle w:val="27"/>
        <w:spacing w:line="360" w:lineRule="auto"/>
        <w:rPr>
          <w:rFonts w:asciiTheme="minorEastAsia" w:hAnsiTheme="minorEastAsia" w:eastAsiaTheme="minorEastAsia"/>
          <w:color w:val="auto"/>
          <w:highlight w:val="none"/>
        </w:rPr>
      </w:pPr>
    </w:p>
    <w:p>
      <w:pPr>
        <w:pStyle w:val="27"/>
        <w:spacing w:line="360" w:lineRule="auto"/>
        <w:rPr>
          <w:rFonts w:asciiTheme="minorEastAsia" w:hAnsiTheme="minorEastAsia" w:eastAsiaTheme="minorEastAsia"/>
          <w:color w:val="auto"/>
          <w:highlight w:val="none"/>
        </w:rPr>
      </w:pPr>
    </w:p>
    <w:p>
      <w:pPr>
        <w:spacing w:line="360" w:lineRule="auto"/>
        <w:jc w:val="center"/>
        <w:rPr>
          <w:rFonts w:asciiTheme="minorEastAsia" w:hAnsiTheme="minorEastAsia" w:eastAsiaTheme="minorEastAsia"/>
          <w:color w:val="auto"/>
          <w:sz w:val="36"/>
          <w:szCs w:val="36"/>
          <w:highlight w:val="none"/>
          <w:u w:val="single"/>
        </w:rPr>
      </w:pPr>
    </w:p>
    <w:p>
      <w:pPr>
        <w:spacing w:line="360" w:lineRule="auto"/>
        <w:jc w:val="center"/>
        <w:rPr>
          <w:rFonts w:asciiTheme="minorEastAsia" w:hAnsiTheme="minorEastAsia" w:eastAsiaTheme="minorEastAsia"/>
          <w:color w:val="auto"/>
          <w:sz w:val="36"/>
          <w:szCs w:val="36"/>
          <w:highlight w:val="none"/>
          <w:u w:val="single"/>
        </w:rPr>
      </w:pPr>
      <w:bookmarkStart w:id="123" w:name="_Toc4271"/>
      <w:r>
        <w:rPr>
          <w:rFonts w:hint="eastAsia" w:asciiTheme="minorEastAsia" w:hAnsiTheme="minorEastAsia" w:eastAsiaTheme="minorEastAsia"/>
          <w:color w:val="auto"/>
          <w:sz w:val="36"/>
          <w:szCs w:val="36"/>
          <w:highlight w:val="none"/>
          <w:u w:val="single"/>
        </w:rPr>
        <w:t>（项目名称）</w:t>
      </w:r>
      <w:bookmarkEnd w:id="123"/>
    </w:p>
    <w:p>
      <w:pPr>
        <w:spacing w:line="360" w:lineRule="auto"/>
        <w:jc w:val="center"/>
        <w:rPr>
          <w:rFonts w:asciiTheme="minorEastAsia" w:hAnsiTheme="minorEastAsia" w:eastAsiaTheme="minorEastAsia"/>
          <w:color w:val="auto"/>
          <w:sz w:val="36"/>
          <w:szCs w:val="36"/>
          <w:highlight w:val="none"/>
        </w:rPr>
      </w:pPr>
      <w:bookmarkStart w:id="124" w:name="_Toc1489"/>
      <w:r>
        <w:rPr>
          <w:rFonts w:hint="eastAsia" w:asciiTheme="minorEastAsia" w:hAnsiTheme="minorEastAsia" w:eastAsiaTheme="minorEastAsia"/>
          <w:color w:val="auto"/>
          <w:sz w:val="36"/>
          <w:szCs w:val="36"/>
          <w:highlight w:val="none"/>
          <w:u w:val="single"/>
        </w:rPr>
        <w:t>项目编号：</w:t>
      </w:r>
      <w:bookmarkEnd w:id="124"/>
    </w:p>
    <w:p>
      <w:pPr>
        <w:pStyle w:val="27"/>
        <w:spacing w:line="360" w:lineRule="auto"/>
        <w:jc w:val="center"/>
        <w:rPr>
          <w:rFonts w:asciiTheme="minorEastAsia" w:hAnsiTheme="minorEastAsia" w:eastAsiaTheme="minorEastAsia"/>
          <w:color w:val="auto"/>
          <w:sz w:val="36"/>
          <w:szCs w:val="36"/>
          <w:highlight w:val="none"/>
        </w:rPr>
      </w:pPr>
    </w:p>
    <w:p>
      <w:pPr>
        <w:pStyle w:val="27"/>
        <w:spacing w:line="360" w:lineRule="auto"/>
        <w:jc w:val="center"/>
        <w:rPr>
          <w:rFonts w:asciiTheme="minorEastAsia" w:hAnsiTheme="minorEastAsia" w:eastAsiaTheme="minorEastAsia"/>
          <w:color w:val="auto"/>
          <w:sz w:val="36"/>
          <w:szCs w:val="36"/>
          <w:highlight w:val="none"/>
        </w:rPr>
      </w:pPr>
    </w:p>
    <w:p>
      <w:pPr>
        <w:pStyle w:val="27"/>
        <w:spacing w:line="360" w:lineRule="auto"/>
        <w:jc w:val="center"/>
        <w:rPr>
          <w:rFonts w:asciiTheme="minorEastAsia" w:hAnsiTheme="minorEastAsia" w:eastAsiaTheme="minorEastAsia"/>
          <w:color w:val="auto"/>
          <w:sz w:val="36"/>
          <w:szCs w:val="36"/>
          <w:highlight w:val="none"/>
        </w:rPr>
      </w:pPr>
    </w:p>
    <w:p>
      <w:pPr>
        <w:pStyle w:val="17"/>
        <w:spacing w:line="360" w:lineRule="auto"/>
        <w:jc w:val="center"/>
        <w:rPr>
          <w:rFonts w:asciiTheme="minorEastAsia" w:hAnsiTheme="minorEastAsia" w:eastAsiaTheme="minorEastAsia"/>
          <w:b/>
          <w:bCs/>
          <w:color w:val="auto"/>
          <w:sz w:val="52"/>
          <w:szCs w:val="48"/>
          <w:highlight w:val="none"/>
        </w:rPr>
      </w:pPr>
      <w:bookmarkStart w:id="125" w:name="_Toc29992"/>
      <w:r>
        <w:rPr>
          <w:rFonts w:hint="eastAsia" w:asciiTheme="minorEastAsia" w:hAnsiTheme="minorEastAsia" w:eastAsiaTheme="minorEastAsia"/>
          <w:b/>
          <w:bCs/>
          <w:color w:val="auto"/>
          <w:sz w:val="52"/>
          <w:szCs w:val="48"/>
          <w:highlight w:val="none"/>
        </w:rPr>
        <w:t>投标文件</w:t>
      </w:r>
      <w:bookmarkEnd w:id="125"/>
    </w:p>
    <w:p>
      <w:pPr>
        <w:pStyle w:val="27"/>
        <w:spacing w:line="360" w:lineRule="auto"/>
        <w:jc w:val="center"/>
        <w:rPr>
          <w:rFonts w:asciiTheme="minorEastAsia" w:hAnsiTheme="minorEastAsia" w:eastAsiaTheme="minorEastAsia"/>
          <w:color w:val="auto"/>
          <w:sz w:val="36"/>
          <w:szCs w:val="36"/>
          <w:highlight w:val="none"/>
        </w:rPr>
      </w:pPr>
    </w:p>
    <w:p>
      <w:pPr>
        <w:pStyle w:val="27"/>
        <w:spacing w:line="360" w:lineRule="auto"/>
        <w:jc w:val="center"/>
        <w:rPr>
          <w:rFonts w:asciiTheme="minorEastAsia" w:hAnsiTheme="minorEastAsia" w:eastAsiaTheme="minorEastAsia"/>
          <w:color w:val="auto"/>
          <w:sz w:val="36"/>
          <w:szCs w:val="36"/>
          <w:highlight w:val="none"/>
        </w:rPr>
      </w:pPr>
    </w:p>
    <w:p>
      <w:pPr>
        <w:pStyle w:val="27"/>
        <w:spacing w:line="360" w:lineRule="auto"/>
        <w:jc w:val="center"/>
        <w:rPr>
          <w:rFonts w:asciiTheme="minorEastAsia" w:hAnsiTheme="minorEastAsia" w:eastAsiaTheme="minorEastAsia"/>
          <w:color w:val="auto"/>
          <w:sz w:val="36"/>
          <w:szCs w:val="36"/>
          <w:highlight w:val="none"/>
        </w:rPr>
      </w:pPr>
    </w:p>
    <w:p>
      <w:pPr>
        <w:pStyle w:val="27"/>
        <w:spacing w:line="360" w:lineRule="auto"/>
        <w:ind w:left="809" w:leftChars="337"/>
        <w:rPr>
          <w:rFonts w:asciiTheme="minorEastAsia" w:hAnsiTheme="minorEastAsia" w:eastAsiaTheme="minorEastAsia"/>
          <w:color w:val="auto"/>
          <w:sz w:val="36"/>
          <w:szCs w:val="36"/>
          <w:highlight w:val="none"/>
          <w:u w:val="single"/>
        </w:rPr>
      </w:pPr>
      <w:r>
        <w:rPr>
          <w:rFonts w:hint="eastAsia" w:asciiTheme="minorEastAsia" w:hAnsiTheme="minorEastAsia" w:eastAsiaTheme="minorEastAsia"/>
          <w:color w:val="auto"/>
          <w:sz w:val="36"/>
          <w:szCs w:val="36"/>
          <w:highlight w:val="none"/>
        </w:rPr>
        <w:t xml:space="preserve">投标人（盖章）：                </w:t>
      </w:r>
    </w:p>
    <w:p>
      <w:pPr>
        <w:pStyle w:val="27"/>
        <w:spacing w:line="360" w:lineRule="auto"/>
        <w:ind w:left="809" w:leftChars="337"/>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 xml:space="preserve">法定代表人或授权委托代理人（签字或盖章）：  </w:t>
      </w:r>
    </w:p>
    <w:p>
      <w:pPr>
        <w:pStyle w:val="27"/>
        <w:spacing w:line="360" w:lineRule="auto"/>
        <w:ind w:left="809" w:leftChars="337"/>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 xml:space="preserve">联系电话：   </w:t>
      </w:r>
    </w:p>
    <w:p>
      <w:pPr>
        <w:pStyle w:val="27"/>
        <w:spacing w:line="360" w:lineRule="auto"/>
        <w:ind w:left="809" w:leftChars="337"/>
        <w:jc w:val="center"/>
        <w:rPr>
          <w:rFonts w:asciiTheme="minorEastAsia" w:hAnsiTheme="minorEastAsia" w:eastAsiaTheme="minorEastAsia"/>
          <w:color w:val="auto"/>
          <w:sz w:val="36"/>
          <w:szCs w:val="36"/>
          <w:highlight w:val="none"/>
        </w:rPr>
      </w:pPr>
    </w:p>
    <w:p>
      <w:pPr>
        <w:pStyle w:val="17"/>
        <w:spacing w:line="360" w:lineRule="auto"/>
        <w:jc w:val="center"/>
        <w:rPr>
          <w:rFonts w:asciiTheme="minorEastAsia" w:hAnsiTheme="minorEastAsia" w:eastAsiaTheme="minorEastAsia"/>
          <w:color w:val="auto"/>
          <w:sz w:val="36"/>
          <w:szCs w:val="32"/>
          <w:highlight w:val="none"/>
        </w:rPr>
      </w:pPr>
      <w:bookmarkStart w:id="126" w:name="_Toc10334"/>
      <w:r>
        <w:rPr>
          <w:rFonts w:hint="eastAsia" w:asciiTheme="minorEastAsia" w:hAnsiTheme="minorEastAsia" w:eastAsiaTheme="minorEastAsia"/>
          <w:color w:val="auto"/>
          <w:sz w:val="36"/>
          <w:szCs w:val="32"/>
          <w:highlight w:val="none"/>
        </w:rPr>
        <w:t>日期：     年   月   日</w:t>
      </w:r>
      <w:bookmarkEnd w:id="126"/>
    </w:p>
    <w:p>
      <w:pPr>
        <w:pStyle w:val="27"/>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2"/>
        <w:jc w:val="center"/>
        <w:rPr>
          <w:rFonts w:asciiTheme="minorEastAsia" w:hAnsiTheme="minorEastAsia" w:eastAsiaTheme="minorEastAsia"/>
          <w:color w:val="auto"/>
          <w:highlight w:val="none"/>
        </w:rPr>
      </w:pPr>
      <w:bookmarkStart w:id="127" w:name="_Toc171325101"/>
      <w:bookmarkStart w:id="128" w:name="_Toc168282804"/>
      <w:r>
        <w:rPr>
          <w:rFonts w:hint="eastAsia" w:asciiTheme="minorEastAsia" w:hAnsiTheme="minorEastAsia" w:eastAsiaTheme="minorEastAsia"/>
          <w:color w:val="auto"/>
          <w:highlight w:val="none"/>
        </w:rPr>
        <w:t>初步评审表各项页码索引表</w:t>
      </w:r>
      <w:r>
        <w:rPr>
          <w:rFonts w:hint="eastAsia" w:cs="宋体" w:asciiTheme="minorEastAsia" w:hAnsiTheme="minorEastAsia" w:eastAsiaTheme="minorEastAsia"/>
          <w:color w:val="auto"/>
          <w:highlight w:val="none"/>
        </w:rPr>
        <w:t xml:space="preserve"> </w:t>
      </w:r>
    </w:p>
    <w:p>
      <w:pPr>
        <w:pStyle w:val="58"/>
        <w:ind w:firstLine="480"/>
        <w:rPr>
          <w:rFonts w:asciiTheme="minorEastAsia" w:hAnsiTheme="minorEastAsia" w:eastAsiaTheme="minorEastAsia"/>
          <w:color w:val="auto"/>
          <w:highlight w:val="none"/>
        </w:rPr>
      </w:pP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567"/>
        <w:gridCol w:w="2531"/>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序号</w:t>
            </w:r>
          </w:p>
        </w:tc>
        <w:tc>
          <w:tcPr>
            <w:tcW w:w="3567"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评审项</w:t>
            </w:r>
          </w:p>
        </w:tc>
        <w:tc>
          <w:tcPr>
            <w:tcW w:w="2531"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响应情况</w:t>
            </w:r>
          </w:p>
        </w:tc>
        <w:tc>
          <w:tcPr>
            <w:tcW w:w="218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材料所在页码</w:t>
            </w:r>
          </w:p>
          <w:p>
            <w:pPr>
              <w:pStyle w:val="27"/>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bl>
    <w:p>
      <w:pPr>
        <w:spacing w:line="360" w:lineRule="auto"/>
        <w:jc w:val="left"/>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注：投标人应分别根据资格审查表和符合性审查表内容填写此表</w:t>
      </w:r>
    </w:p>
    <w:p>
      <w:pPr>
        <w:pStyle w:val="2"/>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color w:val="auto"/>
          <w:highlight w:val="none"/>
        </w:rPr>
        <w:t>综合评分表各项页码索引表</w:t>
      </w:r>
      <w:r>
        <w:rPr>
          <w:rFonts w:hint="eastAsia" w:cs="宋体" w:asciiTheme="minorEastAsia" w:hAnsiTheme="minorEastAsia" w:eastAsiaTheme="minorEastAsia"/>
          <w:color w:val="auto"/>
          <w:highlight w:val="none"/>
        </w:rPr>
        <w:t xml:space="preserve"> </w:t>
      </w:r>
    </w:p>
    <w:p>
      <w:pPr>
        <w:spacing w:line="360" w:lineRule="auto"/>
        <w:rPr>
          <w:rFonts w:asciiTheme="minorEastAsia" w:hAnsiTheme="minorEastAsia" w:eastAsiaTheme="minorEastAsia"/>
          <w:color w:val="auto"/>
          <w:highlight w:val="none"/>
        </w:rPr>
      </w:pP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567"/>
        <w:gridCol w:w="2531"/>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序号</w:t>
            </w:r>
          </w:p>
        </w:tc>
        <w:tc>
          <w:tcPr>
            <w:tcW w:w="3567"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评审项</w:t>
            </w:r>
          </w:p>
        </w:tc>
        <w:tc>
          <w:tcPr>
            <w:tcW w:w="2531"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响应情况</w:t>
            </w:r>
          </w:p>
        </w:tc>
        <w:tc>
          <w:tcPr>
            <w:tcW w:w="2186"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材料所在页码</w:t>
            </w:r>
          </w:p>
          <w:p>
            <w:pPr>
              <w:pStyle w:val="27"/>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28" w:type="dxa"/>
            <w:vAlign w:val="center"/>
          </w:tcPr>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w:t>
            </w:r>
          </w:p>
        </w:tc>
        <w:tc>
          <w:tcPr>
            <w:tcW w:w="3567" w:type="dxa"/>
            <w:vAlign w:val="center"/>
          </w:tcPr>
          <w:p>
            <w:pPr>
              <w:spacing w:line="360" w:lineRule="auto"/>
              <w:jc w:val="center"/>
              <w:rPr>
                <w:rFonts w:asciiTheme="minorEastAsia" w:hAnsiTheme="minorEastAsia" w:eastAsiaTheme="minorEastAsia"/>
                <w:color w:val="auto"/>
                <w:szCs w:val="24"/>
                <w:highlight w:val="none"/>
              </w:rPr>
            </w:pPr>
          </w:p>
        </w:tc>
        <w:tc>
          <w:tcPr>
            <w:tcW w:w="2531" w:type="dxa"/>
            <w:vAlign w:val="center"/>
          </w:tcPr>
          <w:p>
            <w:pPr>
              <w:spacing w:line="360" w:lineRule="auto"/>
              <w:rPr>
                <w:rFonts w:asciiTheme="minorEastAsia" w:hAnsiTheme="minorEastAsia" w:eastAsiaTheme="minorEastAsia"/>
                <w:color w:val="auto"/>
                <w:szCs w:val="24"/>
                <w:highlight w:val="none"/>
              </w:rPr>
            </w:pPr>
          </w:p>
        </w:tc>
        <w:tc>
          <w:tcPr>
            <w:tcW w:w="2186" w:type="dxa"/>
            <w:vAlign w:val="center"/>
          </w:tcPr>
          <w:p>
            <w:pPr>
              <w:spacing w:line="360" w:lineRule="auto"/>
              <w:rPr>
                <w:rFonts w:asciiTheme="minorEastAsia" w:hAnsiTheme="minorEastAsia" w:eastAsiaTheme="minorEastAsia"/>
                <w:color w:val="auto"/>
                <w:szCs w:val="24"/>
                <w:highlight w:val="none"/>
              </w:rPr>
            </w:pPr>
          </w:p>
        </w:tc>
      </w:tr>
    </w:tbl>
    <w:p>
      <w:pPr>
        <w:spacing w:line="360" w:lineRule="auto"/>
        <w:jc w:val="left"/>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注：投标人应根据技术、商务评分表内容填写此表</w:t>
      </w:r>
    </w:p>
    <w:p>
      <w:pPr>
        <w:spacing w:line="360" w:lineRule="auto"/>
        <w:rPr>
          <w:rFonts w:asciiTheme="minorEastAsia" w:hAnsiTheme="minorEastAsia" w:eastAsiaTheme="minorEastAsia"/>
          <w:color w:val="auto"/>
          <w:highlight w:val="none"/>
        </w:rPr>
      </w:pPr>
    </w:p>
    <w:p>
      <w:pPr>
        <w:pStyle w:val="2"/>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129" w:name="_Toc702"/>
      <w:r>
        <w:rPr>
          <w:rFonts w:hint="eastAsia" w:asciiTheme="minorEastAsia" w:hAnsiTheme="minorEastAsia" w:eastAsiaTheme="minorEastAsia"/>
          <w:bCs w:val="0"/>
          <w:color w:val="auto"/>
          <w:sz w:val="32"/>
          <w:szCs w:val="20"/>
          <w:highlight w:val="none"/>
        </w:rPr>
        <w:t>1、开标一览表格式</w:t>
      </w:r>
      <w:bookmarkEnd w:id="129"/>
      <w:r>
        <w:rPr>
          <w:rFonts w:hint="eastAsia" w:asciiTheme="minorEastAsia" w:hAnsiTheme="minorEastAsia" w:eastAsiaTheme="minorEastAsia"/>
          <w:bCs w:val="0"/>
          <w:color w:val="auto"/>
          <w:sz w:val="32"/>
          <w:szCs w:val="20"/>
          <w:highlight w:val="none"/>
        </w:rPr>
        <w:t xml:space="preserve"> </w:t>
      </w: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项目编号：                              </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列名称</w:t>
            </w:r>
          </w:p>
        </w:tc>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p>
        </w:tc>
        <w:tc>
          <w:tcPr>
            <w:tcW w:w="4643" w:type="dxa"/>
            <w:vAlign w:val="center"/>
          </w:tcPr>
          <w:p>
            <w:pPr>
              <w:spacing w:line="360" w:lineRule="auto"/>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投标报价（小写）</w:t>
            </w:r>
          </w:p>
        </w:tc>
        <w:tc>
          <w:tcPr>
            <w:tcW w:w="4643" w:type="dxa"/>
            <w:vAlign w:val="center"/>
          </w:tcPr>
          <w:p>
            <w:pPr>
              <w:spacing w:line="360" w:lineRule="auto"/>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投标报价（大写）</w:t>
            </w:r>
          </w:p>
        </w:tc>
        <w:tc>
          <w:tcPr>
            <w:tcW w:w="4643" w:type="dxa"/>
            <w:vAlign w:val="center"/>
          </w:tcPr>
          <w:p>
            <w:pPr>
              <w:spacing w:line="360" w:lineRule="auto"/>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3" w:type="dxa"/>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合同履行期限</w:t>
            </w:r>
          </w:p>
        </w:tc>
        <w:tc>
          <w:tcPr>
            <w:tcW w:w="4643" w:type="dxa"/>
            <w:vAlign w:val="center"/>
          </w:tcPr>
          <w:p>
            <w:pPr>
              <w:spacing w:line="360" w:lineRule="auto"/>
              <w:rPr>
                <w:rFonts w:asciiTheme="minorEastAsia" w:hAnsiTheme="minorEastAsia" w:eastAsiaTheme="minorEastAsia"/>
                <w:color w:val="auto"/>
                <w:highlight w:val="none"/>
              </w:rPr>
            </w:pPr>
          </w:p>
        </w:tc>
      </w:tr>
    </w:tbl>
    <w:p>
      <w:pPr>
        <w:pStyle w:val="27"/>
        <w:spacing w:line="360" w:lineRule="auto"/>
        <w:rPr>
          <w:rFonts w:asciiTheme="minorEastAsia" w:hAnsiTheme="minorEastAsia" w:eastAsiaTheme="minorEastAsia"/>
          <w:color w:val="auto"/>
          <w:highlight w:val="none"/>
        </w:rPr>
      </w:pPr>
    </w:p>
    <w:p>
      <w:pPr>
        <w:topLinePunct/>
        <w:snapToGrid w:val="0"/>
        <w:spacing w:before="4"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交货/服务地点：</w:t>
      </w:r>
      <w:r>
        <w:rPr>
          <w:rFonts w:hint="eastAsia" w:cs="宋体" w:asciiTheme="minorEastAsia" w:hAnsiTheme="minorEastAsia" w:eastAsiaTheme="minorEastAsia"/>
          <w:color w:val="auto"/>
          <w:kern w:val="0"/>
          <w:szCs w:val="24"/>
          <w:highlight w:val="none"/>
        </w:rPr>
        <w:t>采购人指定地点</w:t>
      </w:r>
      <w:r>
        <w:rPr>
          <w:rFonts w:hint="eastAsia" w:asciiTheme="minorEastAsia" w:hAnsiTheme="minorEastAsia" w:eastAsiaTheme="minorEastAsia"/>
          <w:color w:val="auto"/>
          <w:szCs w:val="24"/>
          <w:highlight w:val="none"/>
        </w:rPr>
        <w:t>。</w:t>
      </w:r>
    </w:p>
    <w:p>
      <w:pPr>
        <w:pStyle w:val="27"/>
        <w:tabs>
          <w:tab w:val="clear" w:pos="4153"/>
          <w:tab w:val="clear" w:pos="8306"/>
        </w:tabs>
        <w:spacing w:line="360" w:lineRule="auto"/>
        <w:rPr>
          <w:rFonts w:asciiTheme="minorEastAsia" w:hAnsiTheme="minorEastAsia" w:eastAsiaTheme="minorEastAsia"/>
          <w:color w:val="auto"/>
          <w:highlight w:val="none"/>
          <w:lang w:val="en-GB"/>
        </w:rPr>
      </w:pPr>
    </w:p>
    <w:p>
      <w:pPr>
        <w:pStyle w:val="27"/>
        <w:tabs>
          <w:tab w:val="clear" w:pos="4153"/>
          <w:tab w:val="clear" w:pos="8306"/>
        </w:tabs>
        <w:spacing w:line="360" w:lineRule="auto"/>
        <w:rPr>
          <w:rFonts w:asciiTheme="minorEastAsia" w:hAnsiTheme="minorEastAsia" w:eastAsiaTheme="minorEastAsia"/>
          <w:color w:val="auto"/>
          <w:highlight w:val="none"/>
          <w:lang w:val="en-GB"/>
        </w:rPr>
      </w:pPr>
    </w:p>
    <w:p>
      <w:pPr>
        <w:pStyle w:val="27"/>
        <w:tabs>
          <w:tab w:val="clear" w:pos="4153"/>
          <w:tab w:val="clear" w:pos="8306"/>
        </w:tabs>
        <w:spacing w:line="360" w:lineRule="auto"/>
        <w:rPr>
          <w:rFonts w:asciiTheme="minorEastAsia" w:hAnsiTheme="minorEastAsia" w:eastAsiaTheme="minorEastAsia"/>
          <w:color w:val="auto"/>
          <w:highlight w:val="none"/>
          <w:lang w:val="en-GB"/>
        </w:rPr>
      </w:pPr>
    </w:p>
    <w:p>
      <w:pPr>
        <w:pStyle w:val="27"/>
        <w:tabs>
          <w:tab w:val="clear" w:pos="4153"/>
          <w:tab w:val="clear" w:pos="8306"/>
        </w:tabs>
        <w:spacing w:line="360" w:lineRule="auto"/>
        <w:rPr>
          <w:rFonts w:asciiTheme="minorEastAsia" w:hAnsiTheme="minorEastAsia" w:eastAsiaTheme="minorEastAsia"/>
          <w:color w:val="auto"/>
          <w:highlight w:val="none"/>
          <w:lang w:val="en-GB"/>
        </w:rPr>
      </w:pP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spacing w:line="360" w:lineRule="auto"/>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p>
      <w:pPr>
        <w:pStyle w:val="27"/>
        <w:spacing w:line="360" w:lineRule="auto"/>
        <w:rPr>
          <w:rFonts w:asciiTheme="minorEastAsia" w:hAnsiTheme="minorEastAsia" w:eastAsiaTheme="minorEastAsia"/>
          <w:color w:val="auto"/>
          <w:highlight w:val="none"/>
        </w:rPr>
      </w:pPr>
    </w:p>
    <w:p>
      <w:pPr>
        <w:pStyle w:val="27"/>
        <w:spacing w:line="360" w:lineRule="auto"/>
        <w:rPr>
          <w:rFonts w:asciiTheme="minorEastAsia" w:hAnsiTheme="minorEastAsia" w:eastAsiaTheme="minorEastAsia"/>
          <w:color w:val="auto"/>
          <w:highlight w:val="none"/>
        </w:rPr>
      </w:pPr>
    </w:p>
    <w:p>
      <w:pPr>
        <w:adjustRightInd w:val="0"/>
        <w:snapToGrid w:val="0"/>
        <w:spacing w:line="360" w:lineRule="auto"/>
        <w:ind w:firstLine="424" w:firstLineChars="177"/>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①投标报价应包括招标文件所规定的招标范围的全部内容；投标总金额包括本招标书中要求的所有货物和服务的费用，包含运输、保险、人员投入、售后服务、税收等相关费用，招标方不再进行二次投入，请投标方注意。</w:t>
      </w:r>
    </w:p>
    <w:p>
      <w:pPr>
        <w:pStyle w:val="27"/>
        <w:spacing w:line="360" w:lineRule="auto"/>
        <w:ind w:firstLine="900" w:firstLineChars="3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②本项目投标总报价超过采购预算的将视为无效投标。</w:t>
      </w:r>
    </w:p>
    <w:p>
      <w:pPr>
        <w:pStyle w:val="4"/>
        <w:rPr>
          <w:rFonts w:asciiTheme="minorEastAsia" w:hAnsiTheme="minorEastAsia" w:eastAsiaTheme="minorEastAsia"/>
          <w:color w:val="auto"/>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color w:val="auto"/>
          <w:highlight w:val="none"/>
        </w:rPr>
        <w:t>1.1、分项报价明细</w:t>
      </w:r>
      <w:r>
        <w:rPr>
          <w:rFonts w:hint="eastAsia" w:cs="宋体" w:asciiTheme="minorEastAsia" w:hAnsiTheme="minorEastAsia" w:eastAsiaTheme="minorEastAsia"/>
          <w:color w:val="auto"/>
          <w:highlight w:val="none"/>
        </w:rPr>
        <w:t xml:space="preserve"> </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项目编号：                                                           </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65"/>
        <w:gridCol w:w="720"/>
        <w:gridCol w:w="1131"/>
        <w:gridCol w:w="581"/>
        <w:gridCol w:w="978"/>
        <w:gridCol w:w="1375"/>
        <w:gridCol w:w="160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序号</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名称</w:t>
            </w: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品牌、型号</w:t>
            </w: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技术规格参数</w:t>
            </w: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数量</w:t>
            </w: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单位</w:t>
            </w: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单价（元）</w:t>
            </w: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ind w:firstLine="120" w:firstLineChars="50"/>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总价（元）</w:t>
            </w: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ind w:firstLine="120" w:firstLineChars="50"/>
              <w:jc w:val="center"/>
              <w:rPr>
                <w:rFonts w:asciiTheme="minorEastAsia" w:hAnsiTheme="minorEastAsia" w:eastAsiaTheme="minorEastAsia"/>
                <w:color w:val="auto"/>
                <w:kern w:val="0"/>
                <w:szCs w:val="24"/>
                <w:highlight w:val="none"/>
              </w:rPr>
            </w:pPr>
            <w:r>
              <w:rPr>
                <w:rFonts w:hint="eastAsia" w:asciiTheme="minorEastAsia" w:hAnsiTheme="minorEastAsia" w:eastAsiaTheme="minorEastAsia"/>
                <w:color w:val="auto"/>
                <w:kern w:val="0"/>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1</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2</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w:t>
            </w:r>
          </w:p>
        </w:tc>
        <w:tc>
          <w:tcPr>
            <w:tcW w:w="136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72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13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5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978"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375"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160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c>
          <w:tcPr>
            <w:tcW w:w="87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3956"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合同价（人民币/元）：</w:t>
            </w:r>
          </w:p>
        </w:tc>
        <w:tc>
          <w:tcPr>
            <w:tcW w:w="5406" w:type="dxa"/>
            <w:gridSpan w:val="5"/>
            <w:tcBorders>
              <w:top w:val="single" w:color="auto" w:sz="4" w:space="0"/>
              <w:left w:val="nil"/>
              <w:bottom w:val="single" w:color="auto" w:sz="4" w:space="0"/>
              <w:right w:val="single" w:color="auto" w:sz="4" w:space="0"/>
            </w:tcBorders>
            <w:vAlign w:val="center"/>
          </w:tcPr>
          <w:p>
            <w:pPr>
              <w:snapToGrid w:val="0"/>
              <w:spacing w:line="360" w:lineRule="auto"/>
              <w:jc w:val="center"/>
              <w:rPr>
                <w:rFonts w:asciiTheme="minorEastAsia" w:hAnsiTheme="minorEastAsia" w:eastAsiaTheme="minorEastAsia"/>
                <w:color w:val="auto"/>
                <w:szCs w:val="24"/>
                <w:highlight w:val="none"/>
              </w:rPr>
            </w:pPr>
          </w:p>
        </w:tc>
      </w:tr>
    </w:tbl>
    <w:p>
      <w:pPr>
        <w:adjustRightInd w:val="0"/>
        <w:snapToGrid w:val="0"/>
        <w:spacing w:line="360" w:lineRule="auto"/>
        <w:rPr>
          <w:rFonts w:asciiTheme="minorEastAsia" w:hAnsiTheme="minorEastAsia" w:eastAsiaTheme="minorEastAsia"/>
          <w:color w:val="auto"/>
          <w:highlight w:val="none"/>
        </w:rPr>
      </w:pPr>
    </w:p>
    <w:p>
      <w:pPr>
        <w:adjustRightInd w:val="0"/>
        <w:snapToGrid w:val="0"/>
        <w:spacing w:line="360" w:lineRule="auto"/>
        <w:rPr>
          <w:rFonts w:asciiTheme="minorEastAsia" w:hAnsiTheme="minorEastAsia" w:eastAsiaTheme="minorEastAsia"/>
          <w:color w:val="auto"/>
          <w:highlight w:val="none"/>
        </w:rPr>
      </w:pPr>
    </w:p>
    <w:p>
      <w:pPr>
        <w:adjustRightInd w:val="0"/>
        <w:snapToGrid w:val="0"/>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注：上表中内容根据招标文件第三章采购需求并结合自身情况填写。本表行数可根据实际的分项数量进行调整。</w:t>
      </w:r>
    </w:p>
    <w:p>
      <w:pPr>
        <w:pStyle w:val="271"/>
        <w:ind w:firstLine="480"/>
        <w:jc w:val="right"/>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spacing w:line="360" w:lineRule="auto"/>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2"/>
        <w:rPr>
          <w:rFonts w:asciiTheme="minorEastAsia" w:hAnsiTheme="minorEastAsia" w:eastAsiaTheme="minorEastAsia"/>
          <w:bCs w:val="0"/>
          <w:color w:val="auto"/>
          <w:sz w:val="32"/>
          <w:szCs w:val="20"/>
          <w:highlight w:val="none"/>
        </w:rPr>
      </w:pPr>
      <w:bookmarkStart w:id="130" w:name="_Toc28809"/>
      <w:r>
        <w:rPr>
          <w:rFonts w:hint="eastAsia" w:asciiTheme="minorEastAsia" w:hAnsiTheme="minorEastAsia" w:eastAsiaTheme="minorEastAsia"/>
          <w:bCs w:val="0"/>
          <w:color w:val="auto"/>
          <w:sz w:val="32"/>
          <w:szCs w:val="20"/>
          <w:highlight w:val="none"/>
        </w:rPr>
        <w:t>2、投标函</w:t>
      </w:r>
      <w:bookmarkEnd w:id="130"/>
      <w:r>
        <w:rPr>
          <w:rFonts w:hint="eastAsia" w:asciiTheme="minorEastAsia" w:hAnsiTheme="minorEastAsia" w:eastAsiaTheme="minorEastAsia"/>
          <w:bCs w:val="0"/>
          <w:color w:val="auto"/>
          <w:sz w:val="32"/>
          <w:szCs w:val="20"/>
          <w:highlight w:val="none"/>
        </w:rPr>
        <w:t xml:space="preserve"> </w:t>
      </w:r>
    </w:p>
    <w:p>
      <w:pPr>
        <w:spacing w:line="360" w:lineRule="auto"/>
        <w:ind w:firstLine="120" w:firstLineChars="5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致：海南政邦招标代理有限公司</w:t>
      </w:r>
    </w:p>
    <w:p>
      <w:pPr>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我方全面研究了</w:t>
      </w:r>
      <w:r>
        <w:rPr>
          <w:rFonts w:hint="eastAsia" w:asciiTheme="minorEastAsia" w:hAnsiTheme="minorEastAsia" w:eastAsiaTheme="minorEastAsia"/>
          <w:bCs/>
          <w:color w:val="auto"/>
          <w:szCs w:val="24"/>
          <w:highlight w:val="none"/>
          <w:u w:val="single"/>
        </w:rPr>
        <w:t>（项目编号）</w:t>
      </w:r>
      <w:r>
        <w:rPr>
          <w:rFonts w:hint="eastAsia" w:asciiTheme="minorEastAsia" w:hAnsiTheme="minorEastAsia" w:eastAsiaTheme="minorEastAsia"/>
          <w:bCs/>
          <w:color w:val="auto"/>
          <w:szCs w:val="24"/>
          <w:highlight w:val="none"/>
        </w:rPr>
        <w:t>的</w:t>
      </w:r>
      <w:r>
        <w:rPr>
          <w:rFonts w:hint="eastAsia" w:asciiTheme="minorEastAsia" w:hAnsiTheme="minorEastAsia" w:eastAsiaTheme="minorEastAsia"/>
          <w:bCs/>
          <w:color w:val="auto"/>
          <w:szCs w:val="24"/>
          <w:highlight w:val="none"/>
          <w:u w:val="single"/>
        </w:rPr>
        <w:t>（分包号）</w:t>
      </w:r>
      <w:r>
        <w:rPr>
          <w:rFonts w:hint="eastAsia" w:asciiTheme="minorEastAsia" w:hAnsiTheme="minorEastAsia" w:eastAsiaTheme="minorEastAsia"/>
          <w:bCs/>
          <w:color w:val="auto"/>
          <w:szCs w:val="24"/>
          <w:highlight w:val="none"/>
        </w:rPr>
        <w:t>（若无分包则无需填写）招标文件，决定参加贵单位组织的采购活动。我方授权</w:t>
      </w:r>
      <w:r>
        <w:rPr>
          <w:rFonts w:hint="eastAsia" w:asciiTheme="minorEastAsia" w:hAnsiTheme="minorEastAsia" w:eastAsiaTheme="minorEastAsia"/>
          <w:bCs/>
          <w:color w:val="auto"/>
          <w:szCs w:val="24"/>
          <w:highlight w:val="none"/>
          <w:u w:val="single"/>
        </w:rPr>
        <w:t>（姓名、职务）</w:t>
      </w:r>
      <w:r>
        <w:rPr>
          <w:rFonts w:hint="eastAsia" w:asciiTheme="minorEastAsia" w:hAnsiTheme="minorEastAsia" w:eastAsiaTheme="minorEastAsia"/>
          <w:bCs/>
          <w:color w:val="auto"/>
          <w:szCs w:val="24"/>
          <w:highlight w:val="none"/>
        </w:rPr>
        <w:t>代表我方</w:t>
      </w:r>
      <w:r>
        <w:rPr>
          <w:rFonts w:hint="eastAsia" w:asciiTheme="minorEastAsia" w:hAnsiTheme="minorEastAsia" w:eastAsiaTheme="minorEastAsia"/>
          <w:bCs/>
          <w:color w:val="auto"/>
          <w:szCs w:val="24"/>
          <w:highlight w:val="none"/>
          <w:u w:val="single"/>
        </w:rPr>
        <w:t>（投标人的名称）</w:t>
      </w:r>
      <w:r>
        <w:rPr>
          <w:rFonts w:hint="eastAsia" w:asciiTheme="minorEastAsia" w:hAnsiTheme="minorEastAsia" w:eastAsiaTheme="minorEastAsia"/>
          <w:bCs/>
          <w:color w:val="auto"/>
          <w:szCs w:val="24"/>
          <w:highlight w:val="none"/>
        </w:rPr>
        <w:t>全权处理本项目投标的有关事宜。</w:t>
      </w:r>
    </w:p>
    <w:p>
      <w:pPr>
        <w:spacing w:line="360" w:lineRule="auto"/>
        <w:ind w:firstLine="480" w:firstLineChars="200"/>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1、我方认可招标文件的所有条款，并同意按要求向贵单位交纳</w:t>
      </w:r>
      <w:r>
        <w:rPr>
          <w:rFonts w:hint="eastAsia" w:asciiTheme="minorEastAsia" w:hAnsiTheme="minorEastAsia" w:eastAsiaTheme="minorEastAsia"/>
          <w:bCs/>
          <w:color w:val="auto"/>
          <w:szCs w:val="24"/>
          <w:highlight w:val="none"/>
          <w:u w:val="single"/>
        </w:rPr>
        <w:t>人民币：  （¥ ）</w:t>
      </w:r>
      <w:r>
        <w:rPr>
          <w:rFonts w:hint="eastAsia" w:asciiTheme="minorEastAsia" w:hAnsiTheme="minorEastAsia" w:eastAsiaTheme="minorEastAsia"/>
          <w:bCs/>
          <w:color w:val="auto"/>
          <w:szCs w:val="24"/>
          <w:highlight w:val="none"/>
        </w:rPr>
        <w:t>的投标保证金。并承诺：下列任何情况发生时，我方将不要求退还投标保证金：</w:t>
      </w:r>
    </w:p>
    <w:p>
      <w:pPr>
        <w:spacing w:line="360" w:lineRule="auto"/>
        <w:rPr>
          <w:rFonts w:asciiTheme="minorEastAsia" w:hAnsiTheme="minorEastAsia" w:eastAsiaTheme="minorEastAsia"/>
          <w:bCs/>
          <w:color w:val="auto"/>
          <w:szCs w:val="24"/>
          <w:highlight w:val="none"/>
        </w:rPr>
      </w:pPr>
      <w:r>
        <w:rPr>
          <w:rFonts w:hint="eastAsia" w:asciiTheme="minorEastAsia" w:hAnsiTheme="minorEastAsia" w:eastAsiaTheme="minorEastAsia"/>
          <w:bCs/>
          <w:color w:val="auto"/>
          <w:szCs w:val="24"/>
          <w:highlight w:val="none"/>
        </w:rPr>
        <w:t>（1）如果我方在投标有效期内撤回投标；（2）我方提供了虚假响应招标文件的投标文件；（3）在投标过程中有违规违纪行为；（4）我方在投标有效期内收到中标通知书后，由于我方原因未能按照招标文件要求提交履约保证金或与采购人签订并履行合同。</w:t>
      </w:r>
    </w:p>
    <w:p>
      <w:pPr>
        <w:spacing w:line="360" w:lineRule="auto"/>
        <w:ind w:firstLine="480" w:firstLineChars="200"/>
        <w:rPr>
          <w:rFonts w:cs="宋体" w:asciiTheme="minorEastAsia" w:hAnsiTheme="minorEastAsia" w:eastAsiaTheme="minorEastAsia"/>
          <w:color w:val="auto"/>
          <w:highlight w:val="none"/>
          <w:lang w:val="en-GB"/>
        </w:rPr>
      </w:pPr>
      <w:r>
        <w:rPr>
          <w:rFonts w:hint="eastAsia" w:asciiTheme="minorEastAsia" w:hAnsiTheme="minorEastAsia" w:eastAsiaTheme="minorEastAsia"/>
          <w:color w:val="auto"/>
          <w:szCs w:val="24"/>
          <w:highlight w:val="none"/>
        </w:rPr>
        <w:t>2、</w:t>
      </w:r>
      <w:r>
        <w:rPr>
          <w:rFonts w:hint="eastAsia" w:cs="宋体" w:asciiTheme="minorEastAsia" w:hAnsiTheme="minorEastAsia" w:eastAsiaTheme="minorEastAsia"/>
          <w:color w:val="auto"/>
          <w:highlight w:val="none"/>
          <w:lang w:val="en-GB"/>
        </w:rPr>
        <w:t>我方已经详细地阅读了全部招标文件及其附件（</w:t>
      </w:r>
      <w:r>
        <w:rPr>
          <w:rFonts w:hint="eastAsia" w:cs="宋体" w:asciiTheme="minorEastAsia" w:hAnsiTheme="minorEastAsia" w:eastAsiaTheme="minorEastAsia"/>
          <w:color w:val="auto"/>
          <w:highlight w:val="none"/>
        </w:rPr>
        <w:t>如有</w:t>
      </w:r>
      <w:r>
        <w:rPr>
          <w:rFonts w:hint="eastAsia" w:cs="宋体" w:asciiTheme="minorEastAsia" w:hAnsiTheme="minorEastAsia" w:eastAsiaTheme="minorEastAsia"/>
          <w:color w:val="auto"/>
          <w:highlight w:val="none"/>
          <w:lang w:val="en-GB"/>
        </w:rPr>
        <w:t>），包括澄清及参考文件。我方已完全清晰理解文件的要求，不存在任何含糊不清和误解之处，并接受招标文件的各项条款要求，遵守文件中的各项规定，按招标文件的要求进行投标。</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3、</w:t>
      </w:r>
      <w:r>
        <w:rPr>
          <w:rFonts w:hint="eastAsia" w:cs="宋体" w:asciiTheme="minorEastAsia" w:hAnsiTheme="minorEastAsia" w:eastAsiaTheme="minorEastAsia"/>
          <w:color w:val="auto"/>
          <w:highlight w:val="none"/>
          <w:lang w:val="en-GB"/>
        </w:rPr>
        <w:t>我方已向贵方提供一切所需的证明材料。不论在任何时候，将按贵方要求如实提供一切补充材料，承诺在本次投标中提供的一切文件，无论是原件还是复印件均为真实和准确的，绝无任何虚假、伪造和夸大的成份，否则，愿承担相应的后果和法律责任。</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4、我方同意按照文件第二章“投标人须知”的规定，本投标文件的投标有效期为从投标截止日期起计算的</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天，在此期间，本投标文件将始终对我方具有约束力，并可随时被接受。</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5、我方完全理解贵方不一定要接受最低投标价的投标，即</w:t>
      </w:r>
      <w:r>
        <w:rPr>
          <w:rFonts w:hint="eastAsia" w:asciiTheme="minorEastAsia" w:hAnsiTheme="minorEastAsia" w:eastAsiaTheme="minorEastAsia"/>
          <w:b/>
          <w:bCs/>
          <w:color w:val="auto"/>
          <w:szCs w:val="24"/>
          <w:highlight w:val="none"/>
          <w:u w:val="single"/>
        </w:rPr>
        <w:t>最低投标价不是中标的保证</w:t>
      </w:r>
      <w:r>
        <w:rPr>
          <w:rFonts w:hint="eastAsia" w:asciiTheme="minorEastAsia" w:hAnsiTheme="minorEastAsia" w:eastAsiaTheme="minorEastAsia"/>
          <w:color w:val="auto"/>
          <w:szCs w:val="24"/>
          <w:highlight w:val="none"/>
        </w:rPr>
        <w:t>。</w:t>
      </w:r>
    </w:p>
    <w:p>
      <w:pPr>
        <w:spacing w:line="360" w:lineRule="auto"/>
        <w:ind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6、如果我方中标，我们将根据招标文件的规定严格履行自己的责任和义务。如果我方中标，我们将文件的规定缴纳招标代理服务费。</w:t>
      </w:r>
    </w:p>
    <w:p>
      <w:pPr>
        <w:spacing w:line="360" w:lineRule="auto"/>
        <w:ind w:firstLine="480" w:firstLineChars="200"/>
        <w:rPr>
          <w:rFonts w:asciiTheme="minorEastAsia" w:hAnsiTheme="minorEastAsia" w:eastAsiaTheme="minorEastAsia"/>
          <w:color w:val="auto"/>
          <w:szCs w:val="24"/>
          <w:highlight w:val="none"/>
        </w:rPr>
      </w:pPr>
    </w:p>
    <w:p>
      <w:pPr>
        <w:spacing w:line="360" w:lineRule="auto"/>
        <w:ind w:firstLine="480" w:firstLineChars="200"/>
        <w:rPr>
          <w:rFonts w:asciiTheme="minorEastAsia" w:hAnsiTheme="minorEastAsia" w:eastAsiaTheme="minorEastAsia"/>
          <w:color w:val="auto"/>
          <w:szCs w:val="24"/>
          <w:highlight w:val="none"/>
        </w:rPr>
      </w:pP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投标人名称：</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（盖公章）</w:t>
      </w: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法定代表人（或授权代理人）：</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（签字或盖章）</w:t>
      </w:r>
    </w:p>
    <w:p>
      <w:pPr>
        <w:spacing w:line="360" w:lineRule="auto"/>
        <w:ind w:firstLine="480" w:firstLineChars="200"/>
        <w:jc w:val="right"/>
        <w:rPr>
          <w:rFonts w:asciiTheme="minorEastAsia" w:hAnsiTheme="minorEastAsia" w:eastAsiaTheme="minorEastAsia"/>
          <w:bCs/>
          <w:color w:val="auto"/>
          <w:szCs w:val="24"/>
          <w:highlight w:val="none"/>
          <w:u w:val="single"/>
        </w:rPr>
      </w:pPr>
      <w:r>
        <w:rPr>
          <w:rFonts w:hint="eastAsia" w:asciiTheme="minorEastAsia" w:hAnsiTheme="minorEastAsia" w:eastAsiaTheme="minorEastAsia"/>
          <w:bCs/>
          <w:color w:val="auto"/>
          <w:szCs w:val="24"/>
          <w:highlight w:val="none"/>
        </w:rPr>
        <w:t>联系电话</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bCs/>
          <w:color w:val="auto"/>
          <w:szCs w:val="24"/>
          <w:highlight w:val="none"/>
        </w:rPr>
        <w:t>：</w:t>
      </w:r>
      <w:r>
        <w:rPr>
          <w:rFonts w:hint="eastAsia" w:asciiTheme="minorEastAsia" w:hAnsiTheme="minorEastAsia" w:eastAsiaTheme="minorEastAsia"/>
          <w:color w:val="auto"/>
          <w:szCs w:val="24"/>
          <w:highlight w:val="none"/>
          <w:u w:val="single"/>
        </w:rPr>
        <w:t xml:space="preserve">                </w:t>
      </w:r>
    </w:p>
    <w:p>
      <w:pPr>
        <w:spacing w:line="360" w:lineRule="auto"/>
        <w:ind w:firstLine="720" w:firstLineChars="3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pStyle w:val="2"/>
        <w:rPr>
          <w:rFonts w:asciiTheme="minorEastAsia" w:hAnsiTheme="minorEastAsia" w:eastAsiaTheme="minorEastAsia"/>
          <w:color w:val="auto"/>
          <w:szCs w:val="28"/>
          <w:highlight w:val="none"/>
        </w:rPr>
      </w:pPr>
      <w:r>
        <w:rPr>
          <w:rFonts w:asciiTheme="minorEastAsia" w:hAnsiTheme="minorEastAsia" w:eastAsiaTheme="minorEastAsia"/>
          <w:color w:val="auto"/>
          <w:sz w:val="24"/>
          <w:szCs w:val="24"/>
          <w:highlight w:val="none"/>
        </w:rPr>
        <w:br w:type="page"/>
      </w:r>
      <w:bookmarkStart w:id="131" w:name="_Toc26006"/>
      <w:r>
        <w:rPr>
          <w:rFonts w:hint="eastAsia" w:asciiTheme="minorEastAsia" w:hAnsiTheme="minorEastAsia" w:eastAsiaTheme="minorEastAsia"/>
          <w:bCs w:val="0"/>
          <w:color w:val="auto"/>
          <w:sz w:val="32"/>
          <w:szCs w:val="20"/>
          <w:highlight w:val="none"/>
        </w:rPr>
        <w:t>3、法定代表人证明书</w:t>
      </w:r>
      <w:bookmarkEnd w:id="131"/>
      <w:r>
        <w:rPr>
          <w:rFonts w:hint="eastAsia" w:asciiTheme="minorEastAsia" w:hAnsiTheme="minorEastAsia" w:eastAsiaTheme="minorEastAsia"/>
          <w:bCs w:val="0"/>
          <w:color w:val="auto"/>
          <w:sz w:val="32"/>
          <w:szCs w:val="20"/>
          <w:highlight w:val="none"/>
        </w:rPr>
        <w:t xml:space="preserve"> </w:t>
      </w:r>
    </w:p>
    <w:p>
      <w:pPr>
        <w:pStyle w:val="244"/>
        <w:spacing w:line="360" w:lineRule="auto"/>
        <w:jc w:val="center"/>
        <w:rPr>
          <w:rFonts w:asciiTheme="minorEastAsia" w:hAnsiTheme="minorEastAsia" w:eastAsiaTheme="minorEastAsia"/>
          <w:b/>
          <w:bCs/>
          <w:color w:val="auto"/>
          <w:szCs w:val="24"/>
          <w:highlight w:val="none"/>
        </w:rPr>
      </w:pPr>
    </w:p>
    <w:p>
      <w:pPr>
        <w:pStyle w:val="244"/>
        <w:spacing w:line="360" w:lineRule="auto"/>
        <w:rPr>
          <w:rFonts w:asciiTheme="minorEastAsia" w:hAnsiTheme="minorEastAsia" w:eastAsiaTheme="minorEastAsia"/>
          <w:color w:val="auto"/>
          <w:szCs w:val="24"/>
          <w:highlight w:val="none"/>
          <w:u w:val="single"/>
        </w:rPr>
      </w:pP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投标人：</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单位性质：</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地    址：</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成立时间：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经营期限：</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姓    名：</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性    别：</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年    龄：</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职    务：</w:t>
      </w:r>
      <w:r>
        <w:rPr>
          <w:rFonts w:hint="eastAsia" w:asciiTheme="minorEastAsia" w:hAnsiTheme="minorEastAsia" w:eastAsiaTheme="minorEastAsia"/>
          <w:color w:val="auto"/>
          <w:szCs w:val="24"/>
          <w:highlight w:val="none"/>
          <w:u w:val="single"/>
        </w:rPr>
        <w:t xml:space="preserve">                    </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系</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（投标人名称）的法定代表人。</w:t>
      </w:r>
    </w:p>
    <w:p>
      <w:pPr>
        <w:snapToGrid w:val="0"/>
        <w:spacing w:line="360" w:lineRule="auto"/>
        <w:ind w:firstLine="480" w:firstLineChars="200"/>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特此证明。</w:t>
      </w:r>
    </w:p>
    <w:p>
      <w:pPr>
        <w:snapToGrid w:val="0"/>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附：法定代表人二代身份证（正反两面）复印件</w:t>
      </w:r>
    </w:p>
    <w:p>
      <w:pPr>
        <w:snapToGrid w:val="0"/>
        <w:spacing w:line="360" w:lineRule="auto"/>
        <w:jc w:val="left"/>
        <w:rPr>
          <w:rFonts w:asciiTheme="minorEastAsia" w:hAnsiTheme="minorEastAsia" w:eastAsiaTheme="minorEastAsia"/>
          <w:color w:val="auto"/>
          <w:szCs w:val="24"/>
          <w:highlight w:val="none"/>
        </w:rPr>
      </w:pPr>
    </w:p>
    <w:p>
      <w:pPr>
        <w:snapToGrid w:val="0"/>
        <w:spacing w:line="360" w:lineRule="auto"/>
        <w:jc w:val="left"/>
        <w:rPr>
          <w:rFonts w:asciiTheme="minorEastAsia" w:hAnsiTheme="minorEastAsia" w:eastAsiaTheme="minorEastAsia"/>
          <w:color w:val="auto"/>
          <w:szCs w:val="24"/>
          <w:highlight w:val="none"/>
        </w:rPr>
      </w:pPr>
    </w:p>
    <w:p>
      <w:pPr>
        <w:snapToGrid w:val="0"/>
        <w:spacing w:line="360" w:lineRule="auto"/>
        <w:jc w:val="left"/>
        <w:rPr>
          <w:rFonts w:asciiTheme="minorEastAsia" w:hAnsiTheme="minorEastAsia" w:eastAsiaTheme="minorEastAsia"/>
          <w:color w:val="auto"/>
          <w:szCs w:val="24"/>
          <w:highlight w:val="none"/>
        </w:rPr>
      </w:pPr>
    </w:p>
    <w:p>
      <w:pPr>
        <w:snapToGrid w:val="0"/>
        <w:spacing w:line="360" w:lineRule="auto"/>
        <w:jc w:val="left"/>
        <w:rPr>
          <w:rFonts w:asciiTheme="minorEastAsia" w:hAnsiTheme="minorEastAsia" w:eastAsiaTheme="minorEastAsia"/>
          <w:color w:val="auto"/>
          <w:szCs w:val="24"/>
          <w:highlight w:val="none"/>
        </w:rPr>
      </w:pP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投标人名称：</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（盖公章）</w:t>
      </w: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法定代表人：</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（签字或盖章）</w:t>
      </w:r>
    </w:p>
    <w:p>
      <w:pPr>
        <w:spacing w:line="360" w:lineRule="auto"/>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spacing w:line="360" w:lineRule="auto"/>
        <w:jc w:val="right"/>
        <w:rPr>
          <w:rFonts w:asciiTheme="minorEastAsia" w:hAnsiTheme="minorEastAsia" w:eastAsiaTheme="minorEastAsia"/>
          <w:color w:val="auto"/>
          <w:szCs w:val="24"/>
          <w:highlight w:val="none"/>
        </w:rPr>
      </w:pPr>
    </w:p>
    <w:p>
      <w:pPr>
        <w:spacing w:line="360" w:lineRule="auto"/>
        <w:jc w:val="right"/>
        <w:rPr>
          <w:rFonts w:asciiTheme="minorEastAsia" w:hAnsiTheme="minorEastAsia" w:eastAsiaTheme="minorEastAsia"/>
          <w:color w:val="auto"/>
          <w:highlight w:val="none"/>
        </w:rPr>
      </w:pPr>
    </w:p>
    <w:p>
      <w:pPr>
        <w:spacing w:line="360" w:lineRule="auto"/>
        <w:jc w:val="right"/>
        <w:rPr>
          <w:rFonts w:asciiTheme="minorEastAsia" w:hAnsiTheme="minorEastAsia" w:eastAsiaTheme="minorEastAsia"/>
          <w:color w:val="auto"/>
          <w:highlight w:val="none"/>
        </w:rPr>
      </w:pPr>
    </w:p>
    <w:p>
      <w:pPr>
        <w:spacing w:line="360" w:lineRule="auto"/>
        <w:jc w:val="right"/>
        <w:rPr>
          <w:rFonts w:asciiTheme="minorEastAsia" w:hAnsiTheme="minorEastAsia" w:eastAsiaTheme="minorEastAsia"/>
          <w:color w:val="auto"/>
          <w:highlight w:val="none"/>
        </w:rPr>
      </w:pPr>
    </w:p>
    <w:p>
      <w:pPr>
        <w:spacing w:line="360" w:lineRule="auto"/>
        <w:jc w:val="right"/>
        <w:rPr>
          <w:rFonts w:asciiTheme="minorEastAsia" w:hAnsiTheme="minorEastAsia" w:eastAsiaTheme="minorEastAsia"/>
          <w:color w:val="auto"/>
          <w:highlight w:val="none"/>
        </w:rPr>
      </w:pPr>
    </w:p>
    <w:p>
      <w:pPr>
        <w:spacing w:line="360" w:lineRule="auto"/>
        <w:jc w:val="right"/>
        <w:rPr>
          <w:rFonts w:asciiTheme="minorEastAsia" w:hAnsiTheme="minorEastAsia" w:eastAsiaTheme="minorEastAsia"/>
          <w:color w:val="auto"/>
          <w:highlight w:val="none"/>
        </w:rPr>
      </w:pPr>
    </w:p>
    <w:p>
      <w:pPr>
        <w:spacing w:line="360" w:lineRule="auto"/>
        <w:jc w:val="right"/>
        <w:rPr>
          <w:rFonts w:asciiTheme="minorEastAsia" w:hAnsiTheme="minorEastAsia" w:eastAsiaTheme="minorEastAsia"/>
          <w:color w:val="auto"/>
          <w:highlight w:val="none"/>
        </w:rPr>
      </w:pPr>
    </w:p>
    <w:p>
      <w:pPr>
        <w:spacing w:line="360" w:lineRule="auto"/>
        <w:jc w:val="left"/>
        <w:rPr>
          <w:rFonts w:asciiTheme="minorEastAsia" w:hAnsiTheme="minorEastAsia" w:eastAsiaTheme="minorEastAsia"/>
          <w:color w:val="auto"/>
          <w:szCs w:val="24"/>
          <w:highlight w:val="none"/>
        </w:rPr>
      </w:pPr>
    </w:p>
    <w:p>
      <w:pPr>
        <w:pStyle w:val="2"/>
        <w:rPr>
          <w:rFonts w:asciiTheme="minorEastAsia" w:hAnsiTheme="minorEastAsia" w:eastAsiaTheme="minorEastAsia"/>
          <w:color w:val="auto"/>
          <w:highlight w:val="none"/>
        </w:rPr>
      </w:pPr>
      <w:r>
        <w:rPr>
          <w:rFonts w:asciiTheme="minorEastAsia" w:hAnsiTheme="minorEastAsia" w:eastAsiaTheme="minorEastAsia"/>
          <w:color w:val="auto"/>
          <w:szCs w:val="28"/>
          <w:highlight w:val="none"/>
        </w:rPr>
        <w:br w:type="page"/>
      </w:r>
      <w:bookmarkStart w:id="132" w:name="_Toc27542"/>
      <w:r>
        <w:rPr>
          <w:rFonts w:hint="eastAsia" w:asciiTheme="minorEastAsia" w:hAnsiTheme="minorEastAsia" w:eastAsiaTheme="minorEastAsia"/>
          <w:bCs w:val="0"/>
          <w:color w:val="auto"/>
          <w:sz w:val="32"/>
          <w:szCs w:val="20"/>
          <w:highlight w:val="none"/>
        </w:rPr>
        <w:t>4、法人授权委托书</w:t>
      </w:r>
      <w:bookmarkEnd w:id="132"/>
      <w:r>
        <w:rPr>
          <w:rFonts w:hint="eastAsia" w:asciiTheme="minorEastAsia" w:hAnsiTheme="minorEastAsia" w:eastAsiaTheme="minorEastAsia"/>
          <w:bCs w:val="0"/>
          <w:color w:val="auto"/>
          <w:sz w:val="32"/>
          <w:szCs w:val="20"/>
          <w:highlight w:val="none"/>
        </w:rPr>
        <w:t xml:space="preserve"> </w:t>
      </w:r>
    </w:p>
    <w:p>
      <w:pPr>
        <w:spacing w:line="360" w:lineRule="auto"/>
        <w:ind w:left="480"/>
        <w:rPr>
          <w:rFonts w:asciiTheme="minorEastAsia" w:hAnsiTheme="minorEastAsia" w:eastAsiaTheme="minorEastAsia"/>
          <w:color w:val="auto"/>
          <w:highlight w:val="none"/>
        </w:rPr>
      </w:pPr>
    </w:p>
    <w:p>
      <w:pPr>
        <w:pStyle w:val="244"/>
        <w:spacing w:line="360" w:lineRule="auto"/>
        <w:ind w:right="1400"/>
        <w:rPr>
          <w:rFonts w:asciiTheme="minorEastAsia" w:hAnsiTheme="minorEastAsia" w:eastAsiaTheme="minorEastAsia"/>
          <w:b/>
          <w:color w:val="auto"/>
          <w:szCs w:val="24"/>
          <w:highlight w:val="none"/>
          <w:u w:val="single"/>
        </w:rPr>
      </w:pPr>
      <w:r>
        <w:rPr>
          <w:rFonts w:hint="eastAsia" w:asciiTheme="minorEastAsia" w:hAnsiTheme="minorEastAsia" w:eastAsiaTheme="minorEastAsia"/>
          <w:b/>
          <w:color w:val="auto"/>
          <w:szCs w:val="24"/>
          <w:highlight w:val="none"/>
          <w:u w:val="single"/>
        </w:rPr>
        <w:t>致：海南政邦招标代理有限公司</w:t>
      </w:r>
    </w:p>
    <w:p>
      <w:pPr>
        <w:pStyle w:val="244"/>
        <w:spacing w:line="360" w:lineRule="auto"/>
        <w:ind w:right="-58"/>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本授权书声明：</w:t>
      </w:r>
    </w:p>
    <w:p>
      <w:pPr>
        <w:snapToGrid w:val="0"/>
        <w:spacing w:line="360" w:lineRule="auto"/>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委托人：姓名</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性别：</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出生日期：</w:t>
      </w:r>
      <w:r>
        <w:rPr>
          <w:rFonts w:hint="eastAsia" w:asciiTheme="minorEastAsia" w:hAnsiTheme="minorEastAsia" w:eastAsiaTheme="minorEastAsia"/>
          <w:color w:val="auto"/>
          <w:highlight w:val="none"/>
          <w:u w:val="single"/>
        </w:rPr>
        <w:t xml:space="preserve">    年  月  日</w:t>
      </w:r>
    </w:p>
    <w:p>
      <w:pPr>
        <w:snapToGrid w:val="0"/>
        <w:spacing w:line="360" w:lineRule="auto"/>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所在单位：</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highlight w:val="none"/>
        </w:rPr>
        <w:t>职务：</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highlight w:val="none"/>
        </w:rPr>
        <w:t>。</w:t>
      </w:r>
    </w:p>
    <w:p>
      <w:pPr>
        <w:snapToGrid w:val="0"/>
        <w:spacing w:line="360" w:lineRule="auto"/>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身份证：</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highlight w:val="none"/>
        </w:rPr>
        <w:t>联系方式:</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highlight w:val="none"/>
        </w:rPr>
        <w:t>。</w:t>
      </w:r>
    </w:p>
    <w:p>
      <w:pPr>
        <w:snapToGrid w:val="0"/>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代理人：姓名</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性别：</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出生日期：</w:t>
      </w:r>
      <w:r>
        <w:rPr>
          <w:rFonts w:hint="eastAsia" w:asciiTheme="minorEastAsia" w:hAnsiTheme="minorEastAsia" w:eastAsiaTheme="minorEastAsia"/>
          <w:color w:val="auto"/>
          <w:highlight w:val="none"/>
          <w:u w:val="single"/>
        </w:rPr>
        <w:t xml:space="preserve">    年  月  日</w:t>
      </w:r>
    </w:p>
    <w:p>
      <w:pPr>
        <w:snapToGrid w:val="0"/>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所在单位：</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职务：</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w:t>
      </w:r>
    </w:p>
    <w:p>
      <w:pPr>
        <w:snapToGrid w:val="0"/>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联系方式:</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w:t>
      </w:r>
    </w:p>
    <w:p>
      <w:pPr>
        <w:pStyle w:val="244"/>
        <w:spacing w:line="360" w:lineRule="auto"/>
        <w:ind w:right="-58" w:firstLine="480" w:firstLineChars="2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兹委托代理人代表我单位合法地参加</w:t>
      </w:r>
      <w:r>
        <w:rPr>
          <w:rFonts w:hint="eastAsia" w:asciiTheme="minorEastAsia" w:hAnsiTheme="minorEastAsia" w:eastAsiaTheme="minorEastAsia"/>
          <w:bCs/>
          <w:color w:val="auto"/>
          <w:szCs w:val="24"/>
          <w:highlight w:val="none"/>
          <w:u w:val="single"/>
        </w:rPr>
        <w:t>（项目编号）</w:t>
      </w:r>
      <w:r>
        <w:rPr>
          <w:rFonts w:hint="eastAsia" w:asciiTheme="minorEastAsia" w:hAnsiTheme="minorEastAsia" w:eastAsiaTheme="minorEastAsia"/>
          <w:bCs/>
          <w:color w:val="auto"/>
          <w:szCs w:val="24"/>
          <w:highlight w:val="none"/>
        </w:rPr>
        <w:t>的</w:t>
      </w:r>
      <w:r>
        <w:rPr>
          <w:rFonts w:hint="eastAsia" w:asciiTheme="minorEastAsia" w:hAnsiTheme="minorEastAsia" w:eastAsiaTheme="minorEastAsia"/>
          <w:bCs/>
          <w:color w:val="auto"/>
          <w:szCs w:val="24"/>
          <w:highlight w:val="none"/>
          <w:u w:val="single"/>
        </w:rPr>
        <w:t>（分包号）</w:t>
      </w:r>
      <w:r>
        <w:rPr>
          <w:rFonts w:hint="eastAsia" w:asciiTheme="minorEastAsia" w:hAnsiTheme="minorEastAsia" w:eastAsiaTheme="minorEastAsia"/>
          <w:bCs/>
          <w:color w:val="auto"/>
          <w:szCs w:val="24"/>
          <w:highlight w:val="none"/>
        </w:rPr>
        <w:t>（若无分包则无需填写）</w:t>
      </w:r>
      <w:r>
        <w:rPr>
          <w:rFonts w:hint="eastAsia" w:asciiTheme="minorEastAsia" w:hAnsiTheme="minorEastAsia" w:eastAsiaTheme="minorEastAsia"/>
          <w:color w:val="auto"/>
          <w:szCs w:val="24"/>
          <w:highlight w:val="none"/>
        </w:rPr>
        <w:t>采购活动，代理人有权在该活动中办理以下事宜：</w:t>
      </w:r>
    </w:p>
    <w:p>
      <w:pPr>
        <w:spacing w:line="360" w:lineRule="auto"/>
        <w:rPr>
          <w:rFonts w:asciiTheme="minorEastAsia" w:hAnsiTheme="minorEastAsia" w:eastAsiaTheme="minorEastAsia"/>
          <w:color w:val="auto"/>
          <w:szCs w:val="24"/>
          <w:highlight w:val="none"/>
        </w:rPr>
      </w:pPr>
      <w:bookmarkStart w:id="133" w:name="_Toc2255"/>
      <w:r>
        <w:rPr>
          <w:rFonts w:hint="eastAsia" w:asciiTheme="minorEastAsia" w:hAnsiTheme="minorEastAsia" w:eastAsiaTheme="minorEastAsia"/>
          <w:color w:val="auto"/>
          <w:szCs w:val="24"/>
          <w:highlight w:val="none"/>
        </w:rPr>
        <w:t>1、以我单位的名义签署投标函和投标文件</w:t>
      </w:r>
      <w:bookmarkEnd w:id="133"/>
    </w:p>
    <w:p>
      <w:pPr>
        <w:spacing w:line="360" w:lineRule="auto"/>
        <w:rPr>
          <w:rFonts w:asciiTheme="minorEastAsia" w:hAnsiTheme="minorEastAsia" w:eastAsiaTheme="minorEastAsia"/>
          <w:color w:val="auto"/>
          <w:szCs w:val="24"/>
          <w:highlight w:val="none"/>
        </w:rPr>
      </w:pPr>
      <w:bookmarkStart w:id="134" w:name="_Toc18282"/>
      <w:r>
        <w:rPr>
          <w:rFonts w:hint="eastAsia" w:asciiTheme="minorEastAsia" w:hAnsiTheme="minorEastAsia" w:eastAsiaTheme="minorEastAsia"/>
          <w:color w:val="auto"/>
          <w:szCs w:val="24"/>
          <w:highlight w:val="none"/>
        </w:rPr>
        <w:t>2、参加开标评标会议</w:t>
      </w:r>
      <w:bookmarkEnd w:id="134"/>
    </w:p>
    <w:p>
      <w:pPr>
        <w:spacing w:line="360" w:lineRule="auto"/>
        <w:rPr>
          <w:rFonts w:asciiTheme="minorEastAsia" w:hAnsiTheme="minorEastAsia" w:eastAsiaTheme="minorEastAsia"/>
          <w:color w:val="auto"/>
          <w:szCs w:val="24"/>
          <w:highlight w:val="none"/>
        </w:rPr>
      </w:pPr>
      <w:bookmarkStart w:id="135" w:name="_Toc7411"/>
      <w:r>
        <w:rPr>
          <w:rFonts w:hint="eastAsia" w:asciiTheme="minorEastAsia" w:hAnsiTheme="minorEastAsia" w:eastAsiaTheme="minorEastAsia"/>
          <w:color w:val="auto"/>
          <w:szCs w:val="24"/>
          <w:highlight w:val="none"/>
        </w:rPr>
        <w:t>3、向评标委员会及采购代理机构澄清、解释投标文件中的疑问</w:t>
      </w:r>
      <w:bookmarkEnd w:id="135"/>
    </w:p>
    <w:p>
      <w:pPr>
        <w:spacing w:line="360" w:lineRule="auto"/>
        <w:rPr>
          <w:rFonts w:asciiTheme="minorEastAsia" w:hAnsiTheme="minorEastAsia" w:eastAsiaTheme="minorEastAsia"/>
          <w:color w:val="auto"/>
          <w:szCs w:val="24"/>
          <w:highlight w:val="none"/>
        </w:rPr>
      </w:pPr>
      <w:bookmarkStart w:id="136" w:name="_Toc11193"/>
      <w:r>
        <w:rPr>
          <w:rFonts w:hint="eastAsia" w:asciiTheme="minorEastAsia" w:hAnsiTheme="minorEastAsia" w:eastAsiaTheme="minorEastAsia"/>
          <w:color w:val="auto"/>
          <w:szCs w:val="24"/>
          <w:highlight w:val="none"/>
        </w:rPr>
        <w:t>4、签订合同书并执行一切与本项目有关的事项。</w:t>
      </w:r>
      <w:bookmarkEnd w:id="136"/>
    </w:p>
    <w:p>
      <w:pPr>
        <w:pStyle w:val="244"/>
        <w:spacing w:line="360" w:lineRule="auto"/>
        <w:ind w:right="14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 xml:space="preserve">    代理人在办理上述事宜过程中以其自己的名义所签署的所有文件我均予以承认，代理人无转委托权。</w:t>
      </w:r>
    </w:p>
    <w:p>
      <w:pPr>
        <w:pStyle w:val="244"/>
        <w:spacing w:line="360" w:lineRule="auto"/>
        <w:ind w:right="1400"/>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委托期限：至上述事宜处理完毕止。</w:t>
      </w:r>
    </w:p>
    <w:p>
      <w:pPr>
        <w:pStyle w:val="244"/>
        <w:spacing w:line="360" w:lineRule="auto"/>
        <w:ind w:right="-199"/>
        <w:jc w:val="right"/>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委托单位</w:t>
      </w:r>
      <w:r>
        <w:rPr>
          <w:rFonts w:hint="eastAsia" w:asciiTheme="minorEastAsia" w:hAnsiTheme="minorEastAsia" w:eastAsiaTheme="minorEastAsia"/>
          <w:color w:val="auto"/>
          <w:szCs w:val="24"/>
          <w:highlight w:val="none"/>
          <w:u w:val="single"/>
        </w:rPr>
        <w:t xml:space="preserve">                  （公章）</w:t>
      </w:r>
    </w:p>
    <w:p>
      <w:pPr>
        <w:pStyle w:val="244"/>
        <w:spacing w:line="360" w:lineRule="auto"/>
        <w:ind w:right="-199"/>
        <w:jc w:val="right"/>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法定代表人</w:t>
      </w:r>
      <w:r>
        <w:rPr>
          <w:rFonts w:hint="eastAsia" w:asciiTheme="minorEastAsia" w:hAnsiTheme="minorEastAsia" w:eastAsiaTheme="minorEastAsia"/>
          <w:color w:val="auto"/>
          <w:szCs w:val="24"/>
          <w:highlight w:val="none"/>
          <w:u w:val="single"/>
        </w:rPr>
        <w:t xml:space="preserve">                （签字或盖章）</w:t>
      </w:r>
    </w:p>
    <w:p>
      <w:pPr>
        <w:pStyle w:val="244"/>
        <w:spacing w:line="360" w:lineRule="auto"/>
        <w:ind w:right="-199"/>
        <w:jc w:val="right"/>
        <w:rPr>
          <w:rFonts w:asciiTheme="minorEastAsia" w:hAnsiTheme="minorEastAsia" w:eastAsiaTheme="minorEastAsia"/>
          <w:color w:val="auto"/>
          <w:szCs w:val="24"/>
          <w:highlight w:val="none"/>
          <w:u w:val="single"/>
        </w:rPr>
      </w:pPr>
      <w:r>
        <w:rPr>
          <w:rFonts w:hint="eastAsia" w:asciiTheme="minorEastAsia" w:hAnsiTheme="minorEastAsia" w:eastAsiaTheme="minorEastAsia"/>
          <w:color w:val="auto"/>
          <w:szCs w:val="24"/>
          <w:highlight w:val="none"/>
        </w:rPr>
        <w:t>代理人</w:t>
      </w:r>
      <w:r>
        <w:rPr>
          <w:rFonts w:hint="eastAsia" w:asciiTheme="minorEastAsia" w:hAnsiTheme="minorEastAsia" w:eastAsiaTheme="minorEastAsia"/>
          <w:color w:val="auto"/>
          <w:szCs w:val="24"/>
          <w:highlight w:val="none"/>
          <w:u w:val="single"/>
        </w:rPr>
        <w:t xml:space="preserve">              （签字或盖章） </w:t>
      </w:r>
    </w:p>
    <w:p>
      <w:pPr>
        <w:pStyle w:val="271"/>
        <w:ind w:firstLine="480"/>
        <w:jc w:val="right"/>
        <w:rPr>
          <w:rFonts w:asciiTheme="minorEastAsia" w:hAnsiTheme="minorEastAsia" w:eastAsiaTheme="minorEastAsia"/>
          <w:b/>
          <w:color w:val="auto"/>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pStyle w:val="244"/>
        <w:spacing w:line="360" w:lineRule="auto"/>
        <w:rPr>
          <w:rFonts w:asciiTheme="minorEastAsia" w:hAnsiTheme="minorEastAsia" w:eastAsiaTheme="minorEastAsia"/>
          <w:color w:val="auto"/>
          <w:szCs w:val="24"/>
          <w:highlight w:val="none"/>
        </w:rPr>
      </w:pPr>
    </w:p>
    <w:p>
      <w:pPr>
        <w:pStyle w:val="244"/>
        <w:spacing w:line="360" w:lineRule="auto"/>
        <w:rPr>
          <w:rFonts w:asciiTheme="minorEastAsia" w:hAnsiTheme="minorEastAsia" w:eastAsiaTheme="minorEastAsia"/>
          <w:color w:val="auto"/>
          <w:szCs w:val="24"/>
          <w:highlight w:val="none"/>
        </w:rPr>
      </w:pPr>
    </w:p>
    <w:p>
      <w:pPr>
        <w:pStyle w:val="244"/>
        <w:spacing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注：1、代理人的身份证（正反两面）</w:t>
      </w:r>
    </w:p>
    <w:p>
      <w:pPr>
        <w:pStyle w:val="244"/>
        <w:spacing w:line="360" w:lineRule="auto"/>
        <w:ind w:firstLine="480" w:firstLineChars="200"/>
        <w:rPr>
          <w:rFonts w:asciiTheme="minorEastAsia" w:hAnsiTheme="minorEastAsia" w:eastAsiaTheme="minorEastAsia"/>
          <w:b/>
          <w:color w:val="auto"/>
          <w:szCs w:val="24"/>
          <w:highlight w:val="none"/>
        </w:rPr>
      </w:pPr>
      <w:r>
        <w:rPr>
          <w:rFonts w:hint="eastAsia" w:asciiTheme="minorEastAsia" w:hAnsiTheme="minorEastAsia" w:eastAsiaTheme="minorEastAsia"/>
          <w:color w:val="auto"/>
          <w:szCs w:val="24"/>
          <w:highlight w:val="none"/>
        </w:rPr>
        <w:t>2、投标代表为法定代表人，则本表不需填写。</w:t>
      </w:r>
    </w:p>
    <w:p>
      <w:pPr>
        <w:pStyle w:val="244"/>
        <w:spacing w:line="360" w:lineRule="auto"/>
        <w:ind w:right="1400"/>
        <w:rPr>
          <w:rFonts w:asciiTheme="minorEastAsia" w:hAnsiTheme="minorEastAsia" w:eastAsiaTheme="minorEastAsia"/>
          <w:color w:val="auto"/>
          <w:szCs w:val="24"/>
          <w:highlight w:val="none"/>
        </w:rPr>
      </w:pPr>
    </w:p>
    <w:p>
      <w:pPr>
        <w:pStyle w:val="244"/>
        <w:spacing w:line="360" w:lineRule="auto"/>
        <w:ind w:right="1400"/>
        <w:jc w:val="right"/>
        <w:rPr>
          <w:rFonts w:asciiTheme="minorEastAsia" w:hAnsiTheme="minorEastAsia" w:eastAsiaTheme="minorEastAsia"/>
          <w:color w:val="auto"/>
          <w:szCs w:val="24"/>
          <w:highlight w:val="none"/>
        </w:rPr>
      </w:pPr>
    </w:p>
    <w:p>
      <w:pPr>
        <w:pStyle w:val="244"/>
        <w:spacing w:line="360" w:lineRule="auto"/>
        <w:ind w:right="1400"/>
        <w:jc w:val="right"/>
        <w:rPr>
          <w:rFonts w:asciiTheme="minorEastAsia" w:hAnsiTheme="minorEastAsia" w:eastAsiaTheme="minorEastAsia"/>
          <w:color w:val="auto"/>
          <w:szCs w:val="24"/>
          <w:highlight w:val="none"/>
        </w:rPr>
      </w:pPr>
    </w:p>
    <w:p>
      <w:pPr>
        <w:pStyle w:val="2"/>
        <w:rPr>
          <w:rFonts w:asciiTheme="minorEastAsia" w:hAnsiTheme="minorEastAsia" w:eastAsiaTheme="minorEastAsia"/>
          <w:color w:val="auto"/>
          <w:highlight w:val="none"/>
        </w:rPr>
      </w:pPr>
      <w:bookmarkStart w:id="137" w:name="_Toc311036358"/>
      <w:bookmarkEnd w:id="137"/>
      <w:bookmarkStart w:id="138" w:name="_Toc18162"/>
      <w:r>
        <w:rPr>
          <w:rFonts w:hint="eastAsia" w:asciiTheme="minorEastAsia" w:hAnsiTheme="minorEastAsia" w:eastAsiaTheme="minorEastAsia"/>
          <w:bCs w:val="0"/>
          <w:color w:val="auto"/>
          <w:sz w:val="32"/>
          <w:szCs w:val="20"/>
          <w:highlight w:val="none"/>
        </w:rPr>
        <w:t>5、联合投标协议书</w:t>
      </w:r>
      <w:bookmarkEnd w:id="138"/>
      <w:r>
        <w:rPr>
          <w:rFonts w:hint="eastAsia" w:asciiTheme="minorEastAsia" w:hAnsiTheme="minorEastAsia" w:eastAsiaTheme="minorEastAsia"/>
          <w:bCs w:val="0"/>
          <w:color w:val="auto"/>
          <w:sz w:val="32"/>
          <w:szCs w:val="20"/>
          <w:highlight w:val="none"/>
        </w:rPr>
        <w:t xml:space="preserve"> </w:t>
      </w:r>
    </w:p>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（不接受联合体适用）</w:t>
      </w:r>
    </w:p>
    <w:p>
      <w:pPr>
        <w:spacing w:line="360" w:lineRule="auto"/>
        <w:jc w:val="center"/>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无</w:t>
      </w:r>
    </w:p>
    <w:p>
      <w:pPr>
        <w:pStyle w:val="2"/>
        <w:rPr>
          <w:rFonts w:asciiTheme="minorEastAsia" w:hAnsiTheme="minorEastAsia" w:eastAsiaTheme="minorEastAsia"/>
          <w:color w:val="auto"/>
          <w:highlight w:val="none"/>
        </w:rPr>
      </w:pPr>
      <w:r>
        <w:rPr>
          <w:rFonts w:asciiTheme="minorEastAsia" w:hAnsiTheme="minorEastAsia" w:eastAsiaTheme="minorEastAsia"/>
          <w:color w:val="auto"/>
          <w:sz w:val="24"/>
          <w:szCs w:val="24"/>
          <w:highlight w:val="none"/>
        </w:rPr>
        <w:br w:type="page"/>
      </w:r>
      <w:bookmarkStart w:id="139" w:name="_Toc32151"/>
      <w:r>
        <w:rPr>
          <w:rFonts w:hint="eastAsia" w:asciiTheme="minorEastAsia" w:hAnsiTheme="minorEastAsia" w:eastAsiaTheme="minorEastAsia"/>
          <w:bCs w:val="0"/>
          <w:color w:val="auto"/>
          <w:sz w:val="32"/>
          <w:szCs w:val="20"/>
          <w:highlight w:val="none"/>
        </w:rPr>
        <w:t>6、投标人诚信承诺书</w:t>
      </w:r>
      <w:bookmarkEnd w:id="139"/>
      <w:r>
        <w:rPr>
          <w:rFonts w:hint="eastAsia" w:asciiTheme="minorEastAsia" w:hAnsiTheme="minorEastAsia" w:eastAsiaTheme="minorEastAsia"/>
          <w:bCs w:val="0"/>
          <w:color w:val="auto"/>
          <w:sz w:val="32"/>
          <w:szCs w:val="20"/>
          <w:highlight w:val="none"/>
        </w:rPr>
        <w:t xml:space="preserve"> </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我单位在参加</w:t>
      </w:r>
      <w:r>
        <w:rPr>
          <w:rFonts w:hint="eastAsia" w:asciiTheme="minorEastAsia" w:hAnsiTheme="minorEastAsia" w:eastAsiaTheme="minorEastAsia"/>
          <w:color w:val="auto"/>
          <w:highlight w:val="none"/>
          <w:u w:val="single"/>
        </w:rPr>
        <w:t>（项目名称）</w:t>
      </w:r>
      <w:r>
        <w:rPr>
          <w:rFonts w:hint="eastAsia" w:asciiTheme="minorEastAsia" w:hAnsiTheme="minorEastAsia" w:eastAsiaTheme="minorEastAsia"/>
          <w:color w:val="auto"/>
          <w:highlight w:val="none"/>
        </w:rPr>
        <w:t>项目</w:t>
      </w:r>
      <w:r>
        <w:rPr>
          <w:rFonts w:hint="eastAsia" w:asciiTheme="minorEastAsia" w:hAnsiTheme="minorEastAsia" w:eastAsiaTheme="minorEastAsia"/>
          <w:color w:val="auto"/>
          <w:highlight w:val="none"/>
          <w:u w:val="single"/>
        </w:rPr>
        <w:t>（分包号）</w:t>
      </w:r>
      <w:r>
        <w:rPr>
          <w:rFonts w:hint="eastAsia" w:asciiTheme="minorEastAsia" w:hAnsiTheme="minorEastAsia" w:eastAsiaTheme="minorEastAsia"/>
          <w:color w:val="auto"/>
          <w:highlight w:val="none"/>
        </w:rPr>
        <w:t>（若无分包则无需填写）的投标活动中，郑重承诺如下：</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1、我方在此声明，本次招标投标活动中申报的所有资料都是真实、准确完整的，如发现提供虚假资料，或与事实不符而导致投标无效，甚至造成任何法律和经济责任，完全由我方负责；</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2、我方在本次投标活动中绝无资质挂靠、串标、围标情形，若经贵方查出，立即取消我方投标资格并承担相应的法律责任；</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3、我方在以往的招标投标活动中，无重大违法、违规的不良记录；我方人员针对本项目没有重大违法记录；</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4、我方未被地市级及其以上行政主管部门做出取消投标资格的处罚且该处罚在有效期内的；</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5、我方一旦中标，将严格按照投标文件中所承诺的报价、质量、项目完成时间（服务期限）、措施、项目负责人等内容组织实施；</w:t>
      </w:r>
    </w:p>
    <w:p>
      <w:pPr>
        <w:pStyle w:val="271"/>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6、我方一旦中标，将按规定及时与采购人签订合同。</w:t>
      </w:r>
    </w:p>
    <w:p>
      <w:pPr>
        <w:pStyle w:val="271"/>
        <w:ind w:firstLine="480"/>
        <w:rPr>
          <w:rFonts w:asciiTheme="minorEastAsia" w:hAnsiTheme="minorEastAsia" w:eastAsiaTheme="minorEastAsia"/>
          <w:color w:val="auto"/>
          <w:highlight w:val="none"/>
        </w:rPr>
      </w:pPr>
    </w:p>
    <w:p>
      <w:pPr>
        <w:pStyle w:val="271"/>
        <w:ind w:firstLine="480"/>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pStyle w:val="271"/>
        <w:ind w:firstLine="480"/>
        <w:jc w:val="right"/>
        <w:rPr>
          <w:rFonts w:asciiTheme="minorEastAsia" w:hAnsiTheme="minorEastAsia" w:eastAsiaTheme="minorEastAsia"/>
          <w:b/>
          <w:color w:val="auto"/>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pStyle w:val="2"/>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bookmarkStart w:id="140" w:name="_Toc311036360"/>
      <w:r>
        <w:rPr>
          <w:rFonts w:hint="eastAsia" w:asciiTheme="minorEastAsia" w:hAnsiTheme="minorEastAsia" w:eastAsiaTheme="minorEastAsia"/>
          <w:bCs w:val="0"/>
          <w:color w:val="auto"/>
          <w:sz w:val="32"/>
          <w:szCs w:val="20"/>
          <w:highlight w:val="none"/>
        </w:rPr>
        <w:t xml:space="preserve">7、响应偏离表 </w:t>
      </w:r>
    </w:p>
    <w:p>
      <w:pPr>
        <w:snapToGrid w:val="0"/>
        <w:spacing w:line="360" w:lineRule="auto"/>
        <w:ind w:firstLine="480" w:firstLineChars="200"/>
        <w:rPr>
          <w:rFonts w:asciiTheme="minorEastAsia" w:hAnsiTheme="minorEastAsia" w:eastAsiaTheme="minorEastAsia"/>
          <w:b/>
          <w:bCs/>
          <w:color w:val="auto"/>
          <w:highlight w:val="none"/>
        </w:rPr>
      </w:pPr>
      <w:r>
        <w:rPr>
          <w:rFonts w:hint="eastAsia" w:asciiTheme="minorEastAsia" w:hAnsiTheme="minorEastAsia" w:eastAsiaTheme="minorEastAsia"/>
          <w:bCs/>
          <w:color w:val="auto"/>
          <w:highlight w:val="none"/>
        </w:rPr>
        <w:t>说明：投标人必须仔细阅读第三章采购需求中所有要求，并将所有技术和商务要求偏离的情况逐条列入下表，未列入下表的视作投标人不响应。</w:t>
      </w:r>
      <w:r>
        <w:rPr>
          <w:rFonts w:hint="eastAsia" w:asciiTheme="minorEastAsia" w:hAnsiTheme="minorEastAsia" w:eastAsiaTheme="minorEastAsia"/>
          <w:b/>
          <w:bCs/>
          <w:color w:val="auto"/>
          <w:highlight w:val="none"/>
        </w:rPr>
        <w:t>投标人必须根据所投产品的实际情况如实填写，评委会如发现有严重虚假描述的，该投标文件作废标处理。</w:t>
      </w:r>
    </w:p>
    <w:tbl>
      <w:tblPr>
        <w:tblStyle w:val="40"/>
        <w:tblW w:w="96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51"/>
        <w:gridCol w:w="2364"/>
        <w:gridCol w:w="2270"/>
        <w:gridCol w:w="168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675"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序号</w:t>
            </w:r>
          </w:p>
        </w:tc>
        <w:tc>
          <w:tcPr>
            <w:tcW w:w="1451"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货物名称</w:t>
            </w:r>
            <w:r>
              <w:rPr>
                <w:rFonts w:hint="eastAsia" w:asciiTheme="minorEastAsia" w:hAnsiTheme="minorEastAsia" w:eastAsiaTheme="minorEastAsia"/>
                <w:color w:val="auto"/>
                <w:szCs w:val="21"/>
                <w:highlight w:val="none"/>
              </w:rPr>
              <w:t>（或需求类别、服务内容、服务要求等条款）</w:t>
            </w:r>
          </w:p>
        </w:tc>
        <w:tc>
          <w:tcPr>
            <w:tcW w:w="2364"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原技术规范和其他要求条款描述</w:t>
            </w:r>
          </w:p>
        </w:tc>
        <w:tc>
          <w:tcPr>
            <w:tcW w:w="2270"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投标人技术规范和其他要求响应条款描述</w:t>
            </w:r>
          </w:p>
        </w:tc>
        <w:tc>
          <w:tcPr>
            <w:tcW w:w="1680"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偏离情况说明</w:t>
            </w:r>
          </w:p>
          <w:p>
            <w:pPr>
              <w:snapToGrid w:val="0"/>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p>
        </w:tc>
        <w:tc>
          <w:tcPr>
            <w:tcW w:w="1211" w:type="dxa"/>
            <w:tcBorders>
              <w:bottom w:val="single" w:color="auto" w:sz="4" w:space="0"/>
            </w:tcBorders>
            <w:shd w:val="clear" w:color="auto" w:fill="D9D9D9"/>
            <w:vAlign w:val="center"/>
          </w:tcPr>
          <w:p>
            <w:pPr>
              <w:snapToGrid w:val="0"/>
              <w:spacing w:line="360" w:lineRule="auto"/>
              <w:jc w:val="center"/>
              <w:rPr>
                <w:rFonts w:asciiTheme="minorEastAsia" w:hAnsiTheme="minorEastAsia" w:eastAsiaTheme="minorEastAsia"/>
                <w:color w:val="auto"/>
                <w:szCs w:val="21"/>
                <w:highlight w:val="none"/>
              </w:rPr>
            </w:pPr>
            <w:r>
              <w:rPr>
                <w:rFonts w:cs="宋体" w:asciiTheme="minorEastAsia" w:hAnsiTheme="minorEastAsia" w:eastAsiaTheme="minorEastAsia"/>
                <w:color w:val="auto"/>
                <w:szCs w:val="24"/>
                <w:highlight w:val="none"/>
              </w:rPr>
              <w:t>佐证材料索引页码（如有）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675"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w:t>
            </w:r>
          </w:p>
        </w:tc>
        <w:tc>
          <w:tcPr>
            <w:tcW w:w="1451" w:type="dxa"/>
            <w:vAlign w:val="center"/>
          </w:tcPr>
          <w:p>
            <w:pPr>
              <w:spacing w:line="360" w:lineRule="auto"/>
              <w:jc w:val="center"/>
              <w:rPr>
                <w:rFonts w:asciiTheme="minorEastAsia" w:hAnsiTheme="minorEastAsia" w:eastAsiaTheme="minorEastAsia"/>
                <w:color w:val="auto"/>
                <w:szCs w:val="21"/>
                <w:highlight w:val="none"/>
              </w:rPr>
            </w:pPr>
          </w:p>
        </w:tc>
        <w:tc>
          <w:tcPr>
            <w:tcW w:w="2364"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227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68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211" w:type="dxa"/>
            <w:vAlign w:val="center"/>
          </w:tcPr>
          <w:p>
            <w:pPr>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675" w:type="dxa"/>
            <w:vAlign w:val="center"/>
          </w:tcPr>
          <w:p>
            <w:pPr>
              <w:spacing w:line="360"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2</w:t>
            </w:r>
          </w:p>
        </w:tc>
        <w:tc>
          <w:tcPr>
            <w:tcW w:w="1451" w:type="dxa"/>
            <w:vAlign w:val="center"/>
          </w:tcPr>
          <w:p>
            <w:pPr>
              <w:spacing w:line="360" w:lineRule="auto"/>
              <w:jc w:val="center"/>
              <w:rPr>
                <w:rFonts w:asciiTheme="minorEastAsia" w:hAnsiTheme="minorEastAsia" w:eastAsiaTheme="minorEastAsia"/>
                <w:color w:val="auto"/>
                <w:szCs w:val="21"/>
                <w:highlight w:val="none"/>
              </w:rPr>
            </w:pPr>
          </w:p>
        </w:tc>
        <w:tc>
          <w:tcPr>
            <w:tcW w:w="2364"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227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68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211" w:type="dxa"/>
            <w:vAlign w:val="center"/>
          </w:tcPr>
          <w:p>
            <w:pPr>
              <w:snapToGrid w:val="0"/>
              <w:spacing w:line="360" w:lineRule="auto"/>
              <w:jc w:val="center"/>
              <w:rPr>
                <w:rFonts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675" w:type="dxa"/>
            <w:vAlign w:val="center"/>
          </w:tcPr>
          <w:p>
            <w:pPr>
              <w:spacing w:line="360" w:lineRule="auto"/>
              <w:jc w:val="center"/>
              <w:rPr>
                <w:rFonts w:asciiTheme="minorEastAsia" w:hAnsiTheme="minorEastAsia" w:eastAsiaTheme="minorEastAsia"/>
                <w:color w:val="auto"/>
                <w:szCs w:val="21"/>
                <w:highlight w:val="none"/>
              </w:rPr>
            </w:pPr>
            <w:r>
              <w:rPr>
                <w:rFonts w:asciiTheme="minorEastAsia" w:hAnsiTheme="minorEastAsia" w:eastAsiaTheme="minorEastAsia"/>
                <w:color w:val="auto"/>
                <w:szCs w:val="21"/>
                <w:highlight w:val="none"/>
              </w:rPr>
              <w:t>……</w:t>
            </w:r>
          </w:p>
        </w:tc>
        <w:tc>
          <w:tcPr>
            <w:tcW w:w="1451" w:type="dxa"/>
            <w:vAlign w:val="center"/>
          </w:tcPr>
          <w:p>
            <w:pPr>
              <w:spacing w:line="360" w:lineRule="auto"/>
              <w:rPr>
                <w:rFonts w:asciiTheme="minorEastAsia" w:hAnsiTheme="minorEastAsia" w:eastAsiaTheme="minorEastAsia"/>
                <w:color w:val="auto"/>
                <w:szCs w:val="21"/>
                <w:highlight w:val="none"/>
              </w:rPr>
            </w:pPr>
          </w:p>
        </w:tc>
        <w:tc>
          <w:tcPr>
            <w:tcW w:w="2364"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227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680" w:type="dxa"/>
            <w:vAlign w:val="center"/>
          </w:tcPr>
          <w:p>
            <w:pPr>
              <w:snapToGrid w:val="0"/>
              <w:spacing w:line="360" w:lineRule="auto"/>
              <w:jc w:val="center"/>
              <w:rPr>
                <w:rFonts w:asciiTheme="minorEastAsia" w:hAnsiTheme="minorEastAsia" w:eastAsiaTheme="minorEastAsia"/>
                <w:color w:val="auto"/>
                <w:szCs w:val="21"/>
                <w:highlight w:val="none"/>
              </w:rPr>
            </w:pPr>
          </w:p>
        </w:tc>
        <w:tc>
          <w:tcPr>
            <w:tcW w:w="1211" w:type="dxa"/>
            <w:vAlign w:val="center"/>
          </w:tcPr>
          <w:p>
            <w:pPr>
              <w:snapToGrid w:val="0"/>
              <w:spacing w:line="360" w:lineRule="auto"/>
              <w:jc w:val="center"/>
              <w:rPr>
                <w:rFonts w:asciiTheme="minorEastAsia" w:hAnsiTheme="minorEastAsia" w:eastAsiaTheme="minorEastAsia"/>
                <w:color w:val="auto"/>
                <w:szCs w:val="21"/>
                <w:highlight w:val="none"/>
              </w:rPr>
            </w:pPr>
          </w:p>
        </w:tc>
      </w:tr>
    </w:tbl>
    <w:p>
      <w:pPr>
        <w:tabs>
          <w:tab w:val="left" w:pos="11130"/>
        </w:tabs>
        <w:snapToGrid w:val="0"/>
        <w:spacing w:line="360" w:lineRule="auto"/>
        <w:rPr>
          <w:rFonts w:asciiTheme="minorEastAsia" w:hAnsiTheme="minorEastAsia" w:eastAsiaTheme="minorEastAsia"/>
          <w:bCs/>
          <w:color w:val="auto"/>
          <w:szCs w:val="24"/>
          <w:highlight w:val="none"/>
        </w:rPr>
      </w:pPr>
    </w:p>
    <w:p>
      <w:pPr>
        <w:snapToGrid w:val="0"/>
        <w:spacing w:line="360" w:lineRule="auto"/>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注：1、此表为表样，列数和行数可根据采购需求的内容调整，其他部分表式不变。</w:t>
      </w:r>
    </w:p>
    <w:p>
      <w:pPr>
        <w:snapToGrid w:val="0"/>
        <w:spacing w:line="360" w:lineRule="auto"/>
        <w:ind w:firstLine="46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w:t>
      </w:r>
      <w:r>
        <w:rPr>
          <w:rFonts w:cs="宋体" w:asciiTheme="minorEastAsia" w:hAnsiTheme="minorEastAsia" w:eastAsiaTheme="minorEastAsia"/>
          <w:color w:val="auto"/>
          <w:szCs w:val="24"/>
          <w:highlight w:val="none"/>
        </w:rPr>
        <w:t>按照招标项目参数要求的顺序对应填写“偏离表”</w:t>
      </w:r>
      <w:r>
        <w:rPr>
          <w:rFonts w:hint="eastAsia" w:asciiTheme="minorEastAsia" w:hAnsiTheme="minorEastAsia" w:eastAsiaTheme="minorEastAsia"/>
          <w:bCs/>
          <w:color w:val="auto"/>
          <w:highlight w:val="none"/>
        </w:rPr>
        <w:t>。</w:t>
      </w:r>
    </w:p>
    <w:p>
      <w:pPr>
        <w:snapToGrid w:val="0"/>
        <w:spacing w:line="360" w:lineRule="auto"/>
        <w:ind w:firstLine="462"/>
        <w:jc w:val="left"/>
        <w:rPr>
          <w:rFonts w:cs="宋体" w:asciiTheme="minorEastAsia" w:hAnsiTheme="minorEastAsia" w:eastAsiaTheme="minorEastAsia"/>
          <w:color w:val="auto"/>
          <w:szCs w:val="24"/>
          <w:highlight w:val="none"/>
        </w:rPr>
      </w:pPr>
      <w:r>
        <w:rPr>
          <w:rFonts w:hint="eastAsia" w:asciiTheme="minorEastAsia" w:hAnsiTheme="minorEastAsia" w:eastAsiaTheme="minorEastAsia"/>
          <w:bCs/>
          <w:color w:val="auto"/>
          <w:highlight w:val="none"/>
        </w:rPr>
        <w:t>3、是否偏离用符号“+、=、-”分别表示正偏离、完全响应、负偏离。</w:t>
      </w:r>
      <w:r>
        <w:rPr>
          <w:rFonts w:cs="宋体" w:asciiTheme="minorEastAsia" w:hAnsiTheme="minorEastAsia" w:eastAsiaTheme="minorEastAsia"/>
          <w:color w:val="auto"/>
          <w:szCs w:val="24"/>
          <w:highlight w:val="none"/>
        </w:rPr>
        <w:t>评委评标时不能只根据投标人填写的偏离情况说明来判断是否 响应，而应认真查阅“投标文件技术参数/功能响应”内容以及相关的技术资料判断是否满足要求</w:t>
      </w:r>
      <w:r>
        <w:rPr>
          <w:rFonts w:hint="eastAsia" w:cs="宋体" w:asciiTheme="minorEastAsia" w:hAnsiTheme="minorEastAsia" w:eastAsiaTheme="minorEastAsia"/>
          <w:color w:val="auto"/>
          <w:szCs w:val="24"/>
          <w:highlight w:val="none"/>
        </w:rPr>
        <w:t>。</w:t>
      </w:r>
    </w:p>
    <w:p>
      <w:pPr>
        <w:pStyle w:val="52"/>
        <w:ind w:firstLine="480"/>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w:t>
      </w:r>
      <w:r>
        <w:rPr>
          <w:rFonts w:cs="宋体" w:asciiTheme="minorEastAsia" w:hAnsiTheme="minorEastAsia" w:eastAsiaTheme="minorEastAsia"/>
          <w:color w:val="auto"/>
          <w:highlight w:val="none"/>
        </w:rPr>
        <w:t>、投标人必须据实填写，不得虚假填写，否则将取消其投标或中标资格。</w:t>
      </w:r>
    </w:p>
    <w:p>
      <w:pPr>
        <w:snapToGrid w:val="0"/>
        <w:spacing w:line="360" w:lineRule="auto"/>
        <w:rPr>
          <w:rFonts w:asciiTheme="minorEastAsia" w:hAnsiTheme="minorEastAsia" w:eastAsiaTheme="minorEastAsia"/>
          <w:bCs/>
          <w:color w:val="auto"/>
          <w:szCs w:val="24"/>
          <w:highlight w:val="none"/>
        </w:rPr>
      </w:pPr>
    </w:p>
    <w:p>
      <w:pPr>
        <w:pStyle w:val="271"/>
        <w:ind w:firstLine="480"/>
        <w:jc w:val="right"/>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spacing w:line="360" w:lineRule="auto"/>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p>
      <w:pPr>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br w:type="page"/>
      </w:r>
    </w:p>
    <w:p>
      <w:pPr>
        <w:pStyle w:val="2"/>
        <w:ind w:left="576"/>
        <w:rPr>
          <w:rFonts w:asciiTheme="minorEastAsia" w:hAnsiTheme="minorEastAsia" w:eastAsiaTheme="minorEastAsia" w:cstheme="minorEastAsia"/>
          <w:color w:val="auto"/>
          <w:highlight w:val="none"/>
        </w:rPr>
      </w:pPr>
      <w:r>
        <w:rPr>
          <w:rFonts w:hint="eastAsia" w:asciiTheme="minorEastAsia" w:hAnsiTheme="minorEastAsia" w:eastAsiaTheme="minorEastAsia"/>
          <w:color w:val="auto"/>
          <w:sz w:val="32"/>
          <w:highlight w:val="none"/>
        </w:rPr>
        <w:t>8</w:t>
      </w:r>
      <w:r>
        <w:rPr>
          <w:rFonts w:asciiTheme="minorEastAsia" w:hAnsiTheme="minorEastAsia" w:eastAsiaTheme="minorEastAsia"/>
          <w:color w:val="auto"/>
          <w:sz w:val="32"/>
          <w:highlight w:val="none"/>
        </w:rPr>
        <w:t>、</w:t>
      </w:r>
      <w:r>
        <w:rPr>
          <w:rFonts w:hint="eastAsia" w:asciiTheme="minorEastAsia" w:hAnsiTheme="minorEastAsia" w:eastAsiaTheme="minorEastAsia" w:cstheme="minorEastAsia"/>
          <w:color w:val="auto"/>
          <w:highlight w:val="none"/>
        </w:rPr>
        <w:t xml:space="preserve">诚信投标、诚信履约承诺书 </w:t>
      </w:r>
    </w:p>
    <w:p>
      <w:pPr>
        <w:snapToGrid w:val="0"/>
        <w:spacing w:line="360" w:lineRule="auto"/>
        <w:ind w:firstLine="361" w:firstLineChars="150"/>
        <w:rPr>
          <w:rFonts w:cs="宋体" w:asciiTheme="minorEastAsia" w:hAnsiTheme="minorEastAsia" w:eastAsiaTheme="minorEastAsia"/>
          <w:b/>
          <w:color w:val="auto"/>
          <w:szCs w:val="24"/>
          <w:highlight w:val="none"/>
          <w:u w:val="single"/>
        </w:rPr>
      </w:pPr>
      <w:r>
        <w:rPr>
          <w:rFonts w:hint="eastAsia" w:cs="宋体" w:asciiTheme="minorEastAsia" w:hAnsiTheme="minorEastAsia" w:eastAsiaTheme="minorEastAsia"/>
          <w:b/>
          <w:color w:val="auto"/>
          <w:szCs w:val="24"/>
          <w:highlight w:val="none"/>
          <w:u w:val="single"/>
        </w:rPr>
        <w:t>乐东黎族自治县特殊教育学校：</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我方就本次投标活动向贵方郑重承诺：</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一、我们已经充分理解了招标文件规定的所有招标要求、中标条件和合同条款，没有任何异议。</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三、我们的投标报价包含了履行合同所需的全部费用。不论何种原因造成的报价漏项损失，我方全部承担，不会提出任何增加费用的要求。</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六、我们声明：我方在溯往两年内的政府采购活动中，没有中标后放弃中标、拒签或故意拖延签署合同、拒绝履行或故意拖延履行合同的不诚信行为。</w:t>
      </w:r>
    </w:p>
    <w:p>
      <w:pPr>
        <w:snapToGrid w:val="0"/>
        <w:spacing w:line="360" w:lineRule="auto"/>
        <w:ind w:firstLine="480" w:firstLineChars="200"/>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以上承诺，能够经受来自任何方面的审查和监督。如有虚假或背离，我方愿承担由此引发的一切不利后果，无条件接受采购人的处置和政府采购监管单位的处罚。</w:t>
      </w:r>
    </w:p>
    <w:p>
      <w:pPr>
        <w:pStyle w:val="81"/>
        <w:tabs>
          <w:tab w:val="left" w:pos="2059"/>
          <w:tab w:val="left" w:pos="2060"/>
        </w:tabs>
        <w:spacing w:before="6"/>
        <w:ind w:left="480" w:leftChars="200" w:right="250" w:firstLine="0" w:firstLineChars="0"/>
        <w:jc w:val="left"/>
        <w:rPr>
          <w:rFonts w:asciiTheme="minorEastAsia" w:hAnsiTheme="minorEastAsia" w:eastAsiaTheme="minorEastAsia"/>
          <w:color w:val="auto"/>
          <w:sz w:val="21"/>
          <w:highlight w:val="none"/>
        </w:rPr>
      </w:pPr>
    </w:p>
    <w:p>
      <w:pPr>
        <w:pStyle w:val="271"/>
        <w:ind w:firstLine="480"/>
        <w:jc w:val="right"/>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spacing w:line="360" w:lineRule="auto"/>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p>
      <w:pPr>
        <w:pStyle w:val="2"/>
        <w:rPr>
          <w:rFonts w:asciiTheme="minorEastAsia" w:hAnsiTheme="minorEastAsia" w:eastAsiaTheme="minorEastAsia"/>
          <w:color w:val="auto"/>
          <w:sz w:val="32"/>
          <w:highlight w:val="none"/>
        </w:rPr>
      </w:pPr>
      <w:r>
        <w:rPr>
          <w:rFonts w:asciiTheme="minorEastAsia" w:hAnsiTheme="minorEastAsia" w:eastAsiaTheme="minorEastAsia"/>
          <w:color w:val="auto"/>
          <w:highlight w:val="none"/>
        </w:rPr>
        <w:br w:type="page"/>
      </w:r>
      <w:bookmarkStart w:id="141" w:name="8、投标人基本情况"/>
      <w:bookmarkEnd w:id="141"/>
      <w:bookmarkStart w:id="142" w:name="_bookmark36"/>
      <w:bookmarkEnd w:id="142"/>
      <w:r>
        <w:rPr>
          <w:rFonts w:hint="eastAsia" w:asciiTheme="minorEastAsia" w:hAnsiTheme="minorEastAsia" w:eastAsiaTheme="minorEastAsia" w:cstheme="minorEastAsia"/>
          <w:color w:val="auto"/>
          <w:highlight w:val="none"/>
        </w:rPr>
        <w:t xml:space="preserve">9、投标人基本情况 </w:t>
      </w:r>
    </w:p>
    <w:p>
      <w:pPr>
        <w:pStyle w:val="12"/>
        <w:spacing w:line="360" w:lineRule="auto"/>
        <w:ind w:firstLine="0" w:firstLineChars="0"/>
        <w:rPr>
          <w:rFonts w:asciiTheme="minorEastAsia" w:hAnsiTheme="minorEastAsia" w:eastAsiaTheme="minorEastAsia"/>
          <w:b/>
          <w:bCs/>
          <w:color w:val="auto"/>
          <w:szCs w:val="32"/>
          <w:highlight w:val="none"/>
        </w:rPr>
      </w:pPr>
    </w:p>
    <w:tbl>
      <w:tblPr>
        <w:tblStyle w:val="40"/>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189"/>
        <w:gridCol w:w="1348"/>
        <w:gridCol w:w="1471"/>
        <w:gridCol w:w="1222"/>
        <w:gridCol w:w="26"/>
        <w:gridCol w:w="825"/>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682" w:type="dxa"/>
            <w:vAlign w:val="center"/>
          </w:tcPr>
          <w:p>
            <w:pPr>
              <w:spacing w:line="360" w:lineRule="auto"/>
              <w:jc w:val="center"/>
              <w:rPr>
                <w:rFonts w:asciiTheme="minorEastAsia" w:hAnsiTheme="minorEastAsia" w:eastAsiaTheme="minorEastAsia"/>
                <w:color w:val="auto"/>
                <w:highlight w:val="none"/>
              </w:rPr>
            </w:pPr>
            <w:bookmarkStart w:id="143" w:name="_Toc17512"/>
            <w:bookmarkStart w:id="144" w:name="_Toc29348"/>
            <w:r>
              <w:rPr>
                <w:rFonts w:hint="eastAsia" w:asciiTheme="minorEastAsia" w:hAnsiTheme="minorEastAsia" w:eastAsiaTheme="minorEastAsia"/>
                <w:color w:val="auto"/>
                <w:highlight w:val="none"/>
              </w:rPr>
              <w:t>投标人名称</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营业执代码</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注册地址</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办公地址</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Merge w:val="restart"/>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联系方式</w:t>
            </w:r>
          </w:p>
        </w:tc>
        <w:tc>
          <w:tcPr>
            <w:tcW w:w="1189"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w:t>
            </w:r>
          </w:p>
        </w:tc>
        <w:tc>
          <w:tcPr>
            <w:tcW w:w="2819" w:type="dxa"/>
            <w:gridSpan w:val="2"/>
            <w:vAlign w:val="center"/>
          </w:tcPr>
          <w:p>
            <w:pPr>
              <w:spacing w:line="360" w:lineRule="auto"/>
              <w:jc w:val="center"/>
              <w:rPr>
                <w:rFonts w:asciiTheme="minorEastAsia" w:hAnsiTheme="minorEastAsia" w:eastAsiaTheme="minorEastAsia"/>
                <w:color w:val="auto"/>
                <w:highlight w:val="none"/>
              </w:rPr>
            </w:pPr>
          </w:p>
        </w:tc>
        <w:tc>
          <w:tcPr>
            <w:tcW w:w="1248" w:type="dxa"/>
            <w:gridSpan w:val="2"/>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  话</w:t>
            </w:r>
          </w:p>
        </w:tc>
        <w:tc>
          <w:tcPr>
            <w:tcW w:w="2095" w:type="dxa"/>
            <w:gridSpan w:val="2"/>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Merge w:val="continue"/>
            <w:vAlign w:val="center"/>
          </w:tcPr>
          <w:p>
            <w:pPr>
              <w:spacing w:line="360" w:lineRule="auto"/>
              <w:jc w:val="center"/>
              <w:rPr>
                <w:rFonts w:asciiTheme="minorEastAsia" w:hAnsiTheme="minorEastAsia" w:eastAsiaTheme="minorEastAsia"/>
                <w:color w:val="auto"/>
                <w:highlight w:val="none"/>
              </w:rPr>
            </w:pPr>
          </w:p>
        </w:tc>
        <w:tc>
          <w:tcPr>
            <w:tcW w:w="1189"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传真</w:t>
            </w:r>
          </w:p>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（如有）</w:t>
            </w:r>
          </w:p>
        </w:tc>
        <w:tc>
          <w:tcPr>
            <w:tcW w:w="2819" w:type="dxa"/>
            <w:gridSpan w:val="2"/>
            <w:vAlign w:val="center"/>
          </w:tcPr>
          <w:p>
            <w:pPr>
              <w:spacing w:line="360" w:lineRule="auto"/>
              <w:jc w:val="center"/>
              <w:rPr>
                <w:rFonts w:asciiTheme="minorEastAsia" w:hAnsiTheme="minorEastAsia" w:eastAsiaTheme="minorEastAsia"/>
                <w:color w:val="auto"/>
                <w:highlight w:val="none"/>
              </w:rPr>
            </w:pPr>
          </w:p>
        </w:tc>
        <w:tc>
          <w:tcPr>
            <w:tcW w:w="1248" w:type="dxa"/>
            <w:gridSpan w:val="2"/>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网  址</w:t>
            </w:r>
          </w:p>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（如有）</w:t>
            </w:r>
          </w:p>
        </w:tc>
        <w:tc>
          <w:tcPr>
            <w:tcW w:w="2095" w:type="dxa"/>
            <w:gridSpan w:val="2"/>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股东名单及持股比例</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w:t>
            </w:r>
          </w:p>
        </w:tc>
        <w:tc>
          <w:tcPr>
            <w:tcW w:w="1189"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姓名</w:t>
            </w:r>
          </w:p>
        </w:tc>
        <w:tc>
          <w:tcPr>
            <w:tcW w:w="1348" w:type="dxa"/>
            <w:vAlign w:val="center"/>
          </w:tcPr>
          <w:p>
            <w:pPr>
              <w:spacing w:line="360" w:lineRule="auto"/>
              <w:jc w:val="center"/>
              <w:rPr>
                <w:rFonts w:asciiTheme="minorEastAsia" w:hAnsiTheme="minorEastAsia" w:eastAsiaTheme="minorEastAsia"/>
                <w:color w:val="auto"/>
                <w:highlight w:val="none"/>
              </w:rPr>
            </w:pPr>
          </w:p>
        </w:tc>
        <w:tc>
          <w:tcPr>
            <w:tcW w:w="1471"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单位负责人</w:t>
            </w:r>
          </w:p>
        </w:tc>
        <w:tc>
          <w:tcPr>
            <w:tcW w:w="1222" w:type="dxa"/>
            <w:vAlign w:val="center"/>
          </w:tcPr>
          <w:p>
            <w:pPr>
              <w:spacing w:line="360" w:lineRule="auto"/>
              <w:jc w:val="center"/>
              <w:rPr>
                <w:rFonts w:asciiTheme="minorEastAsia" w:hAnsiTheme="minorEastAsia" w:eastAsiaTheme="minorEastAsia"/>
                <w:color w:val="auto"/>
                <w:highlight w:val="none"/>
              </w:rPr>
            </w:pPr>
          </w:p>
        </w:tc>
        <w:tc>
          <w:tcPr>
            <w:tcW w:w="851" w:type="dxa"/>
            <w:gridSpan w:val="2"/>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电话</w:t>
            </w:r>
          </w:p>
        </w:tc>
        <w:tc>
          <w:tcPr>
            <w:tcW w:w="1270" w:type="dxa"/>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成立时间</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注册资金</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开户银行</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账号</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开户行所在地</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82" w:type="dxa"/>
            <w:vAlign w:val="center"/>
          </w:tcPr>
          <w:p>
            <w:pPr>
              <w:spacing w:line="360" w:lineRule="auto"/>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经营范围</w:t>
            </w:r>
          </w:p>
        </w:tc>
        <w:tc>
          <w:tcPr>
            <w:tcW w:w="7351" w:type="dxa"/>
            <w:gridSpan w:val="7"/>
            <w:vAlign w:val="center"/>
          </w:tcPr>
          <w:p>
            <w:pPr>
              <w:spacing w:line="360" w:lineRule="auto"/>
              <w:jc w:val="center"/>
              <w:rPr>
                <w:rFonts w:asciiTheme="minorEastAsia" w:hAnsiTheme="minorEastAsia" w:eastAsia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82" w:type="dxa"/>
            <w:vAlign w:val="center"/>
          </w:tcPr>
          <w:p>
            <w:pPr>
              <w:spacing w:line="360" w:lineRule="auto"/>
              <w:jc w:val="cente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注</w:t>
            </w:r>
          </w:p>
        </w:tc>
        <w:tc>
          <w:tcPr>
            <w:tcW w:w="7351" w:type="dxa"/>
            <w:gridSpan w:val="7"/>
            <w:vAlign w:val="center"/>
          </w:tcPr>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1.以上基本信息真实、有效、合法，若否，将承担一切法律责任；</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2.若与参加本项目响应的其他投标人存在单位负责人为同一人或者存在直接控股关系、管理关系的情形，视为无效响应并承担因此产生的一切法律责任。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gridSpan w:val="8"/>
            <w:vAlign w:val="center"/>
          </w:tcPr>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投标人名称：</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（盖公章）</w:t>
            </w:r>
          </w:p>
          <w:p>
            <w:pPr>
              <w:pStyle w:val="271"/>
              <w:ind w:firstLine="480"/>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法定代表人（或授权代理人）：</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（签字或盖章）</w:t>
            </w:r>
          </w:p>
          <w:p>
            <w:pPr>
              <w:spacing w:line="360" w:lineRule="auto"/>
              <w:jc w:val="right"/>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p>
        </w:tc>
      </w:tr>
      <w:bookmarkEnd w:id="143"/>
      <w:bookmarkEnd w:id="144"/>
    </w:tbl>
    <w:p>
      <w:pPr>
        <w:pStyle w:val="2"/>
        <w:jc w:val="both"/>
        <w:rPr>
          <w:rFonts w:asciiTheme="minorEastAsia" w:hAnsiTheme="minorEastAsia" w:eastAsiaTheme="minorEastAsia"/>
          <w:bCs w:val="0"/>
          <w:color w:val="auto"/>
          <w:sz w:val="32"/>
          <w:szCs w:val="20"/>
          <w:highlight w:val="none"/>
        </w:rPr>
      </w:pPr>
      <w:r>
        <w:rPr>
          <w:rFonts w:asciiTheme="minorEastAsia" w:hAnsiTheme="minorEastAsia" w:eastAsiaTheme="minorEastAsia"/>
          <w:color w:val="auto"/>
          <w:highlight w:val="none"/>
        </w:rPr>
        <w:br w:type="page"/>
      </w:r>
      <w:r>
        <w:rPr>
          <w:rFonts w:hint="eastAsia" w:asciiTheme="minorEastAsia" w:hAnsiTheme="minorEastAsia" w:eastAsiaTheme="minorEastAsia"/>
          <w:bCs w:val="0"/>
          <w:color w:val="auto"/>
          <w:sz w:val="32"/>
          <w:szCs w:val="20"/>
          <w:highlight w:val="none"/>
        </w:rPr>
        <w:t>10、</w:t>
      </w:r>
      <w:bookmarkEnd w:id="140"/>
      <w:r>
        <w:rPr>
          <w:rFonts w:hint="eastAsia" w:asciiTheme="minorEastAsia" w:hAnsiTheme="minorEastAsia" w:eastAsiaTheme="minorEastAsia"/>
          <w:bCs w:val="0"/>
          <w:color w:val="auto"/>
          <w:sz w:val="32"/>
          <w:szCs w:val="20"/>
          <w:highlight w:val="none"/>
        </w:rPr>
        <w:t xml:space="preserve">资格审查表和符合性审查证明材料 </w:t>
      </w:r>
    </w:p>
    <w:p>
      <w:pPr>
        <w:snapToGrid w:val="0"/>
        <w:spacing w:line="360" w:lineRule="auto"/>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（资格审查表和符合性审查表要求的材料）</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spacing w:line="360" w:lineRule="auto"/>
        <w:rPr>
          <w:color w:val="auto"/>
          <w:highlight w:val="none"/>
        </w:rPr>
      </w:pPr>
    </w:p>
    <w:p>
      <w:pPr>
        <w:pStyle w:val="2"/>
        <w:jc w:val="both"/>
        <w:rPr>
          <w:rFonts w:asciiTheme="minorEastAsia" w:hAnsiTheme="minorEastAsia" w:eastAsiaTheme="minorEastAsia"/>
          <w:bCs w:val="0"/>
          <w:color w:val="auto"/>
          <w:sz w:val="32"/>
          <w:szCs w:val="20"/>
          <w:highlight w:val="none"/>
        </w:rPr>
      </w:pPr>
      <w:r>
        <w:rPr>
          <w:rFonts w:hint="eastAsia" w:asciiTheme="minorEastAsia" w:hAnsiTheme="minorEastAsia" w:eastAsiaTheme="minorEastAsia"/>
          <w:bCs w:val="0"/>
          <w:color w:val="auto"/>
          <w:sz w:val="32"/>
          <w:szCs w:val="20"/>
          <w:highlight w:val="none"/>
        </w:rPr>
        <w:t xml:space="preserve">11、其他材料 </w:t>
      </w:r>
    </w:p>
    <w:p>
      <w:pPr>
        <w:spacing w:line="360" w:lineRule="auto"/>
        <w:rPr>
          <w:rFonts w:asciiTheme="minorEastAsia" w:hAnsiTheme="minorEastAsia" w:eastAsiaTheme="minorEastAsia"/>
          <w:b/>
          <w:bCs/>
          <w:color w:val="auto"/>
          <w:szCs w:val="24"/>
          <w:highlight w:val="none"/>
        </w:rPr>
      </w:pPr>
      <w:r>
        <w:rPr>
          <w:rFonts w:hint="eastAsia" w:cs="宋体" w:asciiTheme="minorEastAsia" w:hAnsiTheme="minorEastAsia" w:eastAsiaTheme="minorEastAsia"/>
          <w:bCs/>
          <w:color w:val="auto"/>
          <w:highlight w:val="none"/>
        </w:rPr>
        <w:t>（招标文件要求提供和投标人认为应当提供的其他证明材料、实施及</w:t>
      </w:r>
      <w:r>
        <w:rPr>
          <w:rFonts w:cs="宋体" w:asciiTheme="minorEastAsia" w:hAnsiTheme="minorEastAsia" w:eastAsiaTheme="minorEastAsia"/>
          <w:bCs/>
          <w:color w:val="auto"/>
          <w:highlight w:val="none"/>
        </w:rPr>
        <w:t>售后服务</w:t>
      </w:r>
      <w:r>
        <w:rPr>
          <w:rFonts w:hint="eastAsia" w:cs="宋体" w:asciiTheme="minorEastAsia" w:hAnsiTheme="minorEastAsia" w:eastAsiaTheme="minorEastAsia"/>
          <w:bCs/>
          <w:color w:val="auto"/>
          <w:highlight w:val="none"/>
        </w:rPr>
        <w:t>方案等）</w:t>
      </w: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bookmarkEnd w:id="127"/>
    <w:bookmarkEnd w:id="128"/>
    <w:p>
      <w:pPr>
        <w:pStyle w:val="2"/>
        <w:rPr>
          <w:rFonts w:asciiTheme="minorEastAsia" w:hAnsiTheme="minorEastAsia" w:eastAsiaTheme="minorEastAsia"/>
          <w:bCs w:val="0"/>
          <w:color w:val="auto"/>
          <w:sz w:val="32"/>
          <w:szCs w:val="20"/>
          <w:highlight w:val="none"/>
        </w:rPr>
      </w:pPr>
      <w:bookmarkStart w:id="145" w:name="_Toc238907095"/>
      <w:r>
        <w:rPr>
          <w:rFonts w:asciiTheme="minorEastAsia" w:hAnsiTheme="minorEastAsia" w:eastAsiaTheme="minorEastAsia"/>
          <w:color w:val="auto"/>
          <w:highlight w:val="none"/>
        </w:rPr>
        <w:br w:type="page"/>
      </w:r>
      <w:bookmarkEnd w:id="145"/>
      <w:r>
        <w:rPr>
          <w:rFonts w:hint="eastAsia" w:asciiTheme="minorEastAsia" w:hAnsiTheme="minorEastAsia" w:eastAsiaTheme="minorEastAsia"/>
          <w:bCs w:val="0"/>
          <w:color w:val="auto"/>
          <w:sz w:val="32"/>
          <w:szCs w:val="20"/>
          <w:highlight w:val="none"/>
        </w:rPr>
        <w:t xml:space="preserve">12、保证金退还申请书 </w:t>
      </w:r>
    </w:p>
    <w:p>
      <w:pPr>
        <w:spacing w:line="360" w:lineRule="auto"/>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致：海南政邦招标代理有限公司</w:t>
      </w:r>
    </w:p>
    <w:p>
      <w:pPr>
        <w:spacing w:line="360" w:lineRule="auto"/>
        <w:ind w:firstLine="424" w:firstLineChars="177"/>
        <w:jc w:val="lef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我司于</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日为</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项目（   ）包（项目编号：</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）招标所提交的保证金人民币</w:t>
      </w:r>
      <w:r>
        <w:rPr>
          <w:rFonts w:hint="eastAsia" w:asciiTheme="minorEastAsia" w:hAnsiTheme="minorEastAsia" w:eastAsiaTheme="minorEastAsia"/>
          <w:color w:val="auto"/>
          <w:szCs w:val="24"/>
          <w:highlight w:val="none"/>
          <w:u w:val="single"/>
        </w:rPr>
        <w:t xml:space="preserve">       </w:t>
      </w:r>
      <w:r>
        <w:rPr>
          <w:rFonts w:cs="Arial" w:asciiTheme="minorEastAsia" w:hAnsiTheme="minorEastAsia" w:eastAsiaTheme="minorEastAsia"/>
          <w:color w:val="auto"/>
          <w:szCs w:val="24"/>
          <w:highlight w:val="none"/>
        </w:rPr>
        <w:t>¥</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，请贵公司退还时划到以下账户：</w:t>
      </w:r>
    </w:p>
    <w:p>
      <w:pPr>
        <w:spacing w:line="360" w:lineRule="auto"/>
        <w:jc w:val="left"/>
        <w:rPr>
          <w:rFonts w:asciiTheme="minorEastAsia" w:hAnsiTheme="minorEastAsia" w:eastAsiaTheme="minorEastAsia"/>
          <w:color w:val="auto"/>
          <w:szCs w:val="24"/>
          <w:highlight w:val="none"/>
        </w:rPr>
      </w:pPr>
    </w:p>
    <w:tbl>
      <w:tblPr>
        <w:tblStyle w:val="40"/>
        <w:tblpPr w:leftFromText="180" w:rightFromText="180" w:vertAnchor="text" w:horzAnchor="page" w:tblpX="1495" w:tblpY="519"/>
        <w:tblOverlap w:val="never"/>
        <w:tblW w:w="0" w:type="auto"/>
        <w:tblInd w:w="0" w:type="dxa"/>
        <w:tblLayout w:type="fixed"/>
        <w:tblCellMar>
          <w:top w:w="0" w:type="dxa"/>
          <w:left w:w="108" w:type="dxa"/>
          <w:bottom w:w="0" w:type="dxa"/>
          <w:right w:w="108" w:type="dxa"/>
        </w:tblCellMar>
      </w:tblPr>
      <w:tblGrid>
        <w:gridCol w:w="1800"/>
        <w:gridCol w:w="3411"/>
        <w:gridCol w:w="1257"/>
        <w:gridCol w:w="2429"/>
      </w:tblGrid>
      <w:tr>
        <w:tblPrEx>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outlineLvl w:val="1"/>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开户名称</w:t>
            </w:r>
          </w:p>
        </w:tc>
        <w:tc>
          <w:tcPr>
            <w:tcW w:w="7097" w:type="dxa"/>
            <w:gridSpan w:val="3"/>
            <w:tcBorders>
              <w:top w:val="single" w:color="auto" w:sz="4" w:space="0"/>
              <w:left w:val="nil"/>
              <w:bottom w:val="single" w:color="auto" w:sz="4" w:space="0"/>
              <w:right w:val="single" w:color="auto" w:sz="4" w:space="0"/>
            </w:tcBorders>
            <w:vAlign w:val="center"/>
          </w:tcPr>
          <w:p>
            <w:pPr>
              <w:spacing w:beforeLines="50" w:afterLines="50" w:line="360" w:lineRule="auto"/>
              <w:jc w:val="center"/>
              <w:rPr>
                <w:rFonts w:cs="宋体" w:asciiTheme="minorEastAsia" w:hAnsiTheme="minorEastAsia" w:eastAsiaTheme="minorEastAsia"/>
                <w:color w:val="auto"/>
                <w:szCs w:val="24"/>
                <w:highlight w:val="none"/>
              </w:rPr>
            </w:pPr>
          </w:p>
        </w:tc>
      </w:tr>
      <w:tr>
        <w:tblPrEx>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spacing w:beforeLines="50" w:afterLines="50" w:line="360" w:lineRule="auto"/>
              <w:jc w:val="center"/>
              <w:outlineLvl w:val="1"/>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开户银行全称</w:t>
            </w:r>
          </w:p>
        </w:tc>
        <w:tc>
          <w:tcPr>
            <w:tcW w:w="3411" w:type="dxa"/>
            <w:tcBorders>
              <w:top w:val="single" w:color="auto" w:sz="4" w:space="0"/>
              <w:left w:val="nil"/>
              <w:bottom w:val="single" w:color="auto" w:sz="4" w:space="0"/>
              <w:right w:val="single" w:color="auto" w:sz="4" w:space="0"/>
            </w:tcBorders>
            <w:vAlign w:val="center"/>
          </w:tcPr>
          <w:p>
            <w:pPr>
              <w:spacing w:beforeLines="50" w:afterLines="50" w:line="360" w:lineRule="auto"/>
              <w:jc w:val="center"/>
              <w:rPr>
                <w:rFonts w:cs="宋体" w:asciiTheme="minorEastAsia" w:hAnsiTheme="minorEastAsia" w:eastAsiaTheme="minorEastAsia"/>
                <w:color w:val="auto"/>
                <w:szCs w:val="24"/>
                <w:highlight w:val="none"/>
              </w:rPr>
            </w:pPr>
          </w:p>
        </w:tc>
        <w:tc>
          <w:tcPr>
            <w:tcW w:w="1257" w:type="dxa"/>
            <w:tcBorders>
              <w:top w:val="nil"/>
              <w:left w:val="nil"/>
              <w:bottom w:val="single" w:color="auto" w:sz="4" w:space="0"/>
              <w:right w:val="single" w:color="auto" w:sz="4" w:space="0"/>
            </w:tcBorders>
            <w:vAlign w:val="center"/>
          </w:tcPr>
          <w:p>
            <w:pPr>
              <w:spacing w:beforeLines="50" w:afterLines="50" w:line="360" w:lineRule="auto"/>
              <w:jc w:val="center"/>
              <w:outlineLvl w:val="1"/>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联系人</w:t>
            </w:r>
          </w:p>
        </w:tc>
        <w:tc>
          <w:tcPr>
            <w:tcW w:w="2429" w:type="dxa"/>
            <w:tcBorders>
              <w:top w:val="nil"/>
              <w:left w:val="nil"/>
              <w:bottom w:val="single" w:color="auto" w:sz="4" w:space="0"/>
              <w:right w:val="single" w:color="auto" w:sz="4" w:space="0"/>
            </w:tcBorders>
            <w:vAlign w:val="center"/>
          </w:tcPr>
          <w:p>
            <w:pPr>
              <w:spacing w:beforeLines="50" w:afterLines="50" w:line="360" w:lineRule="auto"/>
              <w:jc w:val="center"/>
              <w:rPr>
                <w:rFonts w:cs="宋体" w:asciiTheme="minorEastAsia" w:hAnsiTheme="minorEastAsia" w:eastAsiaTheme="minorEastAsia"/>
                <w:color w:val="auto"/>
                <w:szCs w:val="24"/>
                <w:highlight w:val="none"/>
              </w:rPr>
            </w:pPr>
          </w:p>
        </w:tc>
      </w:tr>
      <w:tr>
        <w:tblPrEx>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outlineLvl w:val="1"/>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银行账号</w:t>
            </w:r>
          </w:p>
        </w:tc>
        <w:tc>
          <w:tcPr>
            <w:tcW w:w="3411" w:type="dxa"/>
            <w:tcBorders>
              <w:top w:val="single" w:color="auto" w:sz="4" w:space="0"/>
              <w:left w:val="nil"/>
              <w:bottom w:val="single" w:color="auto" w:sz="4" w:space="0"/>
              <w:right w:val="single" w:color="auto" w:sz="4" w:space="0"/>
            </w:tcBorders>
            <w:vAlign w:val="center"/>
          </w:tcPr>
          <w:p>
            <w:pPr>
              <w:spacing w:beforeLines="50" w:afterLines="50" w:line="360" w:lineRule="auto"/>
              <w:jc w:val="center"/>
              <w:rPr>
                <w:rFonts w:cs="宋体" w:asciiTheme="minorEastAsia" w:hAnsiTheme="minorEastAsia" w:eastAsiaTheme="minorEastAsia"/>
                <w:color w:val="auto"/>
                <w:szCs w:val="24"/>
                <w:highlight w:val="none"/>
              </w:rPr>
            </w:pPr>
          </w:p>
        </w:tc>
        <w:tc>
          <w:tcPr>
            <w:tcW w:w="1257" w:type="dxa"/>
            <w:tcBorders>
              <w:top w:val="single" w:color="auto" w:sz="4" w:space="0"/>
              <w:left w:val="nil"/>
              <w:bottom w:val="single" w:color="auto" w:sz="4" w:space="0"/>
              <w:right w:val="single" w:color="auto" w:sz="4" w:space="0"/>
            </w:tcBorders>
            <w:vAlign w:val="center"/>
          </w:tcPr>
          <w:p>
            <w:pPr>
              <w:spacing w:beforeLines="50" w:afterLines="50" w:line="360" w:lineRule="auto"/>
              <w:jc w:val="center"/>
              <w:outlineLvl w:val="1"/>
              <w:rPr>
                <w:rFonts w:cs="宋体" w:asciiTheme="minorEastAsia" w:hAnsiTheme="minorEastAsia" w:eastAsiaTheme="minorEastAsia"/>
                <w:color w:val="auto"/>
                <w:szCs w:val="24"/>
                <w:highlight w:val="none"/>
              </w:rPr>
            </w:pPr>
            <w:r>
              <w:rPr>
                <w:rFonts w:hint="eastAsia" w:cs="宋体" w:asciiTheme="minorEastAsia" w:hAnsiTheme="minorEastAsia" w:eastAsiaTheme="minorEastAsia"/>
                <w:color w:val="auto"/>
                <w:szCs w:val="24"/>
                <w:highlight w:val="none"/>
              </w:rPr>
              <w:t>联系电话</w:t>
            </w:r>
          </w:p>
        </w:tc>
        <w:tc>
          <w:tcPr>
            <w:tcW w:w="2429" w:type="dxa"/>
            <w:tcBorders>
              <w:top w:val="single" w:color="auto" w:sz="4" w:space="0"/>
              <w:left w:val="nil"/>
              <w:bottom w:val="single" w:color="auto" w:sz="4" w:space="0"/>
              <w:right w:val="single" w:color="auto" w:sz="4" w:space="0"/>
            </w:tcBorders>
            <w:vAlign w:val="center"/>
          </w:tcPr>
          <w:p>
            <w:pPr>
              <w:spacing w:beforeLines="50" w:afterLines="50" w:line="360" w:lineRule="auto"/>
              <w:jc w:val="center"/>
              <w:rPr>
                <w:rFonts w:cs="宋体" w:asciiTheme="minorEastAsia" w:hAnsiTheme="minorEastAsia" w:eastAsiaTheme="minorEastAsia"/>
                <w:color w:val="auto"/>
                <w:szCs w:val="24"/>
                <w:highlight w:val="none"/>
              </w:rPr>
            </w:pPr>
          </w:p>
        </w:tc>
      </w:tr>
    </w:tbl>
    <w:p>
      <w:pPr>
        <w:spacing w:line="360" w:lineRule="auto"/>
        <w:jc w:val="left"/>
        <w:rPr>
          <w:rFonts w:asciiTheme="minorEastAsia" w:hAnsiTheme="minorEastAsia" w:eastAsiaTheme="minorEastAsia"/>
          <w:color w:val="auto"/>
          <w:szCs w:val="24"/>
          <w:highlight w:val="none"/>
        </w:rPr>
      </w:pPr>
    </w:p>
    <w:p>
      <w:pPr>
        <w:spacing w:line="360" w:lineRule="auto"/>
        <w:jc w:val="left"/>
        <w:rPr>
          <w:rFonts w:cs="宋体" w:asciiTheme="minorEastAsia" w:hAnsiTheme="minorEastAsia" w:eastAsiaTheme="minorEastAsia"/>
          <w:color w:val="auto"/>
          <w:szCs w:val="24"/>
          <w:highlight w:val="none"/>
          <w:lang w:val="en-GB"/>
        </w:rPr>
      </w:pPr>
    </w:p>
    <w:p>
      <w:pPr>
        <w:spacing w:line="360" w:lineRule="auto"/>
        <w:ind w:firstLine="480" w:firstLineChars="200"/>
        <w:jc w:val="right"/>
        <w:rPr>
          <w:rFonts w:asciiTheme="minorEastAsia" w:hAnsiTheme="minorEastAsia" w:eastAsiaTheme="minorEastAsia"/>
          <w:color w:val="auto"/>
          <w:szCs w:val="24"/>
          <w:highlight w:val="none"/>
        </w:rPr>
      </w:pPr>
    </w:p>
    <w:p>
      <w:pPr>
        <w:spacing w:line="360" w:lineRule="auto"/>
        <w:ind w:firstLine="480" w:firstLineChars="200"/>
        <w:jc w:val="right"/>
        <w:rPr>
          <w:rFonts w:asciiTheme="minorEastAsia" w:hAnsiTheme="minorEastAsia" w:eastAsiaTheme="minorEastAsia"/>
          <w:color w:val="auto"/>
          <w:szCs w:val="24"/>
          <w:highlight w:val="none"/>
        </w:rPr>
      </w:pP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投标人名称：</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（盖公章）</w:t>
      </w:r>
    </w:p>
    <w:p>
      <w:pPr>
        <w:spacing w:line="360" w:lineRule="auto"/>
        <w:ind w:firstLine="480" w:firstLineChars="200"/>
        <w:jc w:val="right"/>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法定代表人（或授权代理人）：</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（签字或盖章）</w:t>
      </w:r>
    </w:p>
    <w:p>
      <w:pPr>
        <w:spacing w:line="360" w:lineRule="auto"/>
        <w:ind w:firstLine="5040" w:firstLineChars="2100"/>
        <w:rPr>
          <w:rFonts w:asciiTheme="minorEastAsia" w:hAnsiTheme="minorEastAsia" w:eastAsiaTheme="minorEastAsia"/>
          <w:color w:val="auto"/>
          <w:highlight w:val="none"/>
        </w:rPr>
      </w:pP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年</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月</w:t>
      </w:r>
      <w:r>
        <w:rPr>
          <w:rFonts w:hint="eastAsia" w:asciiTheme="minorEastAsia" w:hAnsiTheme="minorEastAsia" w:eastAsiaTheme="minorEastAsia"/>
          <w:color w:val="auto"/>
          <w:szCs w:val="24"/>
          <w:highlight w:val="none"/>
          <w:u w:val="single"/>
        </w:rPr>
        <w:t xml:space="preserve">        </w:t>
      </w:r>
      <w:r>
        <w:rPr>
          <w:rFonts w:hint="eastAsia" w:asciiTheme="minorEastAsia" w:hAnsiTheme="minorEastAsia" w:eastAsiaTheme="minorEastAsia"/>
          <w:color w:val="auto"/>
          <w:szCs w:val="24"/>
          <w:highlight w:val="none"/>
        </w:rPr>
        <w:t>日</w:t>
      </w:r>
    </w:p>
    <w:p>
      <w:pPr>
        <w:spacing w:line="360" w:lineRule="auto"/>
        <w:ind w:firstLine="480" w:firstLineChars="200"/>
        <w:jc w:val="right"/>
        <w:rPr>
          <w:rFonts w:asciiTheme="minorEastAsia" w:hAnsiTheme="minorEastAsia" w:eastAsiaTheme="minorEastAsia"/>
          <w:color w:val="auto"/>
          <w:szCs w:val="24"/>
          <w:highlight w:val="none"/>
        </w:rPr>
      </w:pPr>
    </w:p>
    <w:p>
      <w:pPr>
        <w:spacing w:line="360" w:lineRule="auto"/>
        <w:ind w:firstLine="480" w:firstLineChars="200"/>
        <w:jc w:val="right"/>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br w:type="page"/>
      </w:r>
    </w:p>
    <w:p>
      <w:pPr>
        <w:pStyle w:val="2"/>
        <w:jc w:val="both"/>
        <w:rPr>
          <w:rFonts w:asciiTheme="minorEastAsia" w:hAnsiTheme="minorEastAsia" w:eastAsiaTheme="minorEastAsia"/>
          <w:bCs w:val="0"/>
          <w:color w:val="auto"/>
          <w:sz w:val="32"/>
          <w:szCs w:val="20"/>
          <w:highlight w:val="none"/>
        </w:rPr>
      </w:pPr>
      <w:bookmarkStart w:id="146" w:name="_Toc28757"/>
      <w:r>
        <w:rPr>
          <w:rFonts w:hint="eastAsia" w:asciiTheme="minorEastAsia" w:hAnsiTheme="minorEastAsia" w:eastAsiaTheme="minorEastAsia"/>
          <w:bCs w:val="0"/>
          <w:color w:val="auto"/>
          <w:sz w:val="32"/>
          <w:szCs w:val="20"/>
          <w:highlight w:val="none"/>
        </w:rPr>
        <w:t>附件1、</w:t>
      </w:r>
      <w:bookmarkEnd w:id="146"/>
      <w:bookmarkStart w:id="147" w:name="_Hlk85206599"/>
      <w:r>
        <w:rPr>
          <w:rFonts w:hint="eastAsia" w:asciiTheme="minorEastAsia" w:hAnsiTheme="minorEastAsia" w:eastAsiaTheme="minorEastAsia"/>
          <w:bCs w:val="0"/>
          <w:color w:val="auto"/>
          <w:sz w:val="32"/>
          <w:szCs w:val="20"/>
          <w:highlight w:val="none"/>
        </w:rPr>
        <w:t>参加采购活动近三年内，在经营活动中没有重大事故、重大违法记录、环保类行政处罚记录</w:t>
      </w:r>
    </w:p>
    <w:p>
      <w:pPr>
        <w:spacing w:line="360" w:lineRule="auto"/>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承诺函</w:t>
      </w:r>
    </w:p>
    <w:tbl>
      <w:tblPr>
        <w:tblStyle w:val="4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832"/>
        <w:gridCol w:w="2940"/>
        <w:gridCol w:w="330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794" w:hRule="atLeast"/>
        </w:trPr>
        <w:tc>
          <w:tcPr>
            <w:tcW w:w="9072" w:type="dxa"/>
            <w:gridSpan w:val="3"/>
            <w:vAlign w:val="center"/>
          </w:tcPr>
          <w:p>
            <w:pPr>
              <w:spacing w:line="360" w:lineRule="auto"/>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致：海南政邦招标代理有限公司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797" w:hRule="atLeast"/>
        </w:trPr>
        <w:tc>
          <w:tcPr>
            <w:tcW w:w="9072" w:type="dxa"/>
            <w:gridSpan w:val="3"/>
            <w:tcBorders>
              <w:bottom w:val="double" w:color="auto" w:sz="4" w:space="0"/>
            </w:tcBorders>
            <w:vAlign w:val="center"/>
          </w:tcPr>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作为参加贵单位组织的招标采购项目的投标人，本公司郑重承诺：</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一、本公司在参加本项目招标之前不存在被依法禁止经营行为、财产被接管或冻结的情况。</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二、</w:t>
            </w:r>
            <w:r>
              <w:rPr>
                <w:rFonts w:hint="eastAsia" w:ascii="宋体" w:hAnsi="宋体" w:cs="宋体"/>
                <w:color w:val="auto"/>
                <w:szCs w:val="24"/>
                <w:highlight w:val="none"/>
              </w:rPr>
              <w:t>近三年经营活动中重大事故、</w:t>
            </w:r>
            <w:r>
              <w:rPr>
                <w:rFonts w:hint="eastAsia" w:ascii="宋体" w:hAnsi="宋体"/>
                <w:color w:val="auto"/>
                <w:szCs w:val="24"/>
                <w:highlight w:val="none"/>
              </w:rPr>
              <w:t>重大</w:t>
            </w:r>
            <w:r>
              <w:rPr>
                <w:rFonts w:hint="eastAsia" w:ascii="宋体" w:hAnsi="宋体" w:cs="宋体"/>
                <w:color w:val="auto"/>
                <w:szCs w:val="24"/>
                <w:highlight w:val="none"/>
              </w:rPr>
              <w:t>违法记录、环保类行政处罚记录为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次（没有填0）。</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三、近三年因产品/服务问题（假冒品、替代品、次品、翻新品等）的不法行为记录为</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次（没有填0）。</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四、本次投标标的服务内容和要求均为符合国家规定的相应技术标准、环保标准（如有）和安全标准的合格产品/服务。</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五、我公司提供本项目的整体实施方案，能实现与招标文件的全部技术要求，并如期成工。</w:t>
            </w:r>
          </w:p>
          <w:p>
            <w:pPr>
              <w:spacing w:line="360" w:lineRule="auto"/>
              <w:ind w:firstLine="480" w:firstLineChars="200"/>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若采购人在本项目中标公告期间，查核我公司有与上述承诺不符合、不满足、不响应的情况，我公司将自愿放弃预中标资格，并愿承担一切责任及后果。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980" w:hRule="atLeast"/>
        </w:trPr>
        <w:tc>
          <w:tcPr>
            <w:tcW w:w="2832" w:type="dxa"/>
            <w:tcBorders>
              <w:top w:val="doub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投标人</w:t>
            </w:r>
          </w:p>
        </w:tc>
        <w:tc>
          <w:tcPr>
            <w:tcW w:w="294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法定代表人</w:t>
            </w:r>
          </w:p>
        </w:tc>
        <w:tc>
          <w:tcPr>
            <w:tcW w:w="3300" w:type="dxa"/>
            <w:tcBorders>
              <w:top w:val="double" w:color="auto" w:sz="4" w:space="0"/>
              <w:left w:val="single" w:color="auto" w:sz="4" w:space="0"/>
              <w:bottom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日   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2176" w:hRule="atLeast"/>
        </w:trPr>
        <w:tc>
          <w:tcPr>
            <w:tcW w:w="2832" w:type="dxa"/>
            <w:tcBorders>
              <w:top w:val="single" w:color="auto" w:sz="4" w:space="0"/>
              <w:bottom w:val="doub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（单位公章）</w:t>
            </w:r>
          </w:p>
        </w:tc>
        <w:tc>
          <w:tcPr>
            <w:tcW w:w="2940" w:type="dxa"/>
            <w:tcBorders>
              <w:top w:val="single" w:color="auto" w:sz="4" w:space="0"/>
              <w:left w:val="single" w:color="auto" w:sz="4" w:space="0"/>
              <w:bottom w:val="double" w:color="auto" w:sz="4" w:space="0"/>
              <w:right w:val="sing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（签字或盖章）</w:t>
            </w:r>
          </w:p>
        </w:tc>
        <w:tc>
          <w:tcPr>
            <w:tcW w:w="3300" w:type="dxa"/>
            <w:tcBorders>
              <w:top w:val="single" w:color="auto" w:sz="4" w:space="0"/>
              <w:left w:val="single" w:color="auto" w:sz="4" w:space="0"/>
              <w:bottom w:val="double" w:color="auto" w:sz="4" w:space="0"/>
            </w:tcBorders>
            <w:vAlign w:val="center"/>
          </w:tcPr>
          <w:p>
            <w:pPr>
              <w:spacing w:line="360" w:lineRule="auto"/>
              <w:jc w:val="cente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年   月   日</w:t>
            </w:r>
          </w:p>
        </w:tc>
      </w:tr>
      <w:bookmarkEnd w:id="147"/>
    </w:tbl>
    <w:p>
      <w:pPr>
        <w:pStyle w:val="39"/>
        <w:spacing w:line="360" w:lineRule="auto"/>
        <w:ind w:left="0" w:leftChars="0" w:firstLine="0" w:firstLineChars="0"/>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highlight w:val="none"/>
        </w:rPr>
      </w:pPr>
    </w:p>
    <w:p>
      <w:pPr>
        <w:pStyle w:val="2"/>
        <w:rPr>
          <w:rFonts w:cs="仿宋" w:asciiTheme="minorEastAsia" w:hAnsiTheme="minorEastAsia" w:eastAsiaTheme="minorEastAsia"/>
          <w:color w:val="auto"/>
          <w:sz w:val="24"/>
          <w:highlight w:val="none"/>
        </w:rPr>
      </w:pPr>
      <w:r>
        <w:rPr>
          <w:rFonts w:asciiTheme="minorEastAsia" w:hAnsiTheme="minorEastAsia" w:eastAsiaTheme="minorEastAsia"/>
          <w:color w:val="auto"/>
          <w:highlight w:val="none"/>
        </w:rPr>
        <w:br w:type="page"/>
      </w:r>
      <w:bookmarkStart w:id="148" w:name="_Toc8661"/>
      <w:r>
        <w:rPr>
          <w:rFonts w:hint="eastAsia" w:asciiTheme="minorEastAsia" w:hAnsiTheme="minorEastAsia" w:eastAsiaTheme="minorEastAsia"/>
          <w:bCs w:val="0"/>
          <w:color w:val="auto"/>
          <w:sz w:val="32"/>
          <w:szCs w:val="20"/>
          <w:highlight w:val="none"/>
        </w:rPr>
        <w:t>附件2、</w:t>
      </w:r>
      <w:bookmarkStart w:id="149" w:name="OLE_LINK13"/>
      <w:bookmarkStart w:id="150" w:name="OLE_LINK14"/>
      <w:r>
        <w:rPr>
          <w:rFonts w:hint="eastAsia" w:asciiTheme="minorEastAsia" w:hAnsiTheme="minorEastAsia" w:eastAsiaTheme="minorEastAsia"/>
          <w:bCs w:val="0"/>
          <w:color w:val="auto"/>
          <w:sz w:val="32"/>
          <w:szCs w:val="20"/>
          <w:highlight w:val="none"/>
        </w:rPr>
        <w:t>中小企业声明函（货物）</w:t>
      </w:r>
      <w:bookmarkEnd w:id="148"/>
      <w:r>
        <w:rPr>
          <w:rFonts w:hint="eastAsia" w:asciiTheme="minorEastAsia" w:hAnsiTheme="minorEastAsia" w:eastAsiaTheme="minorEastAsia"/>
          <w:bCs w:val="0"/>
          <w:color w:val="auto"/>
          <w:sz w:val="32"/>
          <w:szCs w:val="20"/>
          <w:highlight w:val="none"/>
        </w:rPr>
        <w:t xml:space="preserve"> </w:t>
      </w:r>
    </w:p>
    <w:p>
      <w:pPr>
        <w:spacing w:line="360" w:lineRule="auto"/>
        <w:rPr>
          <w:rFonts w:cs="仿宋" w:asciiTheme="minorEastAsia" w:hAnsiTheme="minorEastAsia" w:eastAsiaTheme="minorEastAsia"/>
          <w:color w:val="auto"/>
          <w:highlight w:val="none"/>
        </w:rPr>
      </w:pP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 xml:space="preserve"> 1.</w:t>
      </w:r>
      <w:r>
        <w:rPr>
          <w:rFonts w:hint="eastAsia" w:cs="仿宋" w:asciiTheme="minorEastAsia" w:hAnsiTheme="minorEastAsia" w:eastAsiaTheme="minorEastAsia"/>
          <w:color w:val="auto"/>
          <w:highlight w:val="none"/>
          <w:u w:val="single"/>
        </w:rPr>
        <w:t>（标的名称）</w:t>
      </w:r>
      <w:r>
        <w:rPr>
          <w:rFonts w:hint="eastAsia" w:cs="仿宋" w:asciiTheme="minorEastAsia" w:hAnsiTheme="minorEastAsia" w:eastAsiaTheme="minorEastAsia"/>
          <w:color w:val="auto"/>
          <w:highlight w:val="none"/>
        </w:rPr>
        <w:t>，属于</w:t>
      </w:r>
      <w:r>
        <w:rPr>
          <w:rFonts w:hint="eastAsia" w:cs="仿宋" w:asciiTheme="minorEastAsia" w:hAnsiTheme="minorEastAsia" w:eastAsiaTheme="minorEastAsia"/>
          <w:color w:val="auto"/>
          <w:highlight w:val="none"/>
          <w:u w:val="single"/>
        </w:rPr>
        <w:t>（采购文件中明确的所属行业）</w:t>
      </w:r>
      <w:r>
        <w:rPr>
          <w:rFonts w:hint="eastAsia" w:cs="仿宋" w:asciiTheme="minorEastAsia" w:hAnsiTheme="minorEastAsia" w:eastAsiaTheme="minorEastAsia"/>
          <w:color w:val="auto"/>
          <w:highlight w:val="none"/>
        </w:rPr>
        <w:t>行业；制造商为</w:t>
      </w:r>
      <w:r>
        <w:rPr>
          <w:rFonts w:hint="eastAsia" w:cs="仿宋" w:asciiTheme="minorEastAsia" w:hAnsiTheme="minorEastAsia" w:eastAsiaTheme="minorEastAsia"/>
          <w:color w:val="auto"/>
          <w:highlight w:val="none"/>
          <w:u w:val="single"/>
        </w:rPr>
        <w:t>（企业名称）</w:t>
      </w:r>
      <w:r>
        <w:rPr>
          <w:rFonts w:hint="eastAsia" w:cs="仿宋" w:asciiTheme="minorEastAsia" w:hAnsiTheme="minorEastAsia" w:eastAsiaTheme="minorEastAsia"/>
          <w:color w:val="auto"/>
          <w:highlight w:val="none"/>
        </w:rPr>
        <w:t>，从业人员</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人，营业收入为</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万元，资产总额为</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万元，属于（中型企业、小型企业、微型企业）；</w:t>
      </w: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 xml:space="preserve"> 2.</w:t>
      </w:r>
      <w:r>
        <w:rPr>
          <w:rFonts w:hint="eastAsia" w:cs="仿宋" w:asciiTheme="minorEastAsia" w:hAnsiTheme="minorEastAsia" w:eastAsiaTheme="minorEastAsia"/>
          <w:color w:val="auto"/>
          <w:highlight w:val="none"/>
          <w:u w:val="single"/>
        </w:rPr>
        <w:t>（标的名称）</w:t>
      </w:r>
      <w:r>
        <w:rPr>
          <w:rFonts w:hint="eastAsia" w:cs="仿宋" w:asciiTheme="minorEastAsia" w:hAnsiTheme="minorEastAsia" w:eastAsiaTheme="minorEastAsia"/>
          <w:color w:val="auto"/>
          <w:highlight w:val="none"/>
        </w:rPr>
        <w:t>，属于</w:t>
      </w:r>
      <w:r>
        <w:rPr>
          <w:rFonts w:hint="eastAsia" w:cs="仿宋" w:asciiTheme="minorEastAsia" w:hAnsiTheme="minorEastAsia" w:eastAsiaTheme="minorEastAsia"/>
          <w:color w:val="auto"/>
          <w:highlight w:val="none"/>
          <w:u w:val="single"/>
        </w:rPr>
        <w:t>（采购文件中明确的所属行业）</w:t>
      </w:r>
      <w:r>
        <w:rPr>
          <w:rFonts w:hint="eastAsia" w:cs="仿宋" w:asciiTheme="minorEastAsia" w:hAnsiTheme="minorEastAsia" w:eastAsiaTheme="minorEastAsia"/>
          <w:color w:val="auto"/>
          <w:highlight w:val="none"/>
        </w:rPr>
        <w:t>行业；制造商为（</w:t>
      </w:r>
      <w:r>
        <w:rPr>
          <w:rFonts w:hint="eastAsia" w:cs="仿宋" w:asciiTheme="minorEastAsia" w:hAnsiTheme="minorEastAsia" w:eastAsiaTheme="minorEastAsia"/>
          <w:color w:val="auto"/>
          <w:highlight w:val="none"/>
          <w:u w:val="single"/>
        </w:rPr>
        <w:t>企业名称）</w:t>
      </w:r>
      <w:r>
        <w:rPr>
          <w:rFonts w:hint="eastAsia" w:cs="仿宋" w:asciiTheme="minorEastAsia" w:hAnsiTheme="minorEastAsia" w:eastAsiaTheme="minorEastAsia"/>
          <w:color w:val="auto"/>
          <w:highlight w:val="none"/>
        </w:rPr>
        <w:t>，从业人员</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 xml:space="preserve">人，营业收入为 </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ab/>
      </w:r>
      <w:r>
        <w:rPr>
          <w:rFonts w:hint="eastAsia" w:cs="仿宋" w:asciiTheme="minorEastAsia" w:hAnsiTheme="minorEastAsia" w:eastAsiaTheme="minorEastAsia"/>
          <w:color w:val="auto"/>
          <w:highlight w:val="none"/>
        </w:rPr>
        <w:t>万元，资产总额为</w:t>
      </w:r>
      <w:r>
        <w:rPr>
          <w:rFonts w:hint="eastAsia" w:cs="仿宋" w:asciiTheme="minorEastAsia" w:hAnsiTheme="minorEastAsia" w:eastAsiaTheme="minorEastAsia"/>
          <w:color w:val="auto"/>
          <w:highlight w:val="none"/>
          <w:u w:val="single"/>
        </w:rPr>
        <w:tab/>
      </w:r>
      <w:r>
        <w:rPr>
          <w:rFonts w:hint="eastAsia" w:cs="仿宋" w:asciiTheme="minorEastAsia" w:hAnsiTheme="minorEastAsia" w:eastAsiaTheme="minorEastAsia"/>
          <w:color w:val="auto"/>
          <w:highlight w:val="none"/>
        </w:rPr>
        <w:tab/>
      </w:r>
      <w:r>
        <w:rPr>
          <w:rFonts w:hint="eastAsia" w:cs="仿宋" w:asciiTheme="minorEastAsia" w:hAnsiTheme="minorEastAsia" w:eastAsiaTheme="minorEastAsia"/>
          <w:color w:val="auto"/>
          <w:highlight w:val="none"/>
        </w:rPr>
        <w:t>万元，属于（中型企业、小型企业、微型企业）；</w:t>
      </w: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w:t>
      </w: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本企业对上述声明内容的真实性负责。如有虚假，将依法承担相应责任。</w:t>
      </w: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企业名称（盖章）：</w:t>
      </w:r>
      <w:r>
        <w:rPr>
          <w:rFonts w:hint="eastAsia" w:asciiTheme="minorEastAsia" w:hAnsiTheme="minorEastAsia" w:eastAsiaTheme="minorEastAsia"/>
          <w:color w:val="auto"/>
          <w:szCs w:val="24"/>
          <w:highlight w:val="none"/>
          <w:u w:val="single"/>
        </w:rPr>
        <w:t xml:space="preserve">              </w:t>
      </w:r>
      <w:r>
        <w:rPr>
          <w:rFonts w:hint="eastAsia" w:cs="仿宋" w:asciiTheme="minorEastAsia" w:hAnsiTheme="minorEastAsia" w:eastAsiaTheme="minorEastAsia"/>
          <w:color w:val="auto"/>
          <w:highlight w:val="none"/>
        </w:rPr>
        <w:t xml:space="preserve">     </w:t>
      </w: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日期：</w:t>
      </w:r>
      <w:r>
        <w:rPr>
          <w:rFonts w:hint="eastAsia" w:asciiTheme="minorEastAsia" w:hAnsiTheme="minorEastAsia" w:eastAsiaTheme="minorEastAsia"/>
          <w:color w:val="auto"/>
          <w:szCs w:val="24"/>
          <w:highlight w:val="none"/>
          <w:u w:val="single"/>
        </w:rPr>
        <w:t xml:space="preserve">                </w:t>
      </w: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注：</w:t>
      </w: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1、投标人为非企业单位的，可不提供此声明。</w:t>
      </w:r>
    </w:p>
    <w:p>
      <w:pPr>
        <w:spacing w:line="360" w:lineRule="auto"/>
        <w:rPr>
          <w:rFonts w:cs="仿宋" w:asciiTheme="minorEastAsia" w:hAnsiTheme="minorEastAsia" w:eastAsiaTheme="minorEastAsia"/>
          <w:b/>
          <w:bCs/>
          <w:color w:val="auto"/>
          <w:highlight w:val="none"/>
        </w:rPr>
      </w:pPr>
      <w:r>
        <w:rPr>
          <w:rFonts w:hint="eastAsia" w:cs="仿宋" w:asciiTheme="minorEastAsia" w:hAnsiTheme="minorEastAsia" w:eastAsiaTheme="minorEastAsia"/>
          <w:b/>
          <w:bCs/>
          <w:color w:val="auto"/>
          <w:highlight w:val="none"/>
        </w:rPr>
        <w:t>2、投标人为中型、小型和微型企业以外企业的，可不提供此声明。</w:t>
      </w:r>
    </w:p>
    <w:p>
      <w:pPr>
        <w:pStyle w:val="2"/>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br w:type="page"/>
      </w:r>
      <w:bookmarkStart w:id="151" w:name="_Toc21820"/>
      <w:r>
        <w:rPr>
          <w:rFonts w:hint="eastAsia" w:asciiTheme="minorEastAsia" w:hAnsiTheme="minorEastAsia" w:eastAsiaTheme="minorEastAsia"/>
          <w:bCs w:val="0"/>
          <w:color w:val="auto"/>
          <w:sz w:val="32"/>
          <w:szCs w:val="20"/>
          <w:highlight w:val="none"/>
        </w:rPr>
        <w:t>附件3、残疾人福利性单位声明函</w:t>
      </w:r>
      <w:bookmarkEnd w:id="151"/>
      <w:r>
        <w:rPr>
          <w:rFonts w:hint="eastAsia" w:asciiTheme="minorEastAsia" w:hAnsiTheme="minorEastAsia" w:eastAsiaTheme="minorEastAsia"/>
          <w:bCs w:val="0"/>
          <w:color w:val="auto"/>
          <w:sz w:val="32"/>
          <w:szCs w:val="20"/>
          <w:highlight w:val="none"/>
        </w:rPr>
        <w:t xml:space="preserve"> </w:t>
      </w:r>
    </w:p>
    <w:bookmarkEnd w:id="149"/>
    <w:bookmarkEnd w:id="150"/>
    <w:p>
      <w:pPr>
        <w:spacing w:line="360" w:lineRule="auto"/>
        <w:rPr>
          <w:rFonts w:cs="宋体" w:asciiTheme="minorEastAsia" w:hAnsiTheme="minorEastAsia" w:eastAsiaTheme="minorEastAsia"/>
          <w:b/>
          <w:color w:val="auto"/>
          <w:spacing w:val="6"/>
          <w:highlight w:val="none"/>
        </w:rPr>
      </w:pPr>
    </w:p>
    <w:p>
      <w:pPr>
        <w:spacing w:line="360" w:lineRule="auto"/>
        <w:ind w:firstLine="504" w:firstLineChars="200"/>
        <w:rPr>
          <w:rFonts w:cs="仿宋" w:asciiTheme="minorEastAsia" w:hAnsiTheme="minorEastAsia" w:eastAsiaTheme="minorEastAsia"/>
          <w:color w:val="auto"/>
          <w:spacing w:val="6"/>
          <w:highlight w:val="none"/>
        </w:rPr>
      </w:pPr>
      <w:r>
        <w:rPr>
          <w:rFonts w:hint="eastAsia" w:cs="仿宋" w:asciiTheme="minorEastAsia" w:hAnsiTheme="minorEastAsia" w:eastAsiaTheme="minorEastAsia"/>
          <w:color w:val="auto"/>
          <w:spacing w:val="6"/>
          <w:highlight w:val="none"/>
        </w:rPr>
        <w:t>本单位郑重声明，根据《财政部 民政部 中国残疾人联合会关于促进残疾人就业政府采购政策的通知》（财库</w:t>
      </w:r>
      <w:r>
        <w:rPr>
          <w:rFonts w:hint="eastAsia" w:cs="仿宋" w:asciiTheme="minorEastAsia" w:hAnsiTheme="minorEastAsia" w:eastAsiaTheme="minorEastAsia"/>
          <w:color w:val="auto"/>
          <w:highlight w:val="none"/>
        </w:rPr>
        <w:t>〔2017〕 141</w:t>
      </w:r>
      <w:r>
        <w:rPr>
          <w:rFonts w:hint="eastAsia" w:cs="仿宋" w:asciiTheme="minorEastAsia" w:hAnsiTheme="minorEastAsia" w:eastAsiaTheme="minorEastAsia"/>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cs="仿宋" w:asciiTheme="minorEastAsia" w:hAnsiTheme="minorEastAsia" w:eastAsiaTheme="minorEastAsia"/>
          <w:color w:val="auto"/>
          <w:spacing w:val="6"/>
          <w:highlight w:val="none"/>
        </w:rPr>
      </w:pPr>
      <w:r>
        <w:rPr>
          <w:rFonts w:hint="eastAsia" w:cs="仿宋" w:asciiTheme="minorEastAsia" w:hAnsiTheme="minorEastAsia" w:eastAsiaTheme="minorEastAsia"/>
          <w:color w:val="auto"/>
          <w:spacing w:val="6"/>
          <w:highlight w:val="none"/>
        </w:rPr>
        <w:t>本单位对上述声明的真实性负责。如有虚假，将依法承担相应责任。</w:t>
      </w:r>
    </w:p>
    <w:p>
      <w:pPr>
        <w:spacing w:line="360" w:lineRule="auto"/>
        <w:rPr>
          <w:rFonts w:cs="仿宋" w:asciiTheme="minorEastAsia" w:hAnsiTheme="minorEastAsia" w:eastAsiaTheme="minorEastAsia"/>
          <w:color w:val="auto"/>
          <w:spacing w:val="6"/>
          <w:highlight w:val="none"/>
        </w:rPr>
      </w:pPr>
    </w:p>
    <w:p>
      <w:pPr>
        <w:spacing w:line="360" w:lineRule="auto"/>
        <w:rPr>
          <w:rFonts w:cs="仿宋" w:asciiTheme="minorEastAsia" w:hAnsiTheme="minorEastAsia" w:eastAsiaTheme="minorEastAsia"/>
          <w:color w:val="auto"/>
          <w:spacing w:val="6"/>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企业名称（盖章）：</w:t>
      </w:r>
      <w:r>
        <w:rPr>
          <w:rFonts w:hint="eastAsia" w:asciiTheme="minorEastAsia" w:hAnsiTheme="minorEastAsia" w:eastAsiaTheme="minorEastAsia"/>
          <w:color w:val="auto"/>
          <w:szCs w:val="24"/>
          <w:highlight w:val="none"/>
          <w:u w:val="single"/>
        </w:rPr>
        <w:t xml:space="preserve">              </w:t>
      </w:r>
      <w:r>
        <w:rPr>
          <w:rFonts w:hint="eastAsia" w:cs="仿宋" w:asciiTheme="minorEastAsia" w:hAnsiTheme="minorEastAsia" w:eastAsiaTheme="minorEastAsia"/>
          <w:color w:val="auto"/>
          <w:highlight w:val="none"/>
        </w:rPr>
        <w:t xml:space="preserve">     </w:t>
      </w: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日期：</w:t>
      </w:r>
      <w:r>
        <w:rPr>
          <w:rFonts w:hint="eastAsia" w:asciiTheme="minorEastAsia" w:hAnsiTheme="minorEastAsia" w:eastAsiaTheme="minorEastAsia"/>
          <w:color w:val="auto"/>
          <w:szCs w:val="24"/>
          <w:highlight w:val="none"/>
          <w:u w:val="single"/>
        </w:rPr>
        <w:t xml:space="preserve">                </w:t>
      </w: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p>
    <w:p>
      <w:p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注：</w:t>
      </w:r>
    </w:p>
    <w:p>
      <w:pPr>
        <w:numPr>
          <w:ilvl w:val="0"/>
          <w:numId w:val="9"/>
        </w:numPr>
        <w:spacing w:line="360" w:lineRule="auto"/>
        <w:rPr>
          <w:rFonts w:cs="仿宋" w:asciiTheme="minorEastAsia" w:hAnsiTheme="minorEastAsia" w:eastAsiaTheme="minorEastAsia"/>
          <w:color w:val="auto"/>
          <w:highlight w:val="none"/>
        </w:rPr>
      </w:pPr>
      <w:r>
        <w:rPr>
          <w:rFonts w:hint="eastAsia" w:cs="仿宋" w:asciiTheme="minorEastAsia" w:hAnsiTheme="minorEastAsia" w:eastAsiaTheme="minorEastAsia"/>
          <w:color w:val="auto"/>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9"/>
        </w:numPr>
        <w:spacing w:line="360" w:lineRule="auto"/>
        <w:rPr>
          <w:rFonts w:asciiTheme="minorEastAsia" w:hAnsiTheme="minorEastAsia" w:eastAsiaTheme="minorEastAsia"/>
          <w:b/>
          <w:bCs/>
          <w:color w:val="auto"/>
          <w:highlight w:val="none"/>
        </w:rPr>
      </w:pPr>
      <w:r>
        <w:rPr>
          <w:rFonts w:hint="eastAsia" w:cs="仿宋" w:asciiTheme="minorEastAsia" w:hAnsiTheme="minorEastAsia" w:eastAsiaTheme="minorEastAsia"/>
          <w:b/>
          <w:bCs/>
          <w:color w:val="auto"/>
          <w:szCs w:val="22"/>
          <w:highlight w:val="none"/>
        </w:rPr>
        <w:t>投标人为非残疾人福利性单位的，可不提供此声明。</w:t>
      </w:r>
      <w:bookmarkStart w:id="152" w:name="_Toc25173_WPSOffice_Level1"/>
    </w:p>
    <w:bookmarkEnd w:id="152"/>
    <w:p>
      <w:pPr>
        <w:spacing w:line="360" w:lineRule="auto"/>
        <w:rPr>
          <w:rFonts w:asciiTheme="minorEastAsia" w:hAnsiTheme="minorEastAsia" w:eastAsiaTheme="minorEastAsia"/>
          <w:b/>
          <w:bCs/>
          <w:color w:val="auto"/>
          <w:highlight w:val="none"/>
        </w:rPr>
        <w:sectPr>
          <w:pgSz w:w="11906" w:h="16838"/>
          <w:pgMar w:top="1418" w:right="1418" w:bottom="1418" w:left="1418" w:header="851" w:footer="695" w:gutter="0"/>
          <w:cols w:space="720" w:num="1"/>
          <w:docGrid w:linePitch="285" w:charSpace="0"/>
        </w:sectPr>
      </w:pPr>
    </w:p>
    <w:p>
      <w:pPr>
        <w:pStyle w:val="2"/>
        <w:rPr>
          <w:rFonts w:cs="宋体" w:asciiTheme="minorEastAsia" w:hAnsiTheme="minorEastAsia" w:eastAsiaTheme="minorEastAsia"/>
          <w:color w:val="auto"/>
          <w:highlight w:val="none"/>
        </w:rPr>
      </w:pPr>
      <w:r>
        <w:rPr>
          <w:rFonts w:hint="eastAsia" w:asciiTheme="minorEastAsia" w:hAnsiTheme="minorEastAsia" w:eastAsiaTheme="minorEastAsia"/>
          <w:color w:val="auto"/>
          <w:highlight w:val="none"/>
        </w:rPr>
        <w:t>附件4、</w:t>
      </w:r>
      <w:r>
        <w:rPr>
          <w:rFonts w:cs="宋体" w:asciiTheme="minorEastAsia" w:hAnsiTheme="minorEastAsia" w:eastAsiaTheme="minorEastAsia"/>
          <w:color w:val="auto"/>
          <w:highlight w:val="none"/>
        </w:rPr>
        <w:t>监狱企业</w:t>
      </w:r>
      <w:r>
        <w:rPr>
          <w:rFonts w:hint="eastAsia" w:cs="宋体" w:asciiTheme="minorEastAsia" w:hAnsiTheme="minorEastAsia" w:eastAsiaTheme="minorEastAsia"/>
          <w:color w:val="auto"/>
          <w:highlight w:val="none"/>
        </w:rPr>
        <w:t xml:space="preserve">证明文件 </w:t>
      </w:r>
    </w:p>
    <w:p>
      <w:pPr>
        <w:spacing w:line="360" w:lineRule="auto"/>
        <w:ind w:firstLine="504" w:firstLineChars="200"/>
        <w:rPr>
          <w:rFonts w:cs="宋体" w:asciiTheme="minorEastAsia" w:hAnsiTheme="minorEastAsia" w:eastAsiaTheme="minorEastAsia"/>
          <w:color w:val="auto"/>
          <w:spacing w:val="6"/>
          <w:highlight w:val="none"/>
        </w:rPr>
      </w:pPr>
    </w:p>
    <w:p>
      <w:pPr>
        <w:spacing w:line="360" w:lineRule="auto"/>
        <w:ind w:firstLine="504" w:firstLineChars="200"/>
        <w:rPr>
          <w:rFonts w:cs="宋体" w:asciiTheme="minorEastAsia" w:hAnsiTheme="minorEastAsia" w:eastAsiaTheme="minorEastAsia"/>
          <w:color w:val="auto"/>
          <w:spacing w:val="6"/>
          <w:highlight w:val="none"/>
        </w:rPr>
      </w:pPr>
      <w:r>
        <w:rPr>
          <w:rFonts w:cs="宋体" w:asciiTheme="minorEastAsia" w:hAnsiTheme="minorEastAsia" w:eastAsiaTheme="minorEastAsia"/>
          <w:color w:val="auto"/>
          <w:spacing w:val="6"/>
          <w:highlight w:val="none"/>
        </w:rPr>
        <w:t>监狱企业参加政府采购活动时，应当提供由省级以上监狱管理局、戒毒管理局（含新疆生产建设兵团）出具的属于监狱企业的证明文件。</w:t>
      </w:r>
    </w:p>
    <w:p>
      <w:pPr>
        <w:spacing w:beforeLines="50" w:line="360" w:lineRule="auto"/>
        <w:ind w:firstLine="482" w:firstLineChars="200"/>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注：</w:t>
      </w:r>
    </w:p>
    <w:p>
      <w:pPr>
        <w:spacing w:line="360" w:lineRule="auto"/>
        <w:ind w:firstLine="482" w:firstLineChars="200"/>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1、</w:t>
      </w:r>
      <w:r>
        <w:rPr>
          <w:rFonts w:asciiTheme="minorEastAsia" w:hAnsiTheme="minorEastAsia" w:eastAsiaTheme="minorEastAsia"/>
          <w:b/>
          <w:bCs/>
          <w:color w:val="auto"/>
          <w:highlight w:val="none"/>
        </w:rPr>
        <w:t>在政府采购活动中，监狱企业视同小型、微型企业，享受预留份额、评审中价格扣除等政府采购促进中小企业发展的政府采购政策。</w:t>
      </w:r>
    </w:p>
    <w:p>
      <w:pPr>
        <w:pStyle w:val="365"/>
        <w:spacing w:line="360" w:lineRule="auto"/>
        <w:ind w:firstLine="456" w:firstLineChars="200"/>
        <w:rPr>
          <w:rFonts w:asciiTheme="minorEastAsia" w:hAnsiTheme="minorEastAsia" w:eastAsiaTheme="minorEastAsia"/>
          <w:color w:val="auto"/>
          <w:spacing w:val="-6"/>
          <w:sz w:val="24"/>
          <w:szCs w:val="24"/>
          <w:highlight w:val="none"/>
        </w:rPr>
      </w:pPr>
      <w:r>
        <w:rPr>
          <w:rFonts w:hint="eastAsia" w:asciiTheme="minorEastAsia" w:hAnsiTheme="minorEastAsia" w:eastAsiaTheme="minorEastAsia"/>
          <w:color w:val="auto"/>
          <w:spacing w:val="-6"/>
          <w:sz w:val="24"/>
          <w:szCs w:val="24"/>
          <w:highlight w:val="none"/>
        </w:rPr>
        <w:t>2</w:t>
      </w:r>
      <w:r>
        <w:rPr>
          <w:rFonts w:asciiTheme="minorEastAsia" w:hAnsiTheme="minorEastAsia" w:eastAsiaTheme="minorEastAsia"/>
          <w:color w:val="auto"/>
          <w:spacing w:val="-6"/>
          <w:sz w:val="24"/>
          <w:szCs w:val="24"/>
          <w:highlight w:val="none"/>
        </w:rPr>
        <w:t>、本项目对小型和微型企业</w:t>
      </w:r>
      <w:r>
        <w:rPr>
          <w:rFonts w:hint="eastAsia" w:asciiTheme="minorEastAsia" w:hAnsiTheme="minorEastAsia" w:eastAsiaTheme="minorEastAsia"/>
          <w:color w:val="auto"/>
          <w:spacing w:val="-6"/>
          <w:sz w:val="24"/>
          <w:szCs w:val="24"/>
          <w:highlight w:val="none"/>
        </w:rPr>
        <w:t>（</w:t>
      </w:r>
      <w:r>
        <w:rPr>
          <w:rFonts w:asciiTheme="minorEastAsia" w:hAnsiTheme="minorEastAsia" w:eastAsiaTheme="minorEastAsia"/>
          <w:color w:val="auto"/>
          <w:sz w:val="24"/>
          <w:highlight w:val="none"/>
        </w:rPr>
        <w:t>且所投产品为小微型企业生产</w:t>
      </w:r>
      <w:r>
        <w:rPr>
          <w:rFonts w:hint="eastAsia" w:asciiTheme="minorEastAsia" w:hAnsiTheme="minorEastAsia" w:eastAsiaTheme="minorEastAsia"/>
          <w:color w:val="auto"/>
          <w:spacing w:val="-6"/>
          <w:sz w:val="24"/>
          <w:szCs w:val="24"/>
          <w:highlight w:val="none"/>
        </w:rPr>
        <w:t>）</w:t>
      </w:r>
      <w:r>
        <w:rPr>
          <w:rFonts w:asciiTheme="minorEastAsia" w:hAnsiTheme="minorEastAsia" w:eastAsiaTheme="minorEastAsia"/>
          <w:color w:val="auto"/>
          <w:spacing w:val="-6"/>
          <w:sz w:val="24"/>
          <w:szCs w:val="24"/>
          <w:highlight w:val="none"/>
        </w:rPr>
        <w:t>、监狱企业、</w:t>
      </w:r>
      <w:r>
        <w:rPr>
          <w:rFonts w:asciiTheme="minorEastAsia" w:hAnsiTheme="minorEastAsia" w:eastAsiaTheme="minorEastAsia"/>
          <w:color w:val="auto"/>
          <w:spacing w:val="-6"/>
          <w:sz w:val="24"/>
          <w:highlight w:val="none"/>
        </w:rPr>
        <w:t>残疾人福利性单位</w:t>
      </w:r>
      <w:r>
        <w:rPr>
          <w:rFonts w:asciiTheme="minorEastAsia" w:hAnsiTheme="minorEastAsia" w:eastAsiaTheme="minorEastAsia"/>
          <w:color w:val="auto"/>
          <w:spacing w:val="-6"/>
          <w:sz w:val="24"/>
          <w:szCs w:val="24"/>
          <w:highlight w:val="none"/>
        </w:rPr>
        <w:t>的报价给予</w:t>
      </w:r>
      <w:r>
        <w:rPr>
          <w:rFonts w:hint="eastAsia" w:asciiTheme="minorEastAsia" w:hAnsiTheme="minorEastAsia" w:eastAsiaTheme="minorEastAsia"/>
          <w:b/>
          <w:bCs/>
          <w:color w:val="auto"/>
          <w:spacing w:val="-6"/>
          <w:sz w:val="24"/>
          <w:szCs w:val="24"/>
          <w:highlight w:val="none"/>
        </w:rPr>
        <w:t>10</w:t>
      </w:r>
      <w:r>
        <w:rPr>
          <w:rFonts w:asciiTheme="minorEastAsia" w:hAnsiTheme="minorEastAsia" w:eastAsiaTheme="minorEastAsia"/>
          <w:b/>
          <w:bCs/>
          <w:color w:val="auto"/>
          <w:spacing w:val="-6"/>
          <w:sz w:val="24"/>
          <w:szCs w:val="24"/>
          <w:highlight w:val="none"/>
        </w:rPr>
        <w:t>%</w:t>
      </w:r>
      <w:r>
        <w:rPr>
          <w:rFonts w:asciiTheme="minorEastAsia" w:hAnsiTheme="minorEastAsia" w:eastAsiaTheme="minorEastAsia"/>
          <w:color w:val="auto"/>
          <w:spacing w:val="-6"/>
          <w:sz w:val="24"/>
          <w:szCs w:val="24"/>
          <w:highlight w:val="none"/>
        </w:rPr>
        <w:t>的扣除，用扣除后的价格参与价格评审。扣除后的价格仅用来计算价格得分，成交金额以</w:t>
      </w:r>
      <w:r>
        <w:rPr>
          <w:rFonts w:asciiTheme="minorEastAsia" w:hAnsiTheme="minorEastAsia" w:eastAsiaTheme="minorEastAsia"/>
          <w:b/>
          <w:bCs/>
          <w:color w:val="auto"/>
          <w:spacing w:val="-6"/>
          <w:sz w:val="24"/>
          <w:szCs w:val="24"/>
          <w:highlight w:val="none"/>
          <w:u w:val="single"/>
        </w:rPr>
        <w:t>原报价为准</w:t>
      </w:r>
      <w:r>
        <w:rPr>
          <w:rFonts w:asciiTheme="minorEastAsia" w:hAnsiTheme="minorEastAsia" w:eastAsiaTheme="minorEastAsia"/>
          <w:color w:val="auto"/>
          <w:spacing w:val="-6"/>
          <w:sz w:val="24"/>
          <w:szCs w:val="24"/>
          <w:highlight w:val="none"/>
        </w:rPr>
        <w:t>。</w:t>
      </w:r>
    </w:p>
    <w:p>
      <w:pPr>
        <w:pStyle w:val="365"/>
        <w:spacing w:line="360" w:lineRule="auto"/>
        <w:ind w:firstLine="458" w:firstLineChars="200"/>
        <w:rPr>
          <w:rFonts w:asciiTheme="minorEastAsia" w:hAnsiTheme="minorEastAsia" w:eastAsiaTheme="minorEastAsia"/>
          <w:b/>
          <w:bCs/>
          <w:color w:val="auto"/>
          <w:spacing w:val="-6"/>
          <w:sz w:val="24"/>
          <w:szCs w:val="24"/>
          <w:highlight w:val="none"/>
          <w:u w:val="single"/>
        </w:rPr>
      </w:pPr>
      <w:r>
        <w:rPr>
          <w:rFonts w:hint="eastAsia" w:asciiTheme="minorEastAsia" w:hAnsiTheme="minorEastAsia" w:eastAsiaTheme="minorEastAsia"/>
          <w:b/>
          <w:bCs/>
          <w:color w:val="auto"/>
          <w:spacing w:val="-6"/>
          <w:sz w:val="24"/>
          <w:szCs w:val="24"/>
          <w:highlight w:val="none"/>
        </w:rPr>
        <w:t>3</w:t>
      </w:r>
      <w:r>
        <w:rPr>
          <w:rFonts w:asciiTheme="minorEastAsia" w:hAnsiTheme="minorEastAsia" w:eastAsiaTheme="minorEastAsia"/>
          <w:b/>
          <w:bCs/>
          <w:color w:val="auto"/>
          <w:spacing w:val="-6"/>
          <w:sz w:val="24"/>
          <w:szCs w:val="24"/>
          <w:highlight w:val="none"/>
        </w:rPr>
        <w:t>、</w:t>
      </w:r>
      <w:r>
        <w:rPr>
          <w:rFonts w:hint="eastAsia" w:asciiTheme="minorEastAsia" w:hAnsiTheme="minorEastAsia" w:eastAsiaTheme="minorEastAsia"/>
          <w:b/>
          <w:bCs/>
          <w:color w:val="auto"/>
          <w:spacing w:val="-6"/>
          <w:sz w:val="24"/>
          <w:szCs w:val="24"/>
          <w:highlight w:val="none"/>
          <w:u w:val="single"/>
        </w:rPr>
        <w:t>投标人</w:t>
      </w:r>
      <w:r>
        <w:rPr>
          <w:rFonts w:asciiTheme="minorEastAsia" w:hAnsiTheme="minorEastAsia" w:eastAsiaTheme="minorEastAsia"/>
          <w:b/>
          <w:bCs/>
          <w:color w:val="auto"/>
          <w:spacing w:val="-6"/>
          <w:sz w:val="24"/>
          <w:szCs w:val="24"/>
          <w:highlight w:val="none"/>
          <w:u w:val="single"/>
        </w:rPr>
        <w:t>同时为</w:t>
      </w:r>
      <w:r>
        <w:rPr>
          <w:rFonts w:asciiTheme="minorEastAsia" w:hAnsiTheme="minorEastAsia" w:eastAsiaTheme="minorEastAsia"/>
          <w:b/>
          <w:bCs/>
          <w:color w:val="auto"/>
          <w:sz w:val="24"/>
          <w:szCs w:val="24"/>
          <w:highlight w:val="none"/>
          <w:u w:val="single"/>
        </w:rPr>
        <w:t>小微型企业</w:t>
      </w:r>
      <w:r>
        <w:rPr>
          <w:rFonts w:asciiTheme="minorEastAsia" w:hAnsiTheme="minorEastAsia" w:eastAsiaTheme="minorEastAsia"/>
          <w:b/>
          <w:bCs/>
          <w:color w:val="auto"/>
          <w:spacing w:val="-6"/>
          <w:sz w:val="24"/>
          <w:szCs w:val="24"/>
          <w:highlight w:val="none"/>
          <w:u w:val="single"/>
        </w:rPr>
        <w:t>、监狱企业或残疾人福利性单位的，评审中只享受一次价格扣除，不重复进行价格扣除。</w:t>
      </w:r>
    </w:p>
    <w:p>
      <w:pPr>
        <w:pStyle w:val="27"/>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投标人</w:t>
      </w:r>
      <w:r>
        <w:rPr>
          <w:rFonts w:asciiTheme="minorEastAsia" w:hAnsiTheme="minorEastAsia" w:eastAsiaTheme="minorEastAsia"/>
          <w:color w:val="auto"/>
          <w:sz w:val="24"/>
          <w:highlight w:val="none"/>
        </w:rPr>
        <w:t>应如实填写企业信息，如有虚假，将依法承担相应责任。</w:t>
      </w: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p>
      <w:pPr>
        <w:spacing w:line="360" w:lineRule="auto"/>
        <w:ind w:right="1560" w:firstLine="480" w:firstLineChars="200"/>
        <w:rPr>
          <w:rFonts w:cs="宋体" w:asciiTheme="minorEastAsia" w:hAnsiTheme="minorEastAsia" w:eastAsiaTheme="minorEastAsia"/>
          <w:b/>
          <w:bCs/>
          <w:color w:val="auto"/>
          <w:spacing w:val="6"/>
          <w:highlight w:val="none"/>
          <w:u w:val="single"/>
        </w:rPr>
      </w:pPr>
      <w:r>
        <w:rPr>
          <w:rFonts w:hint="eastAsia" w:asciiTheme="minorEastAsia" w:hAnsiTheme="minorEastAsia" w:eastAsiaTheme="minorEastAsia"/>
          <w:color w:val="auto"/>
          <w:highlight w:val="none"/>
        </w:rPr>
        <w:tab/>
      </w:r>
      <w:r>
        <w:rPr>
          <w:rFonts w:hint="eastAsia" w:asciiTheme="minorEastAsia" w:hAnsiTheme="minorEastAsia" w:eastAsiaTheme="minorEastAsia"/>
          <w:color w:val="auto"/>
          <w:highlight w:val="none"/>
        </w:rPr>
        <w:t>投标人名称：___________（盖章）</w:t>
      </w:r>
    </w:p>
    <w:p>
      <w:pPr>
        <w:spacing w:line="360" w:lineRule="auto"/>
        <w:ind w:firstLine="504" w:firstLineChars="200"/>
        <w:rPr>
          <w:rFonts w:cs="宋体" w:asciiTheme="minorEastAsia" w:hAnsiTheme="minorEastAsia" w:eastAsiaTheme="minorEastAsia"/>
          <w:color w:val="auto"/>
          <w:spacing w:val="6"/>
          <w:highlight w:val="none"/>
        </w:rPr>
      </w:pPr>
    </w:p>
    <w:p>
      <w:pPr>
        <w:spacing w:line="360" w:lineRule="auto"/>
        <w:ind w:firstLine="504" w:firstLineChars="200"/>
        <w:rPr>
          <w:rFonts w:cs="宋体" w:asciiTheme="minorEastAsia" w:hAnsiTheme="minorEastAsia" w:eastAsiaTheme="minorEastAsia"/>
          <w:color w:val="auto"/>
          <w:spacing w:val="6"/>
          <w:highlight w:val="none"/>
          <w:u w:val="single"/>
        </w:rPr>
      </w:pPr>
      <w:r>
        <w:rPr>
          <w:rFonts w:hint="eastAsia" w:cs="宋体" w:asciiTheme="minorEastAsia" w:hAnsiTheme="minorEastAsia" w:eastAsiaTheme="minorEastAsia"/>
          <w:color w:val="auto"/>
          <w:spacing w:val="6"/>
          <w:highlight w:val="none"/>
        </w:rPr>
        <w:t>日  期：</w:t>
      </w:r>
      <w:r>
        <w:rPr>
          <w:rFonts w:hint="eastAsia" w:cs="宋体" w:asciiTheme="minorEastAsia" w:hAnsiTheme="minorEastAsia" w:eastAsiaTheme="minorEastAsia"/>
          <w:color w:val="auto"/>
          <w:spacing w:val="6"/>
          <w:highlight w:val="none"/>
          <w:u w:val="single"/>
        </w:rPr>
        <w:t xml:space="preserve">               </w:t>
      </w:r>
    </w:p>
    <w:p>
      <w:pPr>
        <w:pStyle w:val="39"/>
        <w:spacing w:line="360" w:lineRule="auto"/>
        <w:ind w:left="480"/>
        <w:rPr>
          <w:rFonts w:asciiTheme="minorEastAsia" w:hAnsiTheme="minorEastAsia" w:eastAsiaTheme="minorEastAsia"/>
          <w:color w:val="auto"/>
          <w:highlight w:val="none"/>
        </w:rPr>
      </w:pPr>
    </w:p>
    <w:p>
      <w:pPr>
        <w:spacing w:line="360" w:lineRule="auto"/>
        <w:rPr>
          <w:rFonts w:asciiTheme="minorEastAsia" w:hAnsiTheme="minorEastAsia" w:eastAsiaTheme="minorEastAsia"/>
          <w:color w:val="auto"/>
          <w:highlight w:val="none"/>
        </w:rPr>
      </w:pPr>
    </w:p>
    <w:sectPr>
      <w:pgSz w:w="11906" w:h="16838"/>
      <w:pgMar w:top="1418" w:right="1418" w:bottom="1418" w:left="1418" w:header="851" w:footer="695"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华康简标题宋">
    <w:altName w:val="宋体"/>
    <w:panose1 w:val="00000000000000000000"/>
    <w:charset w:val="86"/>
    <w:family w:val="modern"/>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Î¢ï¿½ï¿½ï¿½Åºï¿½">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6"/>
                </w:pPr>
                <w:r>
                  <w:fldChar w:fldCharType="begin"/>
                </w:r>
                <w:r>
                  <w:instrText xml:space="preserve"> PAGE  \* MERGEFORMAT </w:instrText>
                </w:r>
                <w:r>
                  <w:fldChar w:fldCharType="separate"/>
                </w:r>
                <w:r>
                  <w:t>22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6"/>
                </w:pPr>
                <w:r>
                  <w:fldChar w:fldCharType="begin"/>
                </w:r>
                <w:r>
                  <w:instrText xml:space="preserve"> PAGE  \* MERGEFORMAT </w:instrText>
                </w:r>
                <w:r>
                  <w:fldChar w:fldCharType="separate"/>
                </w:r>
                <w:r>
                  <w:t>76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rPr>
        <w:sz w:val="22"/>
        <w:szCs w:val="18"/>
      </w:rPr>
    </w:pPr>
    <w:r>
      <w:rPr>
        <w:rFonts w:hint="eastAsia"/>
        <w:sz w:val="22"/>
        <w:szCs w:val="18"/>
      </w:rPr>
      <w:t>项目编号：ZB2022-0802                                   海南政邦招标代理有限公司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rPr>
        <w:sz w:val="22"/>
        <w:szCs w:val="18"/>
      </w:rPr>
    </w:pPr>
    <w:r>
      <w:rPr>
        <w:rFonts w:hint="eastAsia"/>
        <w:sz w:val="22"/>
        <w:szCs w:val="18"/>
      </w:rPr>
      <w:t>项目编号：ZB2022-0802                                      海南政邦招标代理有限公司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752AF2"/>
    <w:multiLevelType w:val="singleLevel"/>
    <w:tmpl w:val="A4752AF2"/>
    <w:lvl w:ilvl="0" w:tentative="0">
      <w:start w:val="1"/>
      <w:numFmt w:val="chineseCounting"/>
      <w:suff w:val="space"/>
      <w:lvlText w:val="第%1章"/>
      <w:lvlJc w:val="left"/>
      <w:rPr>
        <w:rFonts w:hint="eastAsia"/>
      </w:rPr>
    </w:lvl>
  </w:abstractNum>
  <w:abstractNum w:abstractNumId="1">
    <w:nsid w:val="D682A585"/>
    <w:multiLevelType w:val="singleLevel"/>
    <w:tmpl w:val="D682A585"/>
    <w:lvl w:ilvl="0" w:tentative="0">
      <w:start w:val="3"/>
      <w:numFmt w:val="chineseCounting"/>
      <w:suff w:val="space"/>
      <w:lvlText w:val="第%1章"/>
      <w:lvlJc w:val="left"/>
      <w:rPr>
        <w:rFonts w:hint="eastAsia"/>
      </w:rPr>
    </w:lvl>
  </w:abstractNum>
  <w:abstractNum w:abstractNumId="2">
    <w:nsid w:val="EAC3757A"/>
    <w:multiLevelType w:val="singleLevel"/>
    <w:tmpl w:val="EAC3757A"/>
    <w:lvl w:ilvl="0" w:tentative="0">
      <w:start w:val="1"/>
      <w:numFmt w:val="chineseCounting"/>
      <w:suff w:val="nothing"/>
      <w:lvlText w:val="%1、"/>
      <w:lvlJc w:val="left"/>
      <w:rPr>
        <w:rFonts w:hint="eastAsia"/>
      </w:rPr>
    </w:lvl>
  </w:abstractNum>
  <w:abstractNum w:abstractNumId="3">
    <w:nsid w:val="00000012"/>
    <w:multiLevelType w:val="multilevel"/>
    <w:tmpl w:val="00000012"/>
    <w:lvl w:ilvl="0" w:tentative="0">
      <w:start w:val="1"/>
      <w:numFmt w:val="decimal"/>
      <w:lvlText w:val="%1、"/>
      <w:lvlJc w:val="left"/>
      <w:pPr>
        <w:ind w:left="900" w:hanging="420"/>
      </w:pPr>
      <w:rPr>
        <w:rFonts w:hint="eastAsia"/>
        <w:b w:val="0"/>
        <w:i w:val="0"/>
      </w:rPr>
    </w:lvl>
    <w:lvl w:ilvl="1" w:tentative="0">
      <w:start w:val="1"/>
      <w:numFmt w:val="decimal"/>
      <w:lvlText w:val="%2、"/>
      <w:lvlJc w:val="left"/>
      <w:pPr>
        <w:ind w:left="846"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
    <w:nsid w:val="0F2949D8"/>
    <w:multiLevelType w:val="multilevel"/>
    <w:tmpl w:val="0F2949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A65AC6"/>
    <w:multiLevelType w:val="multilevel"/>
    <w:tmpl w:val="1BA65AC6"/>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F776188"/>
    <w:multiLevelType w:val="singleLevel"/>
    <w:tmpl w:val="1F776188"/>
    <w:lvl w:ilvl="0" w:tentative="0">
      <w:start w:val="1"/>
      <w:numFmt w:val="decimal"/>
      <w:suff w:val="nothing"/>
      <w:lvlText w:val="%1、"/>
      <w:lvlJc w:val="left"/>
    </w:lvl>
  </w:abstractNum>
  <w:abstractNum w:abstractNumId="7">
    <w:nsid w:val="39BE6511"/>
    <w:multiLevelType w:val="multilevel"/>
    <w:tmpl w:val="39BE65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C53F308"/>
    <w:multiLevelType w:val="singleLevel"/>
    <w:tmpl w:val="6C53F308"/>
    <w:lvl w:ilvl="0" w:tentative="0">
      <w:start w:val="1"/>
      <w:numFmt w:val="decimal"/>
      <w:suff w:val="nothing"/>
      <w:lvlText w:val="（%1）"/>
      <w:lvlJc w:val="left"/>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5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M5YmZkNjA3Mjk1ZjM3YzMyZmZmOWJkMWU4Y2E4NGQifQ=="/>
  </w:docVars>
  <w:rsids>
    <w:rsidRoot w:val="00172A27"/>
    <w:rsid w:val="00000F12"/>
    <w:rsid w:val="00001671"/>
    <w:rsid w:val="00002223"/>
    <w:rsid w:val="0000263D"/>
    <w:rsid w:val="00003D45"/>
    <w:rsid w:val="00004110"/>
    <w:rsid w:val="0000439D"/>
    <w:rsid w:val="000049E4"/>
    <w:rsid w:val="00004B32"/>
    <w:rsid w:val="00004C07"/>
    <w:rsid w:val="00005457"/>
    <w:rsid w:val="00006DDA"/>
    <w:rsid w:val="00007B0D"/>
    <w:rsid w:val="00007D92"/>
    <w:rsid w:val="000102AF"/>
    <w:rsid w:val="00010C52"/>
    <w:rsid w:val="00011626"/>
    <w:rsid w:val="00011841"/>
    <w:rsid w:val="000119FE"/>
    <w:rsid w:val="00011C5F"/>
    <w:rsid w:val="00011D07"/>
    <w:rsid w:val="00011E56"/>
    <w:rsid w:val="00011F5F"/>
    <w:rsid w:val="000121DA"/>
    <w:rsid w:val="00013D3B"/>
    <w:rsid w:val="00013E76"/>
    <w:rsid w:val="0001631E"/>
    <w:rsid w:val="00020472"/>
    <w:rsid w:val="000205AC"/>
    <w:rsid w:val="00020E21"/>
    <w:rsid w:val="0002114E"/>
    <w:rsid w:val="00021815"/>
    <w:rsid w:val="00022266"/>
    <w:rsid w:val="00022328"/>
    <w:rsid w:val="00022755"/>
    <w:rsid w:val="000227B4"/>
    <w:rsid w:val="00022862"/>
    <w:rsid w:val="000231C9"/>
    <w:rsid w:val="0002399F"/>
    <w:rsid w:val="000241CC"/>
    <w:rsid w:val="0002423A"/>
    <w:rsid w:val="00024E8C"/>
    <w:rsid w:val="00027435"/>
    <w:rsid w:val="00027605"/>
    <w:rsid w:val="00030111"/>
    <w:rsid w:val="000301FA"/>
    <w:rsid w:val="000304C5"/>
    <w:rsid w:val="000321CD"/>
    <w:rsid w:val="00032DA5"/>
    <w:rsid w:val="000335E8"/>
    <w:rsid w:val="0003454A"/>
    <w:rsid w:val="000363ED"/>
    <w:rsid w:val="000364B9"/>
    <w:rsid w:val="00036CDF"/>
    <w:rsid w:val="000370FB"/>
    <w:rsid w:val="00041C57"/>
    <w:rsid w:val="00041D8A"/>
    <w:rsid w:val="000421A1"/>
    <w:rsid w:val="00043074"/>
    <w:rsid w:val="00044402"/>
    <w:rsid w:val="0004462C"/>
    <w:rsid w:val="00047684"/>
    <w:rsid w:val="00047939"/>
    <w:rsid w:val="000479FD"/>
    <w:rsid w:val="00047D58"/>
    <w:rsid w:val="00047F88"/>
    <w:rsid w:val="000518C1"/>
    <w:rsid w:val="0005247C"/>
    <w:rsid w:val="0005308E"/>
    <w:rsid w:val="000542CB"/>
    <w:rsid w:val="00055898"/>
    <w:rsid w:val="00056211"/>
    <w:rsid w:val="000576F1"/>
    <w:rsid w:val="0006018E"/>
    <w:rsid w:val="00060368"/>
    <w:rsid w:val="00061FD4"/>
    <w:rsid w:val="000620EA"/>
    <w:rsid w:val="0006231C"/>
    <w:rsid w:val="00062410"/>
    <w:rsid w:val="00062C23"/>
    <w:rsid w:val="000631E1"/>
    <w:rsid w:val="000641CF"/>
    <w:rsid w:val="0006619E"/>
    <w:rsid w:val="00066813"/>
    <w:rsid w:val="00067A60"/>
    <w:rsid w:val="000708BE"/>
    <w:rsid w:val="00070BD8"/>
    <w:rsid w:val="00071FCB"/>
    <w:rsid w:val="000731E7"/>
    <w:rsid w:val="000736E1"/>
    <w:rsid w:val="00076ACB"/>
    <w:rsid w:val="0007705E"/>
    <w:rsid w:val="00077114"/>
    <w:rsid w:val="000772A8"/>
    <w:rsid w:val="000775A2"/>
    <w:rsid w:val="0008058D"/>
    <w:rsid w:val="000807CD"/>
    <w:rsid w:val="000815A4"/>
    <w:rsid w:val="00081AB9"/>
    <w:rsid w:val="0008265C"/>
    <w:rsid w:val="00082F44"/>
    <w:rsid w:val="0008394D"/>
    <w:rsid w:val="000839A2"/>
    <w:rsid w:val="00084080"/>
    <w:rsid w:val="0008599C"/>
    <w:rsid w:val="000873A7"/>
    <w:rsid w:val="000875F2"/>
    <w:rsid w:val="0009004C"/>
    <w:rsid w:val="00090DD0"/>
    <w:rsid w:val="00091769"/>
    <w:rsid w:val="00091F36"/>
    <w:rsid w:val="000949E8"/>
    <w:rsid w:val="00094B3F"/>
    <w:rsid w:val="00094D4C"/>
    <w:rsid w:val="00094E87"/>
    <w:rsid w:val="00095796"/>
    <w:rsid w:val="00095D8C"/>
    <w:rsid w:val="00096073"/>
    <w:rsid w:val="00096240"/>
    <w:rsid w:val="00097C73"/>
    <w:rsid w:val="000A02DE"/>
    <w:rsid w:val="000A0689"/>
    <w:rsid w:val="000A07CB"/>
    <w:rsid w:val="000A0903"/>
    <w:rsid w:val="000A0CA0"/>
    <w:rsid w:val="000A4A31"/>
    <w:rsid w:val="000A4BD4"/>
    <w:rsid w:val="000A5333"/>
    <w:rsid w:val="000A5E3A"/>
    <w:rsid w:val="000A611D"/>
    <w:rsid w:val="000A64D6"/>
    <w:rsid w:val="000A77B7"/>
    <w:rsid w:val="000A7A0D"/>
    <w:rsid w:val="000A7C25"/>
    <w:rsid w:val="000A7C2C"/>
    <w:rsid w:val="000B0C19"/>
    <w:rsid w:val="000B110D"/>
    <w:rsid w:val="000B17C3"/>
    <w:rsid w:val="000B183F"/>
    <w:rsid w:val="000B1CC6"/>
    <w:rsid w:val="000B2693"/>
    <w:rsid w:val="000B2FA7"/>
    <w:rsid w:val="000B402C"/>
    <w:rsid w:val="000B5C73"/>
    <w:rsid w:val="000B6407"/>
    <w:rsid w:val="000B6B88"/>
    <w:rsid w:val="000B7522"/>
    <w:rsid w:val="000B79C8"/>
    <w:rsid w:val="000C06AF"/>
    <w:rsid w:val="000C108A"/>
    <w:rsid w:val="000C1808"/>
    <w:rsid w:val="000C2005"/>
    <w:rsid w:val="000C27D6"/>
    <w:rsid w:val="000C30F3"/>
    <w:rsid w:val="000C3C1C"/>
    <w:rsid w:val="000C457E"/>
    <w:rsid w:val="000C5AAA"/>
    <w:rsid w:val="000C7DF4"/>
    <w:rsid w:val="000D074E"/>
    <w:rsid w:val="000D0C20"/>
    <w:rsid w:val="000D2293"/>
    <w:rsid w:val="000D31B2"/>
    <w:rsid w:val="000D41CD"/>
    <w:rsid w:val="000D48DF"/>
    <w:rsid w:val="000D5074"/>
    <w:rsid w:val="000D6B09"/>
    <w:rsid w:val="000D6CC9"/>
    <w:rsid w:val="000E2A8E"/>
    <w:rsid w:val="000E3BE8"/>
    <w:rsid w:val="000E40B7"/>
    <w:rsid w:val="000E4534"/>
    <w:rsid w:val="000E4B62"/>
    <w:rsid w:val="000E4CE0"/>
    <w:rsid w:val="000E5F1B"/>
    <w:rsid w:val="000E6597"/>
    <w:rsid w:val="000E6BDB"/>
    <w:rsid w:val="000E7B63"/>
    <w:rsid w:val="000E7E8C"/>
    <w:rsid w:val="000F10B7"/>
    <w:rsid w:val="000F20EB"/>
    <w:rsid w:val="000F2478"/>
    <w:rsid w:val="000F2CC7"/>
    <w:rsid w:val="000F2FB7"/>
    <w:rsid w:val="000F3479"/>
    <w:rsid w:val="000F3EE6"/>
    <w:rsid w:val="000F4359"/>
    <w:rsid w:val="000F4479"/>
    <w:rsid w:val="000F4983"/>
    <w:rsid w:val="000F68B7"/>
    <w:rsid w:val="001000A1"/>
    <w:rsid w:val="00100546"/>
    <w:rsid w:val="00100648"/>
    <w:rsid w:val="001009B2"/>
    <w:rsid w:val="00101529"/>
    <w:rsid w:val="00101598"/>
    <w:rsid w:val="00101A5F"/>
    <w:rsid w:val="00101B3B"/>
    <w:rsid w:val="00101D96"/>
    <w:rsid w:val="00102163"/>
    <w:rsid w:val="00102DAE"/>
    <w:rsid w:val="001033E1"/>
    <w:rsid w:val="001043B5"/>
    <w:rsid w:val="00104A49"/>
    <w:rsid w:val="00104B6D"/>
    <w:rsid w:val="001058AD"/>
    <w:rsid w:val="00105A7C"/>
    <w:rsid w:val="00106975"/>
    <w:rsid w:val="0011000C"/>
    <w:rsid w:val="0011040A"/>
    <w:rsid w:val="00112DBE"/>
    <w:rsid w:val="0011399A"/>
    <w:rsid w:val="00114D8D"/>
    <w:rsid w:val="00114FCB"/>
    <w:rsid w:val="00115B18"/>
    <w:rsid w:val="00116DA9"/>
    <w:rsid w:val="001175C5"/>
    <w:rsid w:val="001178E8"/>
    <w:rsid w:val="0012199D"/>
    <w:rsid w:val="00121B98"/>
    <w:rsid w:val="00121CC8"/>
    <w:rsid w:val="00121D73"/>
    <w:rsid w:val="001223A1"/>
    <w:rsid w:val="00122FB5"/>
    <w:rsid w:val="001241ED"/>
    <w:rsid w:val="0012623C"/>
    <w:rsid w:val="001271A1"/>
    <w:rsid w:val="00127200"/>
    <w:rsid w:val="001275DC"/>
    <w:rsid w:val="0012776E"/>
    <w:rsid w:val="00127811"/>
    <w:rsid w:val="0013078A"/>
    <w:rsid w:val="00131BCB"/>
    <w:rsid w:val="001325CE"/>
    <w:rsid w:val="00132D93"/>
    <w:rsid w:val="001331F7"/>
    <w:rsid w:val="00133D8E"/>
    <w:rsid w:val="00135722"/>
    <w:rsid w:val="001364CD"/>
    <w:rsid w:val="00136A12"/>
    <w:rsid w:val="00136C47"/>
    <w:rsid w:val="00137D2B"/>
    <w:rsid w:val="001405DB"/>
    <w:rsid w:val="0014080F"/>
    <w:rsid w:val="00141BC7"/>
    <w:rsid w:val="001439CB"/>
    <w:rsid w:val="00143BFB"/>
    <w:rsid w:val="001447C6"/>
    <w:rsid w:val="00144FE8"/>
    <w:rsid w:val="00145C7B"/>
    <w:rsid w:val="001461F3"/>
    <w:rsid w:val="001466CF"/>
    <w:rsid w:val="001477C5"/>
    <w:rsid w:val="001479CD"/>
    <w:rsid w:val="00147F1B"/>
    <w:rsid w:val="00150F47"/>
    <w:rsid w:val="00151810"/>
    <w:rsid w:val="00151E8F"/>
    <w:rsid w:val="001525D4"/>
    <w:rsid w:val="001531D7"/>
    <w:rsid w:val="00153A1B"/>
    <w:rsid w:val="001557DA"/>
    <w:rsid w:val="001614F9"/>
    <w:rsid w:val="001630AB"/>
    <w:rsid w:val="00163D52"/>
    <w:rsid w:val="001651C9"/>
    <w:rsid w:val="00165689"/>
    <w:rsid w:val="00170289"/>
    <w:rsid w:val="0017052A"/>
    <w:rsid w:val="0017177E"/>
    <w:rsid w:val="00171851"/>
    <w:rsid w:val="00172A27"/>
    <w:rsid w:val="00174B53"/>
    <w:rsid w:val="00174DED"/>
    <w:rsid w:val="0017580D"/>
    <w:rsid w:val="00176BBE"/>
    <w:rsid w:val="00177430"/>
    <w:rsid w:val="00177AF7"/>
    <w:rsid w:val="00180FE9"/>
    <w:rsid w:val="001821EF"/>
    <w:rsid w:val="001827E4"/>
    <w:rsid w:val="0018345B"/>
    <w:rsid w:val="0018521F"/>
    <w:rsid w:val="0018539B"/>
    <w:rsid w:val="00185EFF"/>
    <w:rsid w:val="00187EF6"/>
    <w:rsid w:val="00187F21"/>
    <w:rsid w:val="00191191"/>
    <w:rsid w:val="00191363"/>
    <w:rsid w:val="0019171E"/>
    <w:rsid w:val="001918D8"/>
    <w:rsid w:val="001928F8"/>
    <w:rsid w:val="00192DFC"/>
    <w:rsid w:val="001934E3"/>
    <w:rsid w:val="001956F7"/>
    <w:rsid w:val="001959BA"/>
    <w:rsid w:val="00196019"/>
    <w:rsid w:val="001971D5"/>
    <w:rsid w:val="00197C1F"/>
    <w:rsid w:val="001A0E99"/>
    <w:rsid w:val="001A0EEC"/>
    <w:rsid w:val="001A1918"/>
    <w:rsid w:val="001A1B48"/>
    <w:rsid w:val="001A2902"/>
    <w:rsid w:val="001A406B"/>
    <w:rsid w:val="001A7896"/>
    <w:rsid w:val="001B0722"/>
    <w:rsid w:val="001B1557"/>
    <w:rsid w:val="001B1595"/>
    <w:rsid w:val="001B26D3"/>
    <w:rsid w:val="001B28F8"/>
    <w:rsid w:val="001B3408"/>
    <w:rsid w:val="001B4683"/>
    <w:rsid w:val="001B4C99"/>
    <w:rsid w:val="001B4E97"/>
    <w:rsid w:val="001B775C"/>
    <w:rsid w:val="001B7B1A"/>
    <w:rsid w:val="001B7EF3"/>
    <w:rsid w:val="001B7F55"/>
    <w:rsid w:val="001C004B"/>
    <w:rsid w:val="001C49C7"/>
    <w:rsid w:val="001C4F9C"/>
    <w:rsid w:val="001C6736"/>
    <w:rsid w:val="001C7959"/>
    <w:rsid w:val="001D0EC3"/>
    <w:rsid w:val="001D1D20"/>
    <w:rsid w:val="001D2D04"/>
    <w:rsid w:val="001D3294"/>
    <w:rsid w:val="001D32A9"/>
    <w:rsid w:val="001D3946"/>
    <w:rsid w:val="001D4144"/>
    <w:rsid w:val="001D458E"/>
    <w:rsid w:val="001D46D7"/>
    <w:rsid w:val="001D4FF8"/>
    <w:rsid w:val="001D51BA"/>
    <w:rsid w:val="001D55A4"/>
    <w:rsid w:val="001D626E"/>
    <w:rsid w:val="001D74E8"/>
    <w:rsid w:val="001D76DD"/>
    <w:rsid w:val="001D770F"/>
    <w:rsid w:val="001E12A5"/>
    <w:rsid w:val="001E146A"/>
    <w:rsid w:val="001E3D36"/>
    <w:rsid w:val="001E49A3"/>
    <w:rsid w:val="001E4B78"/>
    <w:rsid w:val="001E508C"/>
    <w:rsid w:val="001E5418"/>
    <w:rsid w:val="001E6F2C"/>
    <w:rsid w:val="001E7471"/>
    <w:rsid w:val="001F160E"/>
    <w:rsid w:val="001F1D62"/>
    <w:rsid w:val="001F31CF"/>
    <w:rsid w:val="001F3336"/>
    <w:rsid w:val="001F3C0E"/>
    <w:rsid w:val="001F51ED"/>
    <w:rsid w:val="001F533D"/>
    <w:rsid w:val="001F64B0"/>
    <w:rsid w:val="001F6D76"/>
    <w:rsid w:val="001F749A"/>
    <w:rsid w:val="001F7F10"/>
    <w:rsid w:val="00200BEB"/>
    <w:rsid w:val="002034E6"/>
    <w:rsid w:val="0020357D"/>
    <w:rsid w:val="002038EE"/>
    <w:rsid w:val="0020398B"/>
    <w:rsid w:val="00205527"/>
    <w:rsid w:val="002056E0"/>
    <w:rsid w:val="002061A0"/>
    <w:rsid w:val="002107FB"/>
    <w:rsid w:val="0021133E"/>
    <w:rsid w:val="002113B9"/>
    <w:rsid w:val="00213768"/>
    <w:rsid w:val="00213CCB"/>
    <w:rsid w:val="00213CEB"/>
    <w:rsid w:val="002142BF"/>
    <w:rsid w:val="00215064"/>
    <w:rsid w:val="00216177"/>
    <w:rsid w:val="00216234"/>
    <w:rsid w:val="00216E48"/>
    <w:rsid w:val="00221EE4"/>
    <w:rsid w:val="0022206B"/>
    <w:rsid w:val="00222097"/>
    <w:rsid w:val="0022251A"/>
    <w:rsid w:val="00222770"/>
    <w:rsid w:val="002246F9"/>
    <w:rsid w:val="00224FF7"/>
    <w:rsid w:val="002259B3"/>
    <w:rsid w:val="00225C7C"/>
    <w:rsid w:val="00225E64"/>
    <w:rsid w:val="00226843"/>
    <w:rsid w:val="00226D1B"/>
    <w:rsid w:val="0022755A"/>
    <w:rsid w:val="0023092A"/>
    <w:rsid w:val="00230D92"/>
    <w:rsid w:val="00231A34"/>
    <w:rsid w:val="00232C37"/>
    <w:rsid w:val="00232F48"/>
    <w:rsid w:val="0023471A"/>
    <w:rsid w:val="00235285"/>
    <w:rsid w:val="0023532D"/>
    <w:rsid w:val="002363BB"/>
    <w:rsid w:val="0024172C"/>
    <w:rsid w:val="0024173B"/>
    <w:rsid w:val="00241D9D"/>
    <w:rsid w:val="002424AB"/>
    <w:rsid w:val="0024292B"/>
    <w:rsid w:val="00242A89"/>
    <w:rsid w:val="002437BD"/>
    <w:rsid w:val="00243D65"/>
    <w:rsid w:val="00244E65"/>
    <w:rsid w:val="0025079B"/>
    <w:rsid w:val="00252D86"/>
    <w:rsid w:val="00253EC2"/>
    <w:rsid w:val="00253F34"/>
    <w:rsid w:val="002549B1"/>
    <w:rsid w:val="00255B0B"/>
    <w:rsid w:val="0025661E"/>
    <w:rsid w:val="00260085"/>
    <w:rsid w:val="002601FB"/>
    <w:rsid w:val="002606BE"/>
    <w:rsid w:val="00260E99"/>
    <w:rsid w:val="00260EAD"/>
    <w:rsid w:val="002622DC"/>
    <w:rsid w:val="002623A7"/>
    <w:rsid w:val="00262641"/>
    <w:rsid w:val="002626C2"/>
    <w:rsid w:val="002629F9"/>
    <w:rsid w:val="00262DFF"/>
    <w:rsid w:val="00263198"/>
    <w:rsid w:val="0026328B"/>
    <w:rsid w:val="002656CA"/>
    <w:rsid w:val="002658BD"/>
    <w:rsid w:val="00266C69"/>
    <w:rsid w:val="00266D81"/>
    <w:rsid w:val="00271303"/>
    <w:rsid w:val="00271666"/>
    <w:rsid w:val="00271FDA"/>
    <w:rsid w:val="00275B89"/>
    <w:rsid w:val="00275BBE"/>
    <w:rsid w:val="002768AE"/>
    <w:rsid w:val="002775A7"/>
    <w:rsid w:val="002805A4"/>
    <w:rsid w:val="00280771"/>
    <w:rsid w:val="00280BC0"/>
    <w:rsid w:val="0028204E"/>
    <w:rsid w:val="002829D1"/>
    <w:rsid w:val="00283021"/>
    <w:rsid w:val="00283251"/>
    <w:rsid w:val="00283ADD"/>
    <w:rsid w:val="0028431B"/>
    <w:rsid w:val="00284DA8"/>
    <w:rsid w:val="00285077"/>
    <w:rsid w:val="00285B75"/>
    <w:rsid w:val="00285FBD"/>
    <w:rsid w:val="0028725F"/>
    <w:rsid w:val="00287A9C"/>
    <w:rsid w:val="00291A20"/>
    <w:rsid w:val="00293D28"/>
    <w:rsid w:val="00293D2A"/>
    <w:rsid w:val="002950A6"/>
    <w:rsid w:val="00296323"/>
    <w:rsid w:val="0029652B"/>
    <w:rsid w:val="002967F7"/>
    <w:rsid w:val="00296AD8"/>
    <w:rsid w:val="00297D4F"/>
    <w:rsid w:val="002A0C9E"/>
    <w:rsid w:val="002A2A10"/>
    <w:rsid w:val="002A2FCD"/>
    <w:rsid w:val="002A3667"/>
    <w:rsid w:val="002A45FA"/>
    <w:rsid w:val="002A4CF0"/>
    <w:rsid w:val="002A53BD"/>
    <w:rsid w:val="002A5CFD"/>
    <w:rsid w:val="002A66D1"/>
    <w:rsid w:val="002A6EB2"/>
    <w:rsid w:val="002B0BB4"/>
    <w:rsid w:val="002B0D9A"/>
    <w:rsid w:val="002B1B79"/>
    <w:rsid w:val="002B1E0B"/>
    <w:rsid w:val="002B282F"/>
    <w:rsid w:val="002B3BED"/>
    <w:rsid w:val="002B4F84"/>
    <w:rsid w:val="002B687B"/>
    <w:rsid w:val="002B6BB9"/>
    <w:rsid w:val="002B7BB8"/>
    <w:rsid w:val="002C035E"/>
    <w:rsid w:val="002C127A"/>
    <w:rsid w:val="002C22B3"/>
    <w:rsid w:val="002C282C"/>
    <w:rsid w:val="002C2904"/>
    <w:rsid w:val="002C2B6A"/>
    <w:rsid w:val="002C2F49"/>
    <w:rsid w:val="002C314C"/>
    <w:rsid w:val="002C33BE"/>
    <w:rsid w:val="002C383E"/>
    <w:rsid w:val="002C482C"/>
    <w:rsid w:val="002C5A3C"/>
    <w:rsid w:val="002C6AAA"/>
    <w:rsid w:val="002C7369"/>
    <w:rsid w:val="002C74CC"/>
    <w:rsid w:val="002D01B3"/>
    <w:rsid w:val="002D028A"/>
    <w:rsid w:val="002D1176"/>
    <w:rsid w:val="002D1536"/>
    <w:rsid w:val="002D1D1C"/>
    <w:rsid w:val="002D2749"/>
    <w:rsid w:val="002D288C"/>
    <w:rsid w:val="002D5F3C"/>
    <w:rsid w:val="002D7A62"/>
    <w:rsid w:val="002E02AA"/>
    <w:rsid w:val="002E043B"/>
    <w:rsid w:val="002E0A02"/>
    <w:rsid w:val="002E0FF7"/>
    <w:rsid w:val="002E16CC"/>
    <w:rsid w:val="002E1B24"/>
    <w:rsid w:val="002E213D"/>
    <w:rsid w:val="002E35AE"/>
    <w:rsid w:val="002E3F5E"/>
    <w:rsid w:val="002E48B3"/>
    <w:rsid w:val="002E6718"/>
    <w:rsid w:val="002E6C5C"/>
    <w:rsid w:val="002E6FBD"/>
    <w:rsid w:val="002E7140"/>
    <w:rsid w:val="002E7AE4"/>
    <w:rsid w:val="002F19E6"/>
    <w:rsid w:val="002F34CE"/>
    <w:rsid w:val="002F4425"/>
    <w:rsid w:val="002F44A2"/>
    <w:rsid w:val="002F45BD"/>
    <w:rsid w:val="002F488E"/>
    <w:rsid w:val="002F4FA1"/>
    <w:rsid w:val="002F5F97"/>
    <w:rsid w:val="002F6062"/>
    <w:rsid w:val="003005D0"/>
    <w:rsid w:val="0030228B"/>
    <w:rsid w:val="003025E9"/>
    <w:rsid w:val="00302737"/>
    <w:rsid w:val="003037F8"/>
    <w:rsid w:val="003040FC"/>
    <w:rsid w:val="003043EF"/>
    <w:rsid w:val="00304A3C"/>
    <w:rsid w:val="003056FD"/>
    <w:rsid w:val="00305E82"/>
    <w:rsid w:val="00307710"/>
    <w:rsid w:val="00310067"/>
    <w:rsid w:val="00310F5F"/>
    <w:rsid w:val="0031170E"/>
    <w:rsid w:val="003126F9"/>
    <w:rsid w:val="00313853"/>
    <w:rsid w:val="00314FBB"/>
    <w:rsid w:val="00314FF1"/>
    <w:rsid w:val="00315504"/>
    <w:rsid w:val="00315D1C"/>
    <w:rsid w:val="00320BE8"/>
    <w:rsid w:val="0032107B"/>
    <w:rsid w:val="00321527"/>
    <w:rsid w:val="00323E3C"/>
    <w:rsid w:val="00323EDE"/>
    <w:rsid w:val="00324206"/>
    <w:rsid w:val="0032530E"/>
    <w:rsid w:val="003265BB"/>
    <w:rsid w:val="003267FC"/>
    <w:rsid w:val="003272CA"/>
    <w:rsid w:val="00327A5E"/>
    <w:rsid w:val="00330C1D"/>
    <w:rsid w:val="00331FA6"/>
    <w:rsid w:val="0033237C"/>
    <w:rsid w:val="00332FB5"/>
    <w:rsid w:val="0033424A"/>
    <w:rsid w:val="00334CDE"/>
    <w:rsid w:val="00335F22"/>
    <w:rsid w:val="00336F98"/>
    <w:rsid w:val="0034048B"/>
    <w:rsid w:val="00340E3B"/>
    <w:rsid w:val="00340F76"/>
    <w:rsid w:val="00344075"/>
    <w:rsid w:val="003447B8"/>
    <w:rsid w:val="003462C0"/>
    <w:rsid w:val="003477B0"/>
    <w:rsid w:val="00347AE5"/>
    <w:rsid w:val="00347EC0"/>
    <w:rsid w:val="003503A5"/>
    <w:rsid w:val="003524EA"/>
    <w:rsid w:val="00352DBA"/>
    <w:rsid w:val="003530E9"/>
    <w:rsid w:val="0035483F"/>
    <w:rsid w:val="00354C97"/>
    <w:rsid w:val="0035604C"/>
    <w:rsid w:val="0035670E"/>
    <w:rsid w:val="003572B7"/>
    <w:rsid w:val="00357761"/>
    <w:rsid w:val="00357E23"/>
    <w:rsid w:val="0036239C"/>
    <w:rsid w:val="00362644"/>
    <w:rsid w:val="00363B66"/>
    <w:rsid w:val="00364000"/>
    <w:rsid w:val="0036546A"/>
    <w:rsid w:val="00366179"/>
    <w:rsid w:val="00366373"/>
    <w:rsid w:val="00367FFE"/>
    <w:rsid w:val="0037192F"/>
    <w:rsid w:val="00371AEB"/>
    <w:rsid w:val="00372955"/>
    <w:rsid w:val="00372B45"/>
    <w:rsid w:val="00373083"/>
    <w:rsid w:val="00373803"/>
    <w:rsid w:val="00374193"/>
    <w:rsid w:val="003746B9"/>
    <w:rsid w:val="00375250"/>
    <w:rsid w:val="003762D7"/>
    <w:rsid w:val="00376A88"/>
    <w:rsid w:val="003777EE"/>
    <w:rsid w:val="003803C4"/>
    <w:rsid w:val="00380D0C"/>
    <w:rsid w:val="003819D9"/>
    <w:rsid w:val="003820DD"/>
    <w:rsid w:val="003829F6"/>
    <w:rsid w:val="00383762"/>
    <w:rsid w:val="00384DFF"/>
    <w:rsid w:val="00385E20"/>
    <w:rsid w:val="00387A60"/>
    <w:rsid w:val="00387F31"/>
    <w:rsid w:val="00390495"/>
    <w:rsid w:val="00390A22"/>
    <w:rsid w:val="003912CE"/>
    <w:rsid w:val="00391691"/>
    <w:rsid w:val="0039464C"/>
    <w:rsid w:val="00394BA9"/>
    <w:rsid w:val="003960BC"/>
    <w:rsid w:val="003A06C5"/>
    <w:rsid w:val="003A1D3D"/>
    <w:rsid w:val="003A3867"/>
    <w:rsid w:val="003A40DD"/>
    <w:rsid w:val="003A4B91"/>
    <w:rsid w:val="003A4CA0"/>
    <w:rsid w:val="003A5A83"/>
    <w:rsid w:val="003A5A8E"/>
    <w:rsid w:val="003A6D17"/>
    <w:rsid w:val="003A6F88"/>
    <w:rsid w:val="003A769F"/>
    <w:rsid w:val="003A7FBD"/>
    <w:rsid w:val="003B022E"/>
    <w:rsid w:val="003B0928"/>
    <w:rsid w:val="003B0D04"/>
    <w:rsid w:val="003B2251"/>
    <w:rsid w:val="003B3858"/>
    <w:rsid w:val="003B53AF"/>
    <w:rsid w:val="003B6AC4"/>
    <w:rsid w:val="003B7378"/>
    <w:rsid w:val="003B76BF"/>
    <w:rsid w:val="003C1834"/>
    <w:rsid w:val="003C19BA"/>
    <w:rsid w:val="003C20FF"/>
    <w:rsid w:val="003C3023"/>
    <w:rsid w:val="003C3103"/>
    <w:rsid w:val="003C419D"/>
    <w:rsid w:val="003C4221"/>
    <w:rsid w:val="003C66D4"/>
    <w:rsid w:val="003C7C9A"/>
    <w:rsid w:val="003D04A3"/>
    <w:rsid w:val="003D0BA2"/>
    <w:rsid w:val="003D0DDF"/>
    <w:rsid w:val="003D2615"/>
    <w:rsid w:val="003D28B6"/>
    <w:rsid w:val="003D2A4B"/>
    <w:rsid w:val="003D5BE8"/>
    <w:rsid w:val="003D5F49"/>
    <w:rsid w:val="003D62D0"/>
    <w:rsid w:val="003D6376"/>
    <w:rsid w:val="003D6CDF"/>
    <w:rsid w:val="003D75F5"/>
    <w:rsid w:val="003D76CD"/>
    <w:rsid w:val="003D7943"/>
    <w:rsid w:val="003D7D7F"/>
    <w:rsid w:val="003E0079"/>
    <w:rsid w:val="003E23A8"/>
    <w:rsid w:val="003E275D"/>
    <w:rsid w:val="003E52C1"/>
    <w:rsid w:val="003E6520"/>
    <w:rsid w:val="003E6BB8"/>
    <w:rsid w:val="003E7769"/>
    <w:rsid w:val="003E78B4"/>
    <w:rsid w:val="003E7F7E"/>
    <w:rsid w:val="003F0999"/>
    <w:rsid w:val="003F0EA4"/>
    <w:rsid w:val="003F27A3"/>
    <w:rsid w:val="003F3524"/>
    <w:rsid w:val="003F4128"/>
    <w:rsid w:val="003F4CED"/>
    <w:rsid w:val="003F4FCA"/>
    <w:rsid w:val="003F503C"/>
    <w:rsid w:val="003F5D2F"/>
    <w:rsid w:val="003F61C5"/>
    <w:rsid w:val="003F6B5A"/>
    <w:rsid w:val="003F72C6"/>
    <w:rsid w:val="003F78DC"/>
    <w:rsid w:val="003F7C5F"/>
    <w:rsid w:val="0040089A"/>
    <w:rsid w:val="00402876"/>
    <w:rsid w:val="004033E8"/>
    <w:rsid w:val="0040514F"/>
    <w:rsid w:val="004054F4"/>
    <w:rsid w:val="004055E4"/>
    <w:rsid w:val="0040587E"/>
    <w:rsid w:val="00405D58"/>
    <w:rsid w:val="004061FB"/>
    <w:rsid w:val="004062BC"/>
    <w:rsid w:val="00406789"/>
    <w:rsid w:val="00407280"/>
    <w:rsid w:val="0041046D"/>
    <w:rsid w:val="0041080F"/>
    <w:rsid w:val="0041092C"/>
    <w:rsid w:val="00411CD9"/>
    <w:rsid w:val="0041204B"/>
    <w:rsid w:val="004130E7"/>
    <w:rsid w:val="00415D02"/>
    <w:rsid w:val="00417CFB"/>
    <w:rsid w:val="004206AF"/>
    <w:rsid w:val="00420925"/>
    <w:rsid w:val="004212F4"/>
    <w:rsid w:val="00421E6D"/>
    <w:rsid w:val="00421F95"/>
    <w:rsid w:val="0042277F"/>
    <w:rsid w:val="00422BB7"/>
    <w:rsid w:val="00425B82"/>
    <w:rsid w:val="004265EF"/>
    <w:rsid w:val="004266A7"/>
    <w:rsid w:val="004266FF"/>
    <w:rsid w:val="00426A10"/>
    <w:rsid w:val="0043107E"/>
    <w:rsid w:val="004315D5"/>
    <w:rsid w:val="00431EF5"/>
    <w:rsid w:val="00433B08"/>
    <w:rsid w:val="00435E3A"/>
    <w:rsid w:val="00436A9B"/>
    <w:rsid w:val="00437313"/>
    <w:rsid w:val="00440E60"/>
    <w:rsid w:val="00441CCB"/>
    <w:rsid w:val="00443165"/>
    <w:rsid w:val="00443458"/>
    <w:rsid w:val="00445618"/>
    <w:rsid w:val="00447B17"/>
    <w:rsid w:val="00447D02"/>
    <w:rsid w:val="00450A8E"/>
    <w:rsid w:val="004525FA"/>
    <w:rsid w:val="00452DE9"/>
    <w:rsid w:val="00452E58"/>
    <w:rsid w:val="00453175"/>
    <w:rsid w:val="004539DB"/>
    <w:rsid w:val="00454371"/>
    <w:rsid w:val="00454B5D"/>
    <w:rsid w:val="004557E5"/>
    <w:rsid w:val="00455A71"/>
    <w:rsid w:val="00456187"/>
    <w:rsid w:val="00456701"/>
    <w:rsid w:val="004569DD"/>
    <w:rsid w:val="00460258"/>
    <w:rsid w:val="00460DA8"/>
    <w:rsid w:val="00461973"/>
    <w:rsid w:val="00461BA7"/>
    <w:rsid w:val="00463BDA"/>
    <w:rsid w:val="004644D1"/>
    <w:rsid w:val="004644E6"/>
    <w:rsid w:val="00465A54"/>
    <w:rsid w:val="00465DEE"/>
    <w:rsid w:val="004667CC"/>
    <w:rsid w:val="00466AAE"/>
    <w:rsid w:val="00467895"/>
    <w:rsid w:val="00467C3E"/>
    <w:rsid w:val="004711C6"/>
    <w:rsid w:val="00471296"/>
    <w:rsid w:val="00471BB7"/>
    <w:rsid w:val="00473226"/>
    <w:rsid w:val="00474114"/>
    <w:rsid w:val="0047487C"/>
    <w:rsid w:val="00474FF6"/>
    <w:rsid w:val="00475200"/>
    <w:rsid w:val="0047557E"/>
    <w:rsid w:val="004758C1"/>
    <w:rsid w:val="00475F52"/>
    <w:rsid w:val="004770C4"/>
    <w:rsid w:val="004773A6"/>
    <w:rsid w:val="004774F2"/>
    <w:rsid w:val="004775DA"/>
    <w:rsid w:val="00480474"/>
    <w:rsid w:val="00481865"/>
    <w:rsid w:val="0048191C"/>
    <w:rsid w:val="00481AA7"/>
    <w:rsid w:val="004833F4"/>
    <w:rsid w:val="00483A7C"/>
    <w:rsid w:val="00483B7C"/>
    <w:rsid w:val="00483D02"/>
    <w:rsid w:val="004849FD"/>
    <w:rsid w:val="004851A1"/>
    <w:rsid w:val="00486514"/>
    <w:rsid w:val="00487DF8"/>
    <w:rsid w:val="0049003F"/>
    <w:rsid w:val="004910E8"/>
    <w:rsid w:val="00491ADC"/>
    <w:rsid w:val="00491C40"/>
    <w:rsid w:val="00492A20"/>
    <w:rsid w:val="00493F10"/>
    <w:rsid w:val="00496DC9"/>
    <w:rsid w:val="00497069"/>
    <w:rsid w:val="0049745E"/>
    <w:rsid w:val="0049777B"/>
    <w:rsid w:val="004A1479"/>
    <w:rsid w:val="004A33F3"/>
    <w:rsid w:val="004A34AC"/>
    <w:rsid w:val="004A4DCD"/>
    <w:rsid w:val="004A6095"/>
    <w:rsid w:val="004A635E"/>
    <w:rsid w:val="004A74F5"/>
    <w:rsid w:val="004B065F"/>
    <w:rsid w:val="004B10A3"/>
    <w:rsid w:val="004B1CA6"/>
    <w:rsid w:val="004B24A2"/>
    <w:rsid w:val="004B3B83"/>
    <w:rsid w:val="004B411F"/>
    <w:rsid w:val="004B48CF"/>
    <w:rsid w:val="004B56CD"/>
    <w:rsid w:val="004B5E85"/>
    <w:rsid w:val="004B5F00"/>
    <w:rsid w:val="004B6505"/>
    <w:rsid w:val="004B6AFA"/>
    <w:rsid w:val="004C0637"/>
    <w:rsid w:val="004C32C8"/>
    <w:rsid w:val="004C3C54"/>
    <w:rsid w:val="004C47DA"/>
    <w:rsid w:val="004C5609"/>
    <w:rsid w:val="004C5B70"/>
    <w:rsid w:val="004C7932"/>
    <w:rsid w:val="004D02D5"/>
    <w:rsid w:val="004D0814"/>
    <w:rsid w:val="004D0BEE"/>
    <w:rsid w:val="004D1D20"/>
    <w:rsid w:val="004D2C06"/>
    <w:rsid w:val="004D33B7"/>
    <w:rsid w:val="004D47D2"/>
    <w:rsid w:val="004D5502"/>
    <w:rsid w:val="004D580B"/>
    <w:rsid w:val="004D6701"/>
    <w:rsid w:val="004D6AA9"/>
    <w:rsid w:val="004D7A4E"/>
    <w:rsid w:val="004E0231"/>
    <w:rsid w:val="004E0C3B"/>
    <w:rsid w:val="004E0E09"/>
    <w:rsid w:val="004E0F43"/>
    <w:rsid w:val="004E1142"/>
    <w:rsid w:val="004E1C9D"/>
    <w:rsid w:val="004E3D83"/>
    <w:rsid w:val="004E66FC"/>
    <w:rsid w:val="004E6D11"/>
    <w:rsid w:val="004F219C"/>
    <w:rsid w:val="004F2347"/>
    <w:rsid w:val="004F2931"/>
    <w:rsid w:val="004F2E32"/>
    <w:rsid w:val="004F3173"/>
    <w:rsid w:val="004F3BCF"/>
    <w:rsid w:val="004F40B7"/>
    <w:rsid w:val="004F416E"/>
    <w:rsid w:val="004F539D"/>
    <w:rsid w:val="004F587F"/>
    <w:rsid w:val="00501506"/>
    <w:rsid w:val="00501F2F"/>
    <w:rsid w:val="0050389B"/>
    <w:rsid w:val="00504AC1"/>
    <w:rsid w:val="00505E38"/>
    <w:rsid w:val="0050618C"/>
    <w:rsid w:val="0050685C"/>
    <w:rsid w:val="0050714A"/>
    <w:rsid w:val="00510A32"/>
    <w:rsid w:val="00511215"/>
    <w:rsid w:val="00512894"/>
    <w:rsid w:val="00512F0E"/>
    <w:rsid w:val="00513963"/>
    <w:rsid w:val="00514BB5"/>
    <w:rsid w:val="00514C77"/>
    <w:rsid w:val="005154B4"/>
    <w:rsid w:val="00515726"/>
    <w:rsid w:val="00516636"/>
    <w:rsid w:val="005172C7"/>
    <w:rsid w:val="00517EC8"/>
    <w:rsid w:val="005213FD"/>
    <w:rsid w:val="005218AE"/>
    <w:rsid w:val="00521AE2"/>
    <w:rsid w:val="00522A63"/>
    <w:rsid w:val="0052405D"/>
    <w:rsid w:val="00525FE3"/>
    <w:rsid w:val="0052701A"/>
    <w:rsid w:val="00533E00"/>
    <w:rsid w:val="00534736"/>
    <w:rsid w:val="005348B8"/>
    <w:rsid w:val="00535125"/>
    <w:rsid w:val="005352BB"/>
    <w:rsid w:val="005353FE"/>
    <w:rsid w:val="00535BE0"/>
    <w:rsid w:val="005360E0"/>
    <w:rsid w:val="0053729C"/>
    <w:rsid w:val="00540B55"/>
    <w:rsid w:val="00540E58"/>
    <w:rsid w:val="005414FD"/>
    <w:rsid w:val="00542609"/>
    <w:rsid w:val="005427AD"/>
    <w:rsid w:val="005431E7"/>
    <w:rsid w:val="00543610"/>
    <w:rsid w:val="00543E97"/>
    <w:rsid w:val="00544CE8"/>
    <w:rsid w:val="00544F08"/>
    <w:rsid w:val="00544F49"/>
    <w:rsid w:val="005451F8"/>
    <w:rsid w:val="00545271"/>
    <w:rsid w:val="00546640"/>
    <w:rsid w:val="00547B5A"/>
    <w:rsid w:val="005500B6"/>
    <w:rsid w:val="005506ED"/>
    <w:rsid w:val="00551A83"/>
    <w:rsid w:val="0055264D"/>
    <w:rsid w:val="005528CB"/>
    <w:rsid w:val="00554D89"/>
    <w:rsid w:val="005553ED"/>
    <w:rsid w:val="00555C11"/>
    <w:rsid w:val="0055679D"/>
    <w:rsid w:val="00557227"/>
    <w:rsid w:val="00557AC8"/>
    <w:rsid w:val="005601FD"/>
    <w:rsid w:val="005604DE"/>
    <w:rsid w:val="005611B2"/>
    <w:rsid w:val="005615ED"/>
    <w:rsid w:val="00561F7E"/>
    <w:rsid w:val="00563007"/>
    <w:rsid w:val="00563721"/>
    <w:rsid w:val="00563C5C"/>
    <w:rsid w:val="00565655"/>
    <w:rsid w:val="00570844"/>
    <w:rsid w:val="00571139"/>
    <w:rsid w:val="00571398"/>
    <w:rsid w:val="0057297A"/>
    <w:rsid w:val="00572980"/>
    <w:rsid w:val="00572C02"/>
    <w:rsid w:val="00573637"/>
    <w:rsid w:val="00575858"/>
    <w:rsid w:val="00576286"/>
    <w:rsid w:val="00577C26"/>
    <w:rsid w:val="0058025A"/>
    <w:rsid w:val="00580945"/>
    <w:rsid w:val="00581416"/>
    <w:rsid w:val="005817CF"/>
    <w:rsid w:val="00582341"/>
    <w:rsid w:val="00582FA9"/>
    <w:rsid w:val="0058356C"/>
    <w:rsid w:val="005836F6"/>
    <w:rsid w:val="005837B4"/>
    <w:rsid w:val="00584F87"/>
    <w:rsid w:val="00585D20"/>
    <w:rsid w:val="00587E6C"/>
    <w:rsid w:val="00591781"/>
    <w:rsid w:val="00592341"/>
    <w:rsid w:val="00592A70"/>
    <w:rsid w:val="00593692"/>
    <w:rsid w:val="0059472C"/>
    <w:rsid w:val="00594AC4"/>
    <w:rsid w:val="00595CEA"/>
    <w:rsid w:val="005966C2"/>
    <w:rsid w:val="005A043E"/>
    <w:rsid w:val="005A0843"/>
    <w:rsid w:val="005A0A09"/>
    <w:rsid w:val="005A300B"/>
    <w:rsid w:val="005A3A79"/>
    <w:rsid w:val="005A3C56"/>
    <w:rsid w:val="005A47CA"/>
    <w:rsid w:val="005A5670"/>
    <w:rsid w:val="005A6288"/>
    <w:rsid w:val="005A6E90"/>
    <w:rsid w:val="005B0197"/>
    <w:rsid w:val="005B02A8"/>
    <w:rsid w:val="005B176B"/>
    <w:rsid w:val="005B2B4E"/>
    <w:rsid w:val="005B46AE"/>
    <w:rsid w:val="005B4BEE"/>
    <w:rsid w:val="005B649F"/>
    <w:rsid w:val="005B68A0"/>
    <w:rsid w:val="005B7A97"/>
    <w:rsid w:val="005C1555"/>
    <w:rsid w:val="005C1B58"/>
    <w:rsid w:val="005C23C6"/>
    <w:rsid w:val="005C2481"/>
    <w:rsid w:val="005C27BC"/>
    <w:rsid w:val="005C415D"/>
    <w:rsid w:val="005C43AE"/>
    <w:rsid w:val="005C443B"/>
    <w:rsid w:val="005C5472"/>
    <w:rsid w:val="005C55D8"/>
    <w:rsid w:val="005C5E3E"/>
    <w:rsid w:val="005C6486"/>
    <w:rsid w:val="005C6743"/>
    <w:rsid w:val="005C6B47"/>
    <w:rsid w:val="005C717D"/>
    <w:rsid w:val="005C7332"/>
    <w:rsid w:val="005C7E31"/>
    <w:rsid w:val="005D0725"/>
    <w:rsid w:val="005D1721"/>
    <w:rsid w:val="005D1E0B"/>
    <w:rsid w:val="005D231C"/>
    <w:rsid w:val="005D2767"/>
    <w:rsid w:val="005D3996"/>
    <w:rsid w:val="005D458C"/>
    <w:rsid w:val="005D48F2"/>
    <w:rsid w:val="005D4C9B"/>
    <w:rsid w:val="005D4CD0"/>
    <w:rsid w:val="005D5F23"/>
    <w:rsid w:val="005D6ACF"/>
    <w:rsid w:val="005D746E"/>
    <w:rsid w:val="005E0E38"/>
    <w:rsid w:val="005E1899"/>
    <w:rsid w:val="005E248D"/>
    <w:rsid w:val="005E24C9"/>
    <w:rsid w:val="005E2A45"/>
    <w:rsid w:val="005E2F08"/>
    <w:rsid w:val="005E53C4"/>
    <w:rsid w:val="005E7B1F"/>
    <w:rsid w:val="005E7D10"/>
    <w:rsid w:val="005E7F2E"/>
    <w:rsid w:val="005F1676"/>
    <w:rsid w:val="005F1915"/>
    <w:rsid w:val="005F19AE"/>
    <w:rsid w:val="005F1D5A"/>
    <w:rsid w:val="005F1E7D"/>
    <w:rsid w:val="005F1EE4"/>
    <w:rsid w:val="005F244D"/>
    <w:rsid w:val="005F291E"/>
    <w:rsid w:val="005F2AB8"/>
    <w:rsid w:val="005F2C1B"/>
    <w:rsid w:val="005F2D3B"/>
    <w:rsid w:val="005F344E"/>
    <w:rsid w:val="005F34FA"/>
    <w:rsid w:val="005F4135"/>
    <w:rsid w:val="005F43F6"/>
    <w:rsid w:val="005F4E0F"/>
    <w:rsid w:val="005F5025"/>
    <w:rsid w:val="005F53CC"/>
    <w:rsid w:val="005F58E3"/>
    <w:rsid w:val="005F5FDA"/>
    <w:rsid w:val="005F6505"/>
    <w:rsid w:val="005F6A30"/>
    <w:rsid w:val="005F6E79"/>
    <w:rsid w:val="005F6EBD"/>
    <w:rsid w:val="005F7772"/>
    <w:rsid w:val="005F785D"/>
    <w:rsid w:val="005F7D5D"/>
    <w:rsid w:val="00600A48"/>
    <w:rsid w:val="00601039"/>
    <w:rsid w:val="00601F9F"/>
    <w:rsid w:val="0060232C"/>
    <w:rsid w:val="0060283D"/>
    <w:rsid w:val="00602A43"/>
    <w:rsid w:val="006035C7"/>
    <w:rsid w:val="0060379A"/>
    <w:rsid w:val="006037F3"/>
    <w:rsid w:val="00603B5F"/>
    <w:rsid w:val="006044A1"/>
    <w:rsid w:val="00604832"/>
    <w:rsid w:val="006053A4"/>
    <w:rsid w:val="00605D72"/>
    <w:rsid w:val="0060641A"/>
    <w:rsid w:val="00610FC6"/>
    <w:rsid w:val="00610FC7"/>
    <w:rsid w:val="006122D8"/>
    <w:rsid w:val="006124EB"/>
    <w:rsid w:val="00613D62"/>
    <w:rsid w:val="00614E67"/>
    <w:rsid w:val="00615EF2"/>
    <w:rsid w:val="006166EB"/>
    <w:rsid w:val="006217B5"/>
    <w:rsid w:val="006221B3"/>
    <w:rsid w:val="006231A3"/>
    <w:rsid w:val="00623DD8"/>
    <w:rsid w:val="00624047"/>
    <w:rsid w:val="0062540E"/>
    <w:rsid w:val="0062672A"/>
    <w:rsid w:val="00626C1D"/>
    <w:rsid w:val="006277EF"/>
    <w:rsid w:val="00627F67"/>
    <w:rsid w:val="00627F6E"/>
    <w:rsid w:val="0063054D"/>
    <w:rsid w:val="00630D11"/>
    <w:rsid w:val="00630E72"/>
    <w:rsid w:val="00631857"/>
    <w:rsid w:val="00631BB6"/>
    <w:rsid w:val="00632121"/>
    <w:rsid w:val="00632F64"/>
    <w:rsid w:val="00633C74"/>
    <w:rsid w:val="00634C56"/>
    <w:rsid w:val="006360B4"/>
    <w:rsid w:val="006364AF"/>
    <w:rsid w:val="00637194"/>
    <w:rsid w:val="00637E97"/>
    <w:rsid w:val="00640443"/>
    <w:rsid w:val="00640633"/>
    <w:rsid w:val="00640BFB"/>
    <w:rsid w:val="00641680"/>
    <w:rsid w:val="006419F8"/>
    <w:rsid w:val="006423D2"/>
    <w:rsid w:val="00642DF5"/>
    <w:rsid w:val="00642E54"/>
    <w:rsid w:val="00643108"/>
    <w:rsid w:val="0064528F"/>
    <w:rsid w:val="006458F6"/>
    <w:rsid w:val="006465AA"/>
    <w:rsid w:val="006475D6"/>
    <w:rsid w:val="006476C2"/>
    <w:rsid w:val="006504CD"/>
    <w:rsid w:val="00650677"/>
    <w:rsid w:val="0065154E"/>
    <w:rsid w:val="00651787"/>
    <w:rsid w:val="00651884"/>
    <w:rsid w:val="00652B47"/>
    <w:rsid w:val="006531D8"/>
    <w:rsid w:val="00653388"/>
    <w:rsid w:val="0065339E"/>
    <w:rsid w:val="00653EAF"/>
    <w:rsid w:val="00653F35"/>
    <w:rsid w:val="006544E7"/>
    <w:rsid w:val="006548A2"/>
    <w:rsid w:val="006556DA"/>
    <w:rsid w:val="00655C47"/>
    <w:rsid w:val="00656440"/>
    <w:rsid w:val="006568A1"/>
    <w:rsid w:val="00656D0A"/>
    <w:rsid w:val="00657115"/>
    <w:rsid w:val="006607F8"/>
    <w:rsid w:val="006612C2"/>
    <w:rsid w:val="00662568"/>
    <w:rsid w:val="0066301A"/>
    <w:rsid w:val="00663FE2"/>
    <w:rsid w:val="0066558B"/>
    <w:rsid w:val="00665B8D"/>
    <w:rsid w:val="00665E92"/>
    <w:rsid w:val="00666DB9"/>
    <w:rsid w:val="006705C8"/>
    <w:rsid w:val="0067085B"/>
    <w:rsid w:val="006715D0"/>
    <w:rsid w:val="00671BD3"/>
    <w:rsid w:val="00673720"/>
    <w:rsid w:val="00673ACD"/>
    <w:rsid w:val="00674749"/>
    <w:rsid w:val="006755DA"/>
    <w:rsid w:val="00676316"/>
    <w:rsid w:val="00676325"/>
    <w:rsid w:val="00676F92"/>
    <w:rsid w:val="00677DD0"/>
    <w:rsid w:val="00680075"/>
    <w:rsid w:val="00681429"/>
    <w:rsid w:val="00682A81"/>
    <w:rsid w:val="00683041"/>
    <w:rsid w:val="006839FE"/>
    <w:rsid w:val="00683B77"/>
    <w:rsid w:val="00684796"/>
    <w:rsid w:val="00685323"/>
    <w:rsid w:val="00685766"/>
    <w:rsid w:val="006858A7"/>
    <w:rsid w:val="00687C5C"/>
    <w:rsid w:val="006914FC"/>
    <w:rsid w:val="0069172D"/>
    <w:rsid w:val="006924E6"/>
    <w:rsid w:val="0069303F"/>
    <w:rsid w:val="00693691"/>
    <w:rsid w:val="006943D4"/>
    <w:rsid w:val="0069442E"/>
    <w:rsid w:val="00694512"/>
    <w:rsid w:val="00694A54"/>
    <w:rsid w:val="00694B5A"/>
    <w:rsid w:val="00696080"/>
    <w:rsid w:val="00697CB4"/>
    <w:rsid w:val="006A1C18"/>
    <w:rsid w:val="006A1E2B"/>
    <w:rsid w:val="006A2131"/>
    <w:rsid w:val="006A25A8"/>
    <w:rsid w:val="006A3072"/>
    <w:rsid w:val="006A3853"/>
    <w:rsid w:val="006A3D96"/>
    <w:rsid w:val="006A42C4"/>
    <w:rsid w:val="006A4B0A"/>
    <w:rsid w:val="006A52A7"/>
    <w:rsid w:val="006A5987"/>
    <w:rsid w:val="006A6286"/>
    <w:rsid w:val="006A68E4"/>
    <w:rsid w:val="006A7227"/>
    <w:rsid w:val="006A76A2"/>
    <w:rsid w:val="006A76D2"/>
    <w:rsid w:val="006B0521"/>
    <w:rsid w:val="006B074B"/>
    <w:rsid w:val="006B2812"/>
    <w:rsid w:val="006B2A90"/>
    <w:rsid w:val="006B3626"/>
    <w:rsid w:val="006B4461"/>
    <w:rsid w:val="006B4EC7"/>
    <w:rsid w:val="006B4F7F"/>
    <w:rsid w:val="006B5C85"/>
    <w:rsid w:val="006B67D2"/>
    <w:rsid w:val="006B75EE"/>
    <w:rsid w:val="006C040E"/>
    <w:rsid w:val="006C055D"/>
    <w:rsid w:val="006C0A38"/>
    <w:rsid w:val="006C0DAB"/>
    <w:rsid w:val="006C1588"/>
    <w:rsid w:val="006C211F"/>
    <w:rsid w:val="006C297F"/>
    <w:rsid w:val="006C2AD8"/>
    <w:rsid w:val="006C2AF6"/>
    <w:rsid w:val="006C386E"/>
    <w:rsid w:val="006C3A31"/>
    <w:rsid w:val="006C4FA4"/>
    <w:rsid w:val="006C6555"/>
    <w:rsid w:val="006C69A9"/>
    <w:rsid w:val="006C6A48"/>
    <w:rsid w:val="006C6F01"/>
    <w:rsid w:val="006D0741"/>
    <w:rsid w:val="006D0A50"/>
    <w:rsid w:val="006D201A"/>
    <w:rsid w:val="006D24D5"/>
    <w:rsid w:val="006D2F46"/>
    <w:rsid w:val="006D3EB6"/>
    <w:rsid w:val="006D4E32"/>
    <w:rsid w:val="006D6DF3"/>
    <w:rsid w:val="006D6E87"/>
    <w:rsid w:val="006E1D22"/>
    <w:rsid w:val="006E22E6"/>
    <w:rsid w:val="006E2D38"/>
    <w:rsid w:val="006E2D64"/>
    <w:rsid w:val="006E346D"/>
    <w:rsid w:val="006E5C74"/>
    <w:rsid w:val="006F0886"/>
    <w:rsid w:val="006F4B8A"/>
    <w:rsid w:val="006F4DA6"/>
    <w:rsid w:val="006F4F61"/>
    <w:rsid w:val="006F530F"/>
    <w:rsid w:val="006F5334"/>
    <w:rsid w:val="006F6030"/>
    <w:rsid w:val="006F73F2"/>
    <w:rsid w:val="007011CA"/>
    <w:rsid w:val="007012AB"/>
    <w:rsid w:val="00701D25"/>
    <w:rsid w:val="00701F78"/>
    <w:rsid w:val="00701FBD"/>
    <w:rsid w:val="00703F19"/>
    <w:rsid w:val="0070458B"/>
    <w:rsid w:val="007045B8"/>
    <w:rsid w:val="00704BDE"/>
    <w:rsid w:val="0070611D"/>
    <w:rsid w:val="0070620F"/>
    <w:rsid w:val="007066A9"/>
    <w:rsid w:val="00710B29"/>
    <w:rsid w:val="0071147F"/>
    <w:rsid w:val="007119BE"/>
    <w:rsid w:val="0071206C"/>
    <w:rsid w:val="007141B1"/>
    <w:rsid w:val="00714A91"/>
    <w:rsid w:val="00716A8F"/>
    <w:rsid w:val="00716C3C"/>
    <w:rsid w:val="00717C3D"/>
    <w:rsid w:val="007205CE"/>
    <w:rsid w:val="0072170F"/>
    <w:rsid w:val="0072173C"/>
    <w:rsid w:val="00722798"/>
    <w:rsid w:val="00723034"/>
    <w:rsid w:val="007235FD"/>
    <w:rsid w:val="00723684"/>
    <w:rsid w:val="0072370D"/>
    <w:rsid w:val="00723C3A"/>
    <w:rsid w:val="00723C67"/>
    <w:rsid w:val="00724159"/>
    <w:rsid w:val="0072419B"/>
    <w:rsid w:val="00725622"/>
    <w:rsid w:val="0072580C"/>
    <w:rsid w:val="00725CE9"/>
    <w:rsid w:val="00726192"/>
    <w:rsid w:val="0072633B"/>
    <w:rsid w:val="007265E5"/>
    <w:rsid w:val="007271A5"/>
    <w:rsid w:val="00731C1F"/>
    <w:rsid w:val="00732BE1"/>
    <w:rsid w:val="007336C4"/>
    <w:rsid w:val="007347F9"/>
    <w:rsid w:val="00735711"/>
    <w:rsid w:val="007361F5"/>
    <w:rsid w:val="007366DD"/>
    <w:rsid w:val="0073697B"/>
    <w:rsid w:val="00736BE7"/>
    <w:rsid w:val="00740B10"/>
    <w:rsid w:val="007427B3"/>
    <w:rsid w:val="0074307F"/>
    <w:rsid w:val="00743578"/>
    <w:rsid w:val="00743E8A"/>
    <w:rsid w:val="00745976"/>
    <w:rsid w:val="0074704E"/>
    <w:rsid w:val="00750C21"/>
    <w:rsid w:val="007518D5"/>
    <w:rsid w:val="00753823"/>
    <w:rsid w:val="0075615D"/>
    <w:rsid w:val="00757C7B"/>
    <w:rsid w:val="007607E7"/>
    <w:rsid w:val="007610A0"/>
    <w:rsid w:val="00761589"/>
    <w:rsid w:val="00761882"/>
    <w:rsid w:val="00761D84"/>
    <w:rsid w:val="00762AAC"/>
    <w:rsid w:val="00763068"/>
    <w:rsid w:val="00763875"/>
    <w:rsid w:val="00763911"/>
    <w:rsid w:val="00766745"/>
    <w:rsid w:val="00766C6A"/>
    <w:rsid w:val="0076761A"/>
    <w:rsid w:val="0076776A"/>
    <w:rsid w:val="00770302"/>
    <w:rsid w:val="007703B3"/>
    <w:rsid w:val="007703F8"/>
    <w:rsid w:val="0077134C"/>
    <w:rsid w:val="007721C1"/>
    <w:rsid w:val="00774F50"/>
    <w:rsid w:val="007750B4"/>
    <w:rsid w:val="0077570C"/>
    <w:rsid w:val="00776CE6"/>
    <w:rsid w:val="00780D98"/>
    <w:rsid w:val="00780E78"/>
    <w:rsid w:val="007810DE"/>
    <w:rsid w:val="007813E4"/>
    <w:rsid w:val="0078148B"/>
    <w:rsid w:val="007829D9"/>
    <w:rsid w:val="00782FA6"/>
    <w:rsid w:val="00783382"/>
    <w:rsid w:val="007834B5"/>
    <w:rsid w:val="00783E74"/>
    <w:rsid w:val="007848D3"/>
    <w:rsid w:val="007854F0"/>
    <w:rsid w:val="00786128"/>
    <w:rsid w:val="007861E9"/>
    <w:rsid w:val="00791364"/>
    <w:rsid w:val="00791749"/>
    <w:rsid w:val="00794FA2"/>
    <w:rsid w:val="00795167"/>
    <w:rsid w:val="007959D1"/>
    <w:rsid w:val="00796257"/>
    <w:rsid w:val="007A0437"/>
    <w:rsid w:val="007A1F47"/>
    <w:rsid w:val="007A22BC"/>
    <w:rsid w:val="007A24FE"/>
    <w:rsid w:val="007A326E"/>
    <w:rsid w:val="007A3568"/>
    <w:rsid w:val="007A63CE"/>
    <w:rsid w:val="007A6725"/>
    <w:rsid w:val="007A789D"/>
    <w:rsid w:val="007A7918"/>
    <w:rsid w:val="007B0744"/>
    <w:rsid w:val="007B0EBA"/>
    <w:rsid w:val="007B0F5F"/>
    <w:rsid w:val="007B1478"/>
    <w:rsid w:val="007B177E"/>
    <w:rsid w:val="007B1F5D"/>
    <w:rsid w:val="007B2466"/>
    <w:rsid w:val="007B278C"/>
    <w:rsid w:val="007B2A85"/>
    <w:rsid w:val="007B2FFF"/>
    <w:rsid w:val="007B3C44"/>
    <w:rsid w:val="007B48C1"/>
    <w:rsid w:val="007B4AC7"/>
    <w:rsid w:val="007B4C9D"/>
    <w:rsid w:val="007B4EF9"/>
    <w:rsid w:val="007B50EA"/>
    <w:rsid w:val="007B6F78"/>
    <w:rsid w:val="007C04B3"/>
    <w:rsid w:val="007C11A2"/>
    <w:rsid w:val="007C1DAD"/>
    <w:rsid w:val="007C217F"/>
    <w:rsid w:val="007C29F9"/>
    <w:rsid w:val="007C2EEF"/>
    <w:rsid w:val="007C4C93"/>
    <w:rsid w:val="007C56AC"/>
    <w:rsid w:val="007C57EB"/>
    <w:rsid w:val="007C6E89"/>
    <w:rsid w:val="007C6EB8"/>
    <w:rsid w:val="007C7509"/>
    <w:rsid w:val="007C7E5F"/>
    <w:rsid w:val="007D0185"/>
    <w:rsid w:val="007D0A68"/>
    <w:rsid w:val="007D1C52"/>
    <w:rsid w:val="007D28D9"/>
    <w:rsid w:val="007D3871"/>
    <w:rsid w:val="007D4E66"/>
    <w:rsid w:val="007D4F05"/>
    <w:rsid w:val="007D76C9"/>
    <w:rsid w:val="007D7CB9"/>
    <w:rsid w:val="007E0127"/>
    <w:rsid w:val="007E0E0E"/>
    <w:rsid w:val="007E0FB0"/>
    <w:rsid w:val="007E114C"/>
    <w:rsid w:val="007E1A28"/>
    <w:rsid w:val="007E1A78"/>
    <w:rsid w:val="007E2832"/>
    <w:rsid w:val="007E3BB3"/>
    <w:rsid w:val="007E3F64"/>
    <w:rsid w:val="007E4117"/>
    <w:rsid w:val="007E42E7"/>
    <w:rsid w:val="007E4377"/>
    <w:rsid w:val="007E4461"/>
    <w:rsid w:val="007E52B7"/>
    <w:rsid w:val="007E55F0"/>
    <w:rsid w:val="007E59A2"/>
    <w:rsid w:val="007E6471"/>
    <w:rsid w:val="007E6B96"/>
    <w:rsid w:val="007E79C8"/>
    <w:rsid w:val="007E7F13"/>
    <w:rsid w:val="007F0163"/>
    <w:rsid w:val="007F096A"/>
    <w:rsid w:val="007F1ACD"/>
    <w:rsid w:val="007F1E4C"/>
    <w:rsid w:val="007F246B"/>
    <w:rsid w:val="007F291D"/>
    <w:rsid w:val="007F2BA3"/>
    <w:rsid w:val="007F40E5"/>
    <w:rsid w:val="007F44EB"/>
    <w:rsid w:val="007F4792"/>
    <w:rsid w:val="007F499A"/>
    <w:rsid w:val="007F534A"/>
    <w:rsid w:val="007F542C"/>
    <w:rsid w:val="007F5D96"/>
    <w:rsid w:val="00800B31"/>
    <w:rsid w:val="00801F68"/>
    <w:rsid w:val="00801FBD"/>
    <w:rsid w:val="00802FE5"/>
    <w:rsid w:val="008040F9"/>
    <w:rsid w:val="0080426F"/>
    <w:rsid w:val="008048C0"/>
    <w:rsid w:val="00804B78"/>
    <w:rsid w:val="00804E9C"/>
    <w:rsid w:val="00806670"/>
    <w:rsid w:val="00806A98"/>
    <w:rsid w:val="00807C89"/>
    <w:rsid w:val="00807E30"/>
    <w:rsid w:val="008104B7"/>
    <w:rsid w:val="00810A88"/>
    <w:rsid w:val="008120E3"/>
    <w:rsid w:val="00812234"/>
    <w:rsid w:val="00812E06"/>
    <w:rsid w:val="00813128"/>
    <w:rsid w:val="00814D23"/>
    <w:rsid w:val="00814EA3"/>
    <w:rsid w:val="00815364"/>
    <w:rsid w:val="008174EF"/>
    <w:rsid w:val="0082069D"/>
    <w:rsid w:val="00820B46"/>
    <w:rsid w:val="00821693"/>
    <w:rsid w:val="00823AA3"/>
    <w:rsid w:val="008244CB"/>
    <w:rsid w:val="00824AA2"/>
    <w:rsid w:val="00825AEB"/>
    <w:rsid w:val="00826C24"/>
    <w:rsid w:val="00826C62"/>
    <w:rsid w:val="00827760"/>
    <w:rsid w:val="008305A8"/>
    <w:rsid w:val="00833383"/>
    <w:rsid w:val="00833523"/>
    <w:rsid w:val="00833625"/>
    <w:rsid w:val="00835CB6"/>
    <w:rsid w:val="00837C32"/>
    <w:rsid w:val="008405DE"/>
    <w:rsid w:val="00841C4E"/>
    <w:rsid w:val="00841DC9"/>
    <w:rsid w:val="00841F11"/>
    <w:rsid w:val="008421D0"/>
    <w:rsid w:val="00842886"/>
    <w:rsid w:val="0084323A"/>
    <w:rsid w:val="00843B4A"/>
    <w:rsid w:val="008445DF"/>
    <w:rsid w:val="00844F56"/>
    <w:rsid w:val="00845707"/>
    <w:rsid w:val="00847A1F"/>
    <w:rsid w:val="008512E3"/>
    <w:rsid w:val="00852094"/>
    <w:rsid w:val="008521FA"/>
    <w:rsid w:val="008529A9"/>
    <w:rsid w:val="008536BD"/>
    <w:rsid w:val="0085397D"/>
    <w:rsid w:val="00853F6A"/>
    <w:rsid w:val="008542DF"/>
    <w:rsid w:val="00854351"/>
    <w:rsid w:val="008548D5"/>
    <w:rsid w:val="00854E3B"/>
    <w:rsid w:val="00854F8B"/>
    <w:rsid w:val="00855F86"/>
    <w:rsid w:val="00856377"/>
    <w:rsid w:val="0085680C"/>
    <w:rsid w:val="00857C5F"/>
    <w:rsid w:val="00857CB7"/>
    <w:rsid w:val="0086100A"/>
    <w:rsid w:val="00862770"/>
    <w:rsid w:val="00865D70"/>
    <w:rsid w:val="00867A45"/>
    <w:rsid w:val="00867C5E"/>
    <w:rsid w:val="00870089"/>
    <w:rsid w:val="008701F0"/>
    <w:rsid w:val="008702CF"/>
    <w:rsid w:val="0087096C"/>
    <w:rsid w:val="00872F12"/>
    <w:rsid w:val="00873483"/>
    <w:rsid w:val="00874EAE"/>
    <w:rsid w:val="00875862"/>
    <w:rsid w:val="00876979"/>
    <w:rsid w:val="00876FC3"/>
    <w:rsid w:val="00880064"/>
    <w:rsid w:val="00881A8B"/>
    <w:rsid w:val="00881BCC"/>
    <w:rsid w:val="00883842"/>
    <w:rsid w:val="00883971"/>
    <w:rsid w:val="00886021"/>
    <w:rsid w:val="00886184"/>
    <w:rsid w:val="00887F0F"/>
    <w:rsid w:val="008901F2"/>
    <w:rsid w:val="00890354"/>
    <w:rsid w:val="008908D2"/>
    <w:rsid w:val="008918CA"/>
    <w:rsid w:val="008921F3"/>
    <w:rsid w:val="008926DE"/>
    <w:rsid w:val="0089291A"/>
    <w:rsid w:val="00892F23"/>
    <w:rsid w:val="00894D62"/>
    <w:rsid w:val="00894DED"/>
    <w:rsid w:val="00895A9B"/>
    <w:rsid w:val="00895C61"/>
    <w:rsid w:val="00896765"/>
    <w:rsid w:val="00897025"/>
    <w:rsid w:val="008972F8"/>
    <w:rsid w:val="008A1FC9"/>
    <w:rsid w:val="008A223D"/>
    <w:rsid w:val="008A46DC"/>
    <w:rsid w:val="008A46EA"/>
    <w:rsid w:val="008A4F86"/>
    <w:rsid w:val="008A50C2"/>
    <w:rsid w:val="008B1351"/>
    <w:rsid w:val="008B43E8"/>
    <w:rsid w:val="008B4A94"/>
    <w:rsid w:val="008B5AC2"/>
    <w:rsid w:val="008B5FDA"/>
    <w:rsid w:val="008B79A5"/>
    <w:rsid w:val="008C044B"/>
    <w:rsid w:val="008C08CE"/>
    <w:rsid w:val="008C229C"/>
    <w:rsid w:val="008C2B2E"/>
    <w:rsid w:val="008C38A5"/>
    <w:rsid w:val="008C4D3A"/>
    <w:rsid w:val="008C4DA6"/>
    <w:rsid w:val="008C5020"/>
    <w:rsid w:val="008C670F"/>
    <w:rsid w:val="008C6AF9"/>
    <w:rsid w:val="008C71A6"/>
    <w:rsid w:val="008C778D"/>
    <w:rsid w:val="008D048B"/>
    <w:rsid w:val="008D09AE"/>
    <w:rsid w:val="008D1B28"/>
    <w:rsid w:val="008D2328"/>
    <w:rsid w:val="008D244C"/>
    <w:rsid w:val="008D273B"/>
    <w:rsid w:val="008D31F6"/>
    <w:rsid w:val="008D3BF3"/>
    <w:rsid w:val="008D413D"/>
    <w:rsid w:val="008D4687"/>
    <w:rsid w:val="008D48F1"/>
    <w:rsid w:val="008D5015"/>
    <w:rsid w:val="008E074E"/>
    <w:rsid w:val="008E0A2B"/>
    <w:rsid w:val="008E0A5A"/>
    <w:rsid w:val="008E0C35"/>
    <w:rsid w:val="008E1343"/>
    <w:rsid w:val="008E1669"/>
    <w:rsid w:val="008E1992"/>
    <w:rsid w:val="008E21A9"/>
    <w:rsid w:val="008E2923"/>
    <w:rsid w:val="008E2CE4"/>
    <w:rsid w:val="008E30B8"/>
    <w:rsid w:val="008E3146"/>
    <w:rsid w:val="008E3330"/>
    <w:rsid w:val="008E5271"/>
    <w:rsid w:val="008E5440"/>
    <w:rsid w:val="008E5C74"/>
    <w:rsid w:val="008E6383"/>
    <w:rsid w:val="008E70FF"/>
    <w:rsid w:val="008E7580"/>
    <w:rsid w:val="008F0D99"/>
    <w:rsid w:val="008F0EEC"/>
    <w:rsid w:val="008F17E4"/>
    <w:rsid w:val="008F20AC"/>
    <w:rsid w:val="008F20BA"/>
    <w:rsid w:val="008F20BD"/>
    <w:rsid w:val="008F2617"/>
    <w:rsid w:val="008F268E"/>
    <w:rsid w:val="008F3318"/>
    <w:rsid w:val="008F42A9"/>
    <w:rsid w:val="008F54F6"/>
    <w:rsid w:val="008F5D06"/>
    <w:rsid w:val="0090092C"/>
    <w:rsid w:val="009014F7"/>
    <w:rsid w:val="00902399"/>
    <w:rsid w:val="0090256E"/>
    <w:rsid w:val="009063BD"/>
    <w:rsid w:val="009071F9"/>
    <w:rsid w:val="00907D5E"/>
    <w:rsid w:val="00907D6D"/>
    <w:rsid w:val="0091499C"/>
    <w:rsid w:val="0091531D"/>
    <w:rsid w:val="009159AE"/>
    <w:rsid w:val="00915A48"/>
    <w:rsid w:val="00916BFC"/>
    <w:rsid w:val="00916E21"/>
    <w:rsid w:val="00917C33"/>
    <w:rsid w:val="00920923"/>
    <w:rsid w:val="009213BE"/>
    <w:rsid w:val="00922047"/>
    <w:rsid w:val="009225EA"/>
    <w:rsid w:val="00922D2D"/>
    <w:rsid w:val="00922F5D"/>
    <w:rsid w:val="00923B2B"/>
    <w:rsid w:val="00923B84"/>
    <w:rsid w:val="009246CB"/>
    <w:rsid w:val="00924CAB"/>
    <w:rsid w:val="00925FBF"/>
    <w:rsid w:val="00925FC7"/>
    <w:rsid w:val="0092644C"/>
    <w:rsid w:val="00930814"/>
    <w:rsid w:val="00933103"/>
    <w:rsid w:val="009333E1"/>
    <w:rsid w:val="00933CDA"/>
    <w:rsid w:val="0093474A"/>
    <w:rsid w:val="00935249"/>
    <w:rsid w:val="009352A8"/>
    <w:rsid w:val="0093635A"/>
    <w:rsid w:val="00936B18"/>
    <w:rsid w:val="00937002"/>
    <w:rsid w:val="00940F44"/>
    <w:rsid w:val="00941825"/>
    <w:rsid w:val="00941FC1"/>
    <w:rsid w:val="00942CE5"/>
    <w:rsid w:val="00944313"/>
    <w:rsid w:val="009452D7"/>
    <w:rsid w:val="009469CE"/>
    <w:rsid w:val="00947020"/>
    <w:rsid w:val="009476C7"/>
    <w:rsid w:val="00950780"/>
    <w:rsid w:val="00951B43"/>
    <w:rsid w:val="00951FC8"/>
    <w:rsid w:val="00952D94"/>
    <w:rsid w:val="009551EB"/>
    <w:rsid w:val="00955534"/>
    <w:rsid w:val="009555A1"/>
    <w:rsid w:val="00956FAE"/>
    <w:rsid w:val="009572C4"/>
    <w:rsid w:val="00960980"/>
    <w:rsid w:val="00961AD0"/>
    <w:rsid w:val="0096221B"/>
    <w:rsid w:val="00962B0B"/>
    <w:rsid w:val="00962F97"/>
    <w:rsid w:val="00963C70"/>
    <w:rsid w:val="009651C4"/>
    <w:rsid w:val="00966913"/>
    <w:rsid w:val="00966A43"/>
    <w:rsid w:val="00970527"/>
    <w:rsid w:val="00970E89"/>
    <w:rsid w:val="00970F77"/>
    <w:rsid w:val="00972F0C"/>
    <w:rsid w:val="0097493A"/>
    <w:rsid w:val="00974A36"/>
    <w:rsid w:val="00975135"/>
    <w:rsid w:val="00975166"/>
    <w:rsid w:val="00976739"/>
    <w:rsid w:val="00976804"/>
    <w:rsid w:val="009833C2"/>
    <w:rsid w:val="009846BB"/>
    <w:rsid w:val="00985BCD"/>
    <w:rsid w:val="009867C6"/>
    <w:rsid w:val="00986CB3"/>
    <w:rsid w:val="009871AE"/>
    <w:rsid w:val="009903A1"/>
    <w:rsid w:val="009919EA"/>
    <w:rsid w:val="0099200E"/>
    <w:rsid w:val="0099440F"/>
    <w:rsid w:val="0099515D"/>
    <w:rsid w:val="00996C28"/>
    <w:rsid w:val="00996C31"/>
    <w:rsid w:val="00997432"/>
    <w:rsid w:val="009A0955"/>
    <w:rsid w:val="009A1849"/>
    <w:rsid w:val="009A1E47"/>
    <w:rsid w:val="009A2595"/>
    <w:rsid w:val="009A3DD8"/>
    <w:rsid w:val="009A549C"/>
    <w:rsid w:val="009A56BE"/>
    <w:rsid w:val="009A5ED4"/>
    <w:rsid w:val="009A6185"/>
    <w:rsid w:val="009A6706"/>
    <w:rsid w:val="009A75EE"/>
    <w:rsid w:val="009B08C4"/>
    <w:rsid w:val="009B0EBD"/>
    <w:rsid w:val="009B1555"/>
    <w:rsid w:val="009B173A"/>
    <w:rsid w:val="009B230F"/>
    <w:rsid w:val="009B2366"/>
    <w:rsid w:val="009B4E35"/>
    <w:rsid w:val="009B4FD0"/>
    <w:rsid w:val="009B57E7"/>
    <w:rsid w:val="009B5CC8"/>
    <w:rsid w:val="009B7131"/>
    <w:rsid w:val="009B7CC4"/>
    <w:rsid w:val="009C0E76"/>
    <w:rsid w:val="009C1BFC"/>
    <w:rsid w:val="009C3284"/>
    <w:rsid w:val="009C3288"/>
    <w:rsid w:val="009C3FA3"/>
    <w:rsid w:val="009C472D"/>
    <w:rsid w:val="009C5EF6"/>
    <w:rsid w:val="009D0235"/>
    <w:rsid w:val="009D1007"/>
    <w:rsid w:val="009D1231"/>
    <w:rsid w:val="009D279B"/>
    <w:rsid w:val="009D2A6A"/>
    <w:rsid w:val="009D2C9D"/>
    <w:rsid w:val="009D2CE2"/>
    <w:rsid w:val="009D5446"/>
    <w:rsid w:val="009D6D34"/>
    <w:rsid w:val="009E12BD"/>
    <w:rsid w:val="009E14C8"/>
    <w:rsid w:val="009E46DE"/>
    <w:rsid w:val="009E6C9B"/>
    <w:rsid w:val="009E6E53"/>
    <w:rsid w:val="009E6F85"/>
    <w:rsid w:val="009E735F"/>
    <w:rsid w:val="009E7AD4"/>
    <w:rsid w:val="009F001D"/>
    <w:rsid w:val="009F1416"/>
    <w:rsid w:val="009F1EF5"/>
    <w:rsid w:val="009F2B71"/>
    <w:rsid w:val="009F33E3"/>
    <w:rsid w:val="009F5866"/>
    <w:rsid w:val="009F6384"/>
    <w:rsid w:val="009F6AEA"/>
    <w:rsid w:val="00A00E7D"/>
    <w:rsid w:val="00A0116D"/>
    <w:rsid w:val="00A01D06"/>
    <w:rsid w:val="00A01F77"/>
    <w:rsid w:val="00A03147"/>
    <w:rsid w:val="00A03C64"/>
    <w:rsid w:val="00A04AA9"/>
    <w:rsid w:val="00A05A17"/>
    <w:rsid w:val="00A07812"/>
    <w:rsid w:val="00A11649"/>
    <w:rsid w:val="00A1317D"/>
    <w:rsid w:val="00A1490B"/>
    <w:rsid w:val="00A155C4"/>
    <w:rsid w:val="00A15C47"/>
    <w:rsid w:val="00A15D58"/>
    <w:rsid w:val="00A16B70"/>
    <w:rsid w:val="00A171E2"/>
    <w:rsid w:val="00A20119"/>
    <w:rsid w:val="00A2156C"/>
    <w:rsid w:val="00A22CD5"/>
    <w:rsid w:val="00A2340B"/>
    <w:rsid w:val="00A237B9"/>
    <w:rsid w:val="00A238FD"/>
    <w:rsid w:val="00A23FEC"/>
    <w:rsid w:val="00A24401"/>
    <w:rsid w:val="00A2479C"/>
    <w:rsid w:val="00A2482A"/>
    <w:rsid w:val="00A277DF"/>
    <w:rsid w:val="00A31D1B"/>
    <w:rsid w:val="00A31E99"/>
    <w:rsid w:val="00A33111"/>
    <w:rsid w:val="00A337A7"/>
    <w:rsid w:val="00A33B63"/>
    <w:rsid w:val="00A33FB6"/>
    <w:rsid w:val="00A369A3"/>
    <w:rsid w:val="00A37170"/>
    <w:rsid w:val="00A374A5"/>
    <w:rsid w:val="00A40318"/>
    <w:rsid w:val="00A43641"/>
    <w:rsid w:val="00A436B7"/>
    <w:rsid w:val="00A45EBB"/>
    <w:rsid w:val="00A46016"/>
    <w:rsid w:val="00A50630"/>
    <w:rsid w:val="00A513F6"/>
    <w:rsid w:val="00A53A82"/>
    <w:rsid w:val="00A54C07"/>
    <w:rsid w:val="00A55BB7"/>
    <w:rsid w:val="00A574B1"/>
    <w:rsid w:val="00A57972"/>
    <w:rsid w:val="00A631F9"/>
    <w:rsid w:val="00A632CB"/>
    <w:rsid w:val="00A655CC"/>
    <w:rsid w:val="00A65999"/>
    <w:rsid w:val="00A6692E"/>
    <w:rsid w:val="00A66999"/>
    <w:rsid w:val="00A672AD"/>
    <w:rsid w:val="00A67697"/>
    <w:rsid w:val="00A70074"/>
    <w:rsid w:val="00A70CBF"/>
    <w:rsid w:val="00A71F0C"/>
    <w:rsid w:val="00A725CF"/>
    <w:rsid w:val="00A743EB"/>
    <w:rsid w:val="00A74B43"/>
    <w:rsid w:val="00A7510C"/>
    <w:rsid w:val="00A7617B"/>
    <w:rsid w:val="00A776F8"/>
    <w:rsid w:val="00A8271C"/>
    <w:rsid w:val="00A82857"/>
    <w:rsid w:val="00A82F8D"/>
    <w:rsid w:val="00A84BA4"/>
    <w:rsid w:val="00A85541"/>
    <w:rsid w:val="00A85CCB"/>
    <w:rsid w:val="00A866C5"/>
    <w:rsid w:val="00A916E4"/>
    <w:rsid w:val="00A91940"/>
    <w:rsid w:val="00A920BF"/>
    <w:rsid w:val="00A92F01"/>
    <w:rsid w:val="00A93EE9"/>
    <w:rsid w:val="00A94BA8"/>
    <w:rsid w:val="00A95641"/>
    <w:rsid w:val="00A95EC0"/>
    <w:rsid w:val="00A9651F"/>
    <w:rsid w:val="00A96E53"/>
    <w:rsid w:val="00A96F5F"/>
    <w:rsid w:val="00AA00EC"/>
    <w:rsid w:val="00AA02F1"/>
    <w:rsid w:val="00AA2129"/>
    <w:rsid w:val="00AA31BA"/>
    <w:rsid w:val="00AA3EAF"/>
    <w:rsid w:val="00AA41F0"/>
    <w:rsid w:val="00AA4350"/>
    <w:rsid w:val="00AA5A14"/>
    <w:rsid w:val="00AA5B62"/>
    <w:rsid w:val="00AA6926"/>
    <w:rsid w:val="00AA6DE8"/>
    <w:rsid w:val="00AA72D5"/>
    <w:rsid w:val="00AA7C1A"/>
    <w:rsid w:val="00AB0B49"/>
    <w:rsid w:val="00AB1182"/>
    <w:rsid w:val="00AB1CD4"/>
    <w:rsid w:val="00AB29E2"/>
    <w:rsid w:val="00AB4DFB"/>
    <w:rsid w:val="00AB5356"/>
    <w:rsid w:val="00AB6DAA"/>
    <w:rsid w:val="00AB7BAD"/>
    <w:rsid w:val="00AC0459"/>
    <w:rsid w:val="00AC147B"/>
    <w:rsid w:val="00AC1E0C"/>
    <w:rsid w:val="00AC26BF"/>
    <w:rsid w:val="00AC3789"/>
    <w:rsid w:val="00AC378E"/>
    <w:rsid w:val="00AC4E47"/>
    <w:rsid w:val="00AC51D8"/>
    <w:rsid w:val="00AC52DB"/>
    <w:rsid w:val="00AC664C"/>
    <w:rsid w:val="00AC67A9"/>
    <w:rsid w:val="00AC6919"/>
    <w:rsid w:val="00AC6D56"/>
    <w:rsid w:val="00AC7E34"/>
    <w:rsid w:val="00AD1B9C"/>
    <w:rsid w:val="00AD28DA"/>
    <w:rsid w:val="00AD2B21"/>
    <w:rsid w:val="00AD2D50"/>
    <w:rsid w:val="00AD3AAA"/>
    <w:rsid w:val="00AD4567"/>
    <w:rsid w:val="00AD462A"/>
    <w:rsid w:val="00AD4D8A"/>
    <w:rsid w:val="00AD50D8"/>
    <w:rsid w:val="00AE038E"/>
    <w:rsid w:val="00AE0F19"/>
    <w:rsid w:val="00AE157A"/>
    <w:rsid w:val="00AE1F3F"/>
    <w:rsid w:val="00AE2122"/>
    <w:rsid w:val="00AE2446"/>
    <w:rsid w:val="00AE330F"/>
    <w:rsid w:val="00AE450A"/>
    <w:rsid w:val="00AE45AF"/>
    <w:rsid w:val="00AE46A9"/>
    <w:rsid w:val="00AE4963"/>
    <w:rsid w:val="00AE680A"/>
    <w:rsid w:val="00AE6B94"/>
    <w:rsid w:val="00AE6D80"/>
    <w:rsid w:val="00AE7702"/>
    <w:rsid w:val="00AE7D1F"/>
    <w:rsid w:val="00AE7F2A"/>
    <w:rsid w:val="00AF0F4A"/>
    <w:rsid w:val="00AF112A"/>
    <w:rsid w:val="00AF251F"/>
    <w:rsid w:val="00AF2CB7"/>
    <w:rsid w:val="00AF2FED"/>
    <w:rsid w:val="00AF339F"/>
    <w:rsid w:val="00AF597D"/>
    <w:rsid w:val="00AF59B4"/>
    <w:rsid w:val="00AF6380"/>
    <w:rsid w:val="00AF6CB0"/>
    <w:rsid w:val="00AF6EE0"/>
    <w:rsid w:val="00AF7267"/>
    <w:rsid w:val="00AF72AD"/>
    <w:rsid w:val="00B0038D"/>
    <w:rsid w:val="00B013B2"/>
    <w:rsid w:val="00B018E8"/>
    <w:rsid w:val="00B025E8"/>
    <w:rsid w:val="00B02DEF"/>
    <w:rsid w:val="00B0311C"/>
    <w:rsid w:val="00B03FB6"/>
    <w:rsid w:val="00B04642"/>
    <w:rsid w:val="00B04893"/>
    <w:rsid w:val="00B06594"/>
    <w:rsid w:val="00B06F5E"/>
    <w:rsid w:val="00B07867"/>
    <w:rsid w:val="00B079B7"/>
    <w:rsid w:val="00B10724"/>
    <w:rsid w:val="00B118F7"/>
    <w:rsid w:val="00B119AB"/>
    <w:rsid w:val="00B11EF8"/>
    <w:rsid w:val="00B12422"/>
    <w:rsid w:val="00B12445"/>
    <w:rsid w:val="00B13334"/>
    <w:rsid w:val="00B134F3"/>
    <w:rsid w:val="00B13ADB"/>
    <w:rsid w:val="00B143BE"/>
    <w:rsid w:val="00B14EAD"/>
    <w:rsid w:val="00B15AAD"/>
    <w:rsid w:val="00B1630B"/>
    <w:rsid w:val="00B16F22"/>
    <w:rsid w:val="00B20822"/>
    <w:rsid w:val="00B230B3"/>
    <w:rsid w:val="00B230BA"/>
    <w:rsid w:val="00B23552"/>
    <w:rsid w:val="00B23EBF"/>
    <w:rsid w:val="00B2441B"/>
    <w:rsid w:val="00B24593"/>
    <w:rsid w:val="00B25FD4"/>
    <w:rsid w:val="00B265C1"/>
    <w:rsid w:val="00B30444"/>
    <w:rsid w:val="00B3082B"/>
    <w:rsid w:val="00B30979"/>
    <w:rsid w:val="00B3178E"/>
    <w:rsid w:val="00B327CC"/>
    <w:rsid w:val="00B34C3F"/>
    <w:rsid w:val="00B34F8F"/>
    <w:rsid w:val="00B34F90"/>
    <w:rsid w:val="00B36684"/>
    <w:rsid w:val="00B3699C"/>
    <w:rsid w:val="00B3747C"/>
    <w:rsid w:val="00B407D9"/>
    <w:rsid w:val="00B41B90"/>
    <w:rsid w:val="00B4337C"/>
    <w:rsid w:val="00B43503"/>
    <w:rsid w:val="00B45971"/>
    <w:rsid w:val="00B459EE"/>
    <w:rsid w:val="00B46597"/>
    <w:rsid w:val="00B466C3"/>
    <w:rsid w:val="00B467CC"/>
    <w:rsid w:val="00B46D2C"/>
    <w:rsid w:val="00B47BC3"/>
    <w:rsid w:val="00B5105D"/>
    <w:rsid w:val="00B51283"/>
    <w:rsid w:val="00B51F59"/>
    <w:rsid w:val="00B526B9"/>
    <w:rsid w:val="00B52CD5"/>
    <w:rsid w:val="00B53154"/>
    <w:rsid w:val="00B536EF"/>
    <w:rsid w:val="00B53750"/>
    <w:rsid w:val="00B538E9"/>
    <w:rsid w:val="00B5572A"/>
    <w:rsid w:val="00B570BE"/>
    <w:rsid w:val="00B577B6"/>
    <w:rsid w:val="00B60501"/>
    <w:rsid w:val="00B60D2F"/>
    <w:rsid w:val="00B614B2"/>
    <w:rsid w:val="00B619E4"/>
    <w:rsid w:val="00B62C47"/>
    <w:rsid w:val="00B63808"/>
    <w:rsid w:val="00B642E2"/>
    <w:rsid w:val="00B652DE"/>
    <w:rsid w:val="00B65DFC"/>
    <w:rsid w:val="00B65FCB"/>
    <w:rsid w:val="00B660D4"/>
    <w:rsid w:val="00B70B35"/>
    <w:rsid w:val="00B710F0"/>
    <w:rsid w:val="00B71309"/>
    <w:rsid w:val="00B719DE"/>
    <w:rsid w:val="00B724D3"/>
    <w:rsid w:val="00B72A89"/>
    <w:rsid w:val="00B739DC"/>
    <w:rsid w:val="00B763A7"/>
    <w:rsid w:val="00B764B7"/>
    <w:rsid w:val="00B76E79"/>
    <w:rsid w:val="00B77D11"/>
    <w:rsid w:val="00B77F86"/>
    <w:rsid w:val="00B80024"/>
    <w:rsid w:val="00B80162"/>
    <w:rsid w:val="00B80200"/>
    <w:rsid w:val="00B80B74"/>
    <w:rsid w:val="00B80E51"/>
    <w:rsid w:val="00B81BFB"/>
    <w:rsid w:val="00B836F2"/>
    <w:rsid w:val="00B8563E"/>
    <w:rsid w:val="00B85E33"/>
    <w:rsid w:val="00B86777"/>
    <w:rsid w:val="00B86D25"/>
    <w:rsid w:val="00B8751A"/>
    <w:rsid w:val="00B87F81"/>
    <w:rsid w:val="00B9193E"/>
    <w:rsid w:val="00B91A31"/>
    <w:rsid w:val="00B9288A"/>
    <w:rsid w:val="00B92A25"/>
    <w:rsid w:val="00B92F11"/>
    <w:rsid w:val="00B935DB"/>
    <w:rsid w:val="00B936C5"/>
    <w:rsid w:val="00B93AB7"/>
    <w:rsid w:val="00B9497E"/>
    <w:rsid w:val="00B95287"/>
    <w:rsid w:val="00B95D0D"/>
    <w:rsid w:val="00B96C3A"/>
    <w:rsid w:val="00B9739D"/>
    <w:rsid w:val="00BA1E6C"/>
    <w:rsid w:val="00BA3AF9"/>
    <w:rsid w:val="00BA3C64"/>
    <w:rsid w:val="00BA4534"/>
    <w:rsid w:val="00BA46C8"/>
    <w:rsid w:val="00BA48AE"/>
    <w:rsid w:val="00BA5655"/>
    <w:rsid w:val="00BA5685"/>
    <w:rsid w:val="00BA60DD"/>
    <w:rsid w:val="00BA7D58"/>
    <w:rsid w:val="00BB000E"/>
    <w:rsid w:val="00BB333E"/>
    <w:rsid w:val="00BB33C2"/>
    <w:rsid w:val="00BB3CB7"/>
    <w:rsid w:val="00BB41ED"/>
    <w:rsid w:val="00BB4B20"/>
    <w:rsid w:val="00BB5C37"/>
    <w:rsid w:val="00BB7A89"/>
    <w:rsid w:val="00BC0831"/>
    <w:rsid w:val="00BC0E89"/>
    <w:rsid w:val="00BC0F65"/>
    <w:rsid w:val="00BC2EAD"/>
    <w:rsid w:val="00BC4129"/>
    <w:rsid w:val="00BC56AB"/>
    <w:rsid w:val="00BC684B"/>
    <w:rsid w:val="00BC6980"/>
    <w:rsid w:val="00BC6A1E"/>
    <w:rsid w:val="00BD048F"/>
    <w:rsid w:val="00BD0866"/>
    <w:rsid w:val="00BD2811"/>
    <w:rsid w:val="00BD3088"/>
    <w:rsid w:val="00BD380C"/>
    <w:rsid w:val="00BD4C61"/>
    <w:rsid w:val="00BD5398"/>
    <w:rsid w:val="00BD5825"/>
    <w:rsid w:val="00BD6AEF"/>
    <w:rsid w:val="00BD7E3B"/>
    <w:rsid w:val="00BE0DAA"/>
    <w:rsid w:val="00BE2444"/>
    <w:rsid w:val="00BE2EA7"/>
    <w:rsid w:val="00BE31C4"/>
    <w:rsid w:val="00BE401E"/>
    <w:rsid w:val="00BE4BC8"/>
    <w:rsid w:val="00BE50AF"/>
    <w:rsid w:val="00BE5D76"/>
    <w:rsid w:val="00BE665A"/>
    <w:rsid w:val="00BE74E0"/>
    <w:rsid w:val="00BE7CB3"/>
    <w:rsid w:val="00BF0C4C"/>
    <w:rsid w:val="00BF0EB9"/>
    <w:rsid w:val="00BF1B88"/>
    <w:rsid w:val="00BF2839"/>
    <w:rsid w:val="00BF28A0"/>
    <w:rsid w:val="00BF36E4"/>
    <w:rsid w:val="00BF3962"/>
    <w:rsid w:val="00BF4A86"/>
    <w:rsid w:val="00BF4A9B"/>
    <w:rsid w:val="00BF5CFF"/>
    <w:rsid w:val="00BF5D89"/>
    <w:rsid w:val="00BF5DFE"/>
    <w:rsid w:val="00BF6601"/>
    <w:rsid w:val="00BF67E5"/>
    <w:rsid w:val="00BF7DA9"/>
    <w:rsid w:val="00C00452"/>
    <w:rsid w:val="00C00691"/>
    <w:rsid w:val="00C00A01"/>
    <w:rsid w:val="00C01269"/>
    <w:rsid w:val="00C04661"/>
    <w:rsid w:val="00C04E50"/>
    <w:rsid w:val="00C07104"/>
    <w:rsid w:val="00C0747A"/>
    <w:rsid w:val="00C075B7"/>
    <w:rsid w:val="00C07BFB"/>
    <w:rsid w:val="00C10942"/>
    <w:rsid w:val="00C10C6D"/>
    <w:rsid w:val="00C10C83"/>
    <w:rsid w:val="00C112F4"/>
    <w:rsid w:val="00C11904"/>
    <w:rsid w:val="00C12B80"/>
    <w:rsid w:val="00C13622"/>
    <w:rsid w:val="00C13730"/>
    <w:rsid w:val="00C149D5"/>
    <w:rsid w:val="00C17064"/>
    <w:rsid w:val="00C177AE"/>
    <w:rsid w:val="00C20387"/>
    <w:rsid w:val="00C21BC5"/>
    <w:rsid w:val="00C223FE"/>
    <w:rsid w:val="00C226D0"/>
    <w:rsid w:val="00C22743"/>
    <w:rsid w:val="00C2277A"/>
    <w:rsid w:val="00C22EDD"/>
    <w:rsid w:val="00C23473"/>
    <w:rsid w:val="00C2369A"/>
    <w:rsid w:val="00C24B01"/>
    <w:rsid w:val="00C24EB2"/>
    <w:rsid w:val="00C258D8"/>
    <w:rsid w:val="00C25D77"/>
    <w:rsid w:val="00C25F56"/>
    <w:rsid w:val="00C2616A"/>
    <w:rsid w:val="00C2698C"/>
    <w:rsid w:val="00C26CD9"/>
    <w:rsid w:val="00C26E0A"/>
    <w:rsid w:val="00C26E87"/>
    <w:rsid w:val="00C270B8"/>
    <w:rsid w:val="00C2747D"/>
    <w:rsid w:val="00C27E3A"/>
    <w:rsid w:val="00C309FC"/>
    <w:rsid w:val="00C30E04"/>
    <w:rsid w:val="00C323D6"/>
    <w:rsid w:val="00C345AD"/>
    <w:rsid w:val="00C35043"/>
    <w:rsid w:val="00C35779"/>
    <w:rsid w:val="00C360FE"/>
    <w:rsid w:val="00C36368"/>
    <w:rsid w:val="00C36B14"/>
    <w:rsid w:val="00C37962"/>
    <w:rsid w:val="00C37FA3"/>
    <w:rsid w:val="00C409EB"/>
    <w:rsid w:val="00C41E21"/>
    <w:rsid w:val="00C4278F"/>
    <w:rsid w:val="00C42CBC"/>
    <w:rsid w:val="00C442E9"/>
    <w:rsid w:val="00C44E93"/>
    <w:rsid w:val="00C46672"/>
    <w:rsid w:val="00C472DF"/>
    <w:rsid w:val="00C50D36"/>
    <w:rsid w:val="00C520F0"/>
    <w:rsid w:val="00C5239B"/>
    <w:rsid w:val="00C52667"/>
    <w:rsid w:val="00C53BA2"/>
    <w:rsid w:val="00C55471"/>
    <w:rsid w:val="00C554DA"/>
    <w:rsid w:val="00C5588D"/>
    <w:rsid w:val="00C5611C"/>
    <w:rsid w:val="00C56753"/>
    <w:rsid w:val="00C600D7"/>
    <w:rsid w:val="00C60EB3"/>
    <w:rsid w:val="00C611FE"/>
    <w:rsid w:val="00C63559"/>
    <w:rsid w:val="00C63562"/>
    <w:rsid w:val="00C64D65"/>
    <w:rsid w:val="00C66D45"/>
    <w:rsid w:val="00C67D6B"/>
    <w:rsid w:val="00C71BC4"/>
    <w:rsid w:val="00C7282F"/>
    <w:rsid w:val="00C72E2B"/>
    <w:rsid w:val="00C73543"/>
    <w:rsid w:val="00C7520B"/>
    <w:rsid w:val="00C7535D"/>
    <w:rsid w:val="00C75EB4"/>
    <w:rsid w:val="00C75ECE"/>
    <w:rsid w:val="00C802A3"/>
    <w:rsid w:val="00C80A52"/>
    <w:rsid w:val="00C81A63"/>
    <w:rsid w:val="00C83340"/>
    <w:rsid w:val="00C8474B"/>
    <w:rsid w:val="00C84A0A"/>
    <w:rsid w:val="00C84B6A"/>
    <w:rsid w:val="00C84FEB"/>
    <w:rsid w:val="00C85BDE"/>
    <w:rsid w:val="00C8697F"/>
    <w:rsid w:val="00C87F19"/>
    <w:rsid w:val="00C87FF7"/>
    <w:rsid w:val="00C91DFF"/>
    <w:rsid w:val="00C9323E"/>
    <w:rsid w:val="00C93CE0"/>
    <w:rsid w:val="00C943E9"/>
    <w:rsid w:val="00C9541E"/>
    <w:rsid w:val="00C9585A"/>
    <w:rsid w:val="00C9593A"/>
    <w:rsid w:val="00C95977"/>
    <w:rsid w:val="00C96CEB"/>
    <w:rsid w:val="00CA01A3"/>
    <w:rsid w:val="00CA07E3"/>
    <w:rsid w:val="00CA0FED"/>
    <w:rsid w:val="00CA2386"/>
    <w:rsid w:val="00CA293E"/>
    <w:rsid w:val="00CA32B5"/>
    <w:rsid w:val="00CA3804"/>
    <w:rsid w:val="00CA3C98"/>
    <w:rsid w:val="00CA7606"/>
    <w:rsid w:val="00CA78FD"/>
    <w:rsid w:val="00CB029E"/>
    <w:rsid w:val="00CB04CC"/>
    <w:rsid w:val="00CB0F6F"/>
    <w:rsid w:val="00CB1141"/>
    <w:rsid w:val="00CB29DC"/>
    <w:rsid w:val="00CB3802"/>
    <w:rsid w:val="00CB5CA8"/>
    <w:rsid w:val="00CB7395"/>
    <w:rsid w:val="00CB766C"/>
    <w:rsid w:val="00CB7E6E"/>
    <w:rsid w:val="00CC0A65"/>
    <w:rsid w:val="00CC0B85"/>
    <w:rsid w:val="00CC1494"/>
    <w:rsid w:val="00CC402B"/>
    <w:rsid w:val="00CC402F"/>
    <w:rsid w:val="00CC45D5"/>
    <w:rsid w:val="00CC4607"/>
    <w:rsid w:val="00CC4D6B"/>
    <w:rsid w:val="00CC59B0"/>
    <w:rsid w:val="00CC5D20"/>
    <w:rsid w:val="00CC664F"/>
    <w:rsid w:val="00CC7665"/>
    <w:rsid w:val="00CD127E"/>
    <w:rsid w:val="00CD1526"/>
    <w:rsid w:val="00CD19B6"/>
    <w:rsid w:val="00CD2FEC"/>
    <w:rsid w:val="00CD3551"/>
    <w:rsid w:val="00CD4E4B"/>
    <w:rsid w:val="00CD6602"/>
    <w:rsid w:val="00CD7141"/>
    <w:rsid w:val="00CD7B61"/>
    <w:rsid w:val="00CE0A72"/>
    <w:rsid w:val="00CE0ED6"/>
    <w:rsid w:val="00CE1B4E"/>
    <w:rsid w:val="00CE1D0A"/>
    <w:rsid w:val="00CE2CE6"/>
    <w:rsid w:val="00CE3088"/>
    <w:rsid w:val="00CE32A1"/>
    <w:rsid w:val="00CE34E8"/>
    <w:rsid w:val="00CE4C49"/>
    <w:rsid w:val="00CE6342"/>
    <w:rsid w:val="00CE6BB4"/>
    <w:rsid w:val="00CE6E94"/>
    <w:rsid w:val="00CF040F"/>
    <w:rsid w:val="00CF147F"/>
    <w:rsid w:val="00CF1EE0"/>
    <w:rsid w:val="00CF23A3"/>
    <w:rsid w:val="00CF257D"/>
    <w:rsid w:val="00CF3555"/>
    <w:rsid w:val="00CF42DF"/>
    <w:rsid w:val="00CF46CC"/>
    <w:rsid w:val="00CF4E05"/>
    <w:rsid w:val="00CF5005"/>
    <w:rsid w:val="00CF57E8"/>
    <w:rsid w:val="00CF6778"/>
    <w:rsid w:val="00CF7DEF"/>
    <w:rsid w:val="00D00F96"/>
    <w:rsid w:val="00D019F5"/>
    <w:rsid w:val="00D03111"/>
    <w:rsid w:val="00D05C0A"/>
    <w:rsid w:val="00D06D89"/>
    <w:rsid w:val="00D0712A"/>
    <w:rsid w:val="00D07690"/>
    <w:rsid w:val="00D11033"/>
    <w:rsid w:val="00D11B20"/>
    <w:rsid w:val="00D133B4"/>
    <w:rsid w:val="00D14100"/>
    <w:rsid w:val="00D1502B"/>
    <w:rsid w:val="00D1639C"/>
    <w:rsid w:val="00D17B84"/>
    <w:rsid w:val="00D203E9"/>
    <w:rsid w:val="00D2089A"/>
    <w:rsid w:val="00D21572"/>
    <w:rsid w:val="00D225AC"/>
    <w:rsid w:val="00D23F28"/>
    <w:rsid w:val="00D25B45"/>
    <w:rsid w:val="00D27198"/>
    <w:rsid w:val="00D277C7"/>
    <w:rsid w:val="00D300CA"/>
    <w:rsid w:val="00D30816"/>
    <w:rsid w:val="00D31517"/>
    <w:rsid w:val="00D32421"/>
    <w:rsid w:val="00D3283E"/>
    <w:rsid w:val="00D3332E"/>
    <w:rsid w:val="00D33400"/>
    <w:rsid w:val="00D34E10"/>
    <w:rsid w:val="00D35C2E"/>
    <w:rsid w:val="00D35FB4"/>
    <w:rsid w:val="00D36280"/>
    <w:rsid w:val="00D36FD1"/>
    <w:rsid w:val="00D370B7"/>
    <w:rsid w:val="00D374AC"/>
    <w:rsid w:val="00D41548"/>
    <w:rsid w:val="00D41811"/>
    <w:rsid w:val="00D41D40"/>
    <w:rsid w:val="00D42F67"/>
    <w:rsid w:val="00D43684"/>
    <w:rsid w:val="00D45073"/>
    <w:rsid w:val="00D45116"/>
    <w:rsid w:val="00D4513A"/>
    <w:rsid w:val="00D45319"/>
    <w:rsid w:val="00D454CF"/>
    <w:rsid w:val="00D4594C"/>
    <w:rsid w:val="00D45B32"/>
    <w:rsid w:val="00D47ADB"/>
    <w:rsid w:val="00D52401"/>
    <w:rsid w:val="00D53438"/>
    <w:rsid w:val="00D53B06"/>
    <w:rsid w:val="00D54F5F"/>
    <w:rsid w:val="00D5574A"/>
    <w:rsid w:val="00D557CE"/>
    <w:rsid w:val="00D55D2D"/>
    <w:rsid w:val="00D55ECC"/>
    <w:rsid w:val="00D601C3"/>
    <w:rsid w:val="00D601E5"/>
    <w:rsid w:val="00D61480"/>
    <w:rsid w:val="00D61D5D"/>
    <w:rsid w:val="00D62ECE"/>
    <w:rsid w:val="00D63FAA"/>
    <w:rsid w:val="00D64AB8"/>
    <w:rsid w:val="00D64EBB"/>
    <w:rsid w:val="00D65216"/>
    <w:rsid w:val="00D65334"/>
    <w:rsid w:val="00D65A5D"/>
    <w:rsid w:val="00D67ED2"/>
    <w:rsid w:val="00D70C67"/>
    <w:rsid w:val="00D71280"/>
    <w:rsid w:val="00D71A47"/>
    <w:rsid w:val="00D72191"/>
    <w:rsid w:val="00D72F87"/>
    <w:rsid w:val="00D72FE9"/>
    <w:rsid w:val="00D7332F"/>
    <w:rsid w:val="00D733DB"/>
    <w:rsid w:val="00D73A60"/>
    <w:rsid w:val="00D73FA6"/>
    <w:rsid w:val="00D74042"/>
    <w:rsid w:val="00D748C2"/>
    <w:rsid w:val="00D74958"/>
    <w:rsid w:val="00D74ACD"/>
    <w:rsid w:val="00D75050"/>
    <w:rsid w:val="00D757CF"/>
    <w:rsid w:val="00D75B0F"/>
    <w:rsid w:val="00D760E3"/>
    <w:rsid w:val="00D761F4"/>
    <w:rsid w:val="00D76C17"/>
    <w:rsid w:val="00D819F8"/>
    <w:rsid w:val="00D81DFF"/>
    <w:rsid w:val="00D822A9"/>
    <w:rsid w:val="00D824BD"/>
    <w:rsid w:val="00D82832"/>
    <w:rsid w:val="00D82E9C"/>
    <w:rsid w:val="00D8334E"/>
    <w:rsid w:val="00D8610A"/>
    <w:rsid w:val="00D86135"/>
    <w:rsid w:val="00D86651"/>
    <w:rsid w:val="00D86683"/>
    <w:rsid w:val="00D86F04"/>
    <w:rsid w:val="00D86F1A"/>
    <w:rsid w:val="00D90366"/>
    <w:rsid w:val="00D90BF4"/>
    <w:rsid w:val="00D90D18"/>
    <w:rsid w:val="00D926F7"/>
    <w:rsid w:val="00D92829"/>
    <w:rsid w:val="00D92BBA"/>
    <w:rsid w:val="00D94721"/>
    <w:rsid w:val="00D95140"/>
    <w:rsid w:val="00D952CA"/>
    <w:rsid w:val="00D95563"/>
    <w:rsid w:val="00D95570"/>
    <w:rsid w:val="00D95EC4"/>
    <w:rsid w:val="00D96026"/>
    <w:rsid w:val="00D96708"/>
    <w:rsid w:val="00D96804"/>
    <w:rsid w:val="00D975B7"/>
    <w:rsid w:val="00DA2509"/>
    <w:rsid w:val="00DA277B"/>
    <w:rsid w:val="00DA28C4"/>
    <w:rsid w:val="00DA44F0"/>
    <w:rsid w:val="00DA45FE"/>
    <w:rsid w:val="00DA46F7"/>
    <w:rsid w:val="00DA49D7"/>
    <w:rsid w:val="00DA6733"/>
    <w:rsid w:val="00DB0C99"/>
    <w:rsid w:val="00DB0D96"/>
    <w:rsid w:val="00DB1337"/>
    <w:rsid w:val="00DB1B79"/>
    <w:rsid w:val="00DB1C35"/>
    <w:rsid w:val="00DB1EF6"/>
    <w:rsid w:val="00DB362B"/>
    <w:rsid w:val="00DB3733"/>
    <w:rsid w:val="00DB4121"/>
    <w:rsid w:val="00DB47B2"/>
    <w:rsid w:val="00DB5B65"/>
    <w:rsid w:val="00DB7E34"/>
    <w:rsid w:val="00DC0CF3"/>
    <w:rsid w:val="00DC12F1"/>
    <w:rsid w:val="00DC1C8E"/>
    <w:rsid w:val="00DC27AD"/>
    <w:rsid w:val="00DC5580"/>
    <w:rsid w:val="00DC6AB9"/>
    <w:rsid w:val="00DC7175"/>
    <w:rsid w:val="00DD066E"/>
    <w:rsid w:val="00DD0D6A"/>
    <w:rsid w:val="00DD0E14"/>
    <w:rsid w:val="00DD1CAD"/>
    <w:rsid w:val="00DD2251"/>
    <w:rsid w:val="00DD25A6"/>
    <w:rsid w:val="00DD29DD"/>
    <w:rsid w:val="00DD3A76"/>
    <w:rsid w:val="00DD3DAB"/>
    <w:rsid w:val="00DD406E"/>
    <w:rsid w:val="00DD60F9"/>
    <w:rsid w:val="00DD715F"/>
    <w:rsid w:val="00DD7F1C"/>
    <w:rsid w:val="00DE01AC"/>
    <w:rsid w:val="00DE0F76"/>
    <w:rsid w:val="00DE1534"/>
    <w:rsid w:val="00DE233A"/>
    <w:rsid w:val="00DE2405"/>
    <w:rsid w:val="00DE4A55"/>
    <w:rsid w:val="00DE4CF0"/>
    <w:rsid w:val="00DE4E1E"/>
    <w:rsid w:val="00DE5666"/>
    <w:rsid w:val="00DE5CB0"/>
    <w:rsid w:val="00DE6FCA"/>
    <w:rsid w:val="00DE7C84"/>
    <w:rsid w:val="00DF09AB"/>
    <w:rsid w:val="00DF192C"/>
    <w:rsid w:val="00DF226B"/>
    <w:rsid w:val="00DF26D7"/>
    <w:rsid w:val="00DF3192"/>
    <w:rsid w:val="00DF33D2"/>
    <w:rsid w:val="00DF42D1"/>
    <w:rsid w:val="00DF51A7"/>
    <w:rsid w:val="00DF53A0"/>
    <w:rsid w:val="00DF5A2B"/>
    <w:rsid w:val="00DF64CD"/>
    <w:rsid w:val="00DF6B48"/>
    <w:rsid w:val="00DF743B"/>
    <w:rsid w:val="00E01254"/>
    <w:rsid w:val="00E012B1"/>
    <w:rsid w:val="00E01734"/>
    <w:rsid w:val="00E022CD"/>
    <w:rsid w:val="00E028B0"/>
    <w:rsid w:val="00E02930"/>
    <w:rsid w:val="00E039A7"/>
    <w:rsid w:val="00E03B8B"/>
    <w:rsid w:val="00E041DF"/>
    <w:rsid w:val="00E04D30"/>
    <w:rsid w:val="00E050E3"/>
    <w:rsid w:val="00E06B67"/>
    <w:rsid w:val="00E06C09"/>
    <w:rsid w:val="00E07484"/>
    <w:rsid w:val="00E10377"/>
    <w:rsid w:val="00E10BF3"/>
    <w:rsid w:val="00E12928"/>
    <w:rsid w:val="00E15F84"/>
    <w:rsid w:val="00E1653E"/>
    <w:rsid w:val="00E1655F"/>
    <w:rsid w:val="00E16A1C"/>
    <w:rsid w:val="00E2015E"/>
    <w:rsid w:val="00E20513"/>
    <w:rsid w:val="00E20519"/>
    <w:rsid w:val="00E21205"/>
    <w:rsid w:val="00E21241"/>
    <w:rsid w:val="00E2197B"/>
    <w:rsid w:val="00E229AE"/>
    <w:rsid w:val="00E22A6F"/>
    <w:rsid w:val="00E230B9"/>
    <w:rsid w:val="00E25135"/>
    <w:rsid w:val="00E2594F"/>
    <w:rsid w:val="00E303CA"/>
    <w:rsid w:val="00E3067A"/>
    <w:rsid w:val="00E30784"/>
    <w:rsid w:val="00E31003"/>
    <w:rsid w:val="00E31445"/>
    <w:rsid w:val="00E3385B"/>
    <w:rsid w:val="00E33ADF"/>
    <w:rsid w:val="00E34686"/>
    <w:rsid w:val="00E35123"/>
    <w:rsid w:val="00E352F9"/>
    <w:rsid w:val="00E3560D"/>
    <w:rsid w:val="00E3646F"/>
    <w:rsid w:val="00E36741"/>
    <w:rsid w:val="00E37AFD"/>
    <w:rsid w:val="00E37BCF"/>
    <w:rsid w:val="00E40876"/>
    <w:rsid w:val="00E4198F"/>
    <w:rsid w:val="00E41DFD"/>
    <w:rsid w:val="00E43A8D"/>
    <w:rsid w:val="00E440D8"/>
    <w:rsid w:val="00E4790A"/>
    <w:rsid w:val="00E507EE"/>
    <w:rsid w:val="00E51F9D"/>
    <w:rsid w:val="00E525C8"/>
    <w:rsid w:val="00E52C90"/>
    <w:rsid w:val="00E52FA1"/>
    <w:rsid w:val="00E5381E"/>
    <w:rsid w:val="00E568B5"/>
    <w:rsid w:val="00E57F53"/>
    <w:rsid w:val="00E611AC"/>
    <w:rsid w:val="00E62D28"/>
    <w:rsid w:val="00E6378A"/>
    <w:rsid w:val="00E6380B"/>
    <w:rsid w:val="00E639B4"/>
    <w:rsid w:val="00E6437C"/>
    <w:rsid w:val="00E64C24"/>
    <w:rsid w:val="00E64F7E"/>
    <w:rsid w:val="00E65227"/>
    <w:rsid w:val="00E66414"/>
    <w:rsid w:val="00E664F0"/>
    <w:rsid w:val="00E67AE3"/>
    <w:rsid w:val="00E70171"/>
    <w:rsid w:val="00E7218C"/>
    <w:rsid w:val="00E741CE"/>
    <w:rsid w:val="00E742EE"/>
    <w:rsid w:val="00E75BE9"/>
    <w:rsid w:val="00E763FA"/>
    <w:rsid w:val="00E7787F"/>
    <w:rsid w:val="00E80F46"/>
    <w:rsid w:val="00E81600"/>
    <w:rsid w:val="00E8187F"/>
    <w:rsid w:val="00E81DBF"/>
    <w:rsid w:val="00E83E7D"/>
    <w:rsid w:val="00E84E6E"/>
    <w:rsid w:val="00E85D45"/>
    <w:rsid w:val="00E90C21"/>
    <w:rsid w:val="00E92267"/>
    <w:rsid w:val="00E940E2"/>
    <w:rsid w:val="00E94CB0"/>
    <w:rsid w:val="00E94FA1"/>
    <w:rsid w:val="00E9524E"/>
    <w:rsid w:val="00E954A2"/>
    <w:rsid w:val="00E95A03"/>
    <w:rsid w:val="00E96CE2"/>
    <w:rsid w:val="00E9767D"/>
    <w:rsid w:val="00EA0AAD"/>
    <w:rsid w:val="00EA16CE"/>
    <w:rsid w:val="00EA3024"/>
    <w:rsid w:val="00EA37D1"/>
    <w:rsid w:val="00EA4E3C"/>
    <w:rsid w:val="00EA5488"/>
    <w:rsid w:val="00EA65CE"/>
    <w:rsid w:val="00EA705B"/>
    <w:rsid w:val="00EA7A5D"/>
    <w:rsid w:val="00EA7F99"/>
    <w:rsid w:val="00EB0828"/>
    <w:rsid w:val="00EB0D29"/>
    <w:rsid w:val="00EB17C1"/>
    <w:rsid w:val="00EB1E90"/>
    <w:rsid w:val="00EB2C93"/>
    <w:rsid w:val="00EB2D1B"/>
    <w:rsid w:val="00EB5305"/>
    <w:rsid w:val="00EB5996"/>
    <w:rsid w:val="00EB6256"/>
    <w:rsid w:val="00EB6AD4"/>
    <w:rsid w:val="00EB7226"/>
    <w:rsid w:val="00EB727E"/>
    <w:rsid w:val="00EB7372"/>
    <w:rsid w:val="00EB7380"/>
    <w:rsid w:val="00EC0882"/>
    <w:rsid w:val="00EC0C4F"/>
    <w:rsid w:val="00EC2440"/>
    <w:rsid w:val="00EC3BD1"/>
    <w:rsid w:val="00EC3CFB"/>
    <w:rsid w:val="00EC4A28"/>
    <w:rsid w:val="00EC4ADF"/>
    <w:rsid w:val="00EC6BA7"/>
    <w:rsid w:val="00ED0A6F"/>
    <w:rsid w:val="00ED0D9B"/>
    <w:rsid w:val="00ED0F00"/>
    <w:rsid w:val="00ED11D2"/>
    <w:rsid w:val="00ED14EB"/>
    <w:rsid w:val="00ED1E10"/>
    <w:rsid w:val="00ED2634"/>
    <w:rsid w:val="00ED265D"/>
    <w:rsid w:val="00ED2E5A"/>
    <w:rsid w:val="00ED3659"/>
    <w:rsid w:val="00ED38D4"/>
    <w:rsid w:val="00ED4E2B"/>
    <w:rsid w:val="00ED5E3F"/>
    <w:rsid w:val="00ED6CB1"/>
    <w:rsid w:val="00ED6F29"/>
    <w:rsid w:val="00EE02C9"/>
    <w:rsid w:val="00EE042A"/>
    <w:rsid w:val="00EE0DCB"/>
    <w:rsid w:val="00EE0FE1"/>
    <w:rsid w:val="00EE40E1"/>
    <w:rsid w:val="00EE56FC"/>
    <w:rsid w:val="00EE5B57"/>
    <w:rsid w:val="00EE6266"/>
    <w:rsid w:val="00EE640F"/>
    <w:rsid w:val="00EE64BF"/>
    <w:rsid w:val="00EE77ED"/>
    <w:rsid w:val="00EE7E6A"/>
    <w:rsid w:val="00EE7FCE"/>
    <w:rsid w:val="00EF0135"/>
    <w:rsid w:val="00EF02FD"/>
    <w:rsid w:val="00EF11D5"/>
    <w:rsid w:val="00EF11FB"/>
    <w:rsid w:val="00EF39AA"/>
    <w:rsid w:val="00EF3AE8"/>
    <w:rsid w:val="00EF40C7"/>
    <w:rsid w:val="00EF4601"/>
    <w:rsid w:val="00EF4E9E"/>
    <w:rsid w:val="00EF501F"/>
    <w:rsid w:val="00EF54F6"/>
    <w:rsid w:val="00EF56D6"/>
    <w:rsid w:val="00EF5B14"/>
    <w:rsid w:val="00EF658D"/>
    <w:rsid w:val="00EF7A2E"/>
    <w:rsid w:val="00F000BA"/>
    <w:rsid w:val="00F0174F"/>
    <w:rsid w:val="00F03BA2"/>
    <w:rsid w:val="00F03BF2"/>
    <w:rsid w:val="00F061AA"/>
    <w:rsid w:val="00F0701C"/>
    <w:rsid w:val="00F07419"/>
    <w:rsid w:val="00F07566"/>
    <w:rsid w:val="00F07733"/>
    <w:rsid w:val="00F10BC4"/>
    <w:rsid w:val="00F1119D"/>
    <w:rsid w:val="00F11465"/>
    <w:rsid w:val="00F11C98"/>
    <w:rsid w:val="00F11F36"/>
    <w:rsid w:val="00F12642"/>
    <w:rsid w:val="00F1274A"/>
    <w:rsid w:val="00F130D9"/>
    <w:rsid w:val="00F14BA9"/>
    <w:rsid w:val="00F15B81"/>
    <w:rsid w:val="00F16F4B"/>
    <w:rsid w:val="00F170D3"/>
    <w:rsid w:val="00F17FF4"/>
    <w:rsid w:val="00F2043D"/>
    <w:rsid w:val="00F2069D"/>
    <w:rsid w:val="00F21D56"/>
    <w:rsid w:val="00F24B35"/>
    <w:rsid w:val="00F24E2C"/>
    <w:rsid w:val="00F2584A"/>
    <w:rsid w:val="00F2651D"/>
    <w:rsid w:val="00F27029"/>
    <w:rsid w:val="00F276CE"/>
    <w:rsid w:val="00F305AA"/>
    <w:rsid w:val="00F305E3"/>
    <w:rsid w:val="00F30DD1"/>
    <w:rsid w:val="00F31AB4"/>
    <w:rsid w:val="00F330D9"/>
    <w:rsid w:val="00F3365C"/>
    <w:rsid w:val="00F33678"/>
    <w:rsid w:val="00F3411A"/>
    <w:rsid w:val="00F34E8F"/>
    <w:rsid w:val="00F3534B"/>
    <w:rsid w:val="00F3546D"/>
    <w:rsid w:val="00F36C2E"/>
    <w:rsid w:val="00F37E65"/>
    <w:rsid w:val="00F37F89"/>
    <w:rsid w:val="00F40195"/>
    <w:rsid w:val="00F40674"/>
    <w:rsid w:val="00F41028"/>
    <w:rsid w:val="00F42456"/>
    <w:rsid w:val="00F424B8"/>
    <w:rsid w:val="00F430E4"/>
    <w:rsid w:val="00F43B52"/>
    <w:rsid w:val="00F44704"/>
    <w:rsid w:val="00F44803"/>
    <w:rsid w:val="00F45B77"/>
    <w:rsid w:val="00F460DD"/>
    <w:rsid w:val="00F472D4"/>
    <w:rsid w:val="00F50471"/>
    <w:rsid w:val="00F50D52"/>
    <w:rsid w:val="00F52794"/>
    <w:rsid w:val="00F52A79"/>
    <w:rsid w:val="00F52B10"/>
    <w:rsid w:val="00F52DCA"/>
    <w:rsid w:val="00F54361"/>
    <w:rsid w:val="00F54984"/>
    <w:rsid w:val="00F55500"/>
    <w:rsid w:val="00F55710"/>
    <w:rsid w:val="00F55B24"/>
    <w:rsid w:val="00F55BD8"/>
    <w:rsid w:val="00F57546"/>
    <w:rsid w:val="00F605A6"/>
    <w:rsid w:val="00F60A4F"/>
    <w:rsid w:val="00F610ED"/>
    <w:rsid w:val="00F61D89"/>
    <w:rsid w:val="00F63479"/>
    <w:rsid w:val="00F64D3E"/>
    <w:rsid w:val="00F65411"/>
    <w:rsid w:val="00F6576E"/>
    <w:rsid w:val="00F66D0A"/>
    <w:rsid w:val="00F67191"/>
    <w:rsid w:val="00F67AB8"/>
    <w:rsid w:val="00F71780"/>
    <w:rsid w:val="00F728E7"/>
    <w:rsid w:val="00F735EC"/>
    <w:rsid w:val="00F735F4"/>
    <w:rsid w:val="00F74142"/>
    <w:rsid w:val="00F762BA"/>
    <w:rsid w:val="00F76CDC"/>
    <w:rsid w:val="00F81577"/>
    <w:rsid w:val="00F815C7"/>
    <w:rsid w:val="00F818D6"/>
    <w:rsid w:val="00F81F34"/>
    <w:rsid w:val="00F82EB1"/>
    <w:rsid w:val="00F82F1E"/>
    <w:rsid w:val="00F84730"/>
    <w:rsid w:val="00F84B8E"/>
    <w:rsid w:val="00F851A7"/>
    <w:rsid w:val="00F85D48"/>
    <w:rsid w:val="00F865A2"/>
    <w:rsid w:val="00F87193"/>
    <w:rsid w:val="00F8784F"/>
    <w:rsid w:val="00F87C49"/>
    <w:rsid w:val="00F87D52"/>
    <w:rsid w:val="00F90F8C"/>
    <w:rsid w:val="00F91B5A"/>
    <w:rsid w:val="00F92FDA"/>
    <w:rsid w:val="00F93259"/>
    <w:rsid w:val="00F9343B"/>
    <w:rsid w:val="00F946F3"/>
    <w:rsid w:val="00F952CD"/>
    <w:rsid w:val="00F95399"/>
    <w:rsid w:val="00F9569E"/>
    <w:rsid w:val="00F9582C"/>
    <w:rsid w:val="00F95BD2"/>
    <w:rsid w:val="00F95D84"/>
    <w:rsid w:val="00F96520"/>
    <w:rsid w:val="00F965A2"/>
    <w:rsid w:val="00F96730"/>
    <w:rsid w:val="00F9694B"/>
    <w:rsid w:val="00F978A2"/>
    <w:rsid w:val="00FA0E47"/>
    <w:rsid w:val="00FA1D49"/>
    <w:rsid w:val="00FA376A"/>
    <w:rsid w:val="00FA3D94"/>
    <w:rsid w:val="00FA539B"/>
    <w:rsid w:val="00FA555E"/>
    <w:rsid w:val="00FA58FF"/>
    <w:rsid w:val="00FA68D6"/>
    <w:rsid w:val="00FB0BAF"/>
    <w:rsid w:val="00FB1241"/>
    <w:rsid w:val="00FB16C2"/>
    <w:rsid w:val="00FB1B80"/>
    <w:rsid w:val="00FB1D31"/>
    <w:rsid w:val="00FB25CA"/>
    <w:rsid w:val="00FB32FD"/>
    <w:rsid w:val="00FB38A4"/>
    <w:rsid w:val="00FB458A"/>
    <w:rsid w:val="00FB543D"/>
    <w:rsid w:val="00FB5B5F"/>
    <w:rsid w:val="00FB5E0B"/>
    <w:rsid w:val="00FB6539"/>
    <w:rsid w:val="00FB7B87"/>
    <w:rsid w:val="00FB7BB3"/>
    <w:rsid w:val="00FC05F2"/>
    <w:rsid w:val="00FC3951"/>
    <w:rsid w:val="00FC42DD"/>
    <w:rsid w:val="00FC48C4"/>
    <w:rsid w:val="00FC4F45"/>
    <w:rsid w:val="00FC5FAA"/>
    <w:rsid w:val="00FD020E"/>
    <w:rsid w:val="00FD0ABB"/>
    <w:rsid w:val="00FD0B32"/>
    <w:rsid w:val="00FD0DDC"/>
    <w:rsid w:val="00FD111C"/>
    <w:rsid w:val="00FD1835"/>
    <w:rsid w:val="00FD1E52"/>
    <w:rsid w:val="00FD1EA2"/>
    <w:rsid w:val="00FD2734"/>
    <w:rsid w:val="00FD28F9"/>
    <w:rsid w:val="00FD356A"/>
    <w:rsid w:val="00FD39F1"/>
    <w:rsid w:val="00FD56F4"/>
    <w:rsid w:val="00FD7B08"/>
    <w:rsid w:val="00FD7D5B"/>
    <w:rsid w:val="00FE0A61"/>
    <w:rsid w:val="00FE0F93"/>
    <w:rsid w:val="00FE18D9"/>
    <w:rsid w:val="00FE37D7"/>
    <w:rsid w:val="00FE3DCE"/>
    <w:rsid w:val="00FE5544"/>
    <w:rsid w:val="00FE567F"/>
    <w:rsid w:val="00FE700D"/>
    <w:rsid w:val="00FE7375"/>
    <w:rsid w:val="00FF027E"/>
    <w:rsid w:val="00FF0ADE"/>
    <w:rsid w:val="00FF0CE5"/>
    <w:rsid w:val="00FF148D"/>
    <w:rsid w:val="00FF1B15"/>
    <w:rsid w:val="00FF1B7E"/>
    <w:rsid w:val="00FF2055"/>
    <w:rsid w:val="00FF2305"/>
    <w:rsid w:val="00FF2F1C"/>
    <w:rsid w:val="00FF3DF7"/>
    <w:rsid w:val="00FF5EF6"/>
    <w:rsid w:val="00FF5F25"/>
    <w:rsid w:val="00FF6B6B"/>
    <w:rsid w:val="013A183A"/>
    <w:rsid w:val="01475BF9"/>
    <w:rsid w:val="01880CA5"/>
    <w:rsid w:val="018E5BF8"/>
    <w:rsid w:val="01C13854"/>
    <w:rsid w:val="01CC1D75"/>
    <w:rsid w:val="01E3124A"/>
    <w:rsid w:val="02205DF0"/>
    <w:rsid w:val="02391354"/>
    <w:rsid w:val="024B462D"/>
    <w:rsid w:val="02800B08"/>
    <w:rsid w:val="02A03E4F"/>
    <w:rsid w:val="02C72DC6"/>
    <w:rsid w:val="02CD2758"/>
    <w:rsid w:val="02D15B98"/>
    <w:rsid w:val="02E048CD"/>
    <w:rsid w:val="03151AF9"/>
    <w:rsid w:val="031A3633"/>
    <w:rsid w:val="031C53E3"/>
    <w:rsid w:val="033D08F8"/>
    <w:rsid w:val="034605D3"/>
    <w:rsid w:val="036E5BDF"/>
    <w:rsid w:val="03F66FBC"/>
    <w:rsid w:val="042F0AED"/>
    <w:rsid w:val="044F7F73"/>
    <w:rsid w:val="045171D2"/>
    <w:rsid w:val="046E63AD"/>
    <w:rsid w:val="046F3134"/>
    <w:rsid w:val="04833677"/>
    <w:rsid w:val="049C6162"/>
    <w:rsid w:val="04DC6F05"/>
    <w:rsid w:val="04F621C3"/>
    <w:rsid w:val="05200CF4"/>
    <w:rsid w:val="05230F9E"/>
    <w:rsid w:val="05740E71"/>
    <w:rsid w:val="057676D2"/>
    <w:rsid w:val="05914331"/>
    <w:rsid w:val="05D57EB6"/>
    <w:rsid w:val="062B408E"/>
    <w:rsid w:val="06314CB1"/>
    <w:rsid w:val="06315023"/>
    <w:rsid w:val="06404172"/>
    <w:rsid w:val="0643342C"/>
    <w:rsid w:val="0651436D"/>
    <w:rsid w:val="066124B8"/>
    <w:rsid w:val="067F6F34"/>
    <w:rsid w:val="06BF14A6"/>
    <w:rsid w:val="06C76B97"/>
    <w:rsid w:val="06FA67BA"/>
    <w:rsid w:val="06FF78DD"/>
    <w:rsid w:val="07666495"/>
    <w:rsid w:val="07707311"/>
    <w:rsid w:val="07A15827"/>
    <w:rsid w:val="081A444E"/>
    <w:rsid w:val="084E755D"/>
    <w:rsid w:val="085C1852"/>
    <w:rsid w:val="08672C20"/>
    <w:rsid w:val="087C4295"/>
    <w:rsid w:val="08807A77"/>
    <w:rsid w:val="088E3F93"/>
    <w:rsid w:val="089D21B1"/>
    <w:rsid w:val="08A04FE6"/>
    <w:rsid w:val="08AC1141"/>
    <w:rsid w:val="08B068DE"/>
    <w:rsid w:val="08D256AA"/>
    <w:rsid w:val="08EE584D"/>
    <w:rsid w:val="091844A3"/>
    <w:rsid w:val="094C34C2"/>
    <w:rsid w:val="094F0F15"/>
    <w:rsid w:val="09BB542E"/>
    <w:rsid w:val="09CA5E74"/>
    <w:rsid w:val="09D343FE"/>
    <w:rsid w:val="09F22BD6"/>
    <w:rsid w:val="0A494884"/>
    <w:rsid w:val="0A4E3F83"/>
    <w:rsid w:val="0A4F1EDC"/>
    <w:rsid w:val="0A6C7A30"/>
    <w:rsid w:val="0A7D0C77"/>
    <w:rsid w:val="0ABC5ABA"/>
    <w:rsid w:val="0AD15C4F"/>
    <w:rsid w:val="0AFF5163"/>
    <w:rsid w:val="0B664CB3"/>
    <w:rsid w:val="0B8C4FC9"/>
    <w:rsid w:val="0B9E13C9"/>
    <w:rsid w:val="0BA86900"/>
    <w:rsid w:val="0BAC7B34"/>
    <w:rsid w:val="0BC74256"/>
    <w:rsid w:val="0BC80C01"/>
    <w:rsid w:val="0BCF2251"/>
    <w:rsid w:val="0BE77B6B"/>
    <w:rsid w:val="0C5D6C82"/>
    <w:rsid w:val="0C997B36"/>
    <w:rsid w:val="0CA912FB"/>
    <w:rsid w:val="0CE20763"/>
    <w:rsid w:val="0D366B8B"/>
    <w:rsid w:val="0D52239D"/>
    <w:rsid w:val="0D5B1CE1"/>
    <w:rsid w:val="0D77375E"/>
    <w:rsid w:val="0DCD3359"/>
    <w:rsid w:val="0DD94C39"/>
    <w:rsid w:val="0E355605"/>
    <w:rsid w:val="0E3C78AA"/>
    <w:rsid w:val="0EDE79D3"/>
    <w:rsid w:val="0EE73209"/>
    <w:rsid w:val="0EF87D05"/>
    <w:rsid w:val="0F320868"/>
    <w:rsid w:val="0F4E20BC"/>
    <w:rsid w:val="0F744851"/>
    <w:rsid w:val="0FC40C7B"/>
    <w:rsid w:val="0FDF712D"/>
    <w:rsid w:val="10130431"/>
    <w:rsid w:val="10290777"/>
    <w:rsid w:val="10767A23"/>
    <w:rsid w:val="108A6BFE"/>
    <w:rsid w:val="10A74BD9"/>
    <w:rsid w:val="10B8359B"/>
    <w:rsid w:val="10C51AFD"/>
    <w:rsid w:val="10D420DB"/>
    <w:rsid w:val="10E54085"/>
    <w:rsid w:val="11016E0F"/>
    <w:rsid w:val="11155AB7"/>
    <w:rsid w:val="11212946"/>
    <w:rsid w:val="112B70AD"/>
    <w:rsid w:val="113037B4"/>
    <w:rsid w:val="113907CA"/>
    <w:rsid w:val="113C4D90"/>
    <w:rsid w:val="113F08C5"/>
    <w:rsid w:val="114D5843"/>
    <w:rsid w:val="11931A2D"/>
    <w:rsid w:val="11C3394F"/>
    <w:rsid w:val="11DB5D58"/>
    <w:rsid w:val="120167EB"/>
    <w:rsid w:val="12094A16"/>
    <w:rsid w:val="124A4A42"/>
    <w:rsid w:val="125E2034"/>
    <w:rsid w:val="126F6102"/>
    <w:rsid w:val="12736AD0"/>
    <w:rsid w:val="128C42E5"/>
    <w:rsid w:val="12C3126B"/>
    <w:rsid w:val="12DA287E"/>
    <w:rsid w:val="12E76354"/>
    <w:rsid w:val="12F02F99"/>
    <w:rsid w:val="130D1260"/>
    <w:rsid w:val="13185D51"/>
    <w:rsid w:val="13490CED"/>
    <w:rsid w:val="13553D64"/>
    <w:rsid w:val="13670240"/>
    <w:rsid w:val="137C6C53"/>
    <w:rsid w:val="13902FCA"/>
    <w:rsid w:val="13DE3600"/>
    <w:rsid w:val="13F70DC2"/>
    <w:rsid w:val="14143B66"/>
    <w:rsid w:val="143D6ACA"/>
    <w:rsid w:val="14444AEA"/>
    <w:rsid w:val="14503F0A"/>
    <w:rsid w:val="1481481E"/>
    <w:rsid w:val="14A34405"/>
    <w:rsid w:val="14AB0142"/>
    <w:rsid w:val="14C34023"/>
    <w:rsid w:val="15001CD4"/>
    <w:rsid w:val="151318BB"/>
    <w:rsid w:val="15275EBA"/>
    <w:rsid w:val="152B4770"/>
    <w:rsid w:val="152E36D0"/>
    <w:rsid w:val="153010C8"/>
    <w:rsid w:val="15545CC3"/>
    <w:rsid w:val="15561D05"/>
    <w:rsid w:val="157345DF"/>
    <w:rsid w:val="157F71D0"/>
    <w:rsid w:val="15901536"/>
    <w:rsid w:val="15E1490E"/>
    <w:rsid w:val="15E5338F"/>
    <w:rsid w:val="15E9436A"/>
    <w:rsid w:val="15ED2A58"/>
    <w:rsid w:val="15F143F4"/>
    <w:rsid w:val="16050AE8"/>
    <w:rsid w:val="1644579D"/>
    <w:rsid w:val="16665F51"/>
    <w:rsid w:val="16A51780"/>
    <w:rsid w:val="16E66CA8"/>
    <w:rsid w:val="16EF3DAF"/>
    <w:rsid w:val="17034D2E"/>
    <w:rsid w:val="173D534C"/>
    <w:rsid w:val="1761741F"/>
    <w:rsid w:val="177D34C5"/>
    <w:rsid w:val="17B6537F"/>
    <w:rsid w:val="17BF684F"/>
    <w:rsid w:val="17D2398B"/>
    <w:rsid w:val="17D86F49"/>
    <w:rsid w:val="17D950C7"/>
    <w:rsid w:val="17E31426"/>
    <w:rsid w:val="180E4031"/>
    <w:rsid w:val="181A5BF0"/>
    <w:rsid w:val="1829583E"/>
    <w:rsid w:val="182E4DB9"/>
    <w:rsid w:val="18506D23"/>
    <w:rsid w:val="185F3E04"/>
    <w:rsid w:val="186408A1"/>
    <w:rsid w:val="187434EB"/>
    <w:rsid w:val="1895038B"/>
    <w:rsid w:val="18B232E6"/>
    <w:rsid w:val="191B294F"/>
    <w:rsid w:val="191F694B"/>
    <w:rsid w:val="19306674"/>
    <w:rsid w:val="193F2472"/>
    <w:rsid w:val="194935AD"/>
    <w:rsid w:val="1959009D"/>
    <w:rsid w:val="196271A1"/>
    <w:rsid w:val="19744EDE"/>
    <w:rsid w:val="19821940"/>
    <w:rsid w:val="198D647F"/>
    <w:rsid w:val="19A508D5"/>
    <w:rsid w:val="19E123EB"/>
    <w:rsid w:val="1A410B7E"/>
    <w:rsid w:val="1A472B71"/>
    <w:rsid w:val="1A954922"/>
    <w:rsid w:val="1AE56E6F"/>
    <w:rsid w:val="1B2569D4"/>
    <w:rsid w:val="1B2F2DEC"/>
    <w:rsid w:val="1B397CEE"/>
    <w:rsid w:val="1B403286"/>
    <w:rsid w:val="1B416DF2"/>
    <w:rsid w:val="1B7E49F6"/>
    <w:rsid w:val="1B88278D"/>
    <w:rsid w:val="1B8B24E4"/>
    <w:rsid w:val="1B8C66FF"/>
    <w:rsid w:val="1B9772AE"/>
    <w:rsid w:val="1B9B6997"/>
    <w:rsid w:val="1BA44460"/>
    <w:rsid w:val="1BAA2A5F"/>
    <w:rsid w:val="1BDC398F"/>
    <w:rsid w:val="1C0578CE"/>
    <w:rsid w:val="1C250DB9"/>
    <w:rsid w:val="1C2E751E"/>
    <w:rsid w:val="1C5E4DB0"/>
    <w:rsid w:val="1CCC6E80"/>
    <w:rsid w:val="1CD773A6"/>
    <w:rsid w:val="1CE0113B"/>
    <w:rsid w:val="1D106341"/>
    <w:rsid w:val="1D4622ED"/>
    <w:rsid w:val="1D521B42"/>
    <w:rsid w:val="1D7317DE"/>
    <w:rsid w:val="1D82321E"/>
    <w:rsid w:val="1DD7371F"/>
    <w:rsid w:val="1E340C41"/>
    <w:rsid w:val="1E3503C7"/>
    <w:rsid w:val="1E9E1B56"/>
    <w:rsid w:val="1EA200F7"/>
    <w:rsid w:val="1EAF114E"/>
    <w:rsid w:val="1ECF2F9B"/>
    <w:rsid w:val="1F0222FE"/>
    <w:rsid w:val="1F3A68F7"/>
    <w:rsid w:val="1F555C02"/>
    <w:rsid w:val="1F991805"/>
    <w:rsid w:val="1FC022B2"/>
    <w:rsid w:val="1FC11769"/>
    <w:rsid w:val="1FCA05AD"/>
    <w:rsid w:val="1FEE3246"/>
    <w:rsid w:val="202E7A8F"/>
    <w:rsid w:val="205912EA"/>
    <w:rsid w:val="2065577B"/>
    <w:rsid w:val="206D2C71"/>
    <w:rsid w:val="207F30B6"/>
    <w:rsid w:val="20A52541"/>
    <w:rsid w:val="20A60D48"/>
    <w:rsid w:val="20C53580"/>
    <w:rsid w:val="20DC2334"/>
    <w:rsid w:val="20E54A0D"/>
    <w:rsid w:val="20FE2038"/>
    <w:rsid w:val="21466AD3"/>
    <w:rsid w:val="2155409F"/>
    <w:rsid w:val="21C64994"/>
    <w:rsid w:val="21D92CBD"/>
    <w:rsid w:val="21E26BE1"/>
    <w:rsid w:val="21EA6B08"/>
    <w:rsid w:val="21F04591"/>
    <w:rsid w:val="21FC7DAC"/>
    <w:rsid w:val="220F66D7"/>
    <w:rsid w:val="2231707C"/>
    <w:rsid w:val="225B4C6A"/>
    <w:rsid w:val="22687D46"/>
    <w:rsid w:val="22712764"/>
    <w:rsid w:val="2276742F"/>
    <w:rsid w:val="227B6E57"/>
    <w:rsid w:val="229065E8"/>
    <w:rsid w:val="22B44DB0"/>
    <w:rsid w:val="22B95BC6"/>
    <w:rsid w:val="22CF1857"/>
    <w:rsid w:val="22CF393C"/>
    <w:rsid w:val="22D40D83"/>
    <w:rsid w:val="231C62E3"/>
    <w:rsid w:val="23336659"/>
    <w:rsid w:val="236B57E6"/>
    <w:rsid w:val="23797A1B"/>
    <w:rsid w:val="238276E4"/>
    <w:rsid w:val="23844519"/>
    <w:rsid w:val="23FD1785"/>
    <w:rsid w:val="24077030"/>
    <w:rsid w:val="240D05FC"/>
    <w:rsid w:val="240F76C6"/>
    <w:rsid w:val="24280D55"/>
    <w:rsid w:val="244A5BD8"/>
    <w:rsid w:val="248E05B1"/>
    <w:rsid w:val="24971535"/>
    <w:rsid w:val="24A140F3"/>
    <w:rsid w:val="24A34FAA"/>
    <w:rsid w:val="24B4136F"/>
    <w:rsid w:val="24BD3037"/>
    <w:rsid w:val="24C63213"/>
    <w:rsid w:val="24CB5C8F"/>
    <w:rsid w:val="25106567"/>
    <w:rsid w:val="25390F1F"/>
    <w:rsid w:val="253A2A18"/>
    <w:rsid w:val="25431AAB"/>
    <w:rsid w:val="25480C7B"/>
    <w:rsid w:val="254B4AA7"/>
    <w:rsid w:val="255977BD"/>
    <w:rsid w:val="2572408B"/>
    <w:rsid w:val="2580625A"/>
    <w:rsid w:val="25960202"/>
    <w:rsid w:val="259C0503"/>
    <w:rsid w:val="25DB7909"/>
    <w:rsid w:val="25EE503A"/>
    <w:rsid w:val="260058DD"/>
    <w:rsid w:val="260266BA"/>
    <w:rsid w:val="266410C8"/>
    <w:rsid w:val="268331FA"/>
    <w:rsid w:val="26915E2E"/>
    <w:rsid w:val="26964560"/>
    <w:rsid w:val="26AF722F"/>
    <w:rsid w:val="26E20F16"/>
    <w:rsid w:val="26ED3661"/>
    <w:rsid w:val="26EF70BE"/>
    <w:rsid w:val="27671881"/>
    <w:rsid w:val="27926A74"/>
    <w:rsid w:val="279F2817"/>
    <w:rsid w:val="27EC2F00"/>
    <w:rsid w:val="27F71602"/>
    <w:rsid w:val="27FF603D"/>
    <w:rsid w:val="281F78E5"/>
    <w:rsid w:val="282944C2"/>
    <w:rsid w:val="285139D4"/>
    <w:rsid w:val="289A6EEC"/>
    <w:rsid w:val="289F2277"/>
    <w:rsid w:val="28A0408A"/>
    <w:rsid w:val="28AA2A88"/>
    <w:rsid w:val="28C85FC8"/>
    <w:rsid w:val="28E13B0F"/>
    <w:rsid w:val="28E711AB"/>
    <w:rsid w:val="290E06FA"/>
    <w:rsid w:val="293062CD"/>
    <w:rsid w:val="296B6168"/>
    <w:rsid w:val="29776BC9"/>
    <w:rsid w:val="297C2EED"/>
    <w:rsid w:val="297D5F8A"/>
    <w:rsid w:val="29997EC7"/>
    <w:rsid w:val="29A7383C"/>
    <w:rsid w:val="29BC2AAD"/>
    <w:rsid w:val="29C15EE6"/>
    <w:rsid w:val="29E72126"/>
    <w:rsid w:val="29FA0F90"/>
    <w:rsid w:val="29FE1DA7"/>
    <w:rsid w:val="2A4A51AC"/>
    <w:rsid w:val="2A5000D2"/>
    <w:rsid w:val="2A59589D"/>
    <w:rsid w:val="2A6624E0"/>
    <w:rsid w:val="2AAF2C22"/>
    <w:rsid w:val="2ADA29EE"/>
    <w:rsid w:val="2B126A09"/>
    <w:rsid w:val="2B322965"/>
    <w:rsid w:val="2BA824D9"/>
    <w:rsid w:val="2BE24A85"/>
    <w:rsid w:val="2BE33ED8"/>
    <w:rsid w:val="2C366D86"/>
    <w:rsid w:val="2C4208B5"/>
    <w:rsid w:val="2C551341"/>
    <w:rsid w:val="2C583165"/>
    <w:rsid w:val="2CA619B3"/>
    <w:rsid w:val="2CD57D47"/>
    <w:rsid w:val="2CE75FEA"/>
    <w:rsid w:val="2CEB4E84"/>
    <w:rsid w:val="2D1019F3"/>
    <w:rsid w:val="2D2756C6"/>
    <w:rsid w:val="2D502E61"/>
    <w:rsid w:val="2D6164E1"/>
    <w:rsid w:val="2D7E1522"/>
    <w:rsid w:val="2DC153D2"/>
    <w:rsid w:val="2DDE5253"/>
    <w:rsid w:val="2E2B4743"/>
    <w:rsid w:val="2E3A7E6E"/>
    <w:rsid w:val="2E6407BF"/>
    <w:rsid w:val="2E6D3B02"/>
    <w:rsid w:val="2E703612"/>
    <w:rsid w:val="2E7B5454"/>
    <w:rsid w:val="2E86060B"/>
    <w:rsid w:val="2EA33C1B"/>
    <w:rsid w:val="2EA50247"/>
    <w:rsid w:val="2F114820"/>
    <w:rsid w:val="2F1E08A6"/>
    <w:rsid w:val="2F7B23CC"/>
    <w:rsid w:val="2F830C84"/>
    <w:rsid w:val="2FCD5949"/>
    <w:rsid w:val="2FE23E4E"/>
    <w:rsid w:val="301A45FE"/>
    <w:rsid w:val="302A4A22"/>
    <w:rsid w:val="30826086"/>
    <w:rsid w:val="30DB24DD"/>
    <w:rsid w:val="30E21697"/>
    <w:rsid w:val="31495BB9"/>
    <w:rsid w:val="315B5E94"/>
    <w:rsid w:val="31934C76"/>
    <w:rsid w:val="31B92336"/>
    <w:rsid w:val="31CC6EBA"/>
    <w:rsid w:val="31D1086D"/>
    <w:rsid w:val="31E257F5"/>
    <w:rsid w:val="31E63A9E"/>
    <w:rsid w:val="31F53F0F"/>
    <w:rsid w:val="32326AB4"/>
    <w:rsid w:val="327C61F4"/>
    <w:rsid w:val="329651EF"/>
    <w:rsid w:val="32AB6578"/>
    <w:rsid w:val="32BC4CEE"/>
    <w:rsid w:val="32E510B4"/>
    <w:rsid w:val="32E905A8"/>
    <w:rsid w:val="32EF027A"/>
    <w:rsid w:val="33050EED"/>
    <w:rsid w:val="33194A78"/>
    <w:rsid w:val="3339186D"/>
    <w:rsid w:val="333E170B"/>
    <w:rsid w:val="33630A6F"/>
    <w:rsid w:val="33690F93"/>
    <w:rsid w:val="33B125DC"/>
    <w:rsid w:val="33CF0C5D"/>
    <w:rsid w:val="33DA0BF3"/>
    <w:rsid w:val="33FF4A4B"/>
    <w:rsid w:val="340379C3"/>
    <w:rsid w:val="34097690"/>
    <w:rsid w:val="348B3BB6"/>
    <w:rsid w:val="349536B8"/>
    <w:rsid w:val="34AD362B"/>
    <w:rsid w:val="34CB087C"/>
    <w:rsid w:val="34D605B3"/>
    <w:rsid w:val="34DD277A"/>
    <w:rsid w:val="35097739"/>
    <w:rsid w:val="350C5D6F"/>
    <w:rsid w:val="353946AA"/>
    <w:rsid w:val="353E0DD9"/>
    <w:rsid w:val="35405BB2"/>
    <w:rsid w:val="35570291"/>
    <w:rsid w:val="355930BD"/>
    <w:rsid w:val="35951578"/>
    <w:rsid w:val="3599094D"/>
    <w:rsid w:val="35C167D0"/>
    <w:rsid w:val="35E2338F"/>
    <w:rsid w:val="35FC186C"/>
    <w:rsid w:val="3607226A"/>
    <w:rsid w:val="366E1CB6"/>
    <w:rsid w:val="36883F83"/>
    <w:rsid w:val="36CF10AF"/>
    <w:rsid w:val="37336A71"/>
    <w:rsid w:val="376D19E3"/>
    <w:rsid w:val="376D687A"/>
    <w:rsid w:val="37716EDB"/>
    <w:rsid w:val="377909CB"/>
    <w:rsid w:val="3787033A"/>
    <w:rsid w:val="379F3181"/>
    <w:rsid w:val="37A13708"/>
    <w:rsid w:val="37CC4526"/>
    <w:rsid w:val="37CD0090"/>
    <w:rsid w:val="37FF7BFC"/>
    <w:rsid w:val="38336AA5"/>
    <w:rsid w:val="383B6B17"/>
    <w:rsid w:val="38431867"/>
    <w:rsid w:val="38522713"/>
    <w:rsid w:val="387B0F45"/>
    <w:rsid w:val="38B43333"/>
    <w:rsid w:val="38B86FA7"/>
    <w:rsid w:val="38D17176"/>
    <w:rsid w:val="38DB16E8"/>
    <w:rsid w:val="38E02007"/>
    <w:rsid w:val="38ED1AF7"/>
    <w:rsid w:val="39003723"/>
    <w:rsid w:val="39245C8B"/>
    <w:rsid w:val="392D3567"/>
    <w:rsid w:val="39350535"/>
    <w:rsid w:val="39753758"/>
    <w:rsid w:val="398B3D8D"/>
    <w:rsid w:val="39D92970"/>
    <w:rsid w:val="39F674AD"/>
    <w:rsid w:val="3A313D45"/>
    <w:rsid w:val="3A474E45"/>
    <w:rsid w:val="3A584A7F"/>
    <w:rsid w:val="3A7E4ADF"/>
    <w:rsid w:val="3AA10A1C"/>
    <w:rsid w:val="3AA5790B"/>
    <w:rsid w:val="3ACC64E9"/>
    <w:rsid w:val="3AFB6690"/>
    <w:rsid w:val="3AFE38F2"/>
    <w:rsid w:val="3B5C45F7"/>
    <w:rsid w:val="3B727038"/>
    <w:rsid w:val="3B860D2E"/>
    <w:rsid w:val="3B981BA7"/>
    <w:rsid w:val="3BB92118"/>
    <w:rsid w:val="3BD90937"/>
    <w:rsid w:val="3C2B196B"/>
    <w:rsid w:val="3C3A1A56"/>
    <w:rsid w:val="3C503A9C"/>
    <w:rsid w:val="3C7D5267"/>
    <w:rsid w:val="3C9E5F28"/>
    <w:rsid w:val="3CAF3B24"/>
    <w:rsid w:val="3CC40837"/>
    <w:rsid w:val="3CD528FB"/>
    <w:rsid w:val="3CD66D5A"/>
    <w:rsid w:val="3D0C3A24"/>
    <w:rsid w:val="3D1639F3"/>
    <w:rsid w:val="3DB46450"/>
    <w:rsid w:val="3E0D7FBD"/>
    <w:rsid w:val="3E110D82"/>
    <w:rsid w:val="3E117C5B"/>
    <w:rsid w:val="3E605A42"/>
    <w:rsid w:val="3E90458E"/>
    <w:rsid w:val="3E992FBA"/>
    <w:rsid w:val="3E9F34E3"/>
    <w:rsid w:val="3E9F35A9"/>
    <w:rsid w:val="3EA3025A"/>
    <w:rsid w:val="3EA34648"/>
    <w:rsid w:val="3EA9367E"/>
    <w:rsid w:val="3EE24B7C"/>
    <w:rsid w:val="3EE3392B"/>
    <w:rsid w:val="3EE4359C"/>
    <w:rsid w:val="3EEA6421"/>
    <w:rsid w:val="3F135AE3"/>
    <w:rsid w:val="3F1A3D87"/>
    <w:rsid w:val="3F670B7F"/>
    <w:rsid w:val="3F6C3A35"/>
    <w:rsid w:val="3FCD4567"/>
    <w:rsid w:val="3FCD7B1F"/>
    <w:rsid w:val="400823DD"/>
    <w:rsid w:val="400D59C4"/>
    <w:rsid w:val="404512CE"/>
    <w:rsid w:val="404B1E86"/>
    <w:rsid w:val="40693B8F"/>
    <w:rsid w:val="40AC3BAE"/>
    <w:rsid w:val="40BA6A8E"/>
    <w:rsid w:val="40F40A21"/>
    <w:rsid w:val="413B749E"/>
    <w:rsid w:val="41564C4D"/>
    <w:rsid w:val="41991C46"/>
    <w:rsid w:val="41BF522C"/>
    <w:rsid w:val="41DB4039"/>
    <w:rsid w:val="41EF0090"/>
    <w:rsid w:val="42236943"/>
    <w:rsid w:val="4228239B"/>
    <w:rsid w:val="42A15CEE"/>
    <w:rsid w:val="42AB3D39"/>
    <w:rsid w:val="430F539D"/>
    <w:rsid w:val="4319539F"/>
    <w:rsid w:val="436C6A28"/>
    <w:rsid w:val="43AE3E97"/>
    <w:rsid w:val="43AE4B35"/>
    <w:rsid w:val="43AF0300"/>
    <w:rsid w:val="43BF01B0"/>
    <w:rsid w:val="4474780C"/>
    <w:rsid w:val="44906F64"/>
    <w:rsid w:val="44B63E59"/>
    <w:rsid w:val="44B8006D"/>
    <w:rsid w:val="44C049E8"/>
    <w:rsid w:val="44C67CD1"/>
    <w:rsid w:val="44CB1108"/>
    <w:rsid w:val="44EE5A7D"/>
    <w:rsid w:val="44F22952"/>
    <w:rsid w:val="45125243"/>
    <w:rsid w:val="454D185C"/>
    <w:rsid w:val="459329BE"/>
    <w:rsid w:val="459D00BE"/>
    <w:rsid w:val="45A37D2C"/>
    <w:rsid w:val="45A57527"/>
    <w:rsid w:val="45F96842"/>
    <w:rsid w:val="464C5FC5"/>
    <w:rsid w:val="466B405D"/>
    <w:rsid w:val="46770C71"/>
    <w:rsid w:val="46987AF3"/>
    <w:rsid w:val="46A7302A"/>
    <w:rsid w:val="46C73FCB"/>
    <w:rsid w:val="46DE0356"/>
    <w:rsid w:val="46EB142A"/>
    <w:rsid w:val="46F955AC"/>
    <w:rsid w:val="4700478A"/>
    <w:rsid w:val="471743EC"/>
    <w:rsid w:val="476B32C5"/>
    <w:rsid w:val="476C37B2"/>
    <w:rsid w:val="47AE43CE"/>
    <w:rsid w:val="47B363FC"/>
    <w:rsid w:val="47D641F4"/>
    <w:rsid w:val="47DE7F4E"/>
    <w:rsid w:val="47EE6AE8"/>
    <w:rsid w:val="47F20875"/>
    <w:rsid w:val="47F7342F"/>
    <w:rsid w:val="4816101E"/>
    <w:rsid w:val="482104AB"/>
    <w:rsid w:val="483739CC"/>
    <w:rsid w:val="484173A7"/>
    <w:rsid w:val="485541D3"/>
    <w:rsid w:val="488132A3"/>
    <w:rsid w:val="489A364F"/>
    <w:rsid w:val="489D725F"/>
    <w:rsid w:val="48C00716"/>
    <w:rsid w:val="48D64623"/>
    <w:rsid w:val="48E9260E"/>
    <w:rsid w:val="48F93E98"/>
    <w:rsid w:val="490D4CAF"/>
    <w:rsid w:val="49106689"/>
    <w:rsid w:val="49123A90"/>
    <w:rsid w:val="4919132A"/>
    <w:rsid w:val="49283E85"/>
    <w:rsid w:val="4930075B"/>
    <w:rsid w:val="4930773D"/>
    <w:rsid w:val="493819A8"/>
    <w:rsid w:val="49383193"/>
    <w:rsid w:val="493B7753"/>
    <w:rsid w:val="494265FF"/>
    <w:rsid w:val="495B2572"/>
    <w:rsid w:val="49693B09"/>
    <w:rsid w:val="49717275"/>
    <w:rsid w:val="49862AB1"/>
    <w:rsid w:val="499868FC"/>
    <w:rsid w:val="49AB3D31"/>
    <w:rsid w:val="49E60BC8"/>
    <w:rsid w:val="4A110C79"/>
    <w:rsid w:val="4A220636"/>
    <w:rsid w:val="4A4032B5"/>
    <w:rsid w:val="4A495FE2"/>
    <w:rsid w:val="4A87620C"/>
    <w:rsid w:val="4AA54D6B"/>
    <w:rsid w:val="4AB60164"/>
    <w:rsid w:val="4ABF16DA"/>
    <w:rsid w:val="4AEA2268"/>
    <w:rsid w:val="4B156486"/>
    <w:rsid w:val="4B1C2861"/>
    <w:rsid w:val="4B1F0217"/>
    <w:rsid w:val="4B372300"/>
    <w:rsid w:val="4B6D7B6D"/>
    <w:rsid w:val="4B7117E3"/>
    <w:rsid w:val="4B8456A4"/>
    <w:rsid w:val="4BA1475E"/>
    <w:rsid w:val="4BCB2F75"/>
    <w:rsid w:val="4BE73AF7"/>
    <w:rsid w:val="4BEB6533"/>
    <w:rsid w:val="4C0232D5"/>
    <w:rsid w:val="4C101229"/>
    <w:rsid w:val="4C2768EB"/>
    <w:rsid w:val="4C3B5296"/>
    <w:rsid w:val="4C51188C"/>
    <w:rsid w:val="4C8B6CDB"/>
    <w:rsid w:val="4C920E8E"/>
    <w:rsid w:val="4CAF1B42"/>
    <w:rsid w:val="4D1645E2"/>
    <w:rsid w:val="4D1A513F"/>
    <w:rsid w:val="4D2461A1"/>
    <w:rsid w:val="4D3450B9"/>
    <w:rsid w:val="4D3D42B8"/>
    <w:rsid w:val="4D815BE2"/>
    <w:rsid w:val="4DC83463"/>
    <w:rsid w:val="4DCB311F"/>
    <w:rsid w:val="4DD75C8C"/>
    <w:rsid w:val="4DD91284"/>
    <w:rsid w:val="4DEE28AD"/>
    <w:rsid w:val="4DF73DE4"/>
    <w:rsid w:val="4E774276"/>
    <w:rsid w:val="4E796209"/>
    <w:rsid w:val="4E7A56A6"/>
    <w:rsid w:val="4E7D05A2"/>
    <w:rsid w:val="4E8E7ED5"/>
    <w:rsid w:val="4EBC3B35"/>
    <w:rsid w:val="4ECA7A68"/>
    <w:rsid w:val="4EE94BAF"/>
    <w:rsid w:val="4EF25940"/>
    <w:rsid w:val="4F1064A6"/>
    <w:rsid w:val="4F2E4341"/>
    <w:rsid w:val="4F4718BC"/>
    <w:rsid w:val="4F4F33B8"/>
    <w:rsid w:val="4F57772C"/>
    <w:rsid w:val="4F5F0274"/>
    <w:rsid w:val="4FB67317"/>
    <w:rsid w:val="4FFA4F97"/>
    <w:rsid w:val="501D4682"/>
    <w:rsid w:val="5025279D"/>
    <w:rsid w:val="50360CDD"/>
    <w:rsid w:val="50473DB1"/>
    <w:rsid w:val="50AB2CF7"/>
    <w:rsid w:val="50C20CEB"/>
    <w:rsid w:val="50E726F6"/>
    <w:rsid w:val="511E61CC"/>
    <w:rsid w:val="51455E3B"/>
    <w:rsid w:val="514A0AC5"/>
    <w:rsid w:val="51DE18D8"/>
    <w:rsid w:val="5210735F"/>
    <w:rsid w:val="522E25DC"/>
    <w:rsid w:val="524D4F35"/>
    <w:rsid w:val="525A4DA8"/>
    <w:rsid w:val="52A112A8"/>
    <w:rsid w:val="52CB0607"/>
    <w:rsid w:val="52CE5816"/>
    <w:rsid w:val="52D4428D"/>
    <w:rsid w:val="52DA6ECA"/>
    <w:rsid w:val="52DD1D23"/>
    <w:rsid w:val="53217B40"/>
    <w:rsid w:val="53395928"/>
    <w:rsid w:val="533C4500"/>
    <w:rsid w:val="53AF586D"/>
    <w:rsid w:val="53E2608D"/>
    <w:rsid w:val="54071122"/>
    <w:rsid w:val="542D1695"/>
    <w:rsid w:val="545D031A"/>
    <w:rsid w:val="5472673B"/>
    <w:rsid w:val="548C6192"/>
    <w:rsid w:val="54BB0612"/>
    <w:rsid w:val="54D67D33"/>
    <w:rsid w:val="55286421"/>
    <w:rsid w:val="55380B06"/>
    <w:rsid w:val="553F029E"/>
    <w:rsid w:val="55625A47"/>
    <w:rsid w:val="55661231"/>
    <w:rsid w:val="55672C16"/>
    <w:rsid w:val="5571242D"/>
    <w:rsid w:val="55730AA9"/>
    <w:rsid w:val="557F5F79"/>
    <w:rsid w:val="558409EC"/>
    <w:rsid w:val="55943D8A"/>
    <w:rsid w:val="55953C69"/>
    <w:rsid w:val="55BD6372"/>
    <w:rsid w:val="55F173E5"/>
    <w:rsid w:val="566310D6"/>
    <w:rsid w:val="56661B70"/>
    <w:rsid w:val="567B2DED"/>
    <w:rsid w:val="567C4141"/>
    <w:rsid w:val="56AB05EB"/>
    <w:rsid w:val="56C77AE9"/>
    <w:rsid w:val="56CC5692"/>
    <w:rsid w:val="56D84D0A"/>
    <w:rsid w:val="56F949CD"/>
    <w:rsid w:val="575A51B2"/>
    <w:rsid w:val="577E5676"/>
    <w:rsid w:val="57E56DE9"/>
    <w:rsid w:val="58463E0C"/>
    <w:rsid w:val="589A6C7B"/>
    <w:rsid w:val="58B0277D"/>
    <w:rsid w:val="58B217FE"/>
    <w:rsid w:val="58BC2564"/>
    <w:rsid w:val="58C37E32"/>
    <w:rsid w:val="58E245CA"/>
    <w:rsid w:val="58FD3C20"/>
    <w:rsid w:val="58FD5763"/>
    <w:rsid w:val="59154B1E"/>
    <w:rsid w:val="59491A5A"/>
    <w:rsid w:val="59536B55"/>
    <w:rsid w:val="597137D9"/>
    <w:rsid w:val="597323FE"/>
    <w:rsid w:val="5973719C"/>
    <w:rsid w:val="5974173C"/>
    <w:rsid w:val="59C30F52"/>
    <w:rsid w:val="5A042196"/>
    <w:rsid w:val="5A595259"/>
    <w:rsid w:val="5A91281A"/>
    <w:rsid w:val="5AB61049"/>
    <w:rsid w:val="5AD80E26"/>
    <w:rsid w:val="5AE64A95"/>
    <w:rsid w:val="5B02790D"/>
    <w:rsid w:val="5B2158A7"/>
    <w:rsid w:val="5B2E3833"/>
    <w:rsid w:val="5B871DD5"/>
    <w:rsid w:val="5BA26420"/>
    <w:rsid w:val="5BA960EE"/>
    <w:rsid w:val="5BB07D77"/>
    <w:rsid w:val="5BD71AC4"/>
    <w:rsid w:val="5BE34963"/>
    <w:rsid w:val="5BF36BC7"/>
    <w:rsid w:val="5C32720D"/>
    <w:rsid w:val="5C3C56D1"/>
    <w:rsid w:val="5C5F27DA"/>
    <w:rsid w:val="5C7126ED"/>
    <w:rsid w:val="5CAD19BE"/>
    <w:rsid w:val="5CB36049"/>
    <w:rsid w:val="5CE260D6"/>
    <w:rsid w:val="5CF529A7"/>
    <w:rsid w:val="5D1A2BC6"/>
    <w:rsid w:val="5D45411D"/>
    <w:rsid w:val="5D4568E8"/>
    <w:rsid w:val="5D6B1AFF"/>
    <w:rsid w:val="5D7059F2"/>
    <w:rsid w:val="5D740D76"/>
    <w:rsid w:val="5D8379EC"/>
    <w:rsid w:val="5D8E3461"/>
    <w:rsid w:val="5DC5401B"/>
    <w:rsid w:val="5DD87635"/>
    <w:rsid w:val="5DDF5877"/>
    <w:rsid w:val="5DFB38C7"/>
    <w:rsid w:val="5DFC3DAE"/>
    <w:rsid w:val="5DFD7F65"/>
    <w:rsid w:val="5E7D6CE1"/>
    <w:rsid w:val="5E9760D0"/>
    <w:rsid w:val="5E9850DF"/>
    <w:rsid w:val="5E9B43F8"/>
    <w:rsid w:val="5EE32708"/>
    <w:rsid w:val="5EF068CC"/>
    <w:rsid w:val="5F012F42"/>
    <w:rsid w:val="5F190A23"/>
    <w:rsid w:val="5F593FF3"/>
    <w:rsid w:val="5F5A1B2C"/>
    <w:rsid w:val="5F5A65F5"/>
    <w:rsid w:val="5F6A1853"/>
    <w:rsid w:val="5FB8552E"/>
    <w:rsid w:val="5FCE54C0"/>
    <w:rsid w:val="602021FB"/>
    <w:rsid w:val="60760DA6"/>
    <w:rsid w:val="608210D6"/>
    <w:rsid w:val="60CD7A28"/>
    <w:rsid w:val="60E01AA9"/>
    <w:rsid w:val="61055D21"/>
    <w:rsid w:val="61171EEB"/>
    <w:rsid w:val="61472054"/>
    <w:rsid w:val="616955D0"/>
    <w:rsid w:val="616A7E66"/>
    <w:rsid w:val="616B2E87"/>
    <w:rsid w:val="616F1FA3"/>
    <w:rsid w:val="617B2FA8"/>
    <w:rsid w:val="61841E98"/>
    <w:rsid w:val="61B35466"/>
    <w:rsid w:val="61BC003A"/>
    <w:rsid w:val="620865F0"/>
    <w:rsid w:val="620A72BB"/>
    <w:rsid w:val="625F2001"/>
    <w:rsid w:val="62693FA8"/>
    <w:rsid w:val="629B6B40"/>
    <w:rsid w:val="62F14D77"/>
    <w:rsid w:val="62F56E56"/>
    <w:rsid w:val="630006BE"/>
    <w:rsid w:val="63162763"/>
    <w:rsid w:val="632415B7"/>
    <w:rsid w:val="633168DA"/>
    <w:rsid w:val="634F2D85"/>
    <w:rsid w:val="638339BD"/>
    <w:rsid w:val="639A0CD4"/>
    <w:rsid w:val="64164610"/>
    <w:rsid w:val="641B6242"/>
    <w:rsid w:val="64485FE6"/>
    <w:rsid w:val="647F7F80"/>
    <w:rsid w:val="648326A8"/>
    <w:rsid w:val="64E02D19"/>
    <w:rsid w:val="65054AD2"/>
    <w:rsid w:val="6545450B"/>
    <w:rsid w:val="655221D4"/>
    <w:rsid w:val="65702398"/>
    <w:rsid w:val="65755A77"/>
    <w:rsid w:val="657F0DFB"/>
    <w:rsid w:val="65CA212B"/>
    <w:rsid w:val="65F30F32"/>
    <w:rsid w:val="65F54DA5"/>
    <w:rsid w:val="65FE6079"/>
    <w:rsid w:val="660A526E"/>
    <w:rsid w:val="66450690"/>
    <w:rsid w:val="66500812"/>
    <w:rsid w:val="66AE1319"/>
    <w:rsid w:val="66C01EC3"/>
    <w:rsid w:val="66E2789F"/>
    <w:rsid w:val="66F50BEF"/>
    <w:rsid w:val="67075DF0"/>
    <w:rsid w:val="67146733"/>
    <w:rsid w:val="671A788E"/>
    <w:rsid w:val="671F0DAD"/>
    <w:rsid w:val="67216F76"/>
    <w:rsid w:val="675F3AF7"/>
    <w:rsid w:val="677E07A1"/>
    <w:rsid w:val="67BF6382"/>
    <w:rsid w:val="67CD0B40"/>
    <w:rsid w:val="681D27C7"/>
    <w:rsid w:val="68492AE4"/>
    <w:rsid w:val="68561486"/>
    <w:rsid w:val="685662B2"/>
    <w:rsid w:val="68941FD2"/>
    <w:rsid w:val="68F57802"/>
    <w:rsid w:val="691470FC"/>
    <w:rsid w:val="694E1F8A"/>
    <w:rsid w:val="695D28AC"/>
    <w:rsid w:val="69B97FA1"/>
    <w:rsid w:val="69CD224B"/>
    <w:rsid w:val="69D71488"/>
    <w:rsid w:val="69D73009"/>
    <w:rsid w:val="69DC5209"/>
    <w:rsid w:val="69EE19C6"/>
    <w:rsid w:val="69F4689A"/>
    <w:rsid w:val="6A107D06"/>
    <w:rsid w:val="6A48691B"/>
    <w:rsid w:val="6A5A5579"/>
    <w:rsid w:val="6A950968"/>
    <w:rsid w:val="6A974348"/>
    <w:rsid w:val="6AA30DF1"/>
    <w:rsid w:val="6AAE4427"/>
    <w:rsid w:val="6AC229E2"/>
    <w:rsid w:val="6AC231BA"/>
    <w:rsid w:val="6AC5336D"/>
    <w:rsid w:val="6ACE5C79"/>
    <w:rsid w:val="6AD4275E"/>
    <w:rsid w:val="6B385B20"/>
    <w:rsid w:val="6B6978EA"/>
    <w:rsid w:val="6BDC5D77"/>
    <w:rsid w:val="6C2D77E5"/>
    <w:rsid w:val="6CC5356A"/>
    <w:rsid w:val="6CD645B1"/>
    <w:rsid w:val="6CEB49B0"/>
    <w:rsid w:val="6CF85B65"/>
    <w:rsid w:val="6D0C030C"/>
    <w:rsid w:val="6D153148"/>
    <w:rsid w:val="6D2174A7"/>
    <w:rsid w:val="6D445365"/>
    <w:rsid w:val="6D7A5CD6"/>
    <w:rsid w:val="6DB210A2"/>
    <w:rsid w:val="6DBA41A3"/>
    <w:rsid w:val="6DC15982"/>
    <w:rsid w:val="6DC66AF7"/>
    <w:rsid w:val="6DCA444F"/>
    <w:rsid w:val="6DE64B86"/>
    <w:rsid w:val="6E261F87"/>
    <w:rsid w:val="6E32041C"/>
    <w:rsid w:val="6E3B6D25"/>
    <w:rsid w:val="6E440D83"/>
    <w:rsid w:val="6E4565FA"/>
    <w:rsid w:val="6E597A93"/>
    <w:rsid w:val="6E60520F"/>
    <w:rsid w:val="6EB05595"/>
    <w:rsid w:val="6EB7239F"/>
    <w:rsid w:val="6EC16FD0"/>
    <w:rsid w:val="6EC16FDC"/>
    <w:rsid w:val="6EC94BA2"/>
    <w:rsid w:val="6ED05A9A"/>
    <w:rsid w:val="6EED7FFB"/>
    <w:rsid w:val="6F2E2CE1"/>
    <w:rsid w:val="6F485D12"/>
    <w:rsid w:val="6F613C5E"/>
    <w:rsid w:val="6FA42F74"/>
    <w:rsid w:val="6FAD4F48"/>
    <w:rsid w:val="6FCA6B62"/>
    <w:rsid w:val="6FFB6495"/>
    <w:rsid w:val="700462D5"/>
    <w:rsid w:val="702946E6"/>
    <w:rsid w:val="70325C60"/>
    <w:rsid w:val="70365881"/>
    <w:rsid w:val="70D078A9"/>
    <w:rsid w:val="70D54732"/>
    <w:rsid w:val="710339AB"/>
    <w:rsid w:val="71C11911"/>
    <w:rsid w:val="71E64A1E"/>
    <w:rsid w:val="71FF224C"/>
    <w:rsid w:val="727B1AED"/>
    <w:rsid w:val="729E772D"/>
    <w:rsid w:val="72D553AA"/>
    <w:rsid w:val="72DE6164"/>
    <w:rsid w:val="734F0FB3"/>
    <w:rsid w:val="73871855"/>
    <w:rsid w:val="7396058C"/>
    <w:rsid w:val="73AA20BC"/>
    <w:rsid w:val="73F24D0F"/>
    <w:rsid w:val="7403131D"/>
    <w:rsid w:val="746B00A5"/>
    <w:rsid w:val="74C54F79"/>
    <w:rsid w:val="74D5369E"/>
    <w:rsid w:val="75100267"/>
    <w:rsid w:val="75384D0D"/>
    <w:rsid w:val="75481368"/>
    <w:rsid w:val="7562699C"/>
    <w:rsid w:val="75752359"/>
    <w:rsid w:val="75C707A4"/>
    <w:rsid w:val="75DF7479"/>
    <w:rsid w:val="75EF2460"/>
    <w:rsid w:val="75F060F5"/>
    <w:rsid w:val="76442C43"/>
    <w:rsid w:val="767740D5"/>
    <w:rsid w:val="76FF03D7"/>
    <w:rsid w:val="772117B3"/>
    <w:rsid w:val="776932CD"/>
    <w:rsid w:val="77854A78"/>
    <w:rsid w:val="77865BD1"/>
    <w:rsid w:val="77B86EDF"/>
    <w:rsid w:val="77D975AB"/>
    <w:rsid w:val="7803399B"/>
    <w:rsid w:val="784D3606"/>
    <w:rsid w:val="78784194"/>
    <w:rsid w:val="788D1DF2"/>
    <w:rsid w:val="78B5261A"/>
    <w:rsid w:val="78DB7DC3"/>
    <w:rsid w:val="792235FC"/>
    <w:rsid w:val="792D40B2"/>
    <w:rsid w:val="793F4664"/>
    <w:rsid w:val="79465759"/>
    <w:rsid w:val="794F13C7"/>
    <w:rsid w:val="79552D21"/>
    <w:rsid w:val="798509F9"/>
    <w:rsid w:val="79AC74FC"/>
    <w:rsid w:val="79B93A1A"/>
    <w:rsid w:val="79C63E1F"/>
    <w:rsid w:val="79DD7DD2"/>
    <w:rsid w:val="7A0103BC"/>
    <w:rsid w:val="7A115890"/>
    <w:rsid w:val="7A125379"/>
    <w:rsid w:val="7A127013"/>
    <w:rsid w:val="7A26164B"/>
    <w:rsid w:val="7A461B13"/>
    <w:rsid w:val="7A6B5C4E"/>
    <w:rsid w:val="7A724E11"/>
    <w:rsid w:val="7A725C87"/>
    <w:rsid w:val="7A8D6377"/>
    <w:rsid w:val="7A910E6A"/>
    <w:rsid w:val="7AF31546"/>
    <w:rsid w:val="7B19610C"/>
    <w:rsid w:val="7B904E69"/>
    <w:rsid w:val="7BAD7B4A"/>
    <w:rsid w:val="7BCF512A"/>
    <w:rsid w:val="7BEA2E2A"/>
    <w:rsid w:val="7BF109A9"/>
    <w:rsid w:val="7C371A45"/>
    <w:rsid w:val="7C5C0B68"/>
    <w:rsid w:val="7C5E22CB"/>
    <w:rsid w:val="7C7B2853"/>
    <w:rsid w:val="7CB134A3"/>
    <w:rsid w:val="7CC936A4"/>
    <w:rsid w:val="7CD75420"/>
    <w:rsid w:val="7CE06808"/>
    <w:rsid w:val="7CE316BB"/>
    <w:rsid w:val="7D2B3DDC"/>
    <w:rsid w:val="7D5C7A55"/>
    <w:rsid w:val="7DBA0C8E"/>
    <w:rsid w:val="7DDD37AC"/>
    <w:rsid w:val="7DF61371"/>
    <w:rsid w:val="7E427E2B"/>
    <w:rsid w:val="7E51575E"/>
    <w:rsid w:val="7E5244F9"/>
    <w:rsid w:val="7E682953"/>
    <w:rsid w:val="7E8D20D2"/>
    <w:rsid w:val="7EC34145"/>
    <w:rsid w:val="7F023BA4"/>
    <w:rsid w:val="7F1179F7"/>
    <w:rsid w:val="7F686F94"/>
    <w:rsid w:val="7F936BE5"/>
    <w:rsid w:val="7F976E61"/>
    <w:rsid w:val="7FBD1724"/>
    <w:rsid w:val="7FE61624"/>
    <w:rsid w:val="7FF0661E"/>
    <w:rsid w:val="7FF456FD"/>
    <w:rsid w:val="7FFD5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link w:val="169"/>
    <w:qFormat/>
    <w:uiPriority w:val="0"/>
    <w:pPr>
      <w:keepNext/>
      <w:keepLines/>
      <w:spacing w:before="120" w:after="120" w:line="360" w:lineRule="auto"/>
      <w:jc w:val="center"/>
      <w:outlineLvl w:val="0"/>
    </w:pPr>
    <w:rPr>
      <w:b/>
      <w:bCs/>
      <w:kern w:val="44"/>
      <w:sz w:val="44"/>
      <w:szCs w:val="44"/>
    </w:rPr>
  </w:style>
  <w:style w:type="paragraph" w:styleId="2">
    <w:name w:val="heading 2"/>
    <w:basedOn w:val="1"/>
    <w:next w:val="1"/>
    <w:link w:val="75"/>
    <w:qFormat/>
    <w:uiPriority w:val="0"/>
    <w:pPr>
      <w:keepNext/>
      <w:keepLines/>
      <w:spacing w:line="360" w:lineRule="auto"/>
      <w:jc w:val="left"/>
      <w:outlineLvl w:val="1"/>
    </w:pPr>
    <w:rPr>
      <w:rFonts w:ascii="Arial" w:hAnsi="Arial"/>
      <w:b/>
      <w:bCs/>
      <w:sz w:val="28"/>
      <w:szCs w:val="32"/>
    </w:rPr>
  </w:style>
  <w:style w:type="paragraph" w:styleId="4">
    <w:name w:val="heading 3"/>
    <w:basedOn w:val="1"/>
    <w:next w:val="1"/>
    <w:link w:val="161"/>
    <w:qFormat/>
    <w:uiPriority w:val="0"/>
    <w:pPr>
      <w:keepNext/>
      <w:keepLines/>
      <w:spacing w:line="360" w:lineRule="auto"/>
      <w:jc w:val="left"/>
      <w:outlineLvl w:val="2"/>
    </w:pPr>
    <w:rPr>
      <w:b/>
      <w:bCs/>
      <w:sz w:val="28"/>
      <w:szCs w:val="32"/>
    </w:rPr>
  </w:style>
  <w:style w:type="paragraph" w:styleId="5">
    <w:name w:val="heading 4"/>
    <w:basedOn w:val="1"/>
    <w:next w:val="1"/>
    <w:link w:val="185"/>
    <w:qFormat/>
    <w:uiPriority w:val="0"/>
    <w:pPr>
      <w:keepNext/>
      <w:keepLines/>
      <w:spacing w:line="360" w:lineRule="auto"/>
      <w:jc w:val="left"/>
      <w:outlineLvl w:val="3"/>
    </w:pPr>
    <w:rPr>
      <w:rFonts w:ascii="Arial" w:hAnsi="Arial"/>
      <w:b/>
      <w:bCs/>
      <w:sz w:val="28"/>
      <w:szCs w:val="28"/>
    </w:rPr>
  </w:style>
  <w:style w:type="paragraph" w:styleId="6">
    <w:name w:val="heading 5"/>
    <w:basedOn w:val="1"/>
    <w:next w:val="1"/>
    <w:link w:val="139"/>
    <w:qFormat/>
    <w:uiPriority w:val="0"/>
    <w:pPr>
      <w:keepNext/>
      <w:keepLines/>
      <w:tabs>
        <w:tab w:val="left" w:pos="425"/>
      </w:tabs>
      <w:spacing w:line="360" w:lineRule="auto"/>
      <w:jc w:val="center"/>
      <w:outlineLvl w:val="4"/>
    </w:pPr>
  </w:style>
  <w:style w:type="paragraph" w:styleId="7">
    <w:name w:val="heading 6"/>
    <w:basedOn w:val="1"/>
    <w:next w:val="1"/>
    <w:link w:val="153"/>
    <w:qFormat/>
    <w:uiPriority w:val="0"/>
    <w:pPr>
      <w:keepNext/>
      <w:keepLines/>
      <w:tabs>
        <w:tab w:val="left" w:pos="851"/>
      </w:tabs>
      <w:spacing w:before="240" w:after="64" w:line="319" w:lineRule="auto"/>
      <w:ind w:left="426"/>
      <w:outlineLvl w:val="5"/>
    </w:pPr>
    <w:rPr>
      <w:rFonts w:ascii="Cambria" w:hAnsi="Cambria"/>
      <w:b/>
      <w:bCs/>
      <w:szCs w:val="24"/>
    </w:rPr>
  </w:style>
  <w:style w:type="paragraph" w:styleId="8">
    <w:name w:val="heading 7"/>
    <w:basedOn w:val="1"/>
    <w:next w:val="1"/>
    <w:link w:val="151"/>
    <w:qFormat/>
    <w:uiPriority w:val="0"/>
    <w:pPr>
      <w:keepNext/>
      <w:keepLines/>
      <w:tabs>
        <w:tab w:val="left" w:pos="425"/>
      </w:tabs>
      <w:spacing w:before="240" w:after="64" w:line="317" w:lineRule="auto"/>
      <w:outlineLvl w:val="6"/>
    </w:pPr>
    <w:rPr>
      <w:rFonts w:ascii="Calibri" w:hAnsi="Calibri" w:eastAsia="仿宋"/>
      <w:b/>
    </w:rPr>
  </w:style>
  <w:style w:type="paragraph" w:styleId="9">
    <w:name w:val="heading 8"/>
    <w:basedOn w:val="1"/>
    <w:next w:val="1"/>
    <w:link w:val="97"/>
    <w:qFormat/>
    <w:uiPriority w:val="9"/>
    <w:pPr>
      <w:keepNext/>
      <w:keepLines/>
      <w:spacing w:before="240" w:after="64" w:line="317" w:lineRule="auto"/>
      <w:outlineLvl w:val="7"/>
    </w:pPr>
    <w:rPr>
      <w:rFonts w:ascii="Cambria" w:hAnsi="Cambria"/>
    </w:rPr>
  </w:style>
  <w:style w:type="paragraph" w:styleId="10">
    <w:name w:val="heading 9"/>
    <w:basedOn w:val="1"/>
    <w:next w:val="1"/>
    <w:link w:val="63"/>
    <w:qFormat/>
    <w:uiPriority w:val="0"/>
    <w:pPr>
      <w:keepNext/>
      <w:keepLines/>
      <w:spacing w:before="240" w:after="64" w:line="317" w:lineRule="auto"/>
      <w:outlineLvl w:val="8"/>
    </w:pPr>
    <w:rPr>
      <w:rFonts w:ascii="Cambria" w:hAnsi="Cambria"/>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260"/>
      <w:jc w:val="left"/>
    </w:pPr>
    <w:rPr>
      <w:rFonts w:ascii="Calibri" w:hAnsi="Calibri"/>
      <w:sz w:val="18"/>
      <w:szCs w:val="18"/>
    </w:rPr>
  </w:style>
  <w:style w:type="paragraph" w:styleId="12">
    <w:name w:val="Normal Indent"/>
    <w:basedOn w:val="1"/>
    <w:next w:val="1"/>
    <w:link w:val="104"/>
    <w:qFormat/>
    <w:uiPriority w:val="0"/>
    <w:pPr>
      <w:ind w:firstLine="420" w:firstLineChars="200"/>
    </w:pPr>
    <w:rPr>
      <w:szCs w:val="24"/>
    </w:rPr>
  </w:style>
  <w:style w:type="paragraph" w:styleId="13">
    <w:name w:val="caption"/>
    <w:basedOn w:val="1"/>
    <w:next w:val="1"/>
    <w:link w:val="167"/>
    <w:qFormat/>
    <w:uiPriority w:val="0"/>
    <w:pPr>
      <w:spacing w:line="360" w:lineRule="auto"/>
      <w:ind w:firstLine="200" w:firstLineChars="200"/>
      <w:jc w:val="center"/>
    </w:pPr>
    <w:rPr>
      <w:rFonts w:ascii="Cambria" w:hAnsi="Cambria" w:eastAsia="黑体"/>
      <w:szCs w:val="22"/>
    </w:rPr>
  </w:style>
  <w:style w:type="paragraph" w:styleId="14">
    <w:name w:val="Document Map"/>
    <w:basedOn w:val="1"/>
    <w:qFormat/>
    <w:uiPriority w:val="0"/>
    <w:pPr>
      <w:spacing w:line="360" w:lineRule="auto"/>
    </w:pPr>
    <w:rPr>
      <w:rFonts w:ascii="宋体" w:hAnsi="Calibri"/>
      <w:sz w:val="18"/>
    </w:rPr>
  </w:style>
  <w:style w:type="paragraph" w:styleId="15">
    <w:name w:val="annotation text"/>
    <w:basedOn w:val="1"/>
    <w:link w:val="186"/>
    <w:qFormat/>
    <w:uiPriority w:val="99"/>
    <w:pPr>
      <w:jc w:val="left"/>
    </w:pPr>
  </w:style>
  <w:style w:type="paragraph" w:styleId="16">
    <w:name w:val="Body Text 3"/>
    <w:basedOn w:val="1"/>
    <w:link w:val="56"/>
    <w:qFormat/>
    <w:uiPriority w:val="0"/>
    <w:pPr>
      <w:widowControl/>
      <w:spacing w:after="120"/>
      <w:jc w:val="left"/>
    </w:pPr>
    <w:rPr>
      <w:kern w:val="0"/>
      <w:sz w:val="16"/>
      <w:szCs w:val="16"/>
    </w:rPr>
  </w:style>
  <w:style w:type="paragraph" w:styleId="17">
    <w:name w:val="Body Text"/>
    <w:basedOn w:val="1"/>
    <w:next w:val="18"/>
    <w:link w:val="165"/>
    <w:qFormat/>
    <w:uiPriority w:val="0"/>
    <w:pPr>
      <w:spacing w:after="120"/>
    </w:pPr>
  </w:style>
  <w:style w:type="paragraph" w:styleId="18">
    <w:name w:val="Body Text First Indent"/>
    <w:basedOn w:val="17"/>
    <w:link w:val="65"/>
    <w:unhideWhenUsed/>
    <w:qFormat/>
    <w:uiPriority w:val="0"/>
    <w:pPr>
      <w:ind w:firstLine="420" w:firstLineChars="100"/>
    </w:pPr>
  </w:style>
  <w:style w:type="paragraph" w:styleId="19">
    <w:name w:val="Body Text Indent"/>
    <w:basedOn w:val="1"/>
    <w:next w:val="1"/>
    <w:link w:val="190"/>
    <w:qFormat/>
    <w:uiPriority w:val="0"/>
    <w:pPr>
      <w:spacing w:after="120"/>
      <w:ind w:left="420" w:leftChars="200"/>
    </w:pPr>
  </w:style>
  <w:style w:type="paragraph" w:styleId="20">
    <w:name w:val="toc 5"/>
    <w:basedOn w:val="1"/>
    <w:next w:val="1"/>
    <w:qFormat/>
    <w:uiPriority w:val="39"/>
    <w:pPr>
      <w:ind w:left="840"/>
      <w:jc w:val="left"/>
    </w:pPr>
    <w:rPr>
      <w:rFonts w:ascii="Calibri" w:hAnsi="Calibri"/>
      <w:sz w:val="18"/>
      <w:szCs w:val="18"/>
    </w:rPr>
  </w:style>
  <w:style w:type="paragraph" w:styleId="21">
    <w:name w:val="toc 3"/>
    <w:basedOn w:val="1"/>
    <w:next w:val="1"/>
    <w:qFormat/>
    <w:uiPriority w:val="39"/>
    <w:pPr>
      <w:ind w:left="420"/>
      <w:jc w:val="left"/>
    </w:pPr>
    <w:rPr>
      <w:rFonts w:ascii="Calibri" w:hAnsi="Calibri"/>
      <w:i/>
      <w:iCs/>
      <w:sz w:val="20"/>
    </w:rPr>
  </w:style>
  <w:style w:type="paragraph" w:styleId="22">
    <w:name w:val="Plain Text"/>
    <w:basedOn w:val="1"/>
    <w:next w:val="1"/>
    <w:link w:val="73"/>
    <w:unhideWhenUsed/>
    <w:qFormat/>
    <w:uiPriority w:val="99"/>
    <w:rPr>
      <w:rFonts w:ascii="宋体" w:hAnsi="Courier New"/>
      <w:szCs w:val="21"/>
    </w:rPr>
  </w:style>
  <w:style w:type="paragraph" w:styleId="23">
    <w:name w:val="toc 8"/>
    <w:basedOn w:val="1"/>
    <w:next w:val="1"/>
    <w:qFormat/>
    <w:uiPriority w:val="39"/>
    <w:pPr>
      <w:ind w:left="1470"/>
      <w:jc w:val="left"/>
    </w:pPr>
    <w:rPr>
      <w:rFonts w:ascii="Calibri" w:hAnsi="Calibri"/>
      <w:sz w:val="18"/>
      <w:szCs w:val="18"/>
    </w:rPr>
  </w:style>
  <w:style w:type="paragraph" w:styleId="24">
    <w:name w:val="Date"/>
    <w:basedOn w:val="1"/>
    <w:next w:val="1"/>
    <w:link w:val="83"/>
    <w:qFormat/>
    <w:uiPriority w:val="0"/>
    <w:pPr>
      <w:ind w:left="100" w:leftChars="2500"/>
    </w:pPr>
    <w:rPr>
      <w:kern w:val="0"/>
      <w:szCs w:val="24"/>
    </w:rPr>
  </w:style>
  <w:style w:type="paragraph" w:styleId="25">
    <w:name w:val="Balloon Text"/>
    <w:basedOn w:val="1"/>
    <w:link w:val="82"/>
    <w:qFormat/>
    <w:uiPriority w:val="0"/>
    <w:rPr>
      <w:sz w:val="18"/>
      <w:szCs w:val="18"/>
    </w:rPr>
  </w:style>
  <w:style w:type="paragraph" w:styleId="26">
    <w:name w:val="footer"/>
    <w:basedOn w:val="1"/>
    <w:link w:val="172"/>
    <w:qFormat/>
    <w:uiPriority w:val="99"/>
    <w:pPr>
      <w:tabs>
        <w:tab w:val="center" w:pos="4153"/>
        <w:tab w:val="right" w:pos="8306"/>
      </w:tabs>
      <w:snapToGrid w:val="0"/>
      <w:jc w:val="left"/>
    </w:pPr>
    <w:rPr>
      <w:sz w:val="18"/>
    </w:rPr>
  </w:style>
  <w:style w:type="paragraph" w:styleId="27">
    <w:name w:val="header"/>
    <w:basedOn w:val="1"/>
    <w:next w:val="1"/>
    <w:link w:val="16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8">
    <w:name w:val="toc 1"/>
    <w:basedOn w:val="1"/>
    <w:next w:val="1"/>
    <w:qFormat/>
    <w:uiPriority w:val="39"/>
    <w:pPr>
      <w:spacing w:line="360" w:lineRule="auto"/>
      <w:jc w:val="left"/>
    </w:pPr>
    <w:rPr>
      <w:rFonts w:ascii="Calibri" w:hAnsi="Calibri"/>
      <w:bCs/>
      <w:caps/>
      <w:sz w:val="32"/>
    </w:rPr>
  </w:style>
  <w:style w:type="paragraph" w:styleId="29">
    <w:name w:val="toc 4"/>
    <w:basedOn w:val="1"/>
    <w:next w:val="1"/>
    <w:qFormat/>
    <w:uiPriority w:val="39"/>
    <w:pPr>
      <w:ind w:left="630"/>
      <w:jc w:val="left"/>
    </w:pPr>
    <w:rPr>
      <w:rFonts w:ascii="Calibri" w:hAnsi="Calibri"/>
      <w:sz w:val="18"/>
      <w:szCs w:val="18"/>
    </w:rPr>
  </w:style>
  <w:style w:type="paragraph" w:styleId="30">
    <w:name w:val="Subtitle"/>
    <w:basedOn w:val="1"/>
    <w:next w:val="12"/>
    <w:qFormat/>
    <w:uiPriority w:val="0"/>
    <w:pPr>
      <w:spacing w:line="312" w:lineRule="auto"/>
      <w:jc w:val="center"/>
      <w:outlineLvl w:val="1"/>
    </w:pPr>
    <w:rPr>
      <w:rFonts w:ascii="Arial" w:hAnsi="Arial"/>
      <w:b/>
      <w:kern w:val="28"/>
      <w:sz w:val="32"/>
    </w:rPr>
  </w:style>
  <w:style w:type="paragraph" w:styleId="31">
    <w:name w:val="toc 6"/>
    <w:basedOn w:val="1"/>
    <w:next w:val="1"/>
    <w:qFormat/>
    <w:uiPriority w:val="39"/>
    <w:pPr>
      <w:ind w:left="1050"/>
      <w:jc w:val="left"/>
    </w:pPr>
    <w:rPr>
      <w:rFonts w:ascii="Calibri" w:hAnsi="Calibri"/>
      <w:sz w:val="18"/>
      <w:szCs w:val="18"/>
    </w:rPr>
  </w:style>
  <w:style w:type="paragraph" w:styleId="32">
    <w:name w:val="toc 2"/>
    <w:basedOn w:val="1"/>
    <w:next w:val="1"/>
    <w:qFormat/>
    <w:uiPriority w:val="39"/>
    <w:pPr>
      <w:ind w:left="210"/>
      <w:jc w:val="left"/>
    </w:pPr>
    <w:rPr>
      <w:rFonts w:ascii="Calibri" w:hAnsi="Calibri"/>
      <w:smallCaps/>
      <w:sz w:val="20"/>
    </w:rPr>
  </w:style>
  <w:style w:type="paragraph" w:styleId="33">
    <w:name w:val="toc 9"/>
    <w:basedOn w:val="1"/>
    <w:next w:val="1"/>
    <w:qFormat/>
    <w:uiPriority w:val="39"/>
    <w:pPr>
      <w:ind w:left="1680"/>
      <w:jc w:val="left"/>
    </w:pPr>
    <w:rPr>
      <w:rFonts w:ascii="Calibri" w:hAnsi="Calibri"/>
      <w:sz w:val="18"/>
      <w:szCs w:val="18"/>
    </w:rPr>
  </w:style>
  <w:style w:type="paragraph" w:styleId="34">
    <w:name w:val="Body Text 2"/>
    <w:basedOn w:val="1"/>
    <w:qFormat/>
    <w:uiPriority w:val="0"/>
    <w:pPr>
      <w:spacing w:line="480" w:lineRule="auto"/>
    </w:pPr>
    <w:rPr>
      <w:rFonts w:ascii="Calibri" w:hAnsi="Calibri" w:cs="黑体"/>
    </w:rPr>
  </w:style>
  <w:style w:type="paragraph" w:styleId="35">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36">
    <w:name w:val="Normal (Web)"/>
    <w:basedOn w:val="1"/>
    <w:unhideWhenUsed/>
    <w:qFormat/>
    <w:uiPriority w:val="99"/>
    <w:pPr>
      <w:spacing w:before="100" w:beforeAutospacing="1" w:after="100" w:afterAutospacing="1"/>
      <w:jc w:val="left"/>
    </w:pPr>
    <w:rPr>
      <w:kern w:val="0"/>
    </w:rPr>
  </w:style>
  <w:style w:type="paragraph" w:styleId="37">
    <w:name w:val="Title"/>
    <w:basedOn w:val="1"/>
    <w:next w:val="1"/>
    <w:link w:val="130"/>
    <w:qFormat/>
    <w:uiPriority w:val="0"/>
    <w:pPr>
      <w:spacing w:before="240" w:after="60" w:line="360" w:lineRule="auto"/>
      <w:jc w:val="center"/>
      <w:outlineLvl w:val="0"/>
    </w:pPr>
    <w:rPr>
      <w:rFonts w:ascii="Cambria" w:hAnsi="Cambria"/>
      <w:b/>
      <w:sz w:val="32"/>
    </w:rPr>
  </w:style>
  <w:style w:type="paragraph" w:styleId="38">
    <w:name w:val="annotation subject"/>
    <w:basedOn w:val="15"/>
    <w:next w:val="15"/>
    <w:link w:val="132"/>
    <w:unhideWhenUsed/>
    <w:qFormat/>
    <w:uiPriority w:val="0"/>
    <w:rPr>
      <w:b/>
      <w:bCs/>
    </w:rPr>
  </w:style>
  <w:style w:type="paragraph" w:styleId="39">
    <w:name w:val="Body Text First Indent 2"/>
    <w:basedOn w:val="19"/>
    <w:next w:val="1"/>
    <w:link w:val="192"/>
    <w:unhideWhenUsed/>
    <w:qFormat/>
    <w:uiPriority w:val="99"/>
    <w:pPr>
      <w:ind w:firstLine="420" w:firstLineChars="200"/>
    </w:pPr>
    <w:rPr>
      <w:sz w:val="21"/>
    </w:rPr>
  </w:style>
  <w:style w:type="table" w:styleId="41">
    <w:name w:val="Table Grid"/>
    <w:basedOn w:val="4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qFormat/>
    <w:uiPriority w:val="0"/>
    <w:rPr>
      <w:rFonts w:ascii="Times New Roman" w:hAnsi="Times New Roman" w:eastAsia="宋体" w:cs="Times New Roman"/>
    </w:rPr>
  </w:style>
  <w:style w:type="character" w:styleId="45">
    <w:name w:val="FollowedHyperlink"/>
    <w:basedOn w:val="42"/>
    <w:unhideWhenUsed/>
    <w:qFormat/>
    <w:uiPriority w:val="99"/>
    <w:rPr>
      <w:rFonts w:hint="eastAsia" w:ascii="微软雅黑" w:hAnsi="微软雅黑" w:eastAsia="微软雅黑" w:cs="微软雅黑"/>
      <w:color w:val="02396F"/>
      <w:u w:val="single"/>
    </w:rPr>
  </w:style>
  <w:style w:type="character" w:styleId="46">
    <w:name w:val="Emphasis"/>
    <w:basedOn w:val="42"/>
    <w:qFormat/>
    <w:uiPriority w:val="20"/>
  </w:style>
  <w:style w:type="character" w:styleId="47">
    <w:name w:val="Hyperlink"/>
    <w:basedOn w:val="42"/>
    <w:qFormat/>
    <w:uiPriority w:val="99"/>
    <w:rPr>
      <w:rFonts w:hint="eastAsia" w:ascii="微软雅黑" w:hAnsi="微软雅黑" w:eastAsia="微软雅黑" w:cs="微软雅黑"/>
      <w:color w:val="02396F"/>
      <w:u w:val="single"/>
    </w:rPr>
  </w:style>
  <w:style w:type="character" w:styleId="48">
    <w:name w:val="annotation reference"/>
    <w:unhideWhenUsed/>
    <w:qFormat/>
    <w:uiPriority w:val="0"/>
    <w:rPr>
      <w:sz w:val="21"/>
      <w:szCs w:val="21"/>
    </w:rPr>
  </w:style>
  <w:style w:type="paragraph" w:customStyle="1" w:styleId="49">
    <w:name w:val="样式 正文（首行缩进两字） + 宋体 小四"/>
    <w:basedOn w:val="12"/>
    <w:next w:val="18"/>
    <w:qFormat/>
    <w:uiPriority w:val="0"/>
    <w:pPr>
      <w:spacing w:line="100" w:lineRule="atLeast"/>
      <w:ind w:firstLine="614" w:firstLineChars="192"/>
      <w:jc w:val="left"/>
    </w:pPr>
    <w:rPr>
      <w:rFonts w:ascii="仿宋_GB2312" w:hAnsi="宋体" w:eastAsia="仿宋_GB2312"/>
      <w:sz w:val="32"/>
      <w:szCs w:val="20"/>
    </w:rPr>
  </w:style>
  <w:style w:type="paragraph" w:customStyle="1" w:styleId="50">
    <w:name w:val="正文1"/>
    <w:next w:val="5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1">
    <w:name w:val="页眉1"/>
    <w:basedOn w:val="50"/>
    <w:next w:val="50"/>
    <w:qFormat/>
    <w:uiPriority w:val="0"/>
    <w:pPr>
      <w:tabs>
        <w:tab w:val="center" w:pos="4153"/>
        <w:tab w:val="right" w:pos="8306"/>
      </w:tabs>
      <w:snapToGrid w:val="0"/>
    </w:pPr>
    <w:rPr>
      <w:sz w:val="18"/>
    </w:rPr>
  </w:style>
  <w:style w:type="paragraph" w:customStyle="1" w:styleId="52">
    <w:name w:val="NormalIndent"/>
    <w:basedOn w:val="1"/>
    <w:qFormat/>
    <w:uiPriority w:val="0"/>
    <w:pPr>
      <w:spacing w:before="60" w:line="360" w:lineRule="auto"/>
      <w:ind w:firstLine="420" w:firstLineChars="200"/>
      <w:textAlignment w:val="baseline"/>
    </w:pPr>
    <w:rPr>
      <w:szCs w:val="24"/>
    </w:rPr>
  </w:style>
  <w:style w:type="character" w:customStyle="1" w:styleId="53">
    <w:name w:val="bord3"/>
    <w:qFormat/>
    <w:uiPriority w:val="0"/>
    <w:rPr>
      <w:rFonts w:ascii="Times New Roman" w:hAnsi="Times New Roman" w:eastAsia="宋体" w:cs="Times New Roman"/>
    </w:rPr>
  </w:style>
  <w:style w:type="character" w:customStyle="1" w:styleId="54">
    <w:name w:val="正文-1 Char"/>
    <w:link w:val="55"/>
    <w:qFormat/>
    <w:uiPriority w:val="0"/>
    <w:rPr>
      <w:rFonts w:ascii="Calibri" w:hAnsi="Calibri"/>
      <w:kern w:val="2"/>
      <w:sz w:val="24"/>
      <w:szCs w:val="24"/>
    </w:rPr>
  </w:style>
  <w:style w:type="paragraph" w:customStyle="1" w:styleId="55">
    <w:name w:val="正文-1"/>
    <w:basedOn w:val="1"/>
    <w:link w:val="54"/>
    <w:qFormat/>
    <w:uiPriority w:val="0"/>
    <w:pPr>
      <w:spacing w:line="360" w:lineRule="auto"/>
      <w:ind w:firstLine="200" w:firstLineChars="200"/>
    </w:pPr>
    <w:rPr>
      <w:rFonts w:ascii="Calibri" w:hAnsi="Calibri"/>
      <w:szCs w:val="24"/>
    </w:rPr>
  </w:style>
  <w:style w:type="character" w:customStyle="1" w:styleId="56">
    <w:name w:val="正文文本 3 Char"/>
    <w:link w:val="16"/>
    <w:qFormat/>
    <w:uiPriority w:val="0"/>
    <w:rPr>
      <w:sz w:val="16"/>
      <w:szCs w:val="16"/>
    </w:rPr>
  </w:style>
  <w:style w:type="character" w:customStyle="1" w:styleId="57">
    <w:name w:val="（）正文 Char"/>
    <w:link w:val="58"/>
    <w:qFormat/>
    <w:uiPriority w:val="0"/>
    <w:rPr>
      <w:color w:val="0D0D0D"/>
      <w:kern w:val="2"/>
      <w:sz w:val="24"/>
      <w:szCs w:val="28"/>
      <w:lang w:val="en-US" w:eastAsia="zh-CN" w:bidi="ar-SA"/>
    </w:rPr>
  </w:style>
  <w:style w:type="paragraph" w:customStyle="1" w:styleId="58">
    <w:name w:val="（）正文"/>
    <w:next w:val="59"/>
    <w:link w:val="57"/>
    <w:qFormat/>
    <w:uiPriority w:val="0"/>
    <w:pPr>
      <w:adjustRightInd w:val="0"/>
      <w:snapToGrid w:val="0"/>
      <w:spacing w:line="360" w:lineRule="auto"/>
      <w:ind w:firstLine="200" w:firstLineChars="200"/>
      <w:jc w:val="both"/>
    </w:pPr>
    <w:rPr>
      <w:rFonts w:ascii="Times New Roman" w:hAnsi="Times New Roman" w:eastAsia="宋体" w:cs="Times New Roman"/>
      <w:color w:val="0D0D0D"/>
      <w:kern w:val="2"/>
      <w:sz w:val="24"/>
      <w:szCs w:val="28"/>
      <w:lang w:val="en-US" w:eastAsia="zh-CN" w:bidi="ar-SA"/>
    </w:rPr>
  </w:style>
  <w:style w:type="paragraph" w:customStyle="1" w:styleId="59">
    <w:name w:val="工可正文"/>
    <w:basedOn w:val="22"/>
    <w:link w:val="95"/>
    <w:qFormat/>
    <w:uiPriority w:val="0"/>
    <w:pPr>
      <w:spacing w:line="360" w:lineRule="auto"/>
      <w:ind w:firstLine="560" w:firstLineChars="200"/>
    </w:pPr>
    <w:rPr>
      <w:rFonts w:ascii="Times New Roman" w:hAnsi="Times New Roman"/>
      <w:kern w:val="0"/>
      <w:szCs w:val="20"/>
      <w:lang w:eastAsia="en-US" w:bidi="en-US"/>
    </w:rPr>
  </w:style>
  <w:style w:type="character" w:customStyle="1" w:styleId="60">
    <w:name w:val="纯文本 Char1"/>
    <w:qFormat/>
    <w:uiPriority w:val="99"/>
    <w:rPr>
      <w:rFonts w:ascii="宋体" w:hAnsi="Courier New" w:cs="Courier New"/>
      <w:sz w:val="21"/>
      <w:szCs w:val="21"/>
    </w:rPr>
  </w:style>
  <w:style w:type="character" w:customStyle="1" w:styleId="61">
    <w:name w:val="页码1"/>
    <w:basedOn w:val="42"/>
    <w:qFormat/>
    <w:uiPriority w:val="0"/>
  </w:style>
  <w:style w:type="character" w:customStyle="1" w:styleId="62">
    <w:name w:val="正文文本首行缩进 字符"/>
    <w:qFormat/>
    <w:uiPriority w:val="0"/>
    <w:rPr>
      <w:rFonts w:eastAsia="仿宋"/>
      <w:sz w:val="28"/>
    </w:rPr>
  </w:style>
  <w:style w:type="character" w:customStyle="1" w:styleId="63">
    <w:name w:val="标题 9 Char"/>
    <w:link w:val="10"/>
    <w:qFormat/>
    <w:uiPriority w:val="0"/>
    <w:rPr>
      <w:rFonts w:ascii="Cambria" w:hAnsi="Cambria"/>
      <w:kern w:val="2"/>
      <w:sz w:val="24"/>
    </w:rPr>
  </w:style>
  <w:style w:type="character" w:customStyle="1" w:styleId="64">
    <w:name w:val="批注文字 字符"/>
    <w:qFormat/>
    <w:uiPriority w:val="0"/>
    <w:rPr>
      <w:rFonts w:eastAsia="仿宋"/>
      <w:sz w:val="28"/>
    </w:rPr>
  </w:style>
  <w:style w:type="character" w:customStyle="1" w:styleId="65">
    <w:name w:val="正文首行缩进 Char1"/>
    <w:link w:val="18"/>
    <w:semiHidden/>
    <w:qFormat/>
    <w:uiPriority w:val="99"/>
    <w:rPr>
      <w:kern w:val="2"/>
      <w:sz w:val="21"/>
    </w:rPr>
  </w:style>
  <w:style w:type="character" w:customStyle="1" w:styleId="66">
    <w:name w:val="正文缩进 字符"/>
    <w:qFormat/>
    <w:uiPriority w:val="0"/>
    <w:rPr>
      <w:rFonts w:ascii="Times New Roman" w:hAnsi="Times New Roman" w:eastAsia="宋体" w:cs="Times New Roman"/>
      <w:sz w:val="28"/>
      <w:szCs w:val="28"/>
    </w:rPr>
  </w:style>
  <w:style w:type="character" w:customStyle="1" w:styleId="67">
    <w:name w:val="页眉 字符"/>
    <w:qFormat/>
    <w:uiPriority w:val="99"/>
  </w:style>
  <w:style w:type="character" w:customStyle="1" w:styleId="68">
    <w:name w:val="题注 Char1"/>
    <w:qFormat/>
    <w:uiPriority w:val="0"/>
    <w:rPr>
      <w:rFonts w:ascii="Arial" w:hAnsi="Arial" w:eastAsia="黑体"/>
      <w:kern w:val="2"/>
      <w:lang w:val="en-US" w:eastAsia="zh-CN"/>
    </w:rPr>
  </w:style>
  <w:style w:type="character" w:customStyle="1" w:styleId="69">
    <w:name w:val="!正文 Char"/>
    <w:link w:val="70"/>
    <w:qFormat/>
    <w:uiPriority w:val="0"/>
    <w:rPr>
      <w:rFonts w:ascii="Calibri" w:hAnsi="Calibri"/>
      <w:kern w:val="2"/>
      <w:sz w:val="28"/>
      <w:szCs w:val="22"/>
    </w:rPr>
  </w:style>
  <w:style w:type="paragraph" w:customStyle="1" w:styleId="70">
    <w:name w:val="!正文"/>
    <w:basedOn w:val="1"/>
    <w:link w:val="69"/>
    <w:qFormat/>
    <w:uiPriority w:val="0"/>
    <w:pPr>
      <w:spacing w:beforeLines="50" w:afterLines="50"/>
      <w:ind w:firstLine="200" w:firstLineChars="200"/>
    </w:pPr>
    <w:rPr>
      <w:rFonts w:ascii="Calibri" w:hAnsi="Calibri"/>
      <w:sz w:val="28"/>
      <w:szCs w:val="22"/>
    </w:rPr>
  </w:style>
  <w:style w:type="character" w:customStyle="1" w:styleId="71">
    <w:name w:val="本文正文段落格式 Char"/>
    <w:link w:val="72"/>
    <w:qFormat/>
    <w:uiPriority w:val="0"/>
    <w:rPr>
      <w:rFonts w:ascii="Calibri" w:hAnsi="Calibri"/>
      <w:sz w:val="24"/>
      <w:szCs w:val="24"/>
    </w:rPr>
  </w:style>
  <w:style w:type="paragraph" w:customStyle="1" w:styleId="72">
    <w:name w:val="本文正文段落格式"/>
    <w:basedOn w:val="1"/>
    <w:link w:val="71"/>
    <w:qFormat/>
    <w:uiPriority w:val="0"/>
    <w:pPr>
      <w:widowControl/>
      <w:spacing w:line="360" w:lineRule="auto"/>
      <w:ind w:firstLine="480" w:firstLineChars="200"/>
      <w:jc w:val="left"/>
    </w:pPr>
    <w:rPr>
      <w:rFonts w:ascii="Calibri" w:hAnsi="Calibri"/>
      <w:kern w:val="0"/>
      <w:szCs w:val="24"/>
    </w:rPr>
  </w:style>
  <w:style w:type="character" w:customStyle="1" w:styleId="73">
    <w:name w:val="纯文本 Char"/>
    <w:link w:val="22"/>
    <w:qFormat/>
    <w:uiPriority w:val="99"/>
    <w:rPr>
      <w:rFonts w:ascii="宋体" w:hAnsi="Courier New" w:cs="Courier New"/>
      <w:kern w:val="2"/>
      <w:sz w:val="21"/>
      <w:szCs w:val="21"/>
    </w:rPr>
  </w:style>
  <w:style w:type="character" w:customStyle="1" w:styleId="74">
    <w:name w:val="normal__char1"/>
    <w:qFormat/>
    <w:uiPriority w:val="0"/>
    <w:rPr>
      <w:rFonts w:ascii="Times New Roman" w:hAnsi="Times New Roman" w:eastAsia="宋体" w:cs="Times New Roman"/>
      <w:kern w:val="44"/>
      <w:sz w:val="20"/>
      <w:lang w:val="en-US" w:eastAsia="zh-CN"/>
    </w:rPr>
  </w:style>
  <w:style w:type="character" w:customStyle="1" w:styleId="75">
    <w:name w:val="标题 2 Char"/>
    <w:link w:val="2"/>
    <w:qFormat/>
    <w:uiPriority w:val="0"/>
    <w:rPr>
      <w:rFonts w:ascii="Arial" w:hAnsi="Arial"/>
      <w:b/>
      <w:bCs/>
      <w:sz w:val="28"/>
      <w:szCs w:val="32"/>
    </w:rPr>
  </w:style>
  <w:style w:type="character" w:customStyle="1" w:styleId="76">
    <w:name w:val="日期 Char1"/>
    <w:semiHidden/>
    <w:qFormat/>
    <w:uiPriority w:val="99"/>
    <w:rPr>
      <w:kern w:val="2"/>
      <w:sz w:val="21"/>
    </w:rPr>
  </w:style>
  <w:style w:type="character" w:customStyle="1" w:styleId="77">
    <w:name w:val="列出段落 Char"/>
    <w:link w:val="78"/>
    <w:qFormat/>
    <w:uiPriority w:val="0"/>
    <w:rPr>
      <w:rFonts w:ascii="Calibri" w:hAnsi="Calibri"/>
      <w:kern w:val="2"/>
      <w:sz w:val="21"/>
      <w:szCs w:val="22"/>
    </w:rPr>
  </w:style>
  <w:style w:type="paragraph" w:customStyle="1" w:styleId="78">
    <w:name w:val="列出段落111"/>
    <w:basedOn w:val="1"/>
    <w:link w:val="77"/>
    <w:qFormat/>
    <w:uiPriority w:val="34"/>
    <w:pPr>
      <w:ind w:firstLine="420" w:firstLineChars="200"/>
    </w:pPr>
    <w:rPr>
      <w:rFonts w:ascii="Calibri" w:hAnsi="Calibri"/>
      <w:szCs w:val="22"/>
    </w:rPr>
  </w:style>
  <w:style w:type="character" w:customStyle="1" w:styleId="79">
    <w:name w:val="列表段落 字符1"/>
    <w:link w:val="80"/>
    <w:qFormat/>
    <w:locked/>
    <w:uiPriority w:val="99"/>
    <w:rPr>
      <w:rFonts w:eastAsia="仿宋_GB2312"/>
      <w:kern w:val="2"/>
      <w:sz w:val="32"/>
      <w:szCs w:val="22"/>
    </w:rPr>
  </w:style>
  <w:style w:type="paragraph" w:customStyle="1" w:styleId="80">
    <w:name w:val="_Style 476"/>
    <w:basedOn w:val="1"/>
    <w:next w:val="81"/>
    <w:link w:val="79"/>
    <w:qFormat/>
    <w:uiPriority w:val="99"/>
    <w:pPr>
      <w:spacing w:line="579" w:lineRule="exact"/>
      <w:ind w:firstLine="420" w:firstLineChars="200"/>
    </w:pPr>
    <w:rPr>
      <w:rFonts w:eastAsia="仿宋_GB2312"/>
      <w:sz w:val="32"/>
      <w:szCs w:val="22"/>
    </w:rPr>
  </w:style>
  <w:style w:type="paragraph" w:styleId="81">
    <w:name w:val="List Paragraph"/>
    <w:basedOn w:val="1"/>
    <w:qFormat/>
    <w:uiPriority w:val="34"/>
    <w:pPr>
      <w:spacing w:line="360" w:lineRule="auto"/>
      <w:ind w:firstLine="420" w:firstLineChars="200"/>
    </w:pPr>
    <w:rPr>
      <w:rFonts w:ascii="Calibri" w:hAnsi="Calibri"/>
    </w:rPr>
  </w:style>
  <w:style w:type="character" w:customStyle="1" w:styleId="82">
    <w:name w:val="批注框文本 Char"/>
    <w:link w:val="25"/>
    <w:qFormat/>
    <w:uiPriority w:val="0"/>
    <w:rPr>
      <w:kern w:val="2"/>
      <w:sz w:val="18"/>
      <w:szCs w:val="18"/>
    </w:rPr>
  </w:style>
  <w:style w:type="character" w:customStyle="1" w:styleId="83">
    <w:name w:val="日期 Char"/>
    <w:link w:val="24"/>
    <w:qFormat/>
    <w:uiPriority w:val="0"/>
    <w:rPr>
      <w:sz w:val="24"/>
      <w:szCs w:val="24"/>
    </w:rPr>
  </w:style>
  <w:style w:type="character" w:customStyle="1" w:styleId="84">
    <w:name w:val="正文内容 Char"/>
    <w:link w:val="85"/>
    <w:qFormat/>
    <w:uiPriority w:val="0"/>
    <w:rPr>
      <w:kern w:val="2"/>
      <w:sz w:val="24"/>
      <w:szCs w:val="24"/>
    </w:rPr>
  </w:style>
  <w:style w:type="paragraph" w:customStyle="1" w:styleId="85">
    <w:name w:val="正文内容"/>
    <w:basedOn w:val="1"/>
    <w:link w:val="84"/>
    <w:qFormat/>
    <w:uiPriority w:val="0"/>
    <w:pPr>
      <w:spacing w:line="360" w:lineRule="auto"/>
      <w:ind w:firstLine="420"/>
    </w:pPr>
    <w:rPr>
      <w:szCs w:val="24"/>
    </w:rPr>
  </w:style>
  <w:style w:type="character" w:customStyle="1" w:styleId="86">
    <w:name w:val="正文缩进 Char1"/>
    <w:qFormat/>
    <w:uiPriority w:val="0"/>
    <w:rPr>
      <w:kern w:val="2"/>
      <w:sz w:val="24"/>
    </w:rPr>
  </w:style>
  <w:style w:type="character" w:customStyle="1" w:styleId="87">
    <w:name w:val="apple-converted-space"/>
    <w:basedOn w:val="42"/>
    <w:qFormat/>
    <w:uiPriority w:val="0"/>
  </w:style>
  <w:style w:type="character" w:customStyle="1" w:styleId="88">
    <w:name w:val="标题5 Char"/>
    <w:link w:val="89"/>
    <w:qFormat/>
    <w:uiPriority w:val="0"/>
    <w:rPr>
      <w:b/>
      <w:kern w:val="2"/>
      <w:sz w:val="28"/>
      <w:szCs w:val="28"/>
    </w:rPr>
  </w:style>
  <w:style w:type="paragraph" w:customStyle="1" w:styleId="89">
    <w:name w:val="标题5"/>
    <w:basedOn w:val="1"/>
    <w:link w:val="88"/>
    <w:qFormat/>
    <w:uiPriority w:val="0"/>
    <w:pPr>
      <w:spacing w:beforeLines="50" w:afterLines="50" w:line="360" w:lineRule="auto"/>
      <w:outlineLvl w:val="4"/>
    </w:pPr>
    <w:rPr>
      <w:b/>
      <w:sz w:val="28"/>
      <w:szCs w:val="28"/>
    </w:rPr>
  </w:style>
  <w:style w:type="character" w:customStyle="1" w:styleId="90">
    <w:name w:val="正文文本缩进 Char2"/>
    <w:semiHidden/>
    <w:qFormat/>
    <w:uiPriority w:val="99"/>
    <w:rPr>
      <w:kern w:val="2"/>
      <w:sz w:val="21"/>
    </w:rPr>
  </w:style>
  <w:style w:type="character" w:customStyle="1" w:styleId="91">
    <w:name w:val="A_正文 Char"/>
    <w:link w:val="92"/>
    <w:qFormat/>
    <w:uiPriority w:val="0"/>
    <w:rPr>
      <w:rFonts w:ascii="Calibri" w:hAnsi="Calibri"/>
      <w:kern w:val="2"/>
      <w:sz w:val="28"/>
      <w:szCs w:val="22"/>
    </w:rPr>
  </w:style>
  <w:style w:type="paragraph" w:customStyle="1" w:styleId="92">
    <w:name w:val="A_正文"/>
    <w:basedOn w:val="1"/>
    <w:link w:val="91"/>
    <w:qFormat/>
    <w:uiPriority w:val="0"/>
    <w:pPr>
      <w:spacing w:line="360" w:lineRule="auto"/>
      <w:ind w:firstLine="480" w:firstLineChars="200"/>
    </w:pPr>
    <w:rPr>
      <w:rFonts w:ascii="Calibri" w:hAnsi="Calibri"/>
      <w:sz w:val="28"/>
      <w:szCs w:val="22"/>
    </w:rPr>
  </w:style>
  <w:style w:type="character" w:customStyle="1" w:styleId="93">
    <w:name w:val="我的正文 Char"/>
    <w:link w:val="94"/>
    <w:qFormat/>
    <w:uiPriority w:val="0"/>
    <w:rPr>
      <w:rFonts w:ascii="仿宋_GB2312" w:hAnsi="Arial" w:eastAsia="仿宋_GB2312"/>
      <w:sz w:val="24"/>
      <w:szCs w:val="18"/>
      <w:lang w:bidi="en-US"/>
    </w:rPr>
  </w:style>
  <w:style w:type="paragraph" w:customStyle="1" w:styleId="94">
    <w:name w:val="我的正文"/>
    <w:basedOn w:val="1"/>
    <w:link w:val="93"/>
    <w:qFormat/>
    <w:uiPriority w:val="0"/>
    <w:pPr>
      <w:widowControl/>
      <w:spacing w:after="200" w:line="360" w:lineRule="auto"/>
      <w:ind w:firstLine="200" w:firstLineChars="200"/>
      <w:jc w:val="left"/>
    </w:pPr>
    <w:rPr>
      <w:rFonts w:ascii="仿宋_GB2312" w:hAnsi="Arial" w:eastAsia="仿宋_GB2312"/>
      <w:kern w:val="0"/>
      <w:szCs w:val="18"/>
      <w:lang w:bidi="en-US"/>
    </w:rPr>
  </w:style>
  <w:style w:type="character" w:customStyle="1" w:styleId="95">
    <w:name w:val="工可正文 Char"/>
    <w:link w:val="59"/>
    <w:qFormat/>
    <w:uiPriority w:val="0"/>
    <w:rPr>
      <w:sz w:val="24"/>
      <w:lang w:eastAsia="en-US" w:bidi="en-US"/>
    </w:rPr>
  </w:style>
  <w:style w:type="character" w:customStyle="1" w:styleId="96">
    <w:name w:val="正文文本 3 Char1"/>
    <w:semiHidden/>
    <w:qFormat/>
    <w:uiPriority w:val="99"/>
    <w:rPr>
      <w:kern w:val="2"/>
      <w:sz w:val="16"/>
      <w:szCs w:val="16"/>
    </w:rPr>
  </w:style>
  <w:style w:type="character" w:customStyle="1" w:styleId="97">
    <w:name w:val="标题 8 Char"/>
    <w:link w:val="9"/>
    <w:qFormat/>
    <w:uiPriority w:val="9"/>
    <w:rPr>
      <w:rFonts w:ascii="Cambria" w:hAnsi="Cambria"/>
      <w:kern w:val="2"/>
      <w:sz w:val="24"/>
    </w:rPr>
  </w:style>
  <w:style w:type="character" w:customStyle="1" w:styleId="98">
    <w:name w:val="批注文字 字符1"/>
    <w:qFormat/>
    <w:uiPriority w:val="0"/>
    <w:rPr>
      <w:rFonts w:eastAsia="仿宋"/>
      <w:sz w:val="28"/>
    </w:rPr>
  </w:style>
  <w:style w:type="character" w:customStyle="1" w:styleId="99">
    <w:name w:val="纯文本 字符"/>
    <w:semiHidden/>
    <w:qFormat/>
    <w:uiPriority w:val="99"/>
    <w:rPr>
      <w:rFonts w:ascii="宋体" w:hAnsi="Courier New" w:cs="Courier New"/>
      <w:kern w:val="2"/>
      <w:sz w:val="21"/>
      <w:szCs w:val="21"/>
    </w:rPr>
  </w:style>
  <w:style w:type="character" w:customStyle="1" w:styleId="100">
    <w:name w:val="文档结构图 Char"/>
    <w:link w:val="101"/>
    <w:qFormat/>
    <w:uiPriority w:val="0"/>
    <w:rPr>
      <w:rFonts w:ascii="宋体"/>
      <w:kern w:val="2"/>
      <w:sz w:val="18"/>
      <w:szCs w:val="18"/>
    </w:rPr>
  </w:style>
  <w:style w:type="paragraph" w:customStyle="1" w:styleId="101">
    <w:name w:val="文档结构图1"/>
    <w:basedOn w:val="1"/>
    <w:link w:val="100"/>
    <w:qFormat/>
    <w:uiPriority w:val="0"/>
    <w:rPr>
      <w:rFonts w:ascii="宋体"/>
      <w:sz w:val="18"/>
      <w:szCs w:val="18"/>
    </w:rPr>
  </w:style>
  <w:style w:type="character" w:customStyle="1" w:styleId="102">
    <w:name w:val="批注文字 字符2"/>
    <w:qFormat/>
    <w:uiPriority w:val="0"/>
    <w:rPr>
      <w:rFonts w:eastAsia="仿宋"/>
      <w:sz w:val="28"/>
    </w:rPr>
  </w:style>
  <w:style w:type="character" w:customStyle="1" w:styleId="103">
    <w:name w:val="font31"/>
    <w:qFormat/>
    <w:uiPriority w:val="0"/>
    <w:rPr>
      <w:rFonts w:hint="eastAsia" w:ascii="宋体" w:hAnsi="宋体" w:eastAsia="宋体" w:cs="宋体"/>
      <w:color w:val="000000"/>
      <w:sz w:val="24"/>
      <w:szCs w:val="24"/>
      <w:u w:val="none"/>
    </w:rPr>
  </w:style>
  <w:style w:type="character" w:customStyle="1" w:styleId="104">
    <w:name w:val="正文缩进 Char"/>
    <w:link w:val="12"/>
    <w:qFormat/>
    <w:uiPriority w:val="0"/>
    <w:rPr>
      <w:kern w:val="2"/>
      <w:sz w:val="21"/>
      <w:szCs w:val="24"/>
    </w:rPr>
  </w:style>
  <w:style w:type="character" w:customStyle="1" w:styleId="105">
    <w:name w:val="00正文 Char Char"/>
    <w:link w:val="106"/>
    <w:qFormat/>
    <w:uiPriority w:val="0"/>
    <w:rPr>
      <w:rFonts w:ascii="仿宋" w:hAnsi="仿宋" w:eastAsia="仿宋"/>
      <w:kern w:val="2"/>
      <w:sz w:val="28"/>
      <w:szCs w:val="28"/>
    </w:rPr>
  </w:style>
  <w:style w:type="paragraph" w:customStyle="1" w:styleId="106">
    <w:name w:val="00正文"/>
    <w:basedOn w:val="1"/>
    <w:link w:val="105"/>
    <w:qFormat/>
    <w:uiPriority w:val="0"/>
    <w:pPr>
      <w:spacing w:line="580" w:lineRule="exact"/>
      <w:ind w:firstLine="560" w:firstLineChars="200"/>
    </w:pPr>
    <w:rPr>
      <w:rFonts w:ascii="仿宋" w:hAnsi="仿宋" w:eastAsia="仿宋"/>
      <w:sz w:val="28"/>
      <w:szCs w:val="28"/>
    </w:rPr>
  </w:style>
  <w:style w:type="character" w:customStyle="1" w:styleId="107">
    <w:name w:val="题注 字符1"/>
    <w:qFormat/>
    <w:uiPriority w:val="99"/>
    <w:rPr>
      <w:rFonts w:ascii="Cambria" w:hAnsi="Cambria" w:eastAsia="黑体"/>
      <w:sz w:val="24"/>
    </w:rPr>
  </w:style>
  <w:style w:type="character" w:customStyle="1" w:styleId="108">
    <w:name w:val="HTML 预设格式 Char"/>
    <w:link w:val="35"/>
    <w:qFormat/>
    <w:uiPriority w:val="0"/>
    <w:rPr>
      <w:rFonts w:ascii="宋体" w:hAnsi="宋体"/>
      <w:sz w:val="24"/>
    </w:rPr>
  </w:style>
  <w:style w:type="character" w:customStyle="1" w:styleId="109">
    <w:name w:val="Heading 1 Char1"/>
    <w:qFormat/>
    <w:uiPriority w:val="0"/>
    <w:rPr>
      <w:rFonts w:ascii="Times New Roman" w:hAnsi="Times New Roman" w:eastAsia="宋体" w:cs="Times New Roman"/>
      <w:b/>
      <w:bCs/>
      <w:kern w:val="44"/>
      <w:sz w:val="44"/>
      <w:szCs w:val="44"/>
      <w:lang w:val="en-US" w:eastAsia="zh-CN" w:bidi="ar-SA"/>
    </w:rPr>
  </w:style>
  <w:style w:type="character" w:customStyle="1" w:styleId="110">
    <w:name w:val="文档结构图 Char1"/>
    <w:semiHidden/>
    <w:qFormat/>
    <w:uiPriority w:val="99"/>
    <w:rPr>
      <w:rFonts w:ascii="Microsoft YaHei UI" w:eastAsia="Microsoft YaHei UI"/>
      <w:kern w:val="2"/>
      <w:sz w:val="18"/>
      <w:szCs w:val="18"/>
    </w:rPr>
  </w:style>
  <w:style w:type="character" w:customStyle="1" w:styleId="111">
    <w:name w:val="页眉 Char1"/>
    <w:qFormat/>
    <w:uiPriority w:val="99"/>
    <w:rPr>
      <w:rFonts w:ascii="Times New Roman" w:hAnsi="Times New Roman" w:eastAsia="宋体" w:cs="Times New Roman"/>
      <w:kern w:val="0"/>
      <w:sz w:val="18"/>
      <w:szCs w:val="18"/>
    </w:rPr>
  </w:style>
  <w:style w:type="character" w:customStyle="1" w:styleId="112">
    <w:name w:val="表格标题 Char"/>
    <w:link w:val="113"/>
    <w:qFormat/>
    <w:locked/>
    <w:uiPriority w:val="0"/>
    <w:rPr>
      <w:rFonts w:eastAsia="黑体"/>
      <w:b/>
      <w:sz w:val="21"/>
      <w:szCs w:val="24"/>
    </w:rPr>
  </w:style>
  <w:style w:type="paragraph" w:customStyle="1" w:styleId="113">
    <w:name w:val="表格标题"/>
    <w:basedOn w:val="1"/>
    <w:link w:val="112"/>
    <w:qFormat/>
    <w:uiPriority w:val="0"/>
    <w:pPr>
      <w:adjustRightInd w:val="0"/>
      <w:jc w:val="center"/>
    </w:pPr>
    <w:rPr>
      <w:rFonts w:eastAsia="黑体"/>
      <w:b/>
      <w:kern w:val="0"/>
      <w:szCs w:val="24"/>
    </w:rPr>
  </w:style>
  <w:style w:type="character" w:customStyle="1" w:styleId="114">
    <w:name w:val="标题6 Char"/>
    <w:link w:val="115"/>
    <w:qFormat/>
    <w:uiPriority w:val="0"/>
    <w:rPr>
      <w:b/>
      <w:kern w:val="2"/>
      <w:sz w:val="28"/>
      <w:szCs w:val="28"/>
    </w:rPr>
  </w:style>
  <w:style w:type="paragraph" w:customStyle="1" w:styleId="115">
    <w:name w:val="标题6"/>
    <w:basedOn w:val="1"/>
    <w:link w:val="114"/>
    <w:qFormat/>
    <w:uiPriority w:val="0"/>
    <w:pPr>
      <w:spacing w:beforeLines="50" w:afterLines="50" w:line="360" w:lineRule="auto"/>
      <w:outlineLvl w:val="5"/>
    </w:pPr>
    <w:rPr>
      <w:b/>
      <w:sz w:val="28"/>
      <w:szCs w:val="28"/>
    </w:rPr>
  </w:style>
  <w:style w:type="character" w:customStyle="1" w:styleId="116">
    <w:name w:val="表格 Char"/>
    <w:link w:val="117"/>
    <w:qFormat/>
    <w:uiPriority w:val="0"/>
    <w:rPr>
      <w:rFonts w:ascii="宋体" w:hAnsi="宋体"/>
      <w:sz w:val="21"/>
      <w:szCs w:val="21"/>
      <w:lang w:val="en-US" w:eastAsia="zh-CN" w:bidi="ar-SA"/>
    </w:rPr>
  </w:style>
  <w:style w:type="paragraph" w:customStyle="1" w:styleId="117">
    <w:name w:val="表格"/>
    <w:link w:val="116"/>
    <w:qFormat/>
    <w:uiPriority w:val="0"/>
    <w:pPr>
      <w:widowControl w:val="0"/>
      <w:spacing w:line="360" w:lineRule="auto"/>
      <w:jc w:val="center"/>
    </w:pPr>
    <w:rPr>
      <w:rFonts w:ascii="宋体" w:hAnsi="宋体" w:eastAsia="宋体" w:cs="Times New Roman"/>
      <w:sz w:val="21"/>
      <w:szCs w:val="21"/>
      <w:lang w:val="en-US" w:eastAsia="zh-CN" w:bidi="ar-SA"/>
    </w:rPr>
  </w:style>
  <w:style w:type="character" w:customStyle="1" w:styleId="118">
    <w:name w:val="列出段落 Char1"/>
    <w:link w:val="119"/>
    <w:qFormat/>
    <w:locked/>
    <w:uiPriority w:val="0"/>
    <w:rPr>
      <w:kern w:val="2"/>
      <w:sz w:val="21"/>
    </w:rPr>
  </w:style>
  <w:style w:type="paragraph" w:customStyle="1" w:styleId="119">
    <w:name w:val="列出段落2"/>
    <w:basedOn w:val="1"/>
    <w:link w:val="118"/>
    <w:qFormat/>
    <w:uiPriority w:val="0"/>
    <w:pPr>
      <w:ind w:firstLine="420" w:firstLineChars="200"/>
    </w:pPr>
  </w:style>
  <w:style w:type="character" w:customStyle="1" w:styleId="120">
    <w:name w:val="标题 7 字符"/>
    <w:qFormat/>
    <w:uiPriority w:val="9"/>
    <w:rPr>
      <w:rFonts w:eastAsia="仿宋"/>
      <w:b/>
      <w:kern w:val="2"/>
      <w:sz w:val="24"/>
    </w:rPr>
  </w:style>
  <w:style w:type="character" w:customStyle="1" w:styleId="121">
    <w:name w:val="无间隔 Char"/>
    <w:link w:val="122"/>
    <w:qFormat/>
    <w:uiPriority w:val="0"/>
    <w:rPr>
      <w:kern w:val="2"/>
      <w:sz w:val="24"/>
      <w:lang w:val="en-US" w:eastAsia="zh-CN" w:bidi="ar-SA"/>
    </w:rPr>
  </w:style>
  <w:style w:type="paragraph" w:styleId="122">
    <w:name w:val="No Spacing"/>
    <w:link w:val="121"/>
    <w:qFormat/>
    <w:uiPriority w:val="0"/>
    <w:pPr>
      <w:widowControl w:val="0"/>
      <w:jc w:val="center"/>
    </w:pPr>
    <w:rPr>
      <w:rFonts w:ascii="Times New Roman" w:hAnsi="Times New Roman" w:eastAsia="宋体" w:cs="Times New Roman"/>
      <w:kern w:val="2"/>
      <w:sz w:val="24"/>
      <w:lang w:val="en-US" w:eastAsia="zh-CN" w:bidi="ar-SA"/>
    </w:rPr>
  </w:style>
  <w:style w:type="character" w:customStyle="1" w:styleId="123">
    <w:name w:val="标题7 Char"/>
    <w:link w:val="124"/>
    <w:qFormat/>
    <w:uiPriority w:val="0"/>
    <w:rPr>
      <w:kern w:val="2"/>
      <w:sz w:val="28"/>
      <w:szCs w:val="28"/>
    </w:rPr>
  </w:style>
  <w:style w:type="paragraph" w:customStyle="1" w:styleId="124">
    <w:name w:val="标题7"/>
    <w:basedOn w:val="115"/>
    <w:link w:val="123"/>
    <w:qFormat/>
    <w:uiPriority w:val="0"/>
    <w:pPr>
      <w:outlineLvl w:val="6"/>
    </w:pPr>
    <w:rPr>
      <w:b w:val="0"/>
    </w:rPr>
  </w:style>
  <w:style w:type="character" w:customStyle="1" w:styleId="125">
    <w:name w:val="样式 首行缩进:  0 字符 Char"/>
    <w:link w:val="126"/>
    <w:qFormat/>
    <w:uiPriority w:val="0"/>
    <w:rPr>
      <w:rFonts w:ascii="Calibri" w:hAnsi="Calibri"/>
      <w:kern w:val="2"/>
      <w:sz w:val="24"/>
    </w:rPr>
  </w:style>
  <w:style w:type="paragraph" w:customStyle="1" w:styleId="126">
    <w:name w:val="样式 首行缩进:  0 字符"/>
    <w:basedOn w:val="1"/>
    <w:link w:val="125"/>
    <w:qFormat/>
    <w:uiPriority w:val="0"/>
    <w:pPr>
      <w:spacing w:line="360" w:lineRule="auto"/>
    </w:pPr>
    <w:rPr>
      <w:rFonts w:ascii="Calibri" w:hAnsi="Calibri"/>
    </w:rPr>
  </w:style>
  <w:style w:type="character" w:customStyle="1" w:styleId="127">
    <w:name w:val="小条目 Char"/>
    <w:link w:val="128"/>
    <w:qFormat/>
    <w:uiPriority w:val="0"/>
    <w:rPr>
      <w:rFonts w:ascii="Calibri" w:hAnsi="Calibri" w:eastAsia="仿宋"/>
      <w:kern w:val="2"/>
      <w:sz w:val="24"/>
      <w:szCs w:val="22"/>
    </w:rPr>
  </w:style>
  <w:style w:type="paragraph" w:customStyle="1" w:styleId="128">
    <w:name w:val="小条目"/>
    <w:basedOn w:val="81"/>
    <w:link w:val="127"/>
    <w:qFormat/>
    <w:uiPriority w:val="0"/>
    <w:pPr>
      <w:ind w:left="50" w:firstLine="0" w:firstLineChars="0"/>
    </w:pPr>
    <w:rPr>
      <w:rFonts w:eastAsia="仿宋"/>
      <w:szCs w:val="22"/>
    </w:rPr>
  </w:style>
  <w:style w:type="character" w:customStyle="1" w:styleId="129">
    <w:name w:val="标题 1 Char1"/>
    <w:qFormat/>
    <w:uiPriority w:val="0"/>
    <w:rPr>
      <w:rFonts w:ascii="Times New Roman" w:hAnsi="Times New Roman" w:eastAsia="宋体" w:cs="Times New Roman"/>
      <w:b/>
      <w:bCs/>
      <w:kern w:val="44"/>
      <w:sz w:val="44"/>
      <w:szCs w:val="44"/>
    </w:rPr>
  </w:style>
  <w:style w:type="character" w:customStyle="1" w:styleId="130">
    <w:name w:val="标题 Char"/>
    <w:link w:val="37"/>
    <w:qFormat/>
    <w:uiPriority w:val="0"/>
    <w:rPr>
      <w:rFonts w:ascii="Cambria" w:hAnsi="Cambria"/>
      <w:b/>
      <w:kern w:val="2"/>
      <w:sz w:val="32"/>
    </w:rPr>
  </w:style>
  <w:style w:type="character" w:customStyle="1" w:styleId="131">
    <w:name w:val="正文文本 字符"/>
    <w:qFormat/>
    <w:uiPriority w:val="0"/>
    <w:rPr>
      <w:rFonts w:eastAsia="仿宋"/>
      <w:sz w:val="28"/>
    </w:rPr>
  </w:style>
  <w:style w:type="character" w:customStyle="1" w:styleId="132">
    <w:name w:val="批注主题 Char"/>
    <w:link w:val="38"/>
    <w:qFormat/>
    <w:uiPriority w:val="0"/>
    <w:rPr>
      <w:b/>
      <w:bCs/>
      <w:kern w:val="2"/>
      <w:sz w:val="21"/>
    </w:rPr>
  </w:style>
  <w:style w:type="character" w:customStyle="1" w:styleId="133">
    <w:name w:val="my正文 Char Char"/>
    <w:qFormat/>
    <w:uiPriority w:val="0"/>
    <w:rPr>
      <w:kern w:val="2"/>
      <w:sz w:val="24"/>
      <w:szCs w:val="24"/>
    </w:rPr>
  </w:style>
  <w:style w:type="character" w:customStyle="1" w:styleId="134">
    <w:name w:val="正文文本缩进 Char"/>
    <w:link w:val="135"/>
    <w:qFormat/>
    <w:uiPriority w:val="0"/>
    <w:rPr>
      <w:sz w:val="21"/>
    </w:rPr>
  </w:style>
  <w:style w:type="paragraph" w:customStyle="1" w:styleId="135">
    <w:name w:val="正文文本缩进1"/>
    <w:basedOn w:val="1"/>
    <w:link w:val="134"/>
    <w:qFormat/>
    <w:uiPriority w:val="0"/>
    <w:pPr>
      <w:widowControl/>
      <w:spacing w:after="120"/>
      <w:ind w:left="420" w:leftChars="200"/>
      <w:jc w:val="left"/>
    </w:pPr>
    <w:rPr>
      <w:kern w:val="0"/>
    </w:rPr>
  </w:style>
  <w:style w:type="character" w:customStyle="1" w:styleId="136">
    <w:name w:val="正文文本缩进 字符"/>
    <w:qFormat/>
    <w:uiPriority w:val="0"/>
    <w:rPr>
      <w:rFonts w:ascii="Times New Roman" w:hAnsi="Times New Roman" w:eastAsia="宋体"/>
    </w:rPr>
  </w:style>
  <w:style w:type="character" w:customStyle="1" w:styleId="137">
    <w:name w:val="题注 字符"/>
    <w:qFormat/>
    <w:uiPriority w:val="0"/>
    <w:rPr>
      <w:rFonts w:ascii="Cambria" w:hAnsi="Cambria" w:eastAsia="黑体"/>
      <w:sz w:val="24"/>
    </w:rPr>
  </w:style>
  <w:style w:type="character" w:customStyle="1" w:styleId="138">
    <w:name w:val="标题 6 字符"/>
    <w:qFormat/>
    <w:uiPriority w:val="9"/>
    <w:rPr>
      <w:rFonts w:ascii="Cambria" w:hAnsi="Cambria"/>
      <w:b/>
      <w:kern w:val="2"/>
      <w:sz w:val="24"/>
    </w:rPr>
  </w:style>
  <w:style w:type="character" w:customStyle="1" w:styleId="139">
    <w:name w:val="标题 5 Char"/>
    <w:link w:val="6"/>
    <w:qFormat/>
    <w:uiPriority w:val="0"/>
    <w:rPr>
      <w:kern w:val="2"/>
      <w:sz w:val="24"/>
    </w:rPr>
  </w:style>
  <w:style w:type="character" w:customStyle="1" w:styleId="140">
    <w:name w:val="my正文 Char"/>
    <w:link w:val="141"/>
    <w:qFormat/>
    <w:uiPriority w:val="0"/>
    <w:rPr>
      <w:kern w:val="2"/>
      <w:sz w:val="24"/>
    </w:rPr>
  </w:style>
  <w:style w:type="paragraph" w:customStyle="1" w:styleId="141">
    <w:name w:val="my正文"/>
    <w:basedOn w:val="1"/>
    <w:link w:val="140"/>
    <w:qFormat/>
    <w:uiPriority w:val="0"/>
    <w:pPr>
      <w:spacing w:line="360" w:lineRule="auto"/>
      <w:ind w:firstLine="480" w:firstLineChars="200"/>
    </w:pPr>
  </w:style>
  <w:style w:type="character" w:customStyle="1" w:styleId="142">
    <w:name w:val="表格正文 Char"/>
    <w:link w:val="143"/>
    <w:qFormat/>
    <w:uiPriority w:val="0"/>
    <w:rPr>
      <w:rFonts w:ascii="Calibri" w:hAnsi="Calibri" w:eastAsia="黑体" w:cs="宋体"/>
      <w:kern w:val="2"/>
      <w:sz w:val="21"/>
    </w:rPr>
  </w:style>
  <w:style w:type="paragraph" w:customStyle="1" w:styleId="143">
    <w:name w:val="表格正文"/>
    <w:basedOn w:val="1"/>
    <w:link w:val="142"/>
    <w:qFormat/>
    <w:uiPriority w:val="0"/>
    <w:rPr>
      <w:rFonts w:ascii="Calibri" w:hAnsi="Calibri" w:eastAsia="黑体"/>
    </w:rPr>
  </w:style>
  <w:style w:type="character" w:customStyle="1" w:styleId="144">
    <w:name w:val="文档结构图 字符"/>
    <w:qFormat/>
    <w:uiPriority w:val="0"/>
    <w:rPr>
      <w:rFonts w:ascii="宋体" w:hAnsi="Calibri" w:eastAsia="宋体"/>
      <w:sz w:val="18"/>
    </w:rPr>
  </w:style>
  <w:style w:type="character" w:customStyle="1" w:styleId="145">
    <w:name w:val="正文首行缩进 2 Char"/>
    <w:link w:val="146"/>
    <w:qFormat/>
    <w:uiPriority w:val="99"/>
    <w:rPr>
      <w:kern w:val="2"/>
      <w:sz w:val="21"/>
    </w:rPr>
  </w:style>
  <w:style w:type="paragraph" w:customStyle="1" w:styleId="146">
    <w:name w:val="正文首行缩进 21"/>
    <w:basedOn w:val="19"/>
    <w:next w:val="147"/>
    <w:link w:val="145"/>
    <w:qFormat/>
    <w:uiPriority w:val="99"/>
    <w:pPr>
      <w:ind w:firstLine="420" w:firstLineChars="200"/>
    </w:pPr>
  </w:style>
  <w:style w:type="paragraph" w:customStyle="1" w:styleId="147">
    <w:name w:val="样式 正文首行缩进 2 + 首行缩进:  2 字符"/>
    <w:basedOn w:val="146"/>
    <w:next w:val="1"/>
    <w:qFormat/>
    <w:uiPriority w:val="0"/>
    <w:pPr>
      <w:ind w:left="200" w:firstLine="357" w:firstLineChars="170"/>
    </w:pPr>
  </w:style>
  <w:style w:type="character" w:customStyle="1" w:styleId="148">
    <w:name w:val="标题 3 字符"/>
    <w:qFormat/>
    <w:uiPriority w:val="0"/>
    <w:rPr>
      <w:rFonts w:eastAsia="黑体"/>
      <w:kern w:val="2"/>
      <w:sz w:val="32"/>
    </w:rPr>
  </w:style>
  <w:style w:type="character" w:customStyle="1" w:styleId="149">
    <w:name w:val="样式 仿宋_GB2312 四号1"/>
    <w:qFormat/>
    <w:uiPriority w:val="0"/>
    <w:rPr>
      <w:rFonts w:ascii="仿宋_GB2312" w:hAnsi="仿宋_GB2312" w:eastAsia="仿宋_GB2312"/>
      <w:sz w:val="24"/>
    </w:rPr>
  </w:style>
  <w:style w:type="character" w:customStyle="1" w:styleId="150">
    <w:name w:val="标题 2 字符"/>
    <w:qFormat/>
    <w:uiPriority w:val="0"/>
    <w:rPr>
      <w:rFonts w:ascii="Cambria" w:hAnsi="Cambria" w:eastAsia="黑体"/>
      <w:kern w:val="2"/>
      <w:sz w:val="36"/>
    </w:rPr>
  </w:style>
  <w:style w:type="character" w:customStyle="1" w:styleId="151">
    <w:name w:val="标题 7 Char"/>
    <w:link w:val="8"/>
    <w:qFormat/>
    <w:uiPriority w:val="0"/>
    <w:rPr>
      <w:rFonts w:ascii="Calibri" w:hAnsi="Calibri" w:eastAsia="仿宋"/>
      <w:b/>
      <w:kern w:val="2"/>
      <w:sz w:val="24"/>
    </w:rPr>
  </w:style>
  <w:style w:type="character" w:customStyle="1" w:styleId="152">
    <w:name w:val="font21"/>
    <w:basedOn w:val="42"/>
    <w:qFormat/>
    <w:uiPriority w:val="0"/>
    <w:rPr>
      <w:rFonts w:hint="default" w:ascii="Times New Roman" w:hAnsi="Times New Roman" w:cs="Times New Roman"/>
      <w:b/>
      <w:color w:val="000000"/>
      <w:sz w:val="24"/>
      <w:szCs w:val="24"/>
      <w:u w:val="none"/>
    </w:rPr>
  </w:style>
  <w:style w:type="character" w:customStyle="1" w:styleId="153">
    <w:name w:val="标题 6 Char"/>
    <w:link w:val="7"/>
    <w:qFormat/>
    <w:uiPriority w:val="0"/>
    <w:rPr>
      <w:rFonts w:ascii="Cambria" w:hAnsi="Cambria"/>
      <w:b/>
      <w:bCs/>
      <w:kern w:val="2"/>
      <w:sz w:val="24"/>
      <w:szCs w:val="24"/>
    </w:rPr>
  </w:style>
  <w:style w:type="character" w:customStyle="1" w:styleId="154">
    <w:name w:val="font112"/>
    <w:qFormat/>
    <w:uiPriority w:val="0"/>
    <w:rPr>
      <w:rFonts w:hint="eastAsia" w:ascii="宋体" w:hAnsi="宋体" w:eastAsia="宋体" w:cs="宋体"/>
      <w:color w:val="000000"/>
      <w:sz w:val="22"/>
      <w:szCs w:val="22"/>
      <w:u w:val="none"/>
    </w:rPr>
  </w:style>
  <w:style w:type="character" w:customStyle="1" w:styleId="155">
    <w:name w:val="!BECC正文 Char"/>
    <w:link w:val="156"/>
    <w:qFormat/>
    <w:uiPriority w:val="0"/>
    <w:rPr>
      <w:sz w:val="24"/>
    </w:rPr>
  </w:style>
  <w:style w:type="paragraph" w:customStyle="1" w:styleId="156">
    <w:name w:val="!BECC正文"/>
    <w:basedOn w:val="1"/>
    <w:link w:val="155"/>
    <w:qFormat/>
    <w:uiPriority w:val="0"/>
    <w:pPr>
      <w:tabs>
        <w:tab w:val="left" w:pos="0"/>
      </w:tabs>
      <w:spacing w:beforeLines="50" w:afterLines="50" w:line="360" w:lineRule="auto"/>
      <w:ind w:firstLine="200" w:firstLineChars="200"/>
    </w:pPr>
    <w:rPr>
      <w:kern w:val="0"/>
    </w:rPr>
  </w:style>
  <w:style w:type="character" w:customStyle="1" w:styleId="157">
    <w:name w:val="页脚 Char1"/>
    <w:qFormat/>
    <w:uiPriority w:val="99"/>
    <w:rPr>
      <w:kern w:val="2"/>
      <w:sz w:val="18"/>
      <w:szCs w:val="18"/>
    </w:rPr>
  </w:style>
  <w:style w:type="character" w:customStyle="1" w:styleId="158">
    <w:name w:val="编号3 Char"/>
    <w:link w:val="159"/>
    <w:qFormat/>
    <w:uiPriority w:val="0"/>
    <w:rPr>
      <w:kern w:val="2"/>
      <w:sz w:val="28"/>
      <w:szCs w:val="24"/>
    </w:rPr>
  </w:style>
  <w:style w:type="paragraph" w:customStyle="1" w:styleId="159">
    <w:name w:val="编号3"/>
    <w:basedOn w:val="1"/>
    <w:link w:val="158"/>
    <w:qFormat/>
    <w:uiPriority w:val="0"/>
    <w:pPr>
      <w:adjustRightInd w:val="0"/>
      <w:spacing w:line="360" w:lineRule="auto"/>
      <w:ind w:left="823" w:hanging="420"/>
      <w:jc w:val="left"/>
    </w:pPr>
    <w:rPr>
      <w:sz w:val="28"/>
      <w:szCs w:val="24"/>
    </w:rPr>
  </w:style>
  <w:style w:type="character" w:customStyle="1" w:styleId="160">
    <w:name w:val="正文文本首行缩进 2 字符"/>
    <w:qFormat/>
    <w:uiPriority w:val="99"/>
    <w:rPr>
      <w:rFonts w:eastAsia="仿宋"/>
      <w:kern w:val="2"/>
      <w:sz w:val="28"/>
    </w:rPr>
  </w:style>
  <w:style w:type="character" w:customStyle="1" w:styleId="161">
    <w:name w:val="标题 3 Char"/>
    <w:link w:val="4"/>
    <w:qFormat/>
    <w:uiPriority w:val="0"/>
    <w:rPr>
      <w:b/>
      <w:bCs/>
      <w:kern w:val="2"/>
      <w:sz w:val="28"/>
      <w:szCs w:val="32"/>
    </w:rPr>
  </w:style>
  <w:style w:type="character" w:customStyle="1" w:styleId="162">
    <w:name w:val="标题 1 字符"/>
    <w:qFormat/>
    <w:uiPriority w:val="0"/>
    <w:rPr>
      <w:rFonts w:eastAsia="黑体"/>
      <w:b/>
      <w:kern w:val="44"/>
      <w:sz w:val="44"/>
    </w:rPr>
  </w:style>
  <w:style w:type="character" w:customStyle="1" w:styleId="163">
    <w:name w:val="页眉 Char"/>
    <w:link w:val="27"/>
    <w:qFormat/>
    <w:uiPriority w:val="99"/>
    <w:rPr>
      <w:kern w:val="2"/>
      <w:sz w:val="18"/>
    </w:rPr>
  </w:style>
  <w:style w:type="character" w:customStyle="1" w:styleId="164">
    <w:name w:val="HTML 预设格式 字符"/>
    <w:qFormat/>
    <w:uiPriority w:val="0"/>
    <w:rPr>
      <w:rFonts w:ascii="宋体" w:hAnsi="宋体" w:eastAsia="宋体"/>
      <w:kern w:val="0"/>
      <w:sz w:val="24"/>
    </w:rPr>
  </w:style>
  <w:style w:type="character" w:customStyle="1" w:styleId="165">
    <w:name w:val="正文文本 Char"/>
    <w:link w:val="17"/>
    <w:qFormat/>
    <w:uiPriority w:val="0"/>
    <w:rPr>
      <w:kern w:val="2"/>
      <w:sz w:val="21"/>
    </w:rPr>
  </w:style>
  <w:style w:type="character" w:customStyle="1" w:styleId="166">
    <w:name w:val="标题 9 字符"/>
    <w:qFormat/>
    <w:uiPriority w:val="0"/>
    <w:rPr>
      <w:rFonts w:ascii="Cambria" w:hAnsi="Cambria" w:eastAsia="宋体"/>
    </w:rPr>
  </w:style>
  <w:style w:type="character" w:customStyle="1" w:styleId="167">
    <w:name w:val="题注 Char"/>
    <w:link w:val="13"/>
    <w:qFormat/>
    <w:uiPriority w:val="0"/>
    <w:rPr>
      <w:rFonts w:ascii="Cambria" w:hAnsi="Cambria" w:eastAsia="黑体"/>
      <w:kern w:val="2"/>
      <w:sz w:val="24"/>
      <w:szCs w:val="22"/>
    </w:rPr>
  </w:style>
  <w:style w:type="character" w:customStyle="1" w:styleId="168">
    <w:name w:val="页脚 字符1"/>
    <w:qFormat/>
    <w:uiPriority w:val="99"/>
    <w:rPr>
      <w:rFonts w:eastAsia="仿宋"/>
      <w:sz w:val="18"/>
    </w:rPr>
  </w:style>
  <w:style w:type="character" w:customStyle="1" w:styleId="169">
    <w:name w:val="标题 1 Char"/>
    <w:link w:val="3"/>
    <w:qFormat/>
    <w:uiPriority w:val="0"/>
    <w:rPr>
      <w:b/>
      <w:bCs/>
      <w:kern w:val="44"/>
      <w:sz w:val="44"/>
      <w:szCs w:val="44"/>
    </w:rPr>
  </w:style>
  <w:style w:type="character" w:customStyle="1" w:styleId="170">
    <w:name w:val="font11"/>
    <w:basedOn w:val="42"/>
    <w:qFormat/>
    <w:uiPriority w:val="0"/>
    <w:rPr>
      <w:rFonts w:hint="eastAsia" w:ascii="宋体" w:hAnsi="宋体" w:eastAsia="宋体" w:cs="宋体"/>
      <w:color w:val="000000"/>
      <w:sz w:val="24"/>
      <w:szCs w:val="24"/>
      <w:u w:val="none"/>
    </w:rPr>
  </w:style>
  <w:style w:type="character" w:customStyle="1" w:styleId="171">
    <w:name w:val="页脚 字符"/>
    <w:qFormat/>
    <w:uiPriority w:val="99"/>
  </w:style>
  <w:style w:type="character" w:customStyle="1" w:styleId="172">
    <w:name w:val="页脚 Char"/>
    <w:link w:val="26"/>
    <w:qFormat/>
    <w:uiPriority w:val="99"/>
    <w:rPr>
      <w:kern w:val="2"/>
      <w:sz w:val="18"/>
    </w:rPr>
  </w:style>
  <w:style w:type="character" w:customStyle="1" w:styleId="173">
    <w:name w:val="已访问的超链接1"/>
    <w:qFormat/>
    <w:uiPriority w:val="0"/>
    <w:rPr>
      <w:color w:val="800080"/>
      <w:u w:val="single"/>
    </w:rPr>
  </w:style>
  <w:style w:type="character" w:customStyle="1" w:styleId="174">
    <w:name w:val="List Paragraph Char Char"/>
    <w:link w:val="175"/>
    <w:qFormat/>
    <w:uiPriority w:val="0"/>
  </w:style>
  <w:style w:type="paragraph" w:customStyle="1" w:styleId="175">
    <w:name w:val="List Paragraph2"/>
    <w:basedOn w:val="1"/>
    <w:link w:val="174"/>
    <w:qFormat/>
    <w:uiPriority w:val="0"/>
    <w:pPr>
      <w:ind w:left="720"/>
      <w:contextualSpacing/>
    </w:pPr>
    <w:rPr>
      <w:kern w:val="0"/>
      <w:sz w:val="20"/>
    </w:rPr>
  </w:style>
  <w:style w:type="character" w:customStyle="1" w:styleId="176">
    <w:name w:val="标题 5 字符"/>
    <w:qFormat/>
    <w:uiPriority w:val="0"/>
    <w:rPr>
      <w:rFonts w:ascii="Cambria" w:hAnsi="Cambria"/>
      <w:b/>
      <w:kern w:val="2"/>
      <w:sz w:val="28"/>
    </w:rPr>
  </w:style>
  <w:style w:type="character" w:customStyle="1" w:styleId="177">
    <w:name w:val="正文首行缩进 Char"/>
    <w:link w:val="178"/>
    <w:qFormat/>
    <w:uiPriority w:val="0"/>
    <w:rPr>
      <w:kern w:val="2"/>
      <w:sz w:val="21"/>
    </w:rPr>
  </w:style>
  <w:style w:type="paragraph" w:customStyle="1" w:styleId="178">
    <w:name w:val="正文首行缩进1"/>
    <w:basedOn w:val="1"/>
    <w:link w:val="177"/>
    <w:qFormat/>
    <w:uiPriority w:val="0"/>
    <w:pPr>
      <w:spacing w:after="120" w:line="360" w:lineRule="auto"/>
      <w:ind w:firstLine="420" w:firstLineChars="100"/>
      <w:jc w:val="left"/>
    </w:pPr>
  </w:style>
  <w:style w:type="character" w:customStyle="1" w:styleId="179">
    <w:name w:val="font91"/>
    <w:qFormat/>
    <w:uiPriority w:val="0"/>
    <w:rPr>
      <w:rFonts w:hint="eastAsia" w:ascii="宋体" w:hAnsi="宋体" w:eastAsia="宋体" w:cs="宋体"/>
      <w:b/>
      <w:color w:val="000000"/>
      <w:sz w:val="24"/>
      <w:szCs w:val="24"/>
      <w:u w:val="none"/>
    </w:rPr>
  </w:style>
  <w:style w:type="character" w:customStyle="1" w:styleId="180">
    <w:name w:val="正文文本缩进 Char1"/>
    <w:qFormat/>
    <w:uiPriority w:val="99"/>
    <w:rPr>
      <w:kern w:val="2"/>
      <w:sz w:val="21"/>
    </w:rPr>
  </w:style>
  <w:style w:type="character" w:customStyle="1" w:styleId="181">
    <w:name w:val="font61"/>
    <w:qFormat/>
    <w:uiPriority w:val="0"/>
    <w:rPr>
      <w:rFonts w:hint="eastAsia" w:ascii="宋体" w:hAnsi="宋体" w:eastAsia="宋体" w:cs="宋体"/>
      <w:b/>
      <w:color w:val="000000"/>
      <w:sz w:val="24"/>
      <w:szCs w:val="24"/>
      <w:u w:val="none"/>
    </w:rPr>
  </w:style>
  <w:style w:type="character" w:customStyle="1" w:styleId="182">
    <w:name w:val="列表段落 字符"/>
    <w:link w:val="183"/>
    <w:qFormat/>
    <w:uiPriority w:val="34"/>
    <w:rPr>
      <w:rFonts w:ascii="Calibri" w:hAnsi="Calibri"/>
    </w:rPr>
  </w:style>
  <w:style w:type="paragraph" w:customStyle="1" w:styleId="183">
    <w:name w:val="列表段落1"/>
    <w:basedOn w:val="1"/>
    <w:link w:val="182"/>
    <w:qFormat/>
    <w:uiPriority w:val="34"/>
    <w:pPr>
      <w:ind w:firstLine="420" w:firstLineChars="200"/>
    </w:pPr>
    <w:rPr>
      <w:rFonts w:ascii="Calibri" w:hAnsi="Calibri"/>
      <w:kern w:val="0"/>
      <w:sz w:val="20"/>
    </w:rPr>
  </w:style>
  <w:style w:type="character" w:customStyle="1" w:styleId="184">
    <w:name w:val="标题 8 字符"/>
    <w:qFormat/>
    <w:uiPriority w:val="0"/>
    <w:rPr>
      <w:rFonts w:ascii="Cambria" w:hAnsi="Cambria" w:eastAsia="宋体"/>
      <w:sz w:val="24"/>
    </w:rPr>
  </w:style>
  <w:style w:type="character" w:customStyle="1" w:styleId="185">
    <w:name w:val="标题 4 Char"/>
    <w:link w:val="5"/>
    <w:qFormat/>
    <w:uiPriority w:val="0"/>
    <w:rPr>
      <w:rFonts w:ascii="Arial" w:hAnsi="Arial"/>
      <w:b/>
      <w:bCs/>
      <w:kern w:val="2"/>
      <w:sz w:val="28"/>
      <w:szCs w:val="28"/>
    </w:rPr>
  </w:style>
  <w:style w:type="character" w:customStyle="1" w:styleId="186">
    <w:name w:val="批注文字 Char"/>
    <w:link w:val="15"/>
    <w:qFormat/>
    <w:uiPriority w:val="0"/>
    <w:rPr>
      <w:kern w:val="2"/>
      <w:sz w:val="21"/>
    </w:rPr>
  </w:style>
  <w:style w:type="character" w:customStyle="1" w:styleId="187">
    <w:name w:val="批注主题 字符"/>
    <w:qFormat/>
    <w:uiPriority w:val="0"/>
    <w:rPr>
      <w:rFonts w:eastAsia="仿宋"/>
      <w:b/>
      <w:sz w:val="28"/>
    </w:rPr>
  </w:style>
  <w:style w:type="character" w:customStyle="1" w:styleId="188">
    <w:name w:val="纯文本 Char2"/>
    <w:qFormat/>
    <w:uiPriority w:val="0"/>
    <w:rPr>
      <w:rFonts w:ascii="宋体" w:hAnsi="Courier New" w:cs="Courier New"/>
      <w:sz w:val="21"/>
      <w:szCs w:val="21"/>
    </w:rPr>
  </w:style>
  <w:style w:type="character" w:customStyle="1" w:styleId="189">
    <w:name w:val="font81"/>
    <w:basedOn w:val="42"/>
    <w:qFormat/>
    <w:uiPriority w:val="0"/>
    <w:rPr>
      <w:rFonts w:hint="default" w:ascii="Times New Roman" w:hAnsi="Times New Roman" w:cs="Times New Roman"/>
      <w:color w:val="000000"/>
      <w:sz w:val="24"/>
      <w:szCs w:val="24"/>
      <w:u w:val="none"/>
    </w:rPr>
  </w:style>
  <w:style w:type="character" w:customStyle="1" w:styleId="190">
    <w:name w:val="正文文本缩进 Char3"/>
    <w:link w:val="19"/>
    <w:qFormat/>
    <w:uiPriority w:val="0"/>
    <w:rPr>
      <w:kern w:val="2"/>
      <w:sz w:val="24"/>
    </w:rPr>
  </w:style>
  <w:style w:type="character" w:customStyle="1" w:styleId="191">
    <w:name w:val="批注框文本 字符"/>
    <w:qFormat/>
    <w:uiPriority w:val="0"/>
    <w:rPr>
      <w:rFonts w:eastAsia="仿宋"/>
      <w:sz w:val="18"/>
    </w:rPr>
  </w:style>
  <w:style w:type="character" w:customStyle="1" w:styleId="192">
    <w:name w:val="正文首行缩进 2 Char1"/>
    <w:link w:val="39"/>
    <w:semiHidden/>
    <w:qFormat/>
    <w:uiPriority w:val="99"/>
    <w:rPr>
      <w:kern w:val="2"/>
      <w:sz w:val="21"/>
    </w:rPr>
  </w:style>
  <w:style w:type="character" w:customStyle="1" w:styleId="193">
    <w:name w:val="font71"/>
    <w:qFormat/>
    <w:uiPriority w:val="0"/>
    <w:rPr>
      <w:rFonts w:hint="default" w:ascii="Times New Roman" w:hAnsi="Times New Roman" w:cs="Times New Roman"/>
      <w:b/>
      <w:color w:val="000000"/>
      <w:sz w:val="24"/>
      <w:szCs w:val="24"/>
      <w:u w:val="none"/>
    </w:rPr>
  </w:style>
  <w:style w:type="character" w:customStyle="1" w:styleId="194">
    <w:name w:val="正文文本缩进 3 Char"/>
    <w:link w:val="195"/>
    <w:qFormat/>
    <w:uiPriority w:val="0"/>
    <w:rPr>
      <w:rFonts w:ascii="宋体"/>
      <w:color w:val="FF00FF"/>
      <w:kern w:val="2"/>
      <w:sz w:val="28"/>
      <w:szCs w:val="24"/>
    </w:rPr>
  </w:style>
  <w:style w:type="paragraph" w:customStyle="1" w:styleId="195">
    <w:name w:val="正文文本缩进 31"/>
    <w:basedOn w:val="1"/>
    <w:link w:val="194"/>
    <w:qFormat/>
    <w:uiPriority w:val="0"/>
    <w:pPr>
      <w:ind w:firstLine="524"/>
    </w:pPr>
    <w:rPr>
      <w:rFonts w:ascii="宋体"/>
      <w:color w:val="FF00FF"/>
      <w:sz w:val="28"/>
      <w:szCs w:val="24"/>
    </w:rPr>
  </w:style>
  <w:style w:type="character" w:customStyle="1" w:styleId="196">
    <w:name w:val="报告正文 Char"/>
    <w:link w:val="197"/>
    <w:qFormat/>
    <w:uiPriority w:val="0"/>
    <w:rPr>
      <w:rFonts w:hAnsi="宋体"/>
      <w:bCs/>
      <w:sz w:val="24"/>
      <w:szCs w:val="24"/>
      <w:lang w:val="en-US" w:eastAsia="zh-CN" w:bidi="ar-SA"/>
    </w:rPr>
  </w:style>
  <w:style w:type="paragraph" w:customStyle="1" w:styleId="197">
    <w:name w:val="报告正文"/>
    <w:link w:val="196"/>
    <w:qFormat/>
    <w:uiPriority w:val="0"/>
    <w:pPr>
      <w:adjustRightInd w:val="0"/>
      <w:snapToGrid w:val="0"/>
      <w:spacing w:line="360" w:lineRule="auto"/>
      <w:ind w:firstLine="480" w:firstLineChars="200"/>
    </w:pPr>
    <w:rPr>
      <w:rFonts w:ascii="Times New Roman" w:hAnsi="宋体" w:eastAsia="宋体" w:cs="Times New Roman"/>
      <w:bCs/>
      <w:sz w:val="24"/>
      <w:szCs w:val="24"/>
      <w:lang w:val="en-US" w:eastAsia="zh-CN" w:bidi="ar-SA"/>
    </w:rPr>
  </w:style>
  <w:style w:type="character" w:customStyle="1" w:styleId="198">
    <w:name w:val="标书正文 Char"/>
    <w:link w:val="199"/>
    <w:qFormat/>
    <w:uiPriority w:val="0"/>
    <w:rPr>
      <w:rFonts w:eastAsia="仿宋"/>
      <w:kern w:val="2"/>
      <w:sz w:val="28"/>
    </w:rPr>
  </w:style>
  <w:style w:type="paragraph" w:customStyle="1" w:styleId="199">
    <w:name w:val="标书正文"/>
    <w:basedOn w:val="1"/>
    <w:link w:val="198"/>
    <w:qFormat/>
    <w:uiPriority w:val="0"/>
    <w:pPr>
      <w:spacing w:line="360" w:lineRule="auto"/>
      <w:ind w:firstLine="200" w:firstLineChars="200"/>
    </w:pPr>
    <w:rPr>
      <w:rFonts w:eastAsia="仿宋"/>
      <w:sz w:val="28"/>
    </w:rPr>
  </w:style>
  <w:style w:type="character" w:customStyle="1" w:styleId="200">
    <w:name w:val="未处理的提及1"/>
    <w:unhideWhenUsed/>
    <w:qFormat/>
    <w:uiPriority w:val="99"/>
    <w:rPr>
      <w:color w:val="808080"/>
      <w:shd w:val="clear" w:color="auto" w:fill="E6E6E6"/>
    </w:rPr>
  </w:style>
  <w:style w:type="character" w:customStyle="1" w:styleId="201">
    <w:name w:val="页脚 Char2"/>
    <w:qFormat/>
    <w:uiPriority w:val="99"/>
    <w:rPr>
      <w:kern w:val="2"/>
      <w:sz w:val="18"/>
      <w:szCs w:val="18"/>
    </w:rPr>
  </w:style>
  <w:style w:type="character" w:customStyle="1" w:styleId="202">
    <w:name w:val="正文左侧缩进0.74 厘米 Char Char"/>
    <w:link w:val="203"/>
    <w:qFormat/>
    <w:uiPriority w:val="0"/>
    <w:rPr>
      <w:rFonts w:ascii="Verdana" w:hAnsi="Verdana" w:cs="宋体"/>
      <w:b/>
      <w:kern w:val="2"/>
      <w:sz w:val="24"/>
    </w:rPr>
  </w:style>
  <w:style w:type="paragraph" w:customStyle="1" w:styleId="203">
    <w:name w:val="正文左侧缩进0.74 厘米"/>
    <w:basedOn w:val="1"/>
    <w:link w:val="202"/>
    <w:qFormat/>
    <w:uiPriority w:val="0"/>
    <w:pPr>
      <w:spacing w:line="360" w:lineRule="auto"/>
      <w:ind w:left="420" w:firstLine="200" w:firstLineChars="200"/>
    </w:pPr>
    <w:rPr>
      <w:rFonts w:ascii="Verdana" w:hAnsi="Verdana"/>
      <w:b/>
    </w:rPr>
  </w:style>
  <w:style w:type="character" w:customStyle="1" w:styleId="204">
    <w:name w:val="font01"/>
    <w:qFormat/>
    <w:uiPriority w:val="0"/>
    <w:rPr>
      <w:rFonts w:hint="eastAsia" w:ascii="宋体" w:hAnsi="宋体" w:eastAsia="宋体" w:cs="宋体"/>
      <w:color w:val="000000"/>
      <w:sz w:val="24"/>
      <w:szCs w:val="24"/>
      <w:u w:val="none"/>
    </w:rPr>
  </w:style>
  <w:style w:type="character" w:customStyle="1" w:styleId="205">
    <w:name w:val="正文段落内容 Char"/>
    <w:link w:val="206"/>
    <w:qFormat/>
    <w:uiPriority w:val="0"/>
    <w:rPr>
      <w:rFonts w:ascii="宋体" w:hAnsi="宋体"/>
      <w:sz w:val="24"/>
      <w:szCs w:val="24"/>
    </w:rPr>
  </w:style>
  <w:style w:type="paragraph" w:customStyle="1" w:styleId="206">
    <w:name w:val="正文段落内容"/>
    <w:basedOn w:val="1"/>
    <w:link w:val="205"/>
    <w:qFormat/>
    <w:uiPriority w:val="0"/>
    <w:pPr>
      <w:widowControl/>
      <w:spacing w:line="360" w:lineRule="auto"/>
      <w:ind w:firstLine="425" w:firstLineChars="177"/>
      <w:jc w:val="left"/>
    </w:pPr>
    <w:rPr>
      <w:rFonts w:ascii="宋体" w:hAnsi="宋体"/>
      <w:kern w:val="0"/>
      <w:szCs w:val="24"/>
    </w:rPr>
  </w:style>
  <w:style w:type="character" w:customStyle="1" w:styleId="207">
    <w:name w:val="标题 4 字符"/>
    <w:qFormat/>
    <w:uiPriority w:val="0"/>
    <w:rPr>
      <w:rFonts w:ascii="Cambria" w:hAnsi="Cambria"/>
      <w:b/>
      <w:kern w:val="2"/>
      <w:sz w:val="28"/>
    </w:rPr>
  </w:style>
  <w:style w:type="character" w:customStyle="1" w:styleId="208">
    <w:name w:val="标题 字符"/>
    <w:qFormat/>
    <w:uiPriority w:val="0"/>
    <w:rPr>
      <w:rFonts w:ascii="Cambria" w:hAnsi="Cambria" w:eastAsia="宋体"/>
      <w:b/>
      <w:sz w:val="32"/>
    </w:rPr>
  </w:style>
  <w:style w:type="character" w:customStyle="1" w:styleId="209">
    <w:name w:val="font121"/>
    <w:qFormat/>
    <w:uiPriority w:val="0"/>
    <w:rPr>
      <w:rFonts w:hint="default" w:ascii="Times New Roman" w:hAnsi="Times New Roman" w:cs="Times New Roman"/>
      <w:b/>
      <w:color w:val="000000"/>
      <w:sz w:val="22"/>
      <w:szCs w:val="22"/>
      <w:u w:val="none"/>
    </w:rPr>
  </w:style>
  <w:style w:type="paragraph" w:customStyle="1" w:styleId="210">
    <w:name w:val="xl101"/>
    <w:basedOn w:val="1"/>
    <w:qFormat/>
    <w:uiPriority w:val="0"/>
    <w:pPr>
      <w:widowControl/>
      <w:pBdr>
        <w:top w:val="single" w:color="auto" w:sz="4" w:space="0"/>
        <w:left w:val="single" w:color="auto" w:sz="8"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211">
    <w:name w:val="样式 小四 行距: 1.5 倍行距"/>
    <w:basedOn w:val="1"/>
    <w:qFormat/>
    <w:uiPriority w:val="0"/>
    <w:pPr>
      <w:spacing w:line="360" w:lineRule="auto"/>
      <w:ind w:firstLine="540" w:firstLineChars="225"/>
    </w:pPr>
    <w:rPr>
      <w:color w:val="3366FF"/>
    </w:rPr>
  </w:style>
  <w:style w:type="paragraph" w:customStyle="1" w:styleId="212">
    <w:name w:val="xl9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3">
    <w:name w:val="列出段落311"/>
    <w:basedOn w:val="1"/>
    <w:unhideWhenUsed/>
    <w:qFormat/>
    <w:uiPriority w:val="34"/>
    <w:pPr>
      <w:spacing w:line="360" w:lineRule="auto"/>
      <w:ind w:firstLine="420" w:firstLineChars="200"/>
    </w:pPr>
    <w:rPr>
      <w:rFonts w:eastAsia="仿宋"/>
      <w:sz w:val="28"/>
    </w:rPr>
  </w:style>
  <w:style w:type="paragraph" w:customStyle="1" w:styleId="214">
    <w:name w:val="正文（首行缩进2字符）"/>
    <w:basedOn w:val="1"/>
    <w:qFormat/>
    <w:uiPriority w:val="0"/>
    <w:pPr>
      <w:spacing w:line="300" w:lineRule="auto"/>
      <w:ind w:firstLine="440" w:firstLineChars="200"/>
    </w:pPr>
    <w:rPr>
      <w:sz w:val="22"/>
      <w:szCs w:val="22"/>
    </w:rPr>
  </w:style>
  <w:style w:type="paragraph" w:customStyle="1" w:styleId="215">
    <w:name w:val="修订2"/>
    <w:unhideWhenUsed/>
    <w:qFormat/>
    <w:uiPriority w:val="99"/>
    <w:rPr>
      <w:rFonts w:ascii="Calibri" w:hAnsi="Calibri" w:eastAsia="宋体" w:cs="Times New Roman"/>
      <w:kern w:val="2"/>
      <w:sz w:val="24"/>
      <w:lang w:val="en-US" w:eastAsia="zh-CN" w:bidi="ar-SA"/>
    </w:rPr>
  </w:style>
  <w:style w:type="paragraph" w:customStyle="1" w:styleId="216">
    <w:name w:val="纯文本1"/>
    <w:basedOn w:val="1"/>
    <w:qFormat/>
    <w:uiPriority w:val="0"/>
    <w:pPr>
      <w:spacing w:line="360" w:lineRule="auto"/>
    </w:pPr>
    <w:rPr>
      <w:rFonts w:ascii="宋体" w:hAnsi="Courier New" w:eastAsia="仿宋"/>
      <w:sz w:val="28"/>
    </w:rPr>
  </w:style>
  <w:style w:type="paragraph" w:customStyle="1" w:styleId="217">
    <w:name w:val="D正文"/>
    <w:basedOn w:val="39"/>
    <w:qFormat/>
    <w:uiPriority w:val="0"/>
    <w:pPr>
      <w:widowControl/>
      <w:spacing w:before="100" w:beforeAutospacing="1" w:after="100" w:afterAutospacing="1"/>
      <w:ind w:left="0" w:leftChars="0"/>
      <w:jc w:val="left"/>
    </w:pPr>
    <w:rPr>
      <w:rFonts w:ascii="Arial" w:hAnsi="Arial"/>
      <w:kern w:val="0"/>
      <w:sz w:val="24"/>
    </w:rPr>
  </w:style>
  <w:style w:type="paragraph" w:customStyle="1" w:styleId="218">
    <w:name w:val="正文 1.1.1"/>
    <w:basedOn w:val="1"/>
    <w:next w:val="1"/>
    <w:qFormat/>
    <w:uiPriority w:val="0"/>
    <w:pPr>
      <w:tabs>
        <w:tab w:val="left" w:pos="851"/>
      </w:tabs>
      <w:outlineLvl w:val="2"/>
    </w:pPr>
    <w:rPr>
      <w:rFonts w:hAnsi="宋体"/>
      <w:color w:val="FF0000"/>
      <w:szCs w:val="24"/>
    </w:rPr>
  </w:style>
  <w:style w:type="paragraph" w:customStyle="1" w:styleId="219">
    <w:name w:val="hwyang"/>
    <w:basedOn w:val="1"/>
    <w:qFormat/>
    <w:uiPriority w:val="0"/>
    <w:pPr>
      <w:spacing w:line="360" w:lineRule="auto"/>
      <w:ind w:firstLine="480" w:firstLineChars="200"/>
      <w:jc w:val="left"/>
    </w:pPr>
    <w:rPr>
      <w:szCs w:val="24"/>
    </w:rPr>
  </w:style>
  <w:style w:type="paragraph" w:customStyle="1" w:styleId="220">
    <w:name w:val="正文缩进1"/>
    <w:basedOn w:val="1"/>
    <w:qFormat/>
    <w:uiPriority w:val="0"/>
    <w:pPr>
      <w:ind w:firstLine="420" w:firstLineChars="200"/>
    </w:pPr>
    <w:rPr>
      <w:szCs w:val="24"/>
    </w:rPr>
  </w:style>
  <w:style w:type="paragraph" w:customStyle="1" w:styleId="221">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222">
    <w:name w:val="a"/>
    <w:basedOn w:val="1"/>
    <w:qFormat/>
    <w:uiPriority w:val="0"/>
    <w:pPr>
      <w:widowControl/>
      <w:jc w:val="left"/>
    </w:pPr>
    <w:rPr>
      <w:rFonts w:ascii="宋体" w:hAnsi="宋体" w:cs="宋体"/>
      <w:kern w:val="0"/>
      <w:szCs w:val="24"/>
    </w:rPr>
  </w:style>
  <w:style w:type="paragraph" w:customStyle="1" w:styleId="223">
    <w:name w:val="我的表格文字"/>
    <w:basedOn w:val="1"/>
    <w:qFormat/>
    <w:uiPriority w:val="0"/>
    <w:pPr>
      <w:widowControl/>
    </w:pPr>
    <w:rPr>
      <w:rFonts w:ascii="Arial" w:hAnsi="Arial"/>
      <w:szCs w:val="18"/>
    </w:rPr>
  </w:style>
  <w:style w:type="paragraph" w:customStyle="1" w:styleId="224">
    <w:name w:val="xl9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2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Cs w:val="24"/>
    </w:rPr>
  </w:style>
  <w:style w:type="paragraph" w:customStyle="1" w:styleId="226">
    <w:name w:val="列出段落1"/>
    <w:basedOn w:val="1"/>
    <w:qFormat/>
    <w:uiPriority w:val="0"/>
    <w:pPr>
      <w:spacing w:line="360" w:lineRule="auto"/>
      <w:ind w:firstLine="420" w:firstLineChars="200"/>
    </w:pPr>
    <w:rPr>
      <w:rFonts w:eastAsia="仿宋"/>
      <w:kern w:val="0"/>
      <w:sz w:val="28"/>
    </w:rPr>
  </w:style>
  <w:style w:type="paragraph" w:customStyle="1" w:styleId="227">
    <w:name w:val="正文标准"/>
    <w:basedOn w:val="141"/>
    <w:qFormat/>
    <w:uiPriority w:val="0"/>
    <w:rPr>
      <w:rFonts w:ascii="宋体" w:hAnsi="宋体"/>
      <w:szCs w:val="24"/>
    </w:rPr>
  </w:style>
  <w:style w:type="paragraph" w:customStyle="1" w:styleId="228">
    <w:name w:val="12-E3-正文"/>
    <w:basedOn w:val="1"/>
    <w:qFormat/>
    <w:uiPriority w:val="0"/>
    <w:pPr>
      <w:spacing w:line="360" w:lineRule="auto"/>
      <w:ind w:firstLine="420" w:firstLineChars="200"/>
      <w:jc w:val="left"/>
    </w:pPr>
    <w:rPr>
      <w:rFonts w:ascii="宋体" w:hAnsi="宋体"/>
      <w:kern w:val="0"/>
      <w:szCs w:val="22"/>
    </w:rPr>
  </w:style>
  <w:style w:type="paragraph" w:customStyle="1" w:styleId="229">
    <w:name w:val="列出段落3"/>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230">
    <w:name w:val="msonormal"/>
    <w:basedOn w:val="1"/>
    <w:qFormat/>
    <w:uiPriority w:val="0"/>
    <w:pPr>
      <w:widowControl/>
      <w:spacing w:before="100" w:beforeAutospacing="1" w:after="100" w:afterAutospacing="1"/>
      <w:jc w:val="left"/>
    </w:pPr>
    <w:rPr>
      <w:rFonts w:ascii="宋体" w:hAnsi="宋体" w:cs="宋体"/>
      <w:kern w:val="0"/>
      <w:szCs w:val="24"/>
    </w:rPr>
  </w:style>
  <w:style w:type="paragraph" w:customStyle="1" w:styleId="231">
    <w:name w:val="样式1"/>
    <w:basedOn w:val="1"/>
    <w:qFormat/>
    <w:uiPriority w:val="0"/>
    <w:pPr>
      <w:tabs>
        <w:tab w:val="left" w:pos="709"/>
      </w:tabs>
      <w:adjustRightInd w:val="0"/>
      <w:ind w:left="709" w:hanging="709"/>
      <w:textAlignment w:val="baseline"/>
    </w:pPr>
    <w:rPr>
      <w:rFonts w:ascii="宋体" w:hAnsi="宋体"/>
      <w:szCs w:val="21"/>
    </w:rPr>
  </w:style>
  <w:style w:type="paragraph" w:customStyle="1" w:styleId="232">
    <w:name w:val="样式 (西文) 宋体 小四 首行缩进:  0.95 厘米 段前: 5 磅 段后: 5 磅 行距: 1.5 倍行距"/>
    <w:basedOn w:val="1"/>
    <w:qFormat/>
    <w:uiPriority w:val="0"/>
    <w:pPr>
      <w:widowControl/>
      <w:spacing w:before="100" w:after="100" w:line="360" w:lineRule="auto"/>
      <w:ind w:firstLine="540"/>
      <w:jc w:val="left"/>
    </w:pPr>
    <w:rPr>
      <w:rFonts w:ascii="宋体" w:hAnsi="宋体" w:cs="宋体"/>
      <w:kern w:val="0"/>
    </w:rPr>
  </w:style>
  <w:style w:type="paragraph" w:customStyle="1" w:styleId="233">
    <w:name w:val="Char Char Char Char"/>
    <w:basedOn w:val="14"/>
    <w:qFormat/>
    <w:uiPriority w:val="0"/>
    <w:pPr>
      <w:shd w:val="clear" w:color="auto" w:fill="000080"/>
      <w:adjustRightInd w:val="0"/>
      <w:snapToGrid w:val="0"/>
    </w:pPr>
    <w:rPr>
      <w:rFonts w:ascii="Times New Roman" w:hAnsi="Times New Roman"/>
      <w:sz w:val="21"/>
      <w:szCs w:val="24"/>
    </w:rPr>
  </w:style>
  <w:style w:type="paragraph" w:customStyle="1" w:styleId="234">
    <w:name w:val="xl84"/>
    <w:basedOn w:val="1"/>
    <w:qFormat/>
    <w:uiPriority w:val="0"/>
    <w:pPr>
      <w:widowControl/>
      <w:pBdr>
        <w:top w:val="single" w:color="000000" w:sz="8" w:space="0"/>
        <w:bottom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35">
    <w:name w:val="xl108"/>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Cs w:val="24"/>
    </w:rPr>
  </w:style>
  <w:style w:type="paragraph" w:customStyle="1" w:styleId="236">
    <w:name w:val="xl103"/>
    <w:basedOn w:val="1"/>
    <w:qFormat/>
    <w:uiPriority w:val="0"/>
    <w:pPr>
      <w:widowControl/>
      <w:pBdr>
        <w:top w:val="single" w:color="auto" w:sz="4" w:space="0"/>
        <w:bottom w:val="single" w:color="auto" w:sz="8" w:space="0"/>
        <w:right w:val="single" w:color="auto" w:sz="8" w:space="0"/>
      </w:pBdr>
      <w:spacing w:before="100" w:beforeAutospacing="1" w:after="100" w:afterAutospacing="1"/>
      <w:jc w:val="left"/>
    </w:pPr>
    <w:rPr>
      <w:rFonts w:ascii="宋体" w:hAnsi="宋体" w:cs="宋体"/>
      <w:b/>
      <w:bCs/>
      <w:kern w:val="0"/>
      <w:szCs w:val="24"/>
    </w:rPr>
  </w:style>
  <w:style w:type="paragraph" w:customStyle="1" w:styleId="237">
    <w:name w:val="普通(网站)1"/>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238">
    <w:name w:val="font5"/>
    <w:basedOn w:val="1"/>
    <w:qFormat/>
    <w:uiPriority w:val="0"/>
    <w:pPr>
      <w:widowControl/>
      <w:spacing w:before="100" w:beforeAutospacing="1" w:after="100" w:afterAutospacing="1"/>
      <w:jc w:val="left"/>
    </w:pPr>
    <w:rPr>
      <w:rFonts w:ascii="宋体" w:hAnsi="宋体" w:cs="宋体"/>
      <w:b/>
      <w:bCs/>
      <w:color w:val="000000"/>
      <w:kern w:val="0"/>
      <w:szCs w:val="24"/>
    </w:rPr>
  </w:style>
  <w:style w:type="paragraph" w:customStyle="1" w:styleId="239">
    <w:name w:val="附录1"/>
    <w:qFormat/>
    <w:uiPriority w:val="0"/>
    <w:pPr>
      <w:tabs>
        <w:tab w:val="left" w:pos="907"/>
      </w:tabs>
      <w:snapToGrid w:val="0"/>
      <w:spacing w:before="240" w:line="600" w:lineRule="atLeast"/>
      <w:ind w:left="823" w:hanging="420"/>
    </w:pPr>
    <w:rPr>
      <w:rFonts w:ascii="Times New Roman" w:hAnsi="Times New Roman" w:eastAsia="宋体" w:cs="Times New Roman"/>
      <w:b/>
      <w:i/>
      <w:sz w:val="28"/>
      <w:lang w:val="en-US" w:eastAsia="zh-CN" w:bidi="ar-SA"/>
    </w:rPr>
  </w:style>
  <w:style w:type="paragraph" w:customStyle="1" w:styleId="240">
    <w:name w:val="正文23"/>
    <w:basedOn w:val="1"/>
    <w:qFormat/>
    <w:uiPriority w:val="0"/>
    <w:pPr>
      <w:adjustRightInd w:val="0"/>
      <w:spacing w:after="120" w:line="320" w:lineRule="atLeast"/>
      <w:textAlignment w:val="baseline"/>
    </w:pPr>
    <w:rPr>
      <w:kern w:val="0"/>
    </w:rPr>
  </w:style>
  <w:style w:type="paragraph" w:customStyle="1" w:styleId="241">
    <w:name w:val="xl9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42">
    <w:name w:val="样式 标题 3 + 宋体 小四"/>
    <w:basedOn w:val="4"/>
    <w:qFormat/>
    <w:uiPriority w:val="0"/>
    <w:pPr>
      <w:tabs>
        <w:tab w:val="left" w:pos="425"/>
        <w:tab w:val="left" w:pos="560"/>
        <w:tab w:val="left" w:pos="1260"/>
      </w:tabs>
      <w:spacing w:before="240" w:after="120" w:line="240" w:lineRule="auto"/>
      <w:ind w:left="1260" w:hanging="420"/>
    </w:pPr>
    <w:rPr>
      <w:rFonts w:ascii="宋体" w:hAnsi="宋体" w:eastAsia="黑体"/>
      <w:b w:val="0"/>
      <w:bCs w:val="0"/>
      <w:sz w:val="32"/>
      <w:szCs w:val="20"/>
    </w:rPr>
  </w:style>
  <w:style w:type="paragraph" w:customStyle="1" w:styleId="243">
    <w:name w:val="_Style 111"/>
    <w:basedOn w:val="1"/>
    <w:next w:val="81"/>
    <w:qFormat/>
    <w:uiPriority w:val="34"/>
    <w:pPr>
      <w:spacing w:line="360" w:lineRule="auto"/>
      <w:ind w:firstLine="420" w:firstLineChars="200"/>
    </w:pPr>
    <w:rPr>
      <w:rFonts w:ascii="Calibri" w:hAnsi="Calibri"/>
      <w:szCs w:val="22"/>
    </w:rPr>
  </w:style>
  <w:style w:type="paragraph" w:customStyle="1" w:styleId="244">
    <w:name w:val="p0"/>
    <w:basedOn w:val="1"/>
    <w:qFormat/>
    <w:uiPriority w:val="0"/>
    <w:rPr>
      <w:szCs w:val="21"/>
    </w:rPr>
  </w:style>
  <w:style w:type="paragraph" w:customStyle="1" w:styleId="245">
    <w:name w:val="修订1"/>
    <w:qFormat/>
    <w:uiPriority w:val="0"/>
    <w:rPr>
      <w:rFonts w:ascii="Times New Roman" w:hAnsi="Times New Roman" w:eastAsia="仿宋" w:cs="Times New Roman"/>
      <w:sz w:val="28"/>
      <w:lang w:val="en-US" w:eastAsia="zh-CN" w:bidi="ar-SA"/>
    </w:rPr>
  </w:style>
  <w:style w:type="paragraph" w:customStyle="1" w:styleId="246">
    <w:name w:val="font7"/>
    <w:basedOn w:val="1"/>
    <w:qFormat/>
    <w:uiPriority w:val="0"/>
    <w:pPr>
      <w:widowControl/>
      <w:spacing w:before="100" w:beforeAutospacing="1" w:after="100" w:afterAutospacing="1"/>
      <w:jc w:val="left"/>
    </w:pPr>
    <w:rPr>
      <w:color w:val="000000"/>
      <w:kern w:val="0"/>
      <w:szCs w:val="24"/>
    </w:rPr>
  </w:style>
  <w:style w:type="paragraph" w:customStyle="1" w:styleId="247">
    <w:name w:val="p19"/>
    <w:basedOn w:val="1"/>
    <w:qFormat/>
    <w:uiPriority w:val="0"/>
    <w:pPr>
      <w:widowControl/>
      <w:suppressAutoHyphens/>
      <w:spacing w:after="60"/>
      <w:jc w:val="center"/>
    </w:pPr>
    <w:rPr>
      <w:rFonts w:ascii="华康简标题宋" w:hAnsi="华康简标题宋" w:eastAsia="华康简标题宋" w:cs="宋体"/>
      <w:kern w:val="0"/>
      <w:sz w:val="52"/>
      <w:szCs w:val="52"/>
    </w:rPr>
  </w:style>
  <w:style w:type="paragraph" w:customStyle="1" w:styleId="248">
    <w:name w:val="图表题注样式"/>
    <w:basedOn w:val="1"/>
    <w:qFormat/>
    <w:uiPriority w:val="0"/>
    <w:pPr>
      <w:spacing w:line="360" w:lineRule="auto"/>
      <w:ind w:firstLine="200" w:firstLineChars="200"/>
      <w:jc w:val="center"/>
    </w:pPr>
    <w:rPr>
      <w:rFonts w:ascii="Arial" w:hAnsi="Arial" w:eastAsia="黑体" w:cs="宋体"/>
      <w:b/>
      <w:szCs w:val="21"/>
    </w:rPr>
  </w:style>
  <w:style w:type="paragraph" w:customStyle="1" w:styleId="24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105"/>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251">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Item List"/>
    <w:basedOn w:val="1"/>
    <w:qFormat/>
    <w:uiPriority w:val="0"/>
    <w:pPr>
      <w:spacing w:before="120" w:after="40"/>
      <w:ind w:left="420" w:hanging="420"/>
      <w:jc w:val="left"/>
    </w:pPr>
    <w:rPr>
      <w:rFonts w:ascii="Arial" w:hAnsi="Arial"/>
      <w:kern w:val="0"/>
      <w:sz w:val="18"/>
      <w:szCs w:val="13"/>
    </w:rPr>
  </w:style>
  <w:style w:type="paragraph" w:customStyle="1" w:styleId="253">
    <w:name w:val="xl8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54">
    <w:name w:val="xl72"/>
    <w:basedOn w:val="1"/>
    <w:qFormat/>
    <w:uiPriority w:val="0"/>
    <w:pPr>
      <w:widowControl/>
      <w:pBdr>
        <w:right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55">
    <w:name w:val="四号正文"/>
    <w:basedOn w:val="1"/>
    <w:qFormat/>
    <w:uiPriority w:val="99"/>
    <w:pPr>
      <w:spacing w:line="360" w:lineRule="auto"/>
      <w:ind w:firstLine="560" w:firstLineChars="200"/>
    </w:pPr>
    <w:rPr>
      <w:sz w:val="28"/>
      <w:szCs w:val="28"/>
    </w:rPr>
  </w:style>
  <w:style w:type="paragraph" w:customStyle="1" w:styleId="256">
    <w:name w:val="正文缩进11"/>
    <w:basedOn w:val="1"/>
    <w:qFormat/>
    <w:uiPriority w:val="0"/>
    <w:pPr>
      <w:ind w:firstLine="420"/>
    </w:pPr>
  </w:style>
  <w:style w:type="paragraph" w:customStyle="1" w:styleId="257">
    <w:name w:val="font6"/>
    <w:basedOn w:val="1"/>
    <w:qFormat/>
    <w:uiPriority w:val="0"/>
    <w:pPr>
      <w:widowControl/>
      <w:spacing w:before="100" w:beforeAutospacing="1" w:after="100" w:afterAutospacing="1"/>
      <w:jc w:val="left"/>
    </w:pPr>
    <w:rPr>
      <w:b/>
      <w:bCs/>
      <w:color w:val="000000"/>
      <w:kern w:val="0"/>
      <w:szCs w:val="24"/>
    </w:rPr>
  </w:style>
  <w:style w:type="paragraph" w:customStyle="1" w:styleId="258">
    <w:name w:val="二级小编号"/>
    <w:basedOn w:val="1"/>
    <w:qFormat/>
    <w:uiPriority w:val="0"/>
    <w:pPr>
      <w:ind w:hanging="420"/>
    </w:pPr>
    <w:rPr>
      <w:sz w:val="28"/>
      <w:szCs w:val="28"/>
    </w:rPr>
  </w:style>
  <w:style w:type="paragraph" w:customStyle="1" w:styleId="259">
    <w:name w:val="00伟业正文（正常）"/>
    <w:basedOn w:val="1"/>
    <w:qFormat/>
    <w:uiPriority w:val="0"/>
    <w:pPr>
      <w:spacing w:before="160" w:after="160" w:line="360" w:lineRule="auto"/>
      <w:ind w:firstLine="480" w:firstLineChars="200"/>
    </w:pPr>
    <w:rPr>
      <w:szCs w:val="22"/>
    </w:rPr>
  </w:style>
  <w:style w:type="paragraph" w:customStyle="1" w:styleId="260">
    <w:name w:val="xl80"/>
    <w:basedOn w:val="1"/>
    <w:qFormat/>
    <w:uiPriority w:val="0"/>
    <w:pPr>
      <w:widowControl/>
      <w:pBdr>
        <w:top w:val="single" w:color="000000" w:sz="8" w:space="0"/>
        <w:left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61">
    <w:name w:val="图注"/>
    <w:basedOn w:val="13"/>
    <w:next w:val="18"/>
    <w:qFormat/>
    <w:uiPriority w:val="0"/>
    <w:pPr>
      <w:spacing w:line="240" w:lineRule="auto"/>
      <w:ind w:firstLine="0" w:firstLineChars="0"/>
    </w:pPr>
    <w:rPr>
      <w:rFonts w:ascii="宋体" w:hAnsi="宋体" w:eastAsia="宋体"/>
      <w:b/>
      <w:kern w:val="0"/>
      <w:szCs w:val="20"/>
    </w:rPr>
  </w:style>
  <w:style w:type="paragraph" w:customStyle="1" w:styleId="262">
    <w:name w:val="xl9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63">
    <w:name w:val="正文文本 31"/>
    <w:basedOn w:val="1"/>
    <w:qFormat/>
    <w:uiPriority w:val="0"/>
    <w:pPr>
      <w:spacing w:after="60"/>
      <w:jc w:val="center"/>
    </w:pPr>
    <w:rPr>
      <w:rFonts w:ascii="华康简标题宋" w:eastAsia="华康简标题宋"/>
      <w:bCs/>
      <w:sz w:val="52"/>
      <w:szCs w:val="52"/>
    </w:rPr>
  </w:style>
  <w:style w:type="paragraph" w:customStyle="1" w:styleId="264">
    <w:name w:val="序号1."/>
    <w:basedOn w:val="81"/>
    <w:qFormat/>
    <w:uiPriority w:val="0"/>
    <w:pPr>
      <w:ind w:firstLine="200"/>
    </w:pPr>
    <w:rPr>
      <w:rFonts w:eastAsia="仿宋"/>
      <w:szCs w:val="24"/>
    </w:rPr>
  </w:style>
  <w:style w:type="paragraph" w:customStyle="1" w:styleId="265">
    <w:name w:val="xl111"/>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266">
    <w:name w:val="xl8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67">
    <w:name w:val="段标题1"/>
    <w:basedOn w:val="1"/>
    <w:qFormat/>
    <w:uiPriority w:val="0"/>
    <w:pPr>
      <w:tabs>
        <w:tab w:val="left" w:pos="420"/>
        <w:tab w:val="left" w:pos="1080"/>
      </w:tabs>
      <w:adjustRightInd w:val="0"/>
      <w:snapToGrid w:val="0"/>
      <w:spacing w:line="480" w:lineRule="auto"/>
      <w:ind w:left="420" w:hanging="420"/>
      <w:textAlignment w:val="baseline"/>
    </w:pPr>
  </w:style>
  <w:style w:type="paragraph" w:customStyle="1" w:styleId="268">
    <w:name w:val="正文:缩进"/>
    <w:basedOn w:val="1"/>
    <w:qFormat/>
    <w:uiPriority w:val="0"/>
    <w:pPr>
      <w:adjustRightInd w:val="0"/>
      <w:spacing w:line="360" w:lineRule="auto"/>
      <w:ind w:firstLine="200" w:firstLineChars="200"/>
    </w:pPr>
    <w:rPr>
      <w:sz w:val="28"/>
      <w:szCs w:val="24"/>
    </w:rPr>
  </w:style>
  <w:style w:type="paragraph" w:customStyle="1" w:styleId="269">
    <w:name w:val="样式 标题 2 + 宋体 小四"/>
    <w:basedOn w:val="2"/>
    <w:qFormat/>
    <w:uiPriority w:val="0"/>
    <w:pPr>
      <w:tabs>
        <w:tab w:val="left" w:pos="425"/>
        <w:tab w:val="left" w:pos="560"/>
        <w:tab w:val="left" w:pos="840"/>
      </w:tabs>
      <w:spacing w:before="480" w:after="240" w:line="240" w:lineRule="auto"/>
      <w:ind w:left="840" w:hanging="420"/>
    </w:pPr>
    <w:rPr>
      <w:rFonts w:ascii="宋体" w:hAnsi="宋体" w:eastAsia="黑体"/>
      <w:b w:val="0"/>
      <w:bCs w:val="0"/>
      <w:sz w:val="36"/>
      <w:szCs w:val="20"/>
    </w:rPr>
  </w:style>
  <w:style w:type="paragraph" w:customStyle="1" w:styleId="270">
    <w:name w:val="￥正文"/>
    <w:basedOn w:val="1"/>
    <w:qFormat/>
    <w:uiPriority w:val="0"/>
    <w:pPr>
      <w:spacing w:line="360" w:lineRule="auto"/>
      <w:ind w:firstLine="200" w:firstLineChars="200"/>
    </w:pPr>
    <w:rPr>
      <w:rFonts w:ascii="Calibri" w:hAnsi="Calibri"/>
      <w:lang w:eastAsia="en-US"/>
    </w:rPr>
  </w:style>
  <w:style w:type="paragraph" w:customStyle="1" w:styleId="271">
    <w:name w:val="*正文"/>
    <w:basedOn w:val="1"/>
    <w:qFormat/>
    <w:uiPriority w:val="0"/>
    <w:pPr>
      <w:spacing w:line="360" w:lineRule="auto"/>
      <w:ind w:firstLine="200" w:firstLineChars="200"/>
    </w:pPr>
    <w:rPr>
      <w:rFonts w:ascii="宋体" w:hAnsi="宋体"/>
      <w:kern w:val="0"/>
      <w:szCs w:val="22"/>
    </w:rPr>
  </w:style>
  <w:style w:type="paragraph" w:customStyle="1" w:styleId="272">
    <w:name w:val="列出段落31"/>
    <w:basedOn w:val="1"/>
    <w:unhideWhenUsed/>
    <w:qFormat/>
    <w:uiPriority w:val="34"/>
    <w:pPr>
      <w:spacing w:line="360" w:lineRule="auto"/>
      <w:ind w:firstLine="420" w:firstLineChars="200"/>
    </w:pPr>
    <w:rPr>
      <w:rFonts w:ascii="Calibri" w:hAnsi="Calibri" w:eastAsia="仿宋"/>
      <w:sz w:val="28"/>
      <w:szCs w:val="22"/>
    </w:rPr>
  </w:style>
  <w:style w:type="paragraph" w:customStyle="1" w:styleId="273">
    <w:name w:val="xl110"/>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274">
    <w:name w:val="xl102"/>
    <w:basedOn w:val="1"/>
    <w:qFormat/>
    <w:uiPriority w:val="0"/>
    <w:pPr>
      <w:widowControl/>
      <w:pBdr>
        <w:top w:val="single" w:color="auto" w:sz="4"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275">
    <w:name w:val="Table Paragraph"/>
    <w:basedOn w:val="1"/>
    <w:qFormat/>
    <w:uiPriority w:val="1"/>
    <w:pPr>
      <w:autoSpaceDE w:val="0"/>
      <w:autoSpaceDN w:val="0"/>
      <w:jc w:val="left"/>
    </w:pPr>
    <w:rPr>
      <w:rFonts w:ascii="宋体" w:hAnsi="宋体" w:cs="宋体"/>
      <w:kern w:val="0"/>
      <w:sz w:val="22"/>
      <w:szCs w:val="22"/>
    </w:rPr>
  </w:style>
  <w:style w:type="paragraph" w:customStyle="1" w:styleId="276">
    <w:name w:val="表格文字"/>
    <w:basedOn w:val="1"/>
    <w:qFormat/>
    <w:uiPriority w:val="0"/>
    <w:rPr>
      <w:kern w:val="21"/>
      <w:szCs w:val="21"/>
    </w:rPr>
  </w:style>
  <w:style w:type="paragraph" w:customStyle="1" w:styleId="277">
    <w:name w:val="font8"/>
    <w:basedOn w:val="1"/>
    <w:qFormat/>
    <w:uiPriority w:val="0"/>
    <w:pPr>
      <w:widowControl/>
      <w:spacing w:before="100" w:beforeAutospacing="1" w:after="100" w:afterAutospacing="1"/>
      <w:jc w:val="left"/>
    </w:pPr>
    <w:rPr>
      <w:rFonts w:ascii="宋体" w:hAnsi="宋体" w:cs="宋体"/>
      <w:color w:val="000000"/>
      <w:kern w:val="0"/>
      <w:szCs w:val="24"/>
    </w:rPr>
  </w:style>
  <w:style w:type="paragraph" w:customStyle="1" w:styleId="278">
    <w:name w:val="表头"/>
    <w:qFormat/>
    <w:uiPriority w:val="0"/>
    <w:pPr>
      <w:jc w:val="center"/>
    </w:pPr>
    <w:rPr>
      <w:rFonts w:ascii="宋体" w:hAnsi="Times New Roman" w:eastAsia="宋体" w:cs="Times New Roman"/>
      <w:b/>
      <w:kern w:val="2"/>
      <w:lang w:val="en-US" w:eastAsia="zh-CN" w:bidi="ar-SA"/>
    </w:rPr>
  </w:style>
  <w:style w:type="paragraph" w:customStyle="1" w:styleId="279">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4"/>
    </w:rPr>
  </w:style>
  <w:style w:type="paragraph" w:customStyle="1" w:styleId="280">
    <w:name w:val="Char1 Char Char Char"/>
    <w:basedOn w:val="1"/>
    <w:qFormat/>
    <w:uiPriority w:val="0"/>
    <w:pPr>
      <w:spacing w:line="360" w:lineRule="auto"/>
      <w:ind w:firstLine="480" w:firstLineChars="200"/>
      <w:jc w:val="left"/>
    </w:pPr>
    <w:rPr>
      <w:rFonts w:ascii="Tahoma" w:hAnsi="Tahoma"/>
      <w:szCs w:val="22"/>
    </w:rPr>
  </w:style>
  <w:style w:type="paragraph" w:customStyle="1" w:styleId="281">
    <w:name w:val="xl9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28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83">
    <w:name w:val="_Style 1"/>
    <w:basedOn w:val="1"/>
    <w:qFormat/>
    <w:uiPriority w:val="0"/>
    <w:pPr>
      <w:ind w:firstLine="420" w:firstLineChars="200"/>
    </w:pPr>
    <w:rPr>
      <w:rFonts w:ascii="Calibri" w:hAnsi="Calibri"/>
      <w:szCs w:val="22"/>
    </w:rPr>
  </w:style>
  <w:style w:type="paragraph" w:customStyle="1" w:styleId="284">
    <w:name w:val="xl9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4"/>
    </w:rPr>
  </w:style>
  <w:style w:type="paragraph" w:customStyle="1" w:styleId="285">
    <w:name w:val="列出段落11"/>
    <w:basedOn w:val="1"/>
    <w:qFormat/>
    <w:uiPriority w:val="34"/>
    <w:pPr>
      <w:ind w:firstLine="420" w:firstLineChars="200"/>
    </w:pPr>
    <w:rPr>
      <w:rFonts w:ascii="Calibri" w:hAnsi="Calibri"/>
      <w:szCs w:val="22"/>
    </w:rPr>
  </w:style>
  <w:style w:type="paragraph" w:customStyle="1" w:styleId="286">
    <w:name w:val="xl8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287">
    <w:name w:val="_Style 49"/>
    <w:basedOn w:val="1"/>
    <w:next w:val="81"/>
    <w:qFormat/>
    <w:uiPriority w:val="34"/>
    <w:pPr>
      <w:ind w:firstLine="420" w:firstLineChars="200"/>
    </w:pPr>
    <w:rPr>
      <w:rFonts w:ascii="Calibri" w:hAnsi="Calibri"/>
      <w:szCs w:val="22"/>
    </w:rPr>
  </w:style>
  <w:style w:type="paragraph" w:customStyle="1" w:styleId="288">
    <w:name w:val="_Style 3"/>
    <w:basedOn w:val="1"/>
    <w:qFormat/>
    <w:uiPriority w:val="0"/>
    <w:pPr>
      <w:widowControl/>
      <w:ind w:firstLine="420" w:firstLineChars="200"/>
      <w:jc w:val="left"/>
    </w:pPr>
    <w:rPr>
      <w:kern w:val="0"/>
    </w:rPr>
  </w:style>
  <w:style w:type="paragraph" w:customStyle="1" w:styleId="289">
    <w:name w:val="xl114"/>
    <w:basedOn w:val="1"/>
    <w:qFormat/>
    <w:uiPriority w:val="0"/>
    <w:pPr>
      <w:widowControl/>
      <w:pBdr>
        <w:top w:val="single" w:color="auto" w:sz="8" w:space="0"/>
      </w:pBdr>
      <w:spacing w:before="100" w:beforeAutospacing="1" w:after="100" w:afterAutospacing="1"/>
      <w:jc w:val="left"/>
    </w:pPr>
    <w:rPr>
      <w:rFonts w:ascii="宋体" w:hAnsi="宋体" w:cs="宋体"/>
      <w:b/>
      <w:bCs/>
      <w:kern w:val="0"/>
      <w:szCs w:val="24"/>
    </w:rPr>
  </w:style>
  <w:style w:type="paragraph" w:customStyle="1" w:styleId="290">
    <w:name w:val="xl81"/>
    <w:basedOn w:val="1"/>
    <w:qFormat/>
    <w:uiPriority w:val="0"/>
    <w:pPr>
      <w:widowControl/>
      <w:pBdr>
        <w:top w:val="single" w:color="000000" w:sz="8" w:space="0"/>
        <w:right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291">
    <w:name w:val="xl112"/>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kern w:val="0"/>
      <w:szCs w:val="24"/>
    </w:rPr>
  </w:style>
  <w:style w:type="paragraph" w:customStyle="1" w:styleId="292">
    <w:name w:val="Char5 Char Char Char"/>
    <w:basedOn w:val="14"/>
    <w:qFormat/>
    <w:uiPriority w:val="0"/>
    <w:pPr>
      <w:shd w:val="clear" w:color="auto" w:fill="000080"/>
      <w:spacing w:line="240" w:lineRule="auto"/>
    </w:pPr>
    <w:rPr>
      <w:rFonts w:ascii="Tahoma" w:hAnsi="Tahoma"/>
      <w:sz w:val="24"/>
      <w:szCs w:val="24"/>
    </w:rPr>
  </w:style>
  <w:style w:type="paragraph" w:customStyle="1" w:styleId="293">
    <w:name w:val="正文-段落"/>
    <w:qFormat/>
    <w:uiPriority w:val="0"/>
    <w:pPr>
      <w:spacing w:after="120" w:line="360" w:lineRule="auto"/>
      <w:ind w:firstLine="200" w:firstLineChars="200"/>
    </w:pPr>
    <w:rPr>
      <w:rFonts w:ascii="Times New Roman" w:hAnsi="Times New Roman" w:eastAsia="宋体" w:cs="宋体"/>
      <w:sz w:val="24"/>
      <w:szCs w:val="24"/>
      <w:lang w:val="en-US" w:eastAsia="zh-CN" w:bidi="ar-SA"/>
    </w:rPr>
  </w:style>
  <w:style w:type="paragraph" w:customStyle="1" w:styleId="294">
    <w:name w:val="xl115"/>
    <w:basedOn w:val="1"/>
    <w:qFormat/>
    <w:uiPriority w:val="0"/>
    <w:pPr>
      <w:widowControl/>
      <w:pBdr>
        <w:top w:val="single" w:color="auto" w:sz="8" w:space="0"/>
        <w:right w:val="single" w:color="auto" w:sz="8" w:space="0"/>
      </w:pBdr>
      <w:spacing w:before="100" w:beforeAutospacing="1" w:after="100" w:afterAutospacing="1"/>
      <w:jc w:val="left"/>
    </w:pPr>
    <w:rPr>
      <w:rFonts w:ascii="宋体" w:hAnsi="宋体" w:cs="宋体"/>
      <w:b/>
      <w:bCs/>
      <w:kern w:val="0"/>
      <w:szCs w:val="24"/>
    </w:rPr>
  </w:style>
  <w:style w:type="paragraph" w:customStyle="1" w:styleId="295">
    <w:name w:val="样式 标题 3 + 宋体 小四 两端对齐 段前: 7 磅 段后: 7 磅 行距: 多倍行距 1.73 字行"/>
    <w:basedOn w:val="4"/>
    <w:qFormat/>
    <w:uiPriority w:val="0"/>
    <w:pPr>
      <w:tabs>
        <w:tab w:val="left" w:pos="425"/>
        <w:tab w:val="left" w:pos="560"/>
        <w:tab w:val="left" w:pos="1260"/>
      </w:tabs>
      <w:spacing w:before="240" w:after="120" w:line="240" w:lineRule="auto"/>
      <w:ind w:left="1260" w:hanging="420"/>
    </w:pPr>
    <w:rPr>
      <w:rFonts w:ascii="宋体" w:hAnsi="宋体" w:eastAsia="黑体" w:cs="宋体"/>
      <w:b w:val="0"/>
      <w:bCs w:val="0"/>
      <w:sz w:val="32"/>
      <w:szCs w:val="20"/>
    </w:rPr>
  </w:style>
  <w:style w:type="paragraph" w:customStyle="1" w:styleId="296">
    <w:name w:val="xl113"/>
    <w:basedOn w:val="1"/>
    <w:qFormat/>
    <w:uiPriority w:val="0"/>
    <w:pPr>
      <w:widowControl/>
      <w:pBdr>
        <w:top w:val="single" w:color="auto" w:sz="8" w:space="0"/>
        <w:left w:val="single" w:color="auto" w:sz="8" w:space="0"/>
      </w:pBdr>
      <w:spacing w:before="100" w:beforeAutospacing="1" w:after="100" w:afterAutospacing="1"/>
      <w:jc w:val="left"/>
    </w:pPr>
    <w:rPr>
      <w:rFonts w:ascii="宋体" w:hAnsi="宋体" w:cs="宋体"/>
      <w:b/>
      <w:bCs/>
      <w:kern w:val="0"/>
      <w:szCs w:val="24"/>
    </w:rPr>
  </w:style>
  <w:style w:type="paragraph" w:customStyle="1" w:styleId="297">
    <w:name w:val="xl76"/>
    <w:basedOn w:val="1"/>
    <w:qFormat/>
    <w:uiPriority w:val="0"/>
    <w:pPr>
      <w:widowControl/>
      <w:spacing w:before="100" w:beforeAutospacing="1" w:after="100" w:afterAutospacing="1"/>
      <w:jc w:val="center"/>
    </w:pPr>
    <w:rPr>
      <w:rFonts w:ascii="宋体" w:hAnsi="宋体" w:cs="宋体"/>
      <w:b/>
      <w:bCs/>
      <w:kern w:val="0"/>
      <w:szCs w:val="24"/>
    </w:rPr>
  </w:style>
  <w:style w:type="paragraph" w:customStyle="1" w:styleId="298">
    <w:name w:val="内文"/>
    <w:qFormat/>
    <w:uiPriority w:val="99"/>
    <w:pPr>
      <w:widowControl w:val="0"/>
      <w:autoSpaceDE w:val="0"/>
      <w:autoSpaceDN w:val="0"/>
      <w:adjustRightInd w:val="0"/>
      <w:spacing w:line="520" w:lineRule="exact"/>
      <w:ind w:firstLine="560" w:firstLineChars="200"/>
      <w:jc w:val="both"/>
    </w:pPr>
    <w:rPr>
      <w:rFonts w:ascii="宋体" w:hAnsi="宋体" w:eastAsia="宋体" w:cs="Arial"/>
      <w:kern w:val="2"/>
      <w:sz w:val="28"/>
      <w:szCs w:val="22"/>
      <w:lang w:val="en-US" w:eastAsia="zh-CN" w:bidi="ar-SA"/>
    </w:rPr>
  </w:style>
  <w:style w:type="paragraph" w:customStyle="1" w:styleId="299">
    <w:name w:val="样式 样式 正文文本缩进 3 + (西文) Calibri (中文) 仿宋_GB2312 四号 非加粗 首行缩进:  2 字符...."/>
    <w:basedOn w:val="1"/>
    <w:qFormat/>
    <w:uiPriority w:val="0"/>
    <w:pPr>
      <w:spacing w:line="360" w:lineRule="auto"/>
      <w:ind w:firstLine="200" w:firstLineChars="200"/>
    </w:pPr>
    <w:rPr>
      <w:rFonts w:ascii="Calibri" w:hAnsi="Calibri" w:cs="宋体"/>
    </w:rPr>
  </w:style>
  <w:style w:type="paragraph" w:customStyle="1" w:styleId="300">
    <w:name w:val="_Style 19"/>
    <w:basedOn w:val="1"/>
    <w:qFormat/>
    <w:uiPriority w:val="0"/>
  </w:style>
  <w:style w:type="paragraph" w:customStyle="1" w:styleId="301">
    <w:name w:val="xl106"/>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kern w:val="0"/>
      <w:szCs w:val="24"/>
    </w:rPr>
  </w:style>
  <w:style w:type="paragraph" w:customStyle="1" w:styleId="302">
    <w:name w:val="列出段落21"/>
    <w:basedOn w:val="1"/>
    <w:qFormat/>
    <w:uiPriority w:val="34"/>
    <w:pPr>
      <w:spacing w:line="360" w:lineRule="auto"/>
      <w:ind w:firstLine="420" w:firstLineChars="200"/>
    </w:pPr>
    <w:rPr>
      <w:rFonts w:ascii="Calibri" w:hAnsi="Calibri" w:eastAsia="仿宋"/>
      <w:szCs w:val="22"/>
    </w:rPr>
  </w:style>
  <w:style w:type="paragraph" w:customStyle="1" w:styleId="303">
    <w:name w:val="样式 首行缩进:  2 字符"/>
    <w:basedOn w:val="1"/>
    <w:qFormat/>
    <w:uiPriority w:val="0"/>
    <w:pPr>
      <w:spacing w:line="400" w:lineRule="exact"/>
      <w:ind w:firstLine="200" w:firstLineChars="200"/>
    </w:pPr>
    <w:rPr>
      <w:rFonts w:cs="宋体"/>
      <w:szCs w:val="24"/>
    </w:rPr>
  </w:style>
  <w:style w:type="paragraph" w:customStyle="1" w:styleId="304">
    <w:name w:val="xl79"/>
    <w:basedOn w:val="1"/>
    <w:qFormat/>
    <w:uiPriority w:val="0"/>
    <w:pPr>
      <w:widowControl/>
      <w:pBdr>
        <w:left w:val="single" w:color="000000" w:sz="8" w:space="0"/>
        <w:bottom w:val="single" w:color="000000" w:sz="8" w:space="0"/>
        <w:right w:val="single" w:color="000000" w:sz="8" w:space="0"/>
      </w:pBdr>
      <w:shd w:val="clear" w:color="000000" w:fill="FFFF00"/>
      <w:spacing w:before="100" w:beforeAutospacing="1" w:after="100" w:afterAutospacing="1"/>
      <w:jc w:val="left"/>
      <w:textAlignment w:val="center"/>
    </w:pPr>
    <w:rPr>
      <w:rFonts w:ascii="宋体" w:hAnsi="宋体" w:cs="宋体"/>
      <w:kern w:val="0"/>
      <w:sz w:val="18"/>
      <w:szCs w:val="18"/>
    </w:rPr>
  </w:style>
  <w:style w:type="paragraph" w:customStyle="1" w:styleId="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000000"/>
      <w:kern w:val="0"/>
      <w:szCs w:val="24"/>
    </w:rPr>
  </w:style>
  <w:style w:type="paragraph" w:customStyle="1" w:styleId="306">
    <w:name w:val="xl63"/>
    <w:basedOn w:val="1"/>
    <w:qFormat/>
    <w:uiPriority w:val="0"/>
    <w:pPr>
      <w:widowControl/>
      <w:spacing w:before="100" w:beforeAutospacing="1" w:after="100" w:afterAutospacing="1"/>
      <w:jc w:val="center"/>
    </w:pPr>
    <w:rPr>
      <w:rFonts w:ascii="宋体" w:hAnsi="宋体" w:cs="宋体"/>
      <w:kern w:val="0"/>
      <w:szCs w:val="24"/>
    </w:rPr>
  </w:style>
  <w:style w:type="paragraph" w:customStyle="1" w:styleId="307">
    <w:name w:val="Z-正文小4号"/>
    <w:basedOn w:val="1"/>
    <w:qFormat/>
    <w:uiPriority w:val="0"/>
    <w:pPr>
      <w:spacing w:line="360" w:lineRule="auto"/>
      <w:ind w:firstLine="480" w:firstLineChars="200"/>
    </w:pPr>
    <w:rPr>
      <w:rFonts w:ascii="宋体" w:hAnsi="宋体"/>
      <w:szCs w:val="24"/>
      <w:lang w:val="zh-CN"/>
    </w:rPr>
  </w:style>
  <w:style w:type="paragraph" w:customStyle="1" w:styleId="308">
    <w:name w:val="正文(悬挂缩进)"/>
    <w:qFormat/>
    <w:uiPriority w:val="0"/>
    <w:pPr>
      <w:spacing w:line="420" w:lineRule="atLeast"/>
      <w:ind w:left="300" w:leftChars="200" w:hanging="100" w:hangingChars="100"/>
    </w:pPr>
    <w:rPr>
      <w:rFonts w:ascii="Times New Roman" w:hAnsi="Times New Roman" w:eastAsia="仿宋_GB2312" w:cs="Times New Roman"/>
      <w:color w:val="000000"/>
      <w:spacing w:val="2"/>
      <w:kern w:val="24"/>
      <w:sz w:val="24"/>
      <w:lang w:val="en-US" w:eastAsia="zh-CN" w:bidi="ar-SA"/>
    </w:rPr>
  </w:style>
  <w:style w:type="paragraph" w:customStyle="1" w:styleId="309">
    <w:name w:val="xl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4"/>
    </w:rPr>
  </w:style>
  <w:style w:type="paragraph" w:customStyle="1" w:styleId="31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4"/>
    </w:rPr>
  </w:style>
  <w:style w:type="paragraph" w:customStyle="1" w:styleId="311">
    <w:name w:val="xl107"/>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b/>
      <w:bCs/>
      <w:kern w:val="0"/>
      <w:szCs w:val="24"/>
    </w:rPr>
  </w:style>
  <w:style w:type="paragraph" w:customStyle="1" w:styleId="312">
    <w:name w:val="font9"/>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4"/>
    </w:rPr>
  </w:style>
  <w:style w:type="paragraph" w:customStyle="1" w:styleId="315">
    <w:name w:val="正文 1.1"/>
    <w:basedOn w:val="1"/>
    <w:next w:val="218"/>
    <w:qFormat/>
    <w:uiPriority w:val="0"/>
    <w:pPr>
      <w:tabs>
        <w:tab w:val="left" w:pos="851"/>
      </w:tabs>
      <w:outlineLvl w:val="1"/>
    </w:pPr>
    <w:rPr>
      <w:rFonts w:ascii="仿宋" w:hAnsi="仿宋"/>
      <w:b/>
      <w:szCs w:val="24"/>
    </w:rPr>
  </w:style>
  <w:style w:type="paragraph" w:customStyle="1" w:styleId="316">
    <w:name w:val="xl8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4"/>
    </w:rPr>
  </w:style>
  <w:style w:type="paragraph" w:customStyle="1" w:styleId="317">
    <w:name w:val="xl7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Cs w:val="24"/>
    </w:rPr>
  </w:style>
  <w:style w:type="paragraph" w:customStyle="1" w:styleId="3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Cs w:val="21"/>
    </w:rPr>
  </w:style>
  <w:style w:type="paragraph" w:customStyle="1" w:styleId="319">
    <w:name w:val="WPSOffice手动目录 1"/>
    <w:qFormat/>
    <w:uiPriority w:val="0"/>
    <w:rPr>
      <w:rFonts w:ascii="Times New Roman" w:hAnsi="Times New Roman" w:eastAsia="宋体" w:cs="Times New Roman"/>
      <w:lang w:val="en-US" w:eastAsia="zh-CN" w:bidi="ar-SA"/>
    </w:rPr>
  </w:style>
  <w:style w:type="paragraph" w:customStyle="1" w:styleId="320">
    <w:name w:val="xl104"/>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b/>
      <w:bCs/>
      <w:kern w:val="0"/>
      <w:szCs w:val="24"/>
    </w:rPr>
  </w:style>
  <w:style w:type="paragraph" w:customStyle="1" w:styleId="321">
    <w:name w:val="样式 标题 4 + 宋体 小四 段前: 7 磅 段后: 7 磅 行距: 多倍行距 1.57 字行"/>
    <w:basedOn w:val="5"/>
    <w:qFormat/>
    <w:uiPriority w:val="0"/>
    <w:pPr>
      <w:tabs>
        <w:tab w:val="left" w:pos="425"/>
        <w:tab w:val="left" w:pos="560"/>
        <w:tab w:val="left" w:pos="1680"/>
      </w:tabs>
      <w:spacing w:before="240" w:after="120" w:line="240" w:lineRule="auto"/>
      <w:ind w:left="142" w:hanging="420"/>
    </w:pPr>
    <w:rPr>
      <w:rFonts w:ascii="宋体" w:hAnsi="宋体" w:cs="宋体"/>
      <w:kern w:val="0"/>
      <w:szCs w:val="20"/>
    </w:rPr>
  </w:style>
  <w:style w:type="paragraph" w:customStyle="1" w:styleId="322">
    <w:name w:val="修订3"/>
    <w:unhideWhenUsed/>
    <w:qFormat/>
    <w:uiPriority w:val="99"/>
    <w:rPr>
      <w:rFonts w:ascii="Times New Roman" w:hAnsi="Times New Roman" w:eastAsia="宋体" w:cs="Times New Roman"/>
      <w:kern w:val="2"/>
      <w:sz w:val="21"/>
      <w:lang w:val="en-US" w:eastAsia="zh-CN" w:bidi="ar-SA"/>
    </w:rPr>
  </w:style>
  <w:style w:type="paragraph" w:customStyle="1" w:styleId="323">
    <w:name w:val="xl7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宋体"/>
      <w:kern w:val="0"/>
      <w:sz w:val="18"/>
      <w:szCs w:val="18"/>
    </w:rPr>
  </w:style>
  <w:style w:type="paragraph" w:customStyle="1" w:styleId="324">
    <w:name w:val="列出段落5"/>
    <w:basedOn w:val="1"/>
    <w:qFormat/>
    <w:uiPriority w:val="0"/>
    <w:pPr>
      <w:ind w:firstLine="420" w:firstLineChars="200"/>
    </w:pPr>
    <w:rPr>
      <w:szCs w:val="22"/>
    </w:rPr>
  </w:style>
  <w:style w:type="paragraph" w:customStyle="1" w:styleId="325">
    <w:name w:val="xl9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326">
    <w:name w:val="样式 标题 2 + 宋体 小四 两端对齐 段前: 7 磅 段后: 7 磅 行距: 多倍行距 1.73 字行"/>
    <w:basedOn w:val="2"/>
    <w:qFormat/>
    <w:uiPriority w:val="0"/>
    <w:pPr>
      <w:tabs>
        <w:tab w:val="left" w:pos="425"/>
        <w:tab w:val="left" w:pos="560"/>
        <w:tab w:val="left" w:pos="840"/>
      </w:tabs>
      <w:spacing w:before="480" w:after="240" w:line="240" w:lineRule="auto"/>
      <w:ind w:left="840" w:hanging="420"/>
    </w:pPr>
    <w:rPr>
      <w:rFonts w:ascii="宋体" w:hAnsi="宋体" w:eastAsia="黑体" w:cs="宋体"/>
      <w:b w:val="0"/>
      <w:bCs w:val="0"/>
      <w:sz w:val="36"/>
      <w:szCs w:val="20"/>
    </w:rPr>
  </w:style>
  <w:style w:type="paragraph" w:customStyle="1" w:styleId="327">
    <w:name w:val="xl92"/>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 w:val="20"/>
    </w:rPr>
  </w:style>
  <w:style w:type="paragraph" w:customStyle="1" w:styleId="32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4"/>
    </w:rPr>
  </w:style>
  <w:style w:type="paragraph" w:customStyle="1" w:styleId="32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4"/>
    </w:rPr>
  </w:style>
  <w:style w:type="paragraph" w:customStyle="1" w:styleId="330">
    <w:name w:val="修订31"/>
    <w:qFormat/>
    <w:uiPriority w:val="0"/>
    <w:rPr>
      <w:rFonts w:ascii="Times New Roman" w:hAnsi="Times New Roman" w:eastAsia="仿宋" w:cs="Times New Roman"/>
      <w:sz w:val="28"/>
      <w:lang w:val="en-US" w:eastAsia="zh-CN" w:bidi="ar-SA"/>
    </w:rPr>
  </w:style>
  <w:style w:type="paragraph" w:customStyle="1" w:styleId="331">
    <w:name w:val="圆圈1"/>
    <w:basedOn w:val="1"/>
    <w:next w:val="81"/>
    <w:qFormat/>
    <w:uiPriority w:val="34"/>
    <w:pPr>
      <w:spacing w:line="360" w:lineRule="auto"/>
      <w:ind w:firstLine="420" w:firstLineChars="200"/>
    </w:pPr>
    <w:rPr>
      <w:rFonts w:ascii="Calibri" w:hAnsi="Calibri"/>
    </w:rPr>
  </w:style>
  <w:style w:type="paragraph" w:customStyle="1" w:styleId="332">
    <w:name w:val="xl10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Cs w:val="24"/>
    </w:rPr>
  </w:style>
  <w:style w:type="paragraph" w:customStyle="1" w:styleId="333">
    <w:name w:val="xl10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rPr>
  </w:style>
  <w:style w:type="paragraph" w:customStyle="1" w:styleId="334">
    <w:name w:val="xl8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rPr>
  </w:style>
  <w:style w:type="paragraph" w:customStyle="1" w:styleId="335">
    <w:name w:val="样式 标题 4 + 宋体 小四"/>
    <w:basedOn w:val="5"/>
    <w:qFormat/>
    <w:uiPriority w:val="0"/>
    <w:pPr>
      <w:tabs>
        <w:tab w:val="left" w:pos="425"/>
        <w:tab w:val="left" w:pos="560"/>
        <w:tab w:val="left" w:pos="1680"/>
      </w:tabs>
      <w:spacing w:before="240" w:after="120" w:line="240" w:lineRule="auto"/>
      <w:ind w:left="142" w:hanging="420"/>
    </w:pPr>
    <w:rPr>
      <w:rFonts w:ascii="宋体" w:hAnsi="宋体"/>
      <w:kern w:val="0"/>
      <w:szCs w:val="20"/>
    </w:rPr>
  </w:style>
  <w:style w:type="paragraph" w:customStyle="1" w:styleId="336">
    <w:name w:val="样式 标题 1 + 宋体 小四"/>
    <w:basedOn w:val="3"/>
    <w:qFormat/>
    <w:uiPriority w:val="0"/>
    <w:pPr>
      <w:pageBreakBefore/>
      <w:tabs>
        <w:tab w:val="left" w:pos="425"/>
        <w:tab w:val="left" w:pos="560"/>
      </w:tabs>
      <w:spacing w:before="480" w:after="360" w:line="240" w:lineRule="auto"/>
      <w:ind w:left="420" w:firstLine="200" w:firstLineChars="200"/>
    </w:pPr>
    <w:rPr>
      <w:rFonts w:ascii="宋体" w:hAnsi="宋体" w:eastAsia="黑体"/>
      <w:szCs w:val="20"/>
    </w:rPr>
  </w:style>
  <w:style w:type="paragraph" w:customStyle="1" w:styleId="337">
    <w:name w:val="样式 标题 5 + 宋体"/>
    <w:basedOn w:val="6"/>
    <w:qFormat/>
    <w:uiPriority w:val="0"/>
    <w:pPr>
      <w:tabs>
        <w:tab w:val="left" w:pos="560"/>
        <w:tab w:val="left" w:pos="2100"/>
      </w:tabs>
      <w:spacing w:before="240" w:after="120" w:line="240" w:lineRule="auto"/>
      <w:ind w:left="420" w:hanging="420"/>
      <w:jc w:val="left"/>
    </w:pPr>
    <w:rPr>
      <w:rFonts w:ascii="宋体" w:hAnsi="宋体"/>
      <w:b/>
      <w:bCs/>
      <w:kern w:val="0"/>
    </w:rPr>
  </w:style>
  <w:style w:type="paragraph" w:customStyle="1" w:styleId="33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3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Cs w:val="24"/>
    </w:rPr>
  </w:style>
  <w:style w:type="paragraph" w:customStyle="1" w:styleId="340">
    <w:name w:val="xl9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rPr>
  </w:style>
  <w:style w:type="paragraph" w:customStyle="1" w:styleId="341">
    <w:name w:val="xl78"/>
    <w:basedOn w:val="1"/>
    <w:qFormat/>
    <w:uiPriority w:val="0"/>
    <w:pPr>
      <w:widowControl/>
      <w:pBdr>
        <w:top w:val="single" w:color="000000" w:sz="8" w:space="0"/>
        <w:left w:val="single" w:color="000000" w:sz="8" w:space="0"/>
        <w:bottom w:val="single" w:color="000000" w:sz="8" w:space="0"/>
      </w:pBdr>
      <w:shd w:val="clear" w:color="000000" w:fill="D9D9D9"/>
      <w:spacing w:before="100" w:beforeAutospacing="1" w:after="100" w:afterAutospacing="1"/>
      <w:jc w:val="center"/>
      <w:textAlignment w:val="center"/>
    </w:pPr>
    <w:rPr>
      <w:rFonts w:ascii="宋体" w:hAnsi="宋体" w:cs="宋体"/>
      <w:b/>
      <w:bCs/>
      <w:kern w:val="0"/>
      <w:sz w:val="18"/>
      <w:szCs w:val="18"/>
    </w:rPr>
  </w:style>
  <w:style w:type="paragraph" w:customStyle="1" w:styleId="342">
    <w:name w:val="xl8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color w:val="000000"/>
      <w:kern w:val="0"/>
      <w:szCs w:val="24"/>
    </w:rPr>
  </w:style>
  <w:style w:type="paragraph" w:customStyle="1" w:styleId="3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4"/>
    </w:rPr>
  </w:style>
  <w:style w:type="paragraph" w:customStyle="1" w:styleId="344">
    <w:name w:val="xl11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345">
    <w:name w:val="xl11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4"/>
    </w:rPr>
  </w:style>
  <w:style w:type="paragraph" w:customStyle="1" w:styleId="346">
    <w:name w:val="_Style 212"/>
    <w:basedOn w:val="1"/>
    <w:next w:val="81"/>
    <w:qFormat/>
    <w:uiPriority w:val="34"/>
    <w:pPr>
      <w:spacing w:line="360" w:lineRule="auto"/>
      <w:ind w:firstLine="420" w:firstLineChars="200"/>
    </w:pPr>
    <w:rPr>
      <w:rFonts w:ascii="Calibri" w:hAnsi="Calibri"/>
    </w:rPr>
  </w:style>
  <w:style w:type="paragraph" w:customStyle="1" w:styleId="347">
    <w:name w:val="xl11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4"/>
    </w:rPr>
  </w:style>
  <w:style w:type="table" w:customStyle="1" w:styleId="348">
    <w:name w:val="网格型2"/>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9">
    <w:name w:val="Table Normal_0"/>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character" w:customStyle="1" w:styleId="350">
    <w:name w:val="页脚 Char3"/>
    <w:basedOn w:val="42"/>
    <w:semiHidden/>
    <w:qFormat/>
    <w:uiPriority w:val="99"/>
    <w:rPr>
      <w:rFonts w:ascii="Calibri" w:hAnsi="Calibri"/>
      <w:kern w:val="2"/>
      <w:sz w:val="18"/>
      <w:szCs w:val="18"/>
    </w:rPr>
  </w:style>
  <w:style w:type="paragraph" w:customStyle="1" w:styleId="351">
    <w:name w:val="列表段落2"/>
    <w:basedOn w:val="1"/>
    <w:qFormat/>
    <w:uiPriority w:val="0"/>
    <w:pPr>
      <w:spacing w:line="360" w:lineRule="auto"/>
      <w:ind w:firstLine="420" w:firstLineChars="200"/>
    </w:pPr>
    <w:rPr>
      <w:rFonts w:eastAsia="仿宋"/>
      <w:kern w:val="0"/>
      <w:sz w:val="28"/>
    </w:rPr>
  </w:style>
  <w:style w:type="character" w:customStyle="1" w:styleId="352">
    <w:name w:val="批注框文本 Char1"/>
    <w:basedOn w:val="42"/>
    <w:semiHidden/>
    <w:qFormat/>
    <w:uiPriority w:val="99"/>
    <w:rPr>
      <w:rFonts w:ascii="Calibri" w:hAnsi="Calibri"/>
      <w:kern w:val="2"/>
      <w:sz w:val="18"/>
      <w:szCs w:val="18"/>
    </w:rPr>
  </w:style>
  <w:style w:type="character" w:customStyle="1" w:styleId="353">
    <w:name w:val="正文文本 Char1"/>
    <w:basedOn w:val="42"/>
    <w:semiHidden/>
    <w:qFormat/>
    <w:uiPriority w:val="99"/>
    <w:rPr>
      <w:rFonts w:ascii="Calibri" w:hAnsi="Calibri"/>
      <w:kern w:val="2"/>
      <w:sz w:val="24"/>
    </w:rPr>
  </w:style>
  <w:style w:type="character" w:customStyle="1" w:styleId="354">
    <w:name w:val="批注文字 Char1"/>
    <w:basedOn w:val="42"/>
    <w:semiHidden/>
    <w:qFormat/>
    <w:uiPriority w:val="99"/>
    <w:rPr>
      <w:rFonts w:ascii="Calibri" w:hAnsi="Calibri"/>
      <w:kern w:val="2"/>
      <w:sz w:val="24"/>
    </w:rPr>
  </w:style>
  <w:style w:type="character" w:customStyle="1" w:styleId="355">
    <w:name w:val="标题 Char1"/>
    <w:basedOn w:val="42"/>
    <w:qFormat/>
    <w:uiPriority w:val="10"/>
    <w:rPr>
      <w:rFonts w:asciiTheme="majorHAnsi" w:hAnsiTheme="majorHAnsi" w:cstheme="majorBidi"/>
      <w:b/>
      <w:bCs/>
      <w:kern w:val="2"/>
      <w:sz w:val="32"/>
      <w:szCs w:val="32"/>
    </w:rPr>
  </w:style>
  <w:style w:type="character" w:customStyle="1" w:styleId="356">
    <w:name w:val="HTML 预设格式 Char1"/>
    <w:basedOn w:val="42"/>
    <w:semiHidden/>
    <w:qFormat/>
    <w:uiPriority w:val="99"/>
    <w:rPr>
      <w:rFonts w:ascii="Courier New" w:hAnsi="Courier New" w:cs="Courier New"/>
      <w:kern w:val="2"/>
    </w:rPr>
  </w:style>
  <w:style w:type="character" w:customStyle="1" w:styleId="357">
    <w:name w:val="批注主题 Char1"/>
    <w:basedOn w:val="354"/>
    <w:semiHidden/>
    <w:qFormat/>
    <w:uiPriority w:val="99"/>
    <w:rPr>
      <w:rFonts w:ascii="Calibri" w:hAnsi="Calibri"/>
      <w:b/>
      <w:bCs/>
      <w:kern w:val="2"/>
      <w:sz w:val="24"/>
    </w:rPr>
  </w:style>
  <w:style w:type="paragraph" w:customStyle="1" w:styleId="358">
    <w:name w:val="修订4"/>
    <w:qFormat/>
    <w:uiPriority w:val="0"/>
    <w:rPr>
      <w:rFonts w:ascii="Times New Roman" w:hAnsi="Times New Roman" w:eastAsia="仿宋" w:cs="Times New Roman"/>
      <w:sz w:val="28"/>
      <w:lang w:val="en-US" w:eastAsia="zh-CN" w:bidi="ar-SA"/>
    </w:rPr>
  </w:style>
  <w:style w:type="paragraph" w:customStyle="1" w:styleId="359">
    <w:name w:val="正文缩进2"/>
    <w:basedOn w:val="1"/>
    <w:qFormat/>
    <w:uiPriority w:val="0"/>
    <w:pPr>
      <w:ind w:firstLine="420" w:firstLineChars="200"/>
    </w:pPr>
    <w:rPr>
      <w:szCs w:val="24"/>
    </w:rPr>
  </w:style>
  <w:style w:type="paragraph" w:customStyle="1" w:styleId="360">
    <w:name w:val="样式 正文缩进 + 首行缩进:  2 字符"/>
    <w:basedOn w:val="12"/>
    <w:qFormat/>
    <w:uiPriority w:val="0"/>
    <w:pPr>
      <w:spacing w:line="360" w:lineRule="auto"/>
      <w:ind w:firstLine="200"/>
    </w:pPr>
    <w:rPr>
      <w:szCs w:val="20"/>
    </w:rPr>
  </w:style>
  <w:style w:type="character" w:customStyle="1" w:styleId="361">
    <w:name w:val="font141"/>
    <w:basedOn w:val="42"/>
    <w:qFormat/>
    <w:uiPriority w:val="0"/>
    <w:rPr>
      <w:rFonts w:hint="eastAsia" w:ascii="宋体" w:hAnsi="宋体" w:eastAsia="宋体" w:cs="宋体"/>
      <w:color w:val="000000"/>
      <w:sz w:val="20"/>
      <w:szCs w:val="20"/>
      <w:u w:val="none"/>
    </w:rPr>
  </w:style>
  <w:style w:type="character" w:customStyle="1" w:styleId="362">
    <w:name w:val="font41"/>
    <w:basedOn w:val="42"/>
    <w:qFormat/>
    <w:uiPriority w:val="0"/>
    <w:rPr>
      <w:rFonts w:hint="eastAsia" w:ascii="宋体" w:hAnsi="宋体" w:eastAsia="宋体" w:cs="宋体"/>
      <w:color w:val="000000"/>
      <w:sz w:val="18"/>
      <w:szCs w:val="18"/>
      <w:u w:val="none"/>
    </w:rPr>
  </w:style>
  <w:style w:type="character" w:customStyle="1" w:styleId="363">
    <w:name w:val="font101"/>
    <w:basedOn w:val="42"/>
    <w:qFormat/>
    <w:uiPriority w:val="0"/>
    <w:rPr>
      <w:rFonts w:hint="eastAsia" w:ascii="宋体" w:hAnsi="宋体" w:eastAsia="宋体" w:cs="宋体"/>
      <w:color w:val="000000"/>
      <w:sz w:val="18"/>
      <w:szCs w:val="18"/>
      <w:u w:val="none"/>
    </w:rPr>
  </w:style>
  <w:style w:type="character" w:customStyle="1" w:styleId="364">
    <w:name w:val="font171"/>
    <w:basedOn w:val="42"/>
    <w:qFormat/>
    <w:uiPriority w:val="0"/>
    <w:rPr>
      <w:rFonts w:ascii="Calibri" w:hAnsi="Calibri" w:cs="Calibri"/>
      <w:color w:val="000000"/>
      <w:sz w:val="20"/>
      <w:szCs w:val="20"/>
      <w:u w:val="none"/>
    </w:rPr>
  </w:style>
  <w:style w:type="paragraph" w:customStyle="1" w:styleId="365">
    <w:name w:val="纯文本2"/>
    <w:basedOn w:val="1"/>
    <w:qFormat/>
    <w:uiPriority w:val="0"/>
    <w:pPr>
      <w:adjustRightInd w:val="0"/>
      <w:textAlignment w:val="baseline"/>
    </w:pPr>
    <w:rPr>
      <w:rFonts w:ascii="宋体" w:hAnsi="Courier New" w:eastAsia="楷体_GB2312"/>
      <w:sz w:val="28"/>
    </w:rPr>
  </w:style>
  <w:style w:type="paragraph" w:customStyle="1" w:styleId="366">
    <w:name w:val="项目-正文"/>
    <w:basedOn w:val="17"/>
    <w:qFormat/>
    <w:uiPriority w:val="0"/>
    <w:pPr>
      <w:spacing w:after="0" w:line="360" w:lineRule="auto"/>
      <w:ind w:firstLine="560" w:firstLineChars="200"/>
      <w:contextualSpacing/>
    </w:pPr>
    <w:rPr>
      <w:rFonts w:ascii="宋体" w:hAnsi="宋体" w:eastAsiaTheme="minorEastAsia" w:cstheme="minorBidi"/>
      <w:color w:val="000000"/>
      <w:sz w:val="28"/>
      <w:szCs w:val="28"/>
    </w:rPr>
  </w:style>
  <w:style w:type="paragraph" w:customStyle="1" w:styleId="367">
    <w:name w:val="项目-标题3"/>
    <w:basedOn w:val="1"/>
    <w:qFormat/>
    <w:uiPriority w:val="0"/>
    <w:pPr>
      <w:spacing w:line="360" w:lineRule="auto"/>
      <w:ind w:firstLine="150" w:firstLineChars="150"/>
      <w:outlineLvl w:val="2"/>
    </w:pPr>
    <w:rPr>
      <w:rFonts w:eastAsia="黑体"/>
      <w:kern w:val="0"/>
      <w:sz w:val="28"/>
      <w:szCs w:val="28"/>
    </w:rPr>
  </w:style>
  <w:style w:type="character" w:customStyle="1" w:styleId="368">
    <w:name w:val="zt-lm1-r-t-xz"/>
    <w:basedOn w:val="42"/>
    <w:qFormat/>
    <w:uiPriority w:val="0"/>
  </w:style>
  <w:style w:type="character" w:customStyle="1" w:styleId="369">
    <w:name w:val="zt-lm1-r-t-xz1"/>
    <w:basedOn w:val="42"/>
    <w:qFormat/>
    <w:uiPriority w:val="0"/>
    <w:rPr>
      <w:shd w:val="clear" w:color="auto" w:fill="0359A6"/>
    </w:rPr>
  </w:style>
  <w:style w:type="character" w:customStyle="1" w:styleId="370">
    <w:name w:val="zt-lm1-r-t-xz2"/>
    <w:basedOn w:val="42"/>
    <w:qFormat/>
    <w:uiPriority w:val="0"/>
  </w:style>
  <w:style w:type="character" w:customStyle="1" w:styleId="371">
    <w:name w:val="hui"/>
    <w:basedOn w:val="42"/>
    <w:qFormat/>
    <w:uiPriority w:val="0"/>
    <w:rPr>
      <w:color w:val="999999"/>
    </w:rPr>
  </w:style>
  <w:style w:type="character" w:customStyle="1" w:styleId="372">
    <w:name w:val="hui1"/>
    <w:basedOn w:val="42"/>
    <w:qFormat/>
    <w:uiPriority w:val="0"/>
    <w:rPr>
      <w:color w:val="999999"/>
    </w:rPr>
  </w:style>
  <w:style w:type="character" w:customStyle="1" w:styleId="373">
    <w:name w:val="zx-xuan1"/>
    <w:basedOn w:val="42"/>
    <w:qFormat/>
    <w:uiPriority w:val="0"/>
    <w:rPr>
      <w:rFonts w:ascii="Î¢ï¿½ï¿½ï¿½Åºï¿½" w:hAnsi="Î¢ï¿½ï¿½ï¿½Åºï¿½" w:eastAsia="Î¢ï¿½ï¿½ï¿½Åºï¿½" w:cs="Î¢ï¿½ï¿½ï¿½Åºï¿½"/>
      <w:color w:val="FFFFFF"/>
      <w:sz w:val="21"/>
      <w:szCs w:val="21"/>
      <w:shd w:val="clear" w:color="auto" w:fill="3F6ECF"/>
    </w:rPr>
  </w:style>
  <w:style w:type="character" w:customStyle="1" w:styleId="374">
    <w:name w:val="redfilenumber"/>
    <w:basedOn w:val="42"/>
    <w:qFormat/>
    <w:uiPriority w:val="0"/>
    <w:rPr>
      <w:color w:val="BA2636"/>
      <w:sz w:val="18"/>
      <w:szCs w:val="18"/>
    </w:rPr>
  </w:style>
  <w:style w:type="character" w:customStyle="1" w:styleId="375">
    <w:name w:val="redfilefwwh"/>
    <w:basedOn w:val="42"/>
    <w:qFormat/>
    <w:uiPriority w:val="0"/>
    <w:rPr>
      <w:color w:val="BA2636"/>
      <w:sz w:val="18"/>
      <w:szCs w:val="18"/>
    </w:rPr>
  </w:style>
  <w:style w:type="character" w:customStyle="1" w:styleId="376">
    <w:name w:val="qxdate"/>
    <w:basedOn w:val="42"/>
    <w:qFormat/>
    <w:uiPriority w:val="0"/>
    <w:rPr>
      <w:color w:val="333333"/>
      <w:sz w:val="18"/>
      <w:szCs w:val="18"/>
    </w:rPr>
  </w:style>
  <w:style w:type="character" w:customStyle="1" w:styleId="377">
    <w:name w:val="next2"/>
    <w:basedOn w:val="42"/>
    <w:qFormat/>
    <w:uiPriority w:val="0"/>
    <w:rPr>
      <w:rFonts w:ascii="微软雅黑" w:hAnsi="微软雅黑" w:eastAsia="微软雅黑" w:cs="微软雅黑"/>
      <w:sz w:val="21"/>
      <w:szCs w:val="21"/>
    </w:rPr>
  </w:style>
  <w:style w:type="character" w:customStyle="1" w:styleId="378">
    <w:name w:val="next3"/>
    <w:basedOn w:val="42"/>
    <w:uiPriority w:val="0"/>
    <w:rPr>
      <w:color w:val="888888"/>
    </w:rPr>
  </w:style>
  <w:style w:type="character" w:customStyle="1" w:styleId="379">
    <w:name w:val="gjfg"/>
    <w:basedOn w:val="42"/>
    <w:uiPriority w:val="0"/>
  </w:style>
  <w:style w:type="character" w:customStyle="1" w:styleId="380">
    <w:name w:val="cfdate"/>
    <w:basedOn w:val="42"/>
    <w:uiPriority w:val="0"/>
    <w:rPr>
      <w:color w:val="333333"/>
      <w:sz w:val="18"/>
      <w:szCs w:val="18"/>
    </w:rPr>
  </w:style>
  <w:style w:type="character" w:customStyle="1" w:styleId="381">
    <w:name w:val="displayarti"/>
    <w:basedOn w:val="42"/>
    <w:qFormat/>
    <w:uiPriority w:val="0"/>
    <w:rPr>
      <w:color w:val="FFFFFF"/>
      <w:shd w:val="clear" w:color="auto" w:fill="A00000"/>
    </w:rPr>
  </w:style>
  <w:style w:type="character" w:customStyle="1" w:styleId="382">
    <w:name w:val="prev2"/>
    <w:basedOn w:val="42"/>
    <w:qFormat/>
    <w:uiPriority w:val="0"/>
    <w:rPr>
      <w:rFonts w:hint="eastAsia" w:ascii="微软雅黑" w:hAnsi="微软雅黑" w:eastAsia="微软雅黑" w:cs="微软雅黑"/>
      <w:sz w:val="21"/>
      <w:szCs w:val="21"/>
    </w:rPr>
  </w:style>
  <w:style w:type="character" w:customStyle="1" w:styleId="383">
    <w:name w:val="prev3"/>
    <w:basedOn w:val="42"/>
    <w:qFormat/>
    <w:uiPriority w:val="0"/>
    <w:rPr>
      <w:color w:val="888888"/>
    </w:rPr>
  </w:style>
  <w:style w:type="character" w:customStyle="1" w:styleId="384">
    <w:name w:val="prev"/>
    <w:basedOn w:val="42"/>
    <w:qFormat/>
    <w:uiPriority w:val="0"/>
    <w:rPr>
      <w:color w:val="888888"/>
    </w:rPr>
  </w:style>
  <w:style w:type="character" w:customStyle="1" w:styleId="385">
    <w:name w:val="prev1"/>
    <w:basedOn w:val="42"/>
    <w:qFormat/>
    <w:uiPriority w:val="0"/>
    <w:rPr>
      <w:rFonts w:ascii="微软雅黑" w:hAnsi="微软雅黑" w:eastAsia="微软雅黑" w:cs="微软雅黑"/>
      <w:sz w:val="21"/>
      <w:szCs w:val="21"/>
    </w:rPr>
  </w:style>
  <w:style w:type="paragraph" w:customStyle="1" w:styleId="386">
    <w:name w:val="修订5"/>
    <w:hidden/>
    <w:unhideWhenUsed/>
    <w:uiPriority w:val="99"/>
    <w:rPr>
      <w:rFonts w:ascii="Times New Roman" w:hAnsi="Times New Roman" w:eastAsia="宋体" w:cs="Times New Roman"/>
      <w:kern w:val="2"/>
      <w:sz w:val="24"/>
      <w:lang w:val="en-US" w:eastAsia="zh-CN" w:bidi="ar-SA"/>
    </w:rPr>
  </w:style>
  <w:style w:type="paragraph" w:customStyle="1" w:styleId="387">
    <w:name w:val="Revision"/>
    <w:hidden/>
    <w:unhideWhenUsed/>
    <w:uiPriority w:val="99"/>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2F7029-4FCF-49F5-9343-2416AF759665}">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99</Pages>
  <Words>43593</Words>
  <Characters>50299</Characters>
  <Lines>406</Lines>
  <Paragraphs>114</Paragraphs>
  <TotalTime>1</TotalTime>
  <ScaleCrop>false</ScaleCrop>
  <LinksUpToDate>false</LinksUpToDate>
  <CharactersWithSpaces>53583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2021-10-21T07:48:00Z</dcterms:created>
  <dc:creator>Administrator</dc:creator>
  <cp:lastModifiedBy>故事与她</cp:lastModifiedBy>
  <cp:lastPrinted>2019-03-12T01:48:00Z</cp:lastPrinted>
  <dcterms:modified xsi:type="dcterms:W3CDTF">2022-10-24T09:51:53Z</dcterms:modified>
  <dc:title>资格审查表</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E056DC6EB45347B18BC23501C7ECE8AD</vt:lpwstr>
  </property>
  <property fmtid="{D5CDD505-2E9C-101B-9397-08002B2CF9AE}" pid="3" name="KSOProductBuildVer">
    <vt:lpwstr>2052-11.1.0.12598</vt:lpwstr>
  </property>
</Properties>
</file>