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highlight w:val="none"/>
        </w:rPr>
      </w:pPr>
      <w:bookmarkStart w:id="0" w:name="_Toc944"/>
      <w:r>
        <w:rPr>
          <w:rFonts w:hint="eastAsia"/>
          <w:highlight w:val="none"/>
        </w:rPr>
        <w:t>9、分项报价明细表</w:t>
      </w:r>
      <w:bookmarkEnd w:id="0"/>
      <w:bookmarkStart w:id="1" w:name="_Toc23251"/>
      <w:bookmarkStart w:id="2" w:name="_Toc217446090"/>
      <w:bookmarkStart w:id="3" w:name="_Toc217446087"/>
    </w:p>
    <w:p>
      <w:pPr>
        <w:spacing w:after="40" w:line="400" w:lineRule="exact"/>
        <w:rPr>
          <w:rFonts w:hint="eastAsia" w:ascii="仿宋" w:hAnsi="仿宋" w:eastAsia="仿宋" w:cs="仿宋"/>
          <w:b/>
          <w:sz w:val="24"/>
          <w:szCs w:val="24"/>
          <w:highlight w:val="none"/>
        </w:rPr>
      </w:pPr>
    </w:p>
    <w:p>
      <w:pPr>
        <w:spacing w:after="40" w:line="400" w:lineRule="exact"/>
        <w:rPr>
          <w:rFonts w:hint="eastAsia" w:ascii="仿宋" w:hAnsi="仿宋" w:eastAsia="仿宋" w:cs="仿宋"/>
          <w:b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 xml:space="preserve">项目名称：2022年屯昌县取用水管理专项整治行动项目（二次招标） </w:t>
      </w:r>
    </w:p>
    <w:p>
      <w:pPr>
        <w:spacing w:after="40" w:line="400" w:lineRule="exact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/>
          <w:sz w:val="28"/>
          <w:szCs w:val="28"/>
          <w:highlight w:val="none"/>
        </w:rPr>
        <w:t xml:space="preserve">项目编号：HNZY2022-39E                            </w:t>
      </w:r>
    </w:p>
    <w:tbl>
      <w:tblPr>
        <w:tblStyle w:val="11"/>
        <w:tblW w:w="9656" w:type="dxa"/>
        <w:tblInd w:w="-2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2250"/>
        <w:gridCol w:w="1075"/>
        <w:gridCol w:w="1663"/>
        <w:gridCol w:w="1530"/>
        <w:gridCol w:w="1932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</w:trPr>
        <w:tc>
          <w:tcPr>
            <w:tcW w:w="53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2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服务内容</w:t>
            </w:r>
          </w:p>
        </w:tc>
        <w:tc>
          <w:tcPr>
            <w:tcW w:w="107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数量及单位</w:t>
            </w:r>
          </w:p>
        </w:tc>
        <w:tc>
          <w:tcPr>
            <w:tcW w:w="166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单价（元）</w:t>
            </w:r>
          </w:p>
        </w:tc>
        <w:tc>
          <w:tcPr>
            <w:tcW w:w="15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总价（元）</w:t>
            </w:r>
          </w:p>
        </w:tc>
        <w:tc>
          <w:tcPr>
            <w:tcW w:w="193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服务要求或者标的基本概况</w:t>
            </w:r>
          </w:p>
        </w:tc>
        <w:tc>
          <w:tcPr>
            <w:tcW w:w="67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1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农村安全饮水工程进行水资源论证和技术咨询</w:t>
            </w: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1" w:beforeLines="150"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53个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1" w:beforeLines="150"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7000.00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1" w:beforeLines="150"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371000.00</w:t>
            </w:r>
          </w:p>
        </w:tc>
        <w:tc>
          <w:tcPr>
            <w:tcW w:w="1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1" w:beforeLines="100"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按竞争性磋商文件要求</w:t>
            </w:r>
          </w:p>
        </w:tc>
        <w:tc>
          <w:tcPr>
            <w:tcW w:w="673" w:type="dxa"/>
          </w:tcPr>
          <w:p>
            <w:pPr>
              <w:spacing w:line="360" w:lineRule="auto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533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2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农业灌溉项目进行水资源论证</w:t>
            </w: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60" w:beforeLines="200"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56个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1" w:beforeLines="150"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13000.00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1" w:beforeLines="150"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728000.00</w:t>
            </w:r>
          </w:p>
        </w:tc>
        <w:tc>
          <w:tcPr>
            <w:tcW w:w="1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1" w:beforeLines="100"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按竞争性磋商文件要求</w:t>
            </w:r>
          </w:p>
        </w:tc>
        <w:tc>
          <w:tcPr>
            <w:tcW w:w="673" w:type="dxa"/>
          </w:tcPr>
          <w:p>
            <w:pPr>
              <w:spacing w:line="360" w:lineRule="auto"/>
              <w:ind w:firstLine="280" w:firstLineChars="100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1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3</w:t>
            </w:r>
          </w:p>
        </w:tc>
        <w:tc>
          <w:tcPr>
            <w:tcW w:w="225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" w:hAnsi="仿宋" w:eastAsia="仿宋" w:cs="仿宋"/>
                <w:color w:val="auto"/>
                <w:sz w:val="28"/>
                <w:szCs w:val="28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采购农村安全饮水工程水量计量设施（包安装）</w:t>
            </w: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1" w:beforeLines="150"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103个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1" w:beforeLines="150"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2800.00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1" w:beforeLines="150"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288400.00</w:t>
            </w:r>
          </w:p>
        </w:tc>
        <w:tc>
          <w:tcPr>
            <w:tcW w:w="1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1" w:beforeLines="100"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按竞争性磋商文件要求</w:t>
            </w:r>
          </w:p>
        </w:tc>
        <w:tc>
          <w:tcPr>
            <w:tcW w:w="67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1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采购农田灌溉项目水量计量设施（包安装）</w:t>
            </w:r>
          </w:p>
        </w:tc>
        <w:tc>
          <w:tcPr>
            <w:tcW w:w="10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1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3个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1" w:beforeLines="150"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19400.00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1" w:beforeLines="150"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58200.00</w:t>
            </w:r>
          </w:p>
        </w:tc>
        <w:tc>
          <w:tcPr>
            <w:tcW w:w="1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1" w:beforeLines="100"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按竞争性磋商文件要求</w:t>
            </w:r>
          </w:p>
        </w:tc>
        <w:tc>
          <w:tcPr>
            <w:tcW w:w="67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3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1" w:beforeLines="10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2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后期服务包括用水管控指标数据复核；海南省取水口核查信息登记、动态更新管理平台；全国取用水管理专项整治查漏补缺等数据在线分析填报及销号工作</w:t>
            </w:r>
          </w:p>
        </w:tc>
        <w:tc>
          <w:tcPr>
            <w:tcW w:w="1075" w:type="dxa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1项</w:t>
            </w:r>
          </w:p>
        </w:tc>
        <w:tc>
          <w:tcPr>
            <w:tcW w:w="166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1" w:beforeLines="1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50000.00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871" w:beforeLines="150"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  <w:lang w:val="en-US" w:eastAsia="zh-CN"/>
              </w:rPr>
              <w:t>50000.00</w:t>
            </w:r>
          </w:p>
        </w:tc>
        <w:tc>
          <w:tcPr>
            <w:tcW w:w="193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581" w:beforeLines="100" w:line="36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按竞争性磋商文件要求</w:t>
            </w:r>
          </w:p>
        </w:tc>
        <w:tc>
          <w:tcPr>
            <w:tcW w:w="67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983" w:type="dxa"/>
            <w:gridSpan w:val="6"/>
          </w:tcPr>
          <w:p>
            <w:pPr>
              <w:spacing w:line="360" w:lineRule="auto"/>
              <w:jc w:val="left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>响应报价合计：大写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  <w:lang w:eastAsia="zh-CN"/>
              </w:rPr>
              <w:t>壹佰肆拾玖万伍仟陆佰元整</w:t>
            </w:r>
            <w:r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  <w:t xml:space="preserve">  小写：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1495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bCs/>
                <w:sz w:val="28"/>
                <w:szCs w:val="28"/>
                <w:highlight w:val="none"/>
              </w:rPr>
              <w:t>00.00元</w:t>
            </w:r>
          </w:p>
        </w:tc>
        <w:tc>
          <w:tcPr>
            <w:tcW w:w="673" w:type="dxa"/>
          </w:tcPr>
          <w:p>
            <w:pPr>
              <w:spacing w:line="360" w:lineRule="auto"/>
              <w:rPr>
                <w:rFonts w:hint="eastAsia" w:ascii="仿宋" w:hAnsi="仿宋" w:eastAsia="仿宋" w:cs="仿宋"/>
                <w:sz w:val="28"/>
                <w:szCs w:val="28"/>
                <w:highlight w:val="none"/>
              </w:rPr>
            </w:pPr>
          </w:p>
        </w:tc>
      </w:tr>
    </w:tbl>
    <w:p>
      <w:pPr>
        <w:spacing w:line="360" w:lineRule="auto"/>
        <w:outlineLvl w:val="1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注：</w:t>
      </w: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1、供应商必须按“分项报价明细表”的格式详细报出总价的各个组成部分的报价。</w:t>
      </w:r>
    </w:p>
    <w:p>
      <w:pPr>
        <w:spacing w:line="360" w:lineRule="auto"/>
        <w:ind w:firstLine="560" w:firstLineChars="200"/>
        <w:outlineLvl w:val="0"/>
        <w:rPr>
          <w:rFonts w:hint="eastAsia" w:ascii="仿宋" w:hAnsi="仿宋" w:eastAsia="仿宋" w:cs="仿宋"/>
          <w:bCs/>
          <w:sz w:val="28"/>
          <w:szCs w:val="28"/>
          <w:highlight w:val="none"/>
        </w:rPr>
      </w:pPr>
      <w:bookmarkStart w:id="4" w:name="_Toc27181"/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2、“分项报价明细表”各分项报价合计应当与“开标一览表”报价合计相等。</w:t>
      </w:r>
      <w:bookmarkEnd w:id="4"/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bCs/>
          <w:sz w:val="28"/>
          <w:szCs w:val="28"/>
          <w:highlight w:val="none"/>
        </w:rPr>
        <w:t>3、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“服务要求或者标的基本概况”一栏可填写“按竞争性磋商文件要求”或其他。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4、此表必须以Word版本的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形式体现在电子版响应文件中，为便于供应商成交时发布成交公告。</w:t>
      </w:r>
      <w:bookmarkStart w:id="5" w:name="_Ref493752806"/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</w:p>
    <w:p>
      <w:pPr>
        <w:pStyle w:val="22"/>
        <w:rPr>
          <w:rFonts w:hint="eastAsia"/>
          <w:highlight w:val="none"/>
        </w:rPr>
      </w:pPr>
    </w:p>
    <w:p>
      <w:pPr>
        <w:pStyle w:val="22"/>
        <w:rPr>
          <w:rFonts w:hint="eastAsia"/>
          <w:highlight w:val="none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供应商名称（加盖公章）：</w:t>
      </w:r>
      <w:r>
        <w:rPr>
          <w:rFonts w:hint="eastAsia" w:ascii="仿宋" w:hAnsi="仿宋" w:eastAsia="仿宋" w:cs="仿宋"/>
          <w:sz w:val="28"/>
          <w:szCs w:val="28"/>
          <w:highlight w:val="none"/>
          <w:lang w:eastAsia="zh-CN"/>
        </w:rPr>
        <w:t>海南水利方工程设计有限公司</w:t>
      </w: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sz w:val="28"/>
          <w:szCs w:val="28"/>
          <w:highlight w:val="none"/>
        </w:rPr>
        <w:t>日    期：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2022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年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11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 xml:space="preserve"> 月 </w:t>
      </w:r>
      <w:r>
        <w:rPr>
          <w:rFonts w:hint="eastAsia" w:ascii="仿宋" w:hAnsi="仿宋" w:eastAsia="仿宋" w:cs="仿宋"/>
          <w:sz w:val="28"/>
          <w:szCs w:val="28"/>
          <w:highlight w:val="none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  <w:highlight w:val="none"/>
        </w:rPr>
        <w:t>日</w:t>
      </w:r>
    </w:p>
    <w:bookmarkEnd w:id="1"/>
    <w:bookmarkEnd w:id="2"/>
    <w:bookmarkEnd w:id="3"/>
    <w:bookmarkEnd w:id="5"/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zNWMwMGI0YmVjYmI0ZTQ1YWMyYjRlYTdjMTVlZWUifQ=="/>
  </w:docVars>
  <w:rsids>
    <w:rsidRoot w:val="54171F1C"/>
    <w:rsid w:val="01DF5D01"/>
    <w:rsid w:val="02791AE9"/>
    <w:rsid w:val="0368278A"/>
    <w:rsid w:val="04782836"/>
    <w:rsid w:val="06A00B18"/>
    <w:rsid w:val="07F67800"/>
    <w:rsid w:val="08CE1827"/>
    <w:rsid w:val="090E37E9"/>
    <w:rsid w:val="0ABF527F"/>
    <w:rsid w:val="0BDC106E"/>
    <w:rsid w:val="0E4B1308"/>
    <w:rsid w:val="0EC86CF6"/>
    <w:rsid w:val="0ECC528F"/>
    <w:rsid w:val="0FF136AF"/>
    <w:rsid w:val="129B1639"/>
    <w:rsid w:val="13331FFF"/>
    <w:rsid w:val="149136ED"/>
    <w:rsid w:val="15901478"/>
    <w:rsid w:val="162C2FD2"/>
    <w:rsid w:val="17642870"/>
    <w:rsid w:val="19040E1B"/>
    <w:rsid w:val="1B6C7B39"/>
    <w:rsid w:val="1CDA24B4"/>
    <w:rsid w:val="1CFC6C2F"/>
    <w:rsid w:val="1D50013B"/>
    <w:rsid w:val="1E414655"/>
    <w:rsid w:val="1F591CD8"/>
    <w:rsid w:val="1F7D1751"/>
    <w:rsid w:val="202D0DFE"/>
    <w:rsid w:val="20767107"/>
    <w:rsid w:val="21342DF8"/>
    <w:rsid w:val="21F33E03"/>
    <w:rsid w:val="227A6034"/>
    <w:rsid w:val="23FA1EFB"/>
    <w:rsid w:val="25C048A3"/>
    <w:rsid w:val="27683351"/>
    <w:rsid w:val="29847471"/>
    <w:rsid w:val="2AA87BBC"/>
    <w:rsid w:val="2AD348A1"/>
    <w:rsid w:val="2B595CD7"/>
    <w:rsid w:val="2C0445F1"/>
    <w:rsid w:val="2C75167A"/>
    <w:rsid w:val="2DA060FD"/>
    <w:rsid w:val="2DF95779"/>
    <w:rsid w:val="2FE32FBF"/>
    <w:rsid w:val="30221C66"/>
    <w:rsid w:val="31553789"/>
    <w:rsid w:val="317E2B3D"/>
    <w:rsid w:val="31CC50BE"/>
    <w:rsid w:val="329C5FDD"/>
    <w:rsid w:val="379649AF"/>
    <w:rsid w:val="3AC400F8"/>
    <w:rsid w:val="3B536446"/>
    <w:rsid w:val="3BC8741E"/>
    <w:rsid w:val="3CC01B02"/>
    <w:rsid w:val="3E94786B"/>
    <w:rsid w:val="3F17685F"/>
    <w:rsid w:val="3FE25E90"/>
    <w:rsid w:val="400319D9"/>
    <w:rsid w:val="40A25C2B"/>
    <w:rsid w:val="41D56B43"/>
    <w:rsid w:val="420D690B"/>
    <w:rsid w:val="422D171A"/>
    <w:rsid w:val="42836BF6"/>
    <w:rsid w:val="42EB6181"/>
    <w:rsid w:val="434A5891"/>
    <w:rsid w:val="44A70BF2"/>
    <w:rsid w:val="49BD0292"/>
    <w:rsid w:val="4ACC4A8D"/>
    <w:rsid w:val="4AEE60B3"/>
    <w:rsid w:val="4CCE254C"/>
    <w:rsid w:val="4E4F519D"/>
    <w:rsid w:val="4E62184E"/>
    <w:rsid w:val="50FE091B"/>
    <w:rsid w:val="518B0290"/>
    <w:rsid w:val="51F3289F"/>
    <w:rsid w:val="52397EC6"/>
    <w:rsid w:val="53455587"/>
    <w:rsid w:val="53E7568D"/>
    <w:rsid w:val="54036C9E"/>
    <w:rsid w:val="54171F1C"/>
    <w:rsid w:val="546C5D47"/>
    <w:rsid w:val="54AA6AAA"/>
    <w:rsid w:val="55753D97"/>
    <w:rsid w:val="57A44CA7"/>
    <w:rsid w:val="584606FA"/>
    <w:rsid w:val="59204357"/>
    <w:rsid w:val="5B125C6A"/>
    <w:rsid w:val="5B132843"/>
    <w:rsid w:val="5C59400E"/>
    <w:rsid w:val="5CA65C5D"/>
    <w:rsid w:val="5CBF3506"/>
    <w:rsid w:val="5EC93754"/>
    <w:rsid w:val="5FD36704"/>
    <w:rsid w:val="61F145D8"/>
    <w:rsid w:val="61FB0BC7"/>
    <w:rsid w:val="620C3D5A"/>
    <w:rsid w:val="62385BDF"/>
    <w:rsid w:val="62A833A1"/>
    <w:rsid w:val="638B3FA7"/>
    <w:rsid w:val="645479BB"/>
    <w:rsid w:val="66DC7C28"/>
    <w:rsid w:val="6827352E"/>
    <w:rsid w:val="68D83C19"/>
    <w:rsid w:val="69BE404B"/>
    <w:rsid w:val="6A095F9E"/>
    <w:rsid w:val="6B6C4513"/>
    <w:rsid w:val="6CFD7BAC"/>
    <w:rsid w:val="6D0828F6"/>
    <w:rsid w:val="70717E50"/>
    <w:rsid w:val="715F08C6"/>
    <w:rsid w:val="7202267B"/>
    <w:rsid w:val="748D46FA"/>
    <w:rsid w:val="760F2E1C"/>
    <w:rsid w:val="765726AD"/>
    <w:rsid w:val="79615B58"/>
    <w:rsid w:val="7A845FCD"/>
    <w:rsid w:val="7C1452F0"/>
    <w:rsid w:val="7CEC3FA0"/>
    <w:rsid w:val="7D7F06E0"/>
    <w:rsid w:val="7E83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20"/>
    <w:qFormat/>
    <w:uiPriority w:val="0"/>
    <w:pPr>
      <w:keepNext/>
      <w:keepLines/>
      <w:spacing w:line="240" w:lineRule="auto"/>
      <w:ind w:firstLine="0" w:firstLineChars="0"/>
      <w:jc w:val="center"/>
      <w:outlineLvl w:val="0"/>
    </w:pPr>
    <w:rPr>
      <w:rFonts w:ascii="宋体" w:hAnsi="宋体" w:eastAsia="宋体"/>
      <w:b/>
      <w:bCs/>
      <w:kern w:val="44"/>
      <w:sz w:val="32"/>
      <w:szCs w:val="32"/>
    </w:rPr>
  </w:style>
  <w:style w:type="paragraph" w:styleId="4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50" w:beforeLines="50" w:after="50" w:afterLines="50" w:line="560" w:lineRule="exact"/>
      <w:ind w:firstLine="0" w:firstLineChars="0"/>
      <w:outlineLvl w:val="1"/>
    </w:pPr>
    <w:rPr>
      <w:rFonts w:ascii="宋体" w:hAnsi="宋体" w:eastAsia="宋体"/>
      <w:b/>
      <w:bCs/>
      <w:kern w:val="2"/>
    </w:rPr>
  </w:style>
  <w:style w:type="paragraph" w:styleId="5">
    <w:name w:val="heading 3"/>
    <w:basedOn w:val="6"/>
    <w:next w:val="6"/>
    <w:link w:val="21"/>
    <w:semiHidden/>
    <w:unhideWhenUsed/>
    <w:qFormat/>
    <w:uiPriority w:val="0"/>
    <w:pPr>
      <w:keepNext/>
      <w:keepLines/>
      <w:spacing w:line="560" w:lineRule="exact"/>
      <w:ind w:firstLine="0" w:firstLineChars="0"/>
      <w:jc w:val="left"/>
      <w:outlineLvl w:val="2"/>
    </w:pPr>
    <w:rPr>
      <w:rFonts w:ascii="宋体" w:hAnsi="宋体" w:eastAsia="宋体" w:cs="宋体"/>
      <w:kern w:val="2"/>
      <w:sz w:val="28"/>
      <w:szCs w:val="28"/>
    </w:rPr>
  </w:style>
  <w:style w:type="paragraph" w:styleId="7">
    <w:name w:val="heading 4"/>
    <w:basedOn w:val="1"/>
    <w:next w:val="1"/>
    <w:link w:val="16"/>
    <w:semiHidden/>
    <w:unhideWhenUsed/>
    <w:qFormat/>
    <w:uiPriority w:val="0"/>
    <w:pPr>
      <w:keepNext/>
      <w:keepLines/>
      <w:ind w:firstLine="0" w:firstLineChars="0"/>
      <w:jc w:val="left"/>
      <w:outlineLvl w:val="3"/>
    </w:pPr>
    <w:rPr>
      <w:rFonts w:ascii="仿宋" w:hAnsi="仿宋" w:eastAsia="仿宋" w:cs="仿宋"/>
      <w:b/>
      <w:bCs/>
      <w:sz w:val="28"/>
      <w:szCs w:val="32"/>
    </w:rPr>
  </w:style>
  <w:style w:type="paragraph" w:styleId="8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="50" w:afterLines="50" w:afterAutospacing="0" w:line="240" w:lineRule="auto"/>
      <w:outlineLvl w:val="4"/>
    </w:pPr>
    <w:rPr>
      <w:rFonts w:ascii="宋体" w:hAnsi="宋体" w:eastAsia="宋体" w:cs="宋体"/>
      <w:b/>
      <w:bCs/>
      <w:sz w:val="21"/>
      <w:szCs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40"/>
    </w:pPr>
    <w:rPr>
      <w:rFonts w:ascii="Times New Roman" w:hAnsi="Times New Roman" w:eastAsia="宋体" w:cs="Times New Roman"/>
      <w:sz w:val="28"/>
      <w:szCs w:val="28"/>
    </w:rPr>
  </w:style>
  <w:style w:type="paragraph" w:customStyle="1" w:styleId="6">
    <w:name w:val="样式23"/>
    <w:basedOn w:val="1"/>
    <w:qFormat/>
    <w:uiPriority w:val="0"/>
    <w:rPr>
      <w:b/>
      <w:bCs/>
      <w:sz w:val="24"/>
      <w:szCs w:val="24"/>
    </w:rPr>
  </w:style>
  <w:style w:type="paragraph" w:styleId="9">
    <w:name w:val="index 8"/>
    <w:basedOn w:val="1"/>
    <w:next w:val="1"/>
    <w:qFormat/>
    <w:uiPriority w:val="0"/>
    <w:pPr>
      <w:ind w:left="1400" w:leftChars="1400"/>
    </w:pPr>
  </w:style>
  <w:style w:type="paragraph" w:styleId="10">
    <w:name w:val="Normal Indent"/>
    <w:basedOn w:val="1"/>
    <w:qFormat/>
    <w:uiPriority w:val="0"/>
    <w:pPr>
      <w:ind w:firstLine="420" w:firstLineChars="200"/>
    </w:pPr>
  </w:style>
  <w:style w:type="paragraph" w:customStyle="1" w:styleId="13">
    <w:name w:val="样式1"/>
    <w:basedOn w:val="1"/>
    <w:next w:val="1"/>
    <w:qFormat/>
    <w:uiPriority w:val="0"/>
    <w:rPr>
      <w:rFonts w:ascii="宋体" w:hAnsi="宋体" w:eastAsia="宋体"/>
      <w:kern w:val="0"/>
      <w:sz w:val="28"/>
      <w:szCs w:val="28"/>
    </w:rPr>
  </w:style>
  <w:style w:type="character" w:customStyle="1" w:styleId="14">
    <w:name w:val="标题 2 Char"/>
    <w:link w:val="4"/>
    <w:qFormat/>
    <w:uiPriority w:val="0"/>
    <w:rPr>
      <w:rFonts w:ascii="宋体" w:hAnsi="宋体" w:eastAsia="宋体" w:cs="Times New Roman"/>
      <w:b/>
      <w:bCs/>
      <w:kern w:val="2"/>
      <w:sz w:val="28"/>
      <w:szCs w:val="28"/>
    </w:rPr>
  </w:style>
  <w:style w:type="paragraph" w:customStyle="1" w:styleId="15">
    <w:name w:val="表头"/>
    <w:basedOn w:val="1"/>
    <w:qFormat/>
    <w:uiPriority w:val="0"/>
    <w:pPr>
      <w:ind w:firstLine="0" w:firstLineChars="0"/>
      <w:jc w:val="center"/>
    </w:pPr>
    <w:rPr>
      <w:rFonts w:eastAsia="宋体" w:cs="宋体"/>
      <w:b/>
      <w:bCs/>
      <w:szCs w:val="21"/>
    </w:rPr>
  </w:style>
  <w:style w:type="character" w:customStyle="1" w:styleId="16">
    <w:name w:val="标题 4 Char"/>
    <w:link w:val="7"/>
    <w:qFormat/>
    <w:uiPriority w:val="0"/>
    <w:rPr>
      <w:rFonts w:ascii="仿宋" w:hAnsi="仿宋" w:eastAsia="仿宋" w:cs="仿宋"/>
      <w:b/>
      <w:bCs/>
      <w:sz w:val="28"/>
      <w:szCs w:val="32"/>
    </w:rPr>
  </w:style>
  <w:style w:type="paragraph" w:customStyle="1" w:styleId="17">
    <w:name w:val="样式21"/>
    <w:basedOn w:val="1"/>
    <w:next w:val="1"/>
    <w:qFormat/>
    <w:uiPriority w:val="0"/>
    <w:pPr>
      <w:ind w:firstLine="0" w:firstLineChars="0"/>
    </w:pPr>
    <w:rPr>
      <w:rFonts w:ascii="宋体" w:hAnsi="宋体" w:cs="宋体"/>
      <w:b/>
      <w:bCs/>
      <w:kern w:val="0"/>
      <w:sz w:val="30"/>
      <w:szCs w:val="30"/>
    </w:rPr>
  </w:style>
  <w:style w:type="paragraph" w:customStyle="1" w:styleId="18">
    <w:name w:val="样式22"/>
    <w:basedOn w:val="1"/>
    <w:qFormat/>
    <w:uiPriority w:val="0"/>
    <w:pPr>
      <w:ind w:firstLine="0" w:firstLineChars="0"/>
    </w:pPr>
    <w:rPr>
      <w:b/>
      <w:bCs/>
      <w:sz w:val="28"/>
      <w:szCs w:val="28"/>
    </w:rPr>
  </w:style>
  <w:style w:type="paragraph" w:customStyle="1" w:styleId="19">
    <w:name w:val="样式24"/>
    <w:basedOn w:val="1"/>
    <w:next w:val="1"/>
    <w:qFormat/>
    <w:uiPriority w:val="0"/>
    <w:pPr>
      <w:jc w:val="center"/>
    </w:pPr>
    <w:rPr>
      <w:rFonts w:ascii="仿宋_GB2312" w:hAnsi="仿宋_GB2312"/>
      <w:kern w:val="0"/>
      <w:szCs w:val="28"/>
    </w:rPr>
  </w:style>
  <w:style w:type="character" w:customStyle="1" w:styleId="20">
    <w:name w:val="标题 1 Char"/>
    <w:link w:val="3"/>
    <w:qFormat/>
    <w:uiPriority w:val="0"/>
    <w:rPr>
      <w:rFonts w:ascii="宋体" w:hAnsi="宋体" w:eastAsia="宋体" w:cs="宋体"/>
      <w:kern w:val="44"/>
      <w:sz w:val="28"/>
      <w:szCs w:val="36"/>
    </w:rPr>
  </w:style>
  <w:style w:type="character" w:customStyle="1" w:styleId="21">
    <w:name w:val="标题 3 Char"/>
    <w:link w:val="5"/>
    <w:qFormat/>
    <w:uiPriority w:val="0"/>
    <w:rPr>
      <w:rFonts w:ascii="宋体" w:hAnsi="宋体" w:eastAsia="宋体" w:cs="宋体"/>
      <w:bCs/>
      <w:kern w:val="2"/>
      <w:sz w:val="28"/>
      <w:szCs w:val="28"/>
      <w:lang w:val="en-US" w:eastAsia="zh-CN" w:bidi="ar-SA"/>
    </w:rPr>
  </w:style>
  <w:style w:type="paragraph" w:customStyle="1" w:styleId="22">
    <w:name w:val="样式 首行缩进:  2 字符"/>
    <w:basedOn w:val="1"/>
    <w:next w:val="1"/>
    <w:qFormat/>
    <w:uiPriority w:val="0"/>
    <w:pPr>
      <w:ind w:firstLine="420" w:firstLineChars="200"/>
    </w:pPr>
    <w:rPr>
      <w:rFonts w:ascii="宋体" w:hAnsi="Times New Roman" w:eastAsia="宋体" w:cs="宋体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2022-11-10T08:34:00Z</dcterms:created>
  <dc:creator>不給糖·就搗蛋</dc:creator>
  <cp:lastModifiedBy>不給糖·就搗蛋</cp:lastModifiedBy>
  <dcterms:modified xsi:type="dcterms:W3CDTF">2022-11-10T08:34:37Z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410E774D172C460590CE7FAA3DF99AE6</vt:lpwstr>
  </property>
</Properties>
</file>