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0" w:after="0" w:line="579" w:lineRule="auto"/>
        <w:jc w:val="center"/>
        <w:rPr>
          <w:rFonts w:hint="eastAsia" w:ascii="宋体" w:hAnsi="宋体" w:cs="宋体"/>
        </w:rPr>
      </w:pPr>
      <w:bookmarkStart w:id="0" w:name="_Toc22573_WPSOffice_Level1"/>
      <w:bookmarkStart w:id="1" w:name="_Toc16727398"/>
      <w:bookmarkStart w:id="2" w:name="_Toc434678182"/>
      <w:bookmarkStart w:id="3" w:name="_Toc25783"/>
      <w:r>
        <w:rPr>
          <w:rFonts w:hint="eastAsia" w:ascii="宋体" w:hAnsi="宋体" w:cs="宋体"/>
        </w:rPr>
        <w:t>采购需求</w:t>
      </w:r>
      <w:bookmarkEnd w:id="0"/>
      <w:bookmarkEnd w:id="1"/>
      <w:bookmarkEnd w:id="2"/>
      <w:bookmarkEnd w:id="3"/>
    </w:p>
    <w:p>
      <w:pPr>
        <w:pStyle w:val="5"/>
        <w:spacing w:line="360" w:lineRule="auto"/>
        <w:ind w:left="480" w:leftChars="0" w:hanging="480" w:hangingChars="200"/>
        <w:rPr>
          <w:sz w:val="24"/>
          <w:szCs w:val="24"/>
        </w:rPr>
      </w:pPr>
      <w:bookmarkStart w:id="4" w:name="_Toc439166307"/>
      <w:r>
        <w:rPr>
          <w:rFonts w:hint="eastAsia"/>
          <w:sz w:val="24"/>
          <w:szCs w:val="24"/>
        </w:rPr>
        <w:t>一、项目</w:t>
      </w:r>
      <w:bookmarkEnd w:id="4"/>
      <w:r>
        <w:rPr>
          <w:rFonts w:hint="eastAsia"/>
          <w:sz w:val="24"/>
          <w:szCs w:val="24"/>
        </w:rPr>
        <w:t>名称</w:t>
      </w:r>
    </w:p>
    <w:p>
      <w:pPr>
        <w:pStyle w:val="5"/>
        <w:spacing w:line="360" w:lineRule="auto"/>
        <w:ind w:left="480" w:leftChars="200" w:firstLine="0" w:firstLineChars="0"/>
        <w:rPr>
          <w:rFonts w:hint="eastAsia"/>
          <w:sz w:val="24"/>
          <w:szCs w:val="24"/>
          <w:lang w:val="en-US" w:eastAsia="zh-CN"/>
        </w:rPr>
      </w:pPr>
      <w:r>
        <w:rPr>
          <w:rFonts w:hint="eastAsia"/>
          <w:sz w:val="24"/>
          <w:szCs w:val="24"/>
          <w:lang w:val="en-US" w:eastAsia="zh-CN"/>
        </w:rPr>
        <w:t>2023年文昌市渔船检验服务项目</w:t>
      </w:r>
    </w:p>
    <w:p>
      <w:pPr>
        <w:pStyle w:val="5"/>
        <w:spacing w:line="360" w:lineRule="auto"/>
        <w:ind w:left="0" w:leftChars="0" w:firstLine="0" w:firstLineChars="0"/>
        <w:rPr>
          <w:sz w:val="24"/>
          <w:szCs w:val="24"/>
        </w:rPr>
      </w:pPr>
      <w:r>
        <w:rPr>
          <w:rFonts w:hint="eastAsia"/>
          <w:sz w:val="24"/>
          <w:szCs w:val="24"/>
        </w:rPr>
        <w:t xml:space="preserve">二、项目概要 </w:t>
      </w:r>
    </w:p>
    <w:p>
      <w:pPr>
        <w:pStyle w:val="5"/>
        <w:spacing w:line="360" w:lineRule="auto"/>
        <w:ind w:left="0" w:leftChars="0" w:firstLine="480"/>
        <w:rPr>
          <w:rFonts w:ascii="宋体" w:hAnsi="宋体" w:cs="宋体"/>
          <w:sz w:val="24"/>
        </w:rPr>
      </w:pPr>
      <w:r>
        <w:rPr>
          <w:rFonts w:hint="eastAsia" w:ascii="宋体" w:hAnsi="宋体" w:cs="宋体"/>
          <w:sz w:val="24"/>
        </w:rPr>
        <w:t>采购人管理部门(文昌市农业农村局)计划将原承担的</w:t>
      </w:r>
      <w:r>
        <w:rPr>
          <w:rFonts w:hint="eastAsia" w:ascii="宋体" w:hAnsi="宋体" w:cs="宋体"/>
          <w:b/>
          <w:bCs/>
          <w:sz w:val="24"/>
          <w:u w:val="single"/>
        </w:rPr>
        <w:t>捕劳渔船</w:t>
      </w:r>
      <w:r>
        <w:rPr>
          <w:rFonts w:hint="eastAsia" w:ascii="宋体" w:hAnsi="宋体" w:cs="宋体"/>
          <w:b/>
          <w:sz w:val="24"/>
          <w:u w:val="single"/>
        </w:rPr>
        <w:t>、</w:t>
      </w:r>
      <w:r>
        <w:rPr>
          <w:rFonts w:hint="eastAsia" w:ascii="宋体" w:hAnsi="宋体" w:cs="宋体"/>
          <w:b/>
          <w:bCs/>
          <w:sz w:val="24"/>
          <w:u w:val="single"/>
        </w:rPr>
        <w:t>辅助渔船、养殖船、达到限制使用船龄的老旧渔业船舶（以下简称渔船）</w:t>
      </w:r>
      <w:r>
        <w:rPr>
          <w:rFonts w:hint="eastAsia" w:ascii="宋体" w:hAnsi="宋体" w:cs="宋体"/>
          <w:sz w:val="24"/>
        </w:rPr>
        <w:t>现场检验工作委托给成交人(第三方检验机构)。</w:t>
      </w:r>
    </w:p>
    <w:p>
      <w:pPr>
        <w:pStyle w:val="5"/>
        <w:spacing w:line="360" w:lineRule="auto"/>
        <w:ind w:left="0" w:leftChars="0" w:firstLine="480"/>
        <w:rPr>
          <w:rFonts w:ascii="宋体" w:hAnsi="宋体" w:cs="宋体"/>
          <w:sz w:val="24"/>
        </w:rPr>
      </w:pPr>
      <w:r>
        <w:rPr>
          <w:rFonts w:hint="eastAsia" w:ascii="宋体" w:hAnsi="宋体" w:cs="宋体"/>
          <w:sz w:val="24"/>
        </w:rPr>
        <w:t>成交人应为省渔业船舶行政主管部门备案的第三方检验机构。</w:t>
      </w:r>
    </w:p>
    <w:p>
      <w:pPr>
        <w:pStyle w:val="5"/>
        <w:spacing w:line="360" w:lineRule="auto"/>
        <w:ind w:left="0" w:leftChars="0" w:firstLine="480"/>
        <w:rPr>
          <w:rFonts w:ascii="宋体" w:hAnsi="宋体" w:cs="宋体"/>
          <w:sz w:val="24"/>
        </w:rPr>
      </w:pPr>
      <w:r>
        <w:rPr>
          <w:rFonts w:hint="eastAsia" w:ascii="宋体" w:hAnsi="宋体" w:cs="宋体"/>
          <w:sz w:val="24"/>
        </w:rPr>
        <w:t>由成交的第三方机构开展营运渔船现场检验，出具检验报告，并完成印制《2022年文昌市渔船信息册》</w:t>
      </w:r>
      <w:r>
        <w:rPr>
          <w:rFonts w:hint="eastAsia" w:ascii="宋体" w:hAnsi="宋体" w:cs="宋体"/>
          <w:b/>
          <w:bCs/>
          <w:sz w:val="24"/>
          <w:u w:val="single"/>
        </w:rPr>
        <w:t>10套</w:t>
      </w:r>
      <w:r>
        <w:rPr>
          <w:rFonts w:hint="eastAsia" w:ascii="宋体" w:hAnsi="宋体" w:cs="宋体"/>
          <w:sz w:val="24"/>
        </w:rPr>
        <w:t>（分村、居委会、彩印、附有渔船右侧全貌相片及相关信息）。检验报告作为文昌市农业农村局签发或签署检验证书的依据。</w:t>
      </w:r>
    </w:p>
    <w:p>
      <w:pPr>
        <w:pStyle w:val="5"/>
        <w:spacing w:line="360" w:lineRule="auto"/>
        <w:ind w:left="240" w:leftChars="0" w:hanging="240" w:hangingChars="100"/>
        <w:rPr>
          <w:sz w:val="24"/>
          <w:szCs w:val="24"/>
        </w:rPr>
      </w:pPr>
      <w:r>
        <w:rPr>
          <w:rFonts w:hint="eastAsia"/>
          <w:sz w:val="24"/>
          <w:szCs w:val="24"/>
        </w:rPr>
        <w:t>三、项目内容及要求</w:t>
      </w:r>
    </w:p>
    <w:p>
      <w:pPr>
        <w:pStyle w:val="5"/>
        <w:spacing w:line="360" w:lineRule="auto"/>
        <w:ind w:left="480" w:leftChars="200" w:firstLine="0" w:firstLineChars="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1、服务内容：</w:t>
      </w:r>
    </w:p>
    <w:tbl>
      <w:tblPr>
        <w:tblStyle w:val="6"/>
        <w:tblpPr w:leftFromText="180" w:rightFromText="180" w:vertAnchor="text" w:horzAnchor="page" w:tblpX="1771" w:tblpY="217"/>
        <w:tblOverlap w:val="never"/>
        <w:tblW w:w="92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6"/>
        <w:gridCol w:w="1743"/>
        <w:gridCol w:w="1151"/>
        <w:gridCol w:w="876"/>
        <w:gridCol w:w="2167"/>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316" w:type="dxa"/>
            <w:noWrap w:val="0"/>
            <w:tcMar>
              <w:left w:w="108" w:type="dxa"/>
              <w:right w:w="108" w:type="dxa"/>
            </w:tcMar>
            <w:vAlign w:val="center"/>
          </w:tcPr>
          <w:p>
            <w:pPr>
              <w:pStyle w:val="5"/>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序号</w:t>
            </w:r>
          </w:p>
        </w:tc>
        <w:tc>
          <w:tcPr>
            <w:tcW w:w="1743" w:type="dxa"/>
            <w:noWrap w:val="0"/>
            <w:tcMar>
              <w:left w:w="108" w:type="dxa"/>
              <w:right w:w="108" w:type="dxa"/>
            </w:tcMar>
            <w:vAlign w:val="center"/>
          </w:tcPr>
          <w:p>
            <w:pPr>
              <w:pStyle w:val="5"/>
              <w:spacing w:line="360" w:lineRule="auto"/>
              <w:ind w:left="0" w:leftChars="0" w:firstLine="0" w:firstLineChars="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采购品目</w:t>
            </w:r>
          </w:p>
        </w:tc>
        <w:tc>
          <w:tcPr>
            <w:tcW w:w="1151" w:type="dxa"/>
            <w:noWrap w:val="0"/>
            <w:tcMar>
              <w:left w:w="108" w:type="dxa"/>
              <w:right w:w="108" w:type="dxa"/>
            </w:tcMar>
            <w:vAlign w:val="center"/>
          </w:tcPr>
          <w:p>
            <w:pPr>
              <w:pStyle w:val="5"/>
              <w:spacing w:line="360" w:lineRule="auto"/>
              <w:ind w:left="0" w:leftChars="0" w:firstLine="0" w:firstLineChars="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量</w:t>
            </w:r>
          </w:p>
        </w:tc>
        <w:tc>
          <w:tcPr>
            <w:tcW w:w="876" w:type="dxa"/>
            <w:noWrap w:val="0"/>
            <w:tcMar>
              <w:left w:w="108" w:type="dxa"/>
              <w:right w:w="108" w:type="dxa"/>
            </w:tcMar>
            <w:vAlign w:val="center"/>
          </w:tcPr>
          <w:p>
            <w:pPr>
              <w:pStyle w:val="5"/>
              <w:spacing w:line="360" w:lineRule="auto"/>
              <w:ind w:left="0" w:leftChars="0" w:firstLine="0" w:firstLineChars="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位</w:t>
            </w:r>
          </w:p>
        </w:tc>
        <w:tc>
          <w:tcPr>
            <w:tcW w:w="2167" w:type="dxa"/>
            <w:noWrap w:val="0"/>
            <w:tcMar>
              <w:left w:w="108" w:type="dxa"/>
              <w:right w:w="108" w:type="dxa"/>
            </w:tcMar>
            <w:vAlign w:val="center"/>
          </w:tcPr>
          <w:p>
            <w:pPr>
              <w:pStyle w:val="5"/>
              <w:spacing w:line="360" w:lineRule="auto"/>
              <w:ind w:left="0" w:leftChars="0" w:firstLine="0" w:firstLineChars="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单品目采购预算</w:t>
            </w:r>
          </w:p>
        </w:tc>
        <w:tc>
          <w:tcPr>
            <w:tcW w:w="2976" w:type="dxa"/>
            <w:noWrap w:val="0"/>
            <w:tcMar>
              <w:left w:w="108" w:type="dxa"/>
              <w:right w:w="108" w:type="dxa"/>
            </w:tcMar>
            <w:vAlign w:val="center"/>
          </w:tcPr>
          <w:p>
            <w:pPr>
              <w:pStyle w:val="5"/>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trPr>
        <w:tc>
          <w:tcPr>
            <w:tcW w:w="316" w:type="dxa"/>
            <w:noWrap w:val="0"/>
            <w:tcMar>
              <w:left w:w="108" w:type="dxa"/>
              <w:right w:w="108" w:type="dxa"/>
            </w:tcMar>
            <w:vAlign w:val="center"/>
          </w:tcPr>
          <w:p>
            <w:pPr>
              <w:pStyle w:val="5"/>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p>
        </w:tc>
        <w:tc>
          <w:tcPr>
            <w:tcW w:w="1743" w:type="dxa"/>
            <w:noWrap w:val="0"/>
            <w:tcMar>
              <w:left w:w="108" w:type="dxa"/>
              <w:right w:w="108" w:type="dxa"/>
            </w:tcMar>
            <w:vAlign w:val="center"/>
          </w:tcPr>
          <w:p>
            <w:pPr>
              <w:pStyle w:val="5"/>
              <w:spacing w:line="360" w:lineRule="auto"/>
              <w:ind w:left="0" w:leftChars="0" w:firstLine="0"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小型船舶</w:t>
            </w:r>
          </w:p>
        </w:tc>
        <w:tc>
          <w:tcPr>
            <w:tcW w:w="1151" w:type="dxa"/>
            <w:noWrap w:val="0"/>
            <w:tcMar>
              <w:left w:w="108" w:type="dxa"/>
              <w:right w:w="108" w:type="dxa"/>
            </w:tcMar>
            <w:vAlign w:val="center"/>
          </w:tcPr>
          <w:p>
            <w:pPr>
              <w:pStyle w:val="5"/>
              <w:spacing w:line="360" w:lineRule="auto"/>
              <w:ind w:left="0" w:leftChars="0" w:firstLine="0" w:firstLineChars="0"/>
              <w:jc w:val="center"/>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1350</w:t>
            </w:r>
          </w:p>
        </w:tc>
        <w:tc>
          <w:tcPr>
            <w:tcW w:w="876" w:type="dxa"/>
            <w:noWrap w:val="0"/>
            <w:tcMar>
              <w:left w:w="108" w:type="dxa"/>
              <w:right w:w="108" w:type="dxa"/>
            </w:tcMar>
            <w:vAlign w:val="center"/>
          </w:tcPr>
          <w:p>
            <w:pPr>
              <w:pStyle w:val="5"/>
              <w:spacing w:line="360" w:lineRule="auto"/>
              <w:ind w:left="0" w:leftChars="0" w:firstLine="0" w:firstLineChars="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艘</w:t>
            </w:r>
          </w:p>
        </w:tc>
        <w:tc>
          <w:tcPr>
            <w:tcW w:w="2167" w:type="dxa"/>
            <w:noWrap w:val="0"/>
            <w:tcMar>
              <w:left w:w="108" w:type="dxa"/>
              <w:right w:w="108" w:type="dxa"/>
            </w:tcMar>
            <w:vAlign w:val="center"/>
          </w:tcPr>
          <w:p>
            <w:pPr>
              <w:pStyle w:val="5"/>
              <w:spacing w:line="360" w:lineRule="auto"/>
              <w:ind w:left="0" w:leftChars="0" w:firstLine="0" w:firstLineChars="0"/>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750</w:t>
            </w:r>
            <w:r>
              <w:rPr>
                <w:color w:val="000000" w:themeColor="text1"/>
                <w:sz w:val="24"/>
                <w:szCs w:val="24"/>
                <w14:textFill>
                  <w14:solidFill>
                    <w14:schemeClr w14:val="tx1"/>
                  </w14:solidFill>
                </w14:textFill>
              </w:rPr>
              <w:t>元/艘/次</w:t>
            </w:r>
          </w:p>
        </w:tc>
        <w:tc>
          <w:tcPr>
            <w:tcW w:w="2976" w:type="dxa"/>
            <w:noWrap w:val="0"/>
            <w:tcMar>
              <w:left w:w="108" w:type="dxa"/>
              <w:right w:w="108" w:type="dxa"/>
            </w:tcMar>
            <w:vAlign w:val="center"/>
          </w:tcPr>
          <w:p>
            <w:pPr>
              <w:pStyle w:val="5"/>
              <w:spacing w:line="360" w:lineRule="auto"/>
              <w:ind w:left="0" w:leftChars="0" w:firstLine="0"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数量为暂估算数量，结算时根据实际数量结算。报价人按照此估算数量计算总价。</w:t>
            </w:r>
          </w:p>
        </w:tc>
      </w:tr>
    </w:tbl>
    <w:p>
      <w:pPr>
        <w:pStyle w:val="5"/>
        <w:spacing w:line="360" w:lineRule="auto"/>
        <w:rPr>
          <w:sz w:val="24"/>
          <w:szCs w:val="24"/>
        </w:rPr>
      </w:pPr>
    </w:p>
    <w:p>
      <w:pPr>
        <w:pStyle w:val="5"/>
        <w:spacing w:line="360" w:lineRule="auto"/>
        <w:ind w:left="480" w:leftChars="200" w:firstLine="0" w:firstLineChars="0"/>
        <w:rPr>
          <w:sz w:val="24"/>
          <w:szCs w:val="24"/>
        </w:rPr>
      </w:pPr>
    </w:p>
    <w:p>
      <w:pPr>
        <w:pStyle w:val="5"/>
        <w:spacing w:line="360" w:lineRule="auto"/>
        <w:ind w:left="480" w:leftChars="200" w:firstLine="0" w:firstLineChars="0"/>
        <w:rPr>
          <w:sz w:val="24"/>
          <w:szCs w:val="24"/>
        </w:rPr>
      </w:pPr>
      <w:r>
        <w:rPr>
          <w:sz w:val="24"/>
          <w:szCs w:val="24"/>
        </w:rPr>
        <w:t>说明：</w:t>
      </w:r>
      <w:r>
        <w:rPr>
          <w:rFonts w:hint="eastAsia"/>
          <w:sz w:val="24"/>
          <w:szCs w:val="24"/>
          <w:lang w:val="en-US" w:eastAsia="zh-CN"/>
        </w:rPr>
        <w:t xml:space="preserve"> </w:t>
      </w:r>
      <w:r>
        <w:rPr>
          <w:sz w:val="24"/>
          <w:szCs w:val="24"/>
        </w:rPr>
        <w:t>1.供应商报价应包含渔船检验、报告编制、渔船</w:t>
      </w:r>
      <w:r>
        <w:rPr>
          <w:rFonts w:hint="eastAsia"/>
          <w:sz w:val="24"/>
          <w:szCs w:val="24"/>
        </w:rPr>
        <w:t>停靠费、</w:t>
      </w:r>
      <w:r>
        <w:rPr>
          <w:sz w:val="24"/>
          <w:szCs w:val="24"/>
        </w:rPr>
        <w:t>人工、保险、税费等完该项目的所有费用。</w:t>
      </w:r>
    </w:p>
    <w:p>
      <w:pPr>
        <w:pStyle w:val="5"/>
        <w:spacing w:line="360" w:lineRule="auto"/>
        <w:ind w:left="480" w:leftChars="200" w:firstLine="480" w:firstLineChars="200"/>
        <w:rPr>
          <w:sz w:val="24"/>
          <w:szCs w:val="24"/>
        </w:rPr>
      </w:pPr>
      <w:r>
        <w:rPr>
          <w:sz w:val="24"/>
          <w:szCs w:val="24"/>
        </w:rPr>
        <w:t>2.</w:t>
      </w:r>
      <w:r>
        <w:rPr>
          <w:rFonts w:hint="eastAsia"/>
          <w:sz w:val="24"/>
          <w:szCs w:val="24"/>
        </w:rPr>
        <w:t xml:space="preserve"> 超过项目预算或</w:t>
      </w:r>
      <w:r>
        <w:rPr>
          <w:sz w:val="24"/>
          <w:szCs w:val="24"/>
        </w:rPr>
        <w:t>单品目采购</w:t>
      </w:r>
      <w:r>
        <w:rPr>
          <w:rFonts w:hint="eastAsia"/>
          <w:sz w:val="24"/>
          <w:szCs w:val="24"/>
        </w:rPr>
        <w:t>预算的响应文件均按无效投标处理</w:t>
      </w:r>
      <w:r>
        <w:rPr>
          <w:sz w:val="24"/>
          <w:szCs w:val="24"/>
        </w:rPr>
        <w:t>。</w:t>
      </w:r>
    </w:p>
    <w:p>
      <w:pPr>
        <w:pStyle w:val="5"/>
        <w:spacing w:line="360" w:lineRule="auto"/>
        <w:ind w:left="480" w:leftChars="200"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3</w:t>
      </w:r>
      <w:r>
        <w:rPr>
          <w:color w:val="000000" w:themeColor="text1"/>
          <w:sz w:val="24"/>
          <w:szCs w:val="24"/>
          <w14:textFill>
            <w14:solidFill>
              <w14:schemeClr w14:val="tx1"/>
            </w14:solidFill>
          </w14:textFill>
        </w:rPr>
        <w:t>、人员要求：</w:t>
      </w:r>
      <w:r>
        <w:rPr>
          <w:rFonts w:hint="eastAsia"/>
          <w:color w:val="000000" w:themeColor="text1"/>
          <w:sz w:val="24"/>
          <w:szCs w:val="24"/>
          <w14:textFill>
            <w14:solidFill>
              <w14:schemeClr w14:val="tx1"/>
            </w14:solidFill>
          </w14:textFill>
        </w:rPr>
        <w:t>人员配备须符合《渔业船舶检验管理规定》。根据文昌市渔船数量、吨位、分布等实际情况，按照采购人要求遣派相应的验船师、验船员及与船舶技术相关的技术人员。</w:t>
      </w:r>
    </w:p>
    <w:p>
      <w:pPr>
        <w:pStyle w:val="5"/>
        <w:spacing w:line="360" w:lineRule="auto"/>
        <w:ind w:left="480" w:leftChars="200" w:firstLine="480" w:firstLineChars="200"/>
        <w:rPr>
          <w:sz w:val="24"/>
          <w:szCs w:val="24"/>
        </w:rPr>
      </w:pPr>
      <w:r>
        <w:rPr>
          <w:rFonts w:hint="eastAsia"/>
          <w:sz w:val="24"/>
          <w:szCs w:val="24"/>
          <w:lang w:val="en-US" w:eastAsia="zh-CN"/>
        </w:rPr>
        <w:t>4</w:t>
      </w:r>
      <w:r>
        <w:rPr>
          <w:sz w:val="24"/>
          <w:szCs w:val="24"/>
        </w:rPr>
        <w:t>、工作场所：供应商须承诺成交后设置固定的办公场所及办公设施(包含相关检验检测设备，档案柜，检验规则、规范、船舶标准资料等)。(须提供承诺函原件)</w:t>
      </w:r>
    </w:p>
    <w:p>
      <w:pPr>
        <w:spacing w:line="360" w:lineRule="auto"/>
        <w:ind w:left="480" w:leftChars="200" w:firstLine="480" w:firstLineChars="200"/>
        <w:rPr>
          <w:sz w:val="24"/>
          <w:szCs w:val="24"/>
        </w:rPr>
      </w:pPr>
      <w:r>
        <w:rPr>
          <w:rFonts w:hint="eastAsia"/>
          <w:sz w:val="24"/>
          <w:szCs w:val="24"/>
          <w:lang w:val="en-US" w:eastAsia="zh-CN"/>
        </w:rPr>
        <w:t>5</w:t>
      </w:r>
      <w:r>
        <w:rPr>
          <w:sz w:val="24"/>
          <w:szCs w:val="24"/>
        </w:rPr>
        <w:t>、项目实施流程：</w:t>
      </w:r>
      <w:r>
        <w:rPr>
          <w:rFonts w:hint="eastAsia" w:ascii="宋体" w:hAnsi="宋体" w:cs="宋体"/>
        </w:rPr>
        <w:t>成交人接受采购人管理部门的委托负责渔业船舶营运检验申请的受理和开展现场检验工作，</w:t>
      </w:r>
      <w:r>
        <w:rPr>
          <w:rFonts w:hint="eastAsia" w:ascii="宋体" w:hAnsi="宋体" w:cs="宋体"/>
          <w:b/>
          <w:bCs/>
          <w:u w:val="single"/>
        </w:rPr>
        <w:t>现场检验按照根据《中华人民共和国海南渔业船舶检验中心关于做好2019年渔业船舶检验“检管分离”改革试点工作的通知》（琼渔检〔2018〕44号）文件要求、《渔业船舶法定检验规则》、《渔业船舶检验指南》、中华人民共和国海事局《国内海洋小型渔船法定检验技术规则（2019）》和《海南省渔业船舶检验检管分离改革试点管理暂行规定》等相关检验技术法规要求，出具《渔业船舶安全环保技术状况声明及检测报告审查记录表》及《渔业船舶现场检验记录表》。</w:t>
      </w:r>
      <w:r>
        <w:rPr>
          <w:rFonts w:hint="eastAsia" w:ascii="宋体" w:hAnsi="宋体" w:cs="宋体"/>
        </w:rPr>
        <w:t>检验合格后出具法定检验报告(检验不合格的下达整改通知书，整改后，再次检验合格出具法定检验报告)。</w:t>
      </w:r>
    </w:p>
    <w:p>
      <w:pPr>
        <w:pStyle w:val="5"/>
        <w:spacing w:line="360" w:lineRule="auto"/>
        <w:rPr>
          <w:sz w:val="24"/>
          <w:szCs w:val="24"/>
        </w:rPr>
      </w:pPr>
      <w:r>
        <w:rPr>
          <w:rFonts w:hint="eastAsia"/>
          <w:sz w:val="24"/>
          <w:szCs w:val="24"/>
          <w:lang w:val="en-US" w:eastAsia="zh-CN"/>
        </w:rPr>
        <w:t>5</w:t>
      </w:r>
      <w:r>
        <w:rPr>
          <w:sz w:val="24"/>
          <w:szCs w:val="24"/>
        </w:rPr>
        <w:t>.1运行阶段</w:t>
      </w:r>
    </w:p>
    <w:p>
      <w:pPr>
        <w:pStyle w:val="5"/>
        <w:spacing w:line="360" w:lineRule="auto"/>
        <w:rPr>
          <w:sz w:val="24"/>
          <w:szCs w:val="24"/>
        </w:rPr>
      </w:pPr>
      <w:r>
        <w:rPr>
          <w:sz w:val="24"/>
          <w:szCs w:val="24"/>
        </w:rPr>
        <w:t>供应商渔</w:t>
      </w:r>
      <w:r>
        <w:rPr>
          <w:rFonts w:hint="eastAsia"/>
          <w:sz w:val="24"/>
          <w:szCs w:val="24"/>
        </w:rPr>
        <w:t>业</w:t>
      </w:r>
      <w:r>
        <w:rPr>
          <w:sz w:val="24"/>
          <w:szCs w:val="24"/>
        </w:rPr>
        <w:t>船</w:t>
      </w:r>
      <w:r>
        <w:rPr>
          <w:rFonts w:hint="eastAsia"/>
          <w:sz w:val="24"/>
          <w:szCs w:val="24"/>
        </w:rPr>
        <w:t>舶</w:t>
      </w:r>
      <w:r>
        <w:rPr>
          <w:sz w:val="24"/>
          <w:szCs w:val="24"/>
        </w:rPr>
        <w:t>检验应具备较为完善的法律和政策保障后，供应商营运渔</w:t>
      </w:r>
      <w:r>
        <w:rPr>
          <w:rFonts w:hint="eastAsia"/>
          <w:sz w:val="24"/>
          <w:szCs w:val="24"/>
        </w:rPr>
        <w:t>业</w:t>
      </w:r>
      <w:r>
        <w:rPr>
          <w:sz w:val="24"/>
          <w:szCs w:val="24"/>
        </w:rPr>
        <w:t>船</w:t>
      </w:r>
      <w:r>
        <w:rPr>
          <w:rFonts w:hint="eastAsia"/>
          <w:sz w:val="24"/>
          <w:szCs w:val="24"/>
        </w:rPr>
        <w:t>舶</w:t>
      </w:r>
      <w:r>
        <w:rPr>
          <w:sz w:val="24"/>
          <w:szCs w:val="24"/>
        </w:rPr>
        <w:t>检验工作开始常态化运行，采购人管理部门不定期开展检验质量抽查。</w:t>
      </w:r>
    </w:p>
    <w:p>
      <w:pPr>
        <w:pStyle w:val="5"/>
        <w:spacing w:line="360" w:lineRule="auto"/>
        <w:rPr>
          <w:sz w:val="24"/>
          <w:szCs w:val="24"/>
        </w:rPr>
      </w:pPr>
      <w:r>
        <w:rPr>
          <w:rFonts w:hint="eastAsia"/>
          <w:sz w:val="24"/>
          <w:szCs w:val="24"/>
          <w:lang w:val="en-US" w:eastAsia="zh-CN"/>
        </w:rPr>
        <w:t>5</w:t>
      </w:r>
      <w:r>
        <w:rPr>
          <w:sz w:val="24"/>
          <w:szCs w:val="24"/>
        </w:rPr>
        <w:t>.2评估与总结阶段</w:t>
      </w:r>
    </w:p>
    <w:p>
      <w:pPr>
        <w:pStyle w:val="5"/>
        <w:spacing w:line="360" w:lineRule="auto"/>
        <w:rPr>
          <w:sz w:val="24"/>
          <w:szCs w:val="24"/>
        </w:rPr>
      </w:pPr>
      <w:r>
        <w:rPr>
          <w:sz w:val="24"/>
          <w:szCs w:val="24"/>
        </w:rPr>
        <w:t>对试点工作情况进行考核评估，全面考核供应商运行阶段的工作质量，评估供应商服务渔船检验改革试点是否达到预期目的。</w:t>
      </w:r>
    </w:p>
    <w:p>
      <w:pPr>
        <w:pStyle w:val="5"/>
        <w:spacing w:line="360" w:lineRule="auto"/>
        <w:rPr>
          <w:sz w:val="24"/>
          <w:szCs w:val="24"/>
        </w:rPr>
      </w:pPr>
      <w:r>
        <w:rPr>
          <w:rFonts w:hint="eastAsia"/>
          <w:sz w:val="24"/>
          <w:szCs w:val="24"/>
          <w:lang w:val="en-US" w:eastAsia="zh-CN"/>
        </w:rPr>
        <w:t>6</w:t>
      </w:r>
      <w:r>
        <w:rPr>
          <w:sz w:val="24"/>
          <w:szCs w:val="24"/>
        </w:rPr>
        <w:t>、提交成果要求：</w:t>
      </w:r>
    </w:p>
    <w:p>
      <w:pPr>
        <w:pStyle w:val="5"/>
        <w:spacing w:line="360" w:lineRule="auto"/>
        <w:rPr>
          <w:sz w:val="24"/>
          <w:szCs w:val="24"/>
        </w:rPr>
      </w:pPr>
      <w:r>
        <w:rPr>
          <w:rFonts w:hint="eastAsia"/>
          <w:sz w:val="24"/>
          <w:szCs w:val="24"/>
          <w:lang w:val="en-US" w:eastAsia="zh-CN"/>
        </w:rPr>
        <w:t>6</w:t>
      </w:r>
      <w:r>
        <w:rPr>
          <w:sz w:val="24"/>
          <w:szCs w:val="24"/>
        </w:rPr>
        <w:t>.1供应商应当根据《国内海洋小型渔船法定检验技术规则(2019)》、《国内海洋渔业船舶法定检验规则(2019)》、《海南省渔业船舶检验检管分离改革试点管理暂行规定》及其他相关规定编制检验报告。</w:t>
      </w:r>
    </w:p>
    <w:p>
      <w:pPr>
        <w:pStyle w:val="5"/>
        <w:spacing w:line="360" w:lineRule="auto"/>
        <w:rPr>
          <w:sz w:val="24"/>
          <w:szCs w:val="24"/>
        </w:rPr>
      </w:pPr>
      <w:r>
        <w:rPr>
          <w:rFonts w:hint="eastAsia"/>
          <w:sz w:val="24"/>
          <w:szCs w:val="24"/>
          <w:lang w:val="en-US" w:eastAsia="zh-CN"/>
        </w:rPr>
        <w:t>6</w:t>
      </w:r>
      <w:r>
        <w:rPr>
          <w:sz w:val="24"/>
          <w:szCs w:val="24"/>
        </w:rPr>
        <w:t>.2采购人管理部门和供应商总结试点工作经验，建立和完善相关工作机制，共同完成渔船检验机构检验体制改革的总结报告，形成改革成果。</w:t>
      </w:r>
    </w:p>
    <w:p>
      <w:pPr>
        <w:pStyle w:val="5"/>
        <w:spacing w:line="360" w:lineRule="auto"/>
        <w:ind w:left="0" w:leftChars="0" w:firstLine="960" w:firstLineChars="400"/>
        <w:rPr>
          <w:sz w:val="24"/>
          <w:szCs w:val="24"/>
        </w:rPr>
      </w:pPr>
      <w:r>
        <w:rPr>
          <w:rFonts w:hint="eastAsia"/>
          <w:sz w:val="24"/>
          <w:szCs w:val="24"/>
          <w:lang w:val="en-US" w:eastAsia="zh-CN"/>
        </w:rPr>
        <w:t>7</w:t>
      </w:r>
      <w:r>
        <w:rPr>
          <w:sz w:val="24"/>
          <w:szCs w:val="24"/>
        </w:rPr>
        <w:t>、服务时间、地点：</w:t>
      </w:r>
    </w:p>
    <w:p>
      <w:pPr>
        <w:ind w:firstLine="960" w:firstLineChars="400"/>
        <w:rPr>
          <w:rFonts w:hint="eastAsia"/>
          <w:color w:val="000000" w:themeColor="text1"/>
          <w:sz w:val="24"/>
          <w:szCs w:val="24"/>
          <w:lang w:val="en-US" w:eastAsia="zh-CN"/>
          <w14:textFill>
            <w14:solidFill>
              <w14:schemeClr w14:val="tx1"/>
            </w14:solidFill>
          </w14:textFill>
        </w:rPr>
      </w:pPr>
      <w:bookmarkStart w:id="5" w:name="_GoBack"/>
      <w:r>
        <w:rPr>
          <w:rFonts w:hint="eastAsia"/>
          <w:color w:val="000000" w:themeColor="text1"/>
          <w:sz w:val="24"/>
          <w:szCs w:val="24"/>
          <w:lang w:val="en-US" w:eastAsia="zh-CN"/>
          <w14:textFill>
            <w14:solidFill>
              <w14:schemeClr w14:val="tx1"/>
            </w14:solidFill>
          </w14:textFill>
        </w:rPr>
        <w:t>7</w:t>
      </w:r>
      <w:r>
        <w:rPr>
          <w:color w:val="000000" w:themeColor="text1"/>
          <w:sz w:val="24"/>
          <w:szCs w:val="24"/>
          <w14:textFill>
            <w14:solidFill>
              <w14:schemeClr w14:val="tx1"/>
            </w14:solidFill>
          </w14:textFill>
        </w:rPr>
        <w:t>.1服务时间</w:t>
      </w:r>
      <w:r>
        <w:rPr>
          <w:rFonts w:hint="eastAsia"/>
          <w:color w:val="000000" w:themeColor="text1"/>
          <w:sz w:val="24"/>
          <w:szCs w:val="24"/>
          <w14:textFill>
            <w14:solidFill>
              <w14:schemeClr w14:val="tx1"/>
            </w14:solidFill>
          </w14:textFill>
        </w:rPr>
        <w:t>（服务期）</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自签订合同之日起5个月内</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 xml:space="preserve"> </w:t>
      </w:r>
    </w:p>
    <w:p>
      <w:pPr>
        <w:pStyle w:val="5"/>
        <w:spacing w:line="360" w:lineRule="auto"/>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7</w:t>
      </w:r>
      <w:r>
        <w:rPr>
          <w:color w:val="000000" w:themeColor="text1"/>
          <w:sz w:val="24"/>
          <w:szCs w:val="24"/>
          <w14:textFill>
            <w14:solidFill>
              <w14:schemeClr w14:val="tx1"/>
            </w14:solidFill>
          </w14:textFill>
        </w:rPr>
        <w:t>.2服务地点：</w:t>
      </w:r>
      <w:r>
        <w:rPr>
          <w:rFonts w:hint="eastAsia"/>
          <w:color w:val="000000" w:themeColor="text1"/>
          <w:sz w:val="24"/>
          <w:szCs w:val="24"/>
          <w:lang w:val="en-US" w:eastAsia="zh-CN"/>
          <w14:textFill>
            <w14:solidFill>
              <w14:schemeClr w14:val="tx1"/>
            </w14:solidFill>
          </w14:textFill>
        </w:rPr>
        <w:t>文昌市</w:t>
      </w:r>
      <w:r>
        <w:rPr>
          <w:color w:val="000000" w:themeColor="text1"/>
          <w:sz w:val="24"/>
          <w:szCs w:val="24"/>
          <w14:textFill>
            <w14:solidFill>
              <w14:schemeClr w14:val="tx1"/>
            </w14:solidFill>
          </w14:textFill>
        </w:rPr>
        <w:t>及海南省内各港口。</w:t>
      </w:r>
    </w:p>
    <w:bookmarkEnd w:id="5"/>
    <w:p>
      <w:pPr>
        <w:pStyle w:val="5"/>
        <w:spacing w:line="360" w:lineRule="auto"/>
        <w:rPr>
          <w:sz w:val="24"/>
          <w:szCs w:val="24"/>
        </w:rPr>
      </w:pPr>
      <w:r>
        <w:rPr>
          <w:rFonts w:hint="eastAsia"/>
          <w:sz w:val="24"/>
          <w:szCs w:val="24"/>
          <w:lang w:val="en-US" w:eastAsia="zh-CN"/>
        </w:rPr>
        <w:t>8</w:t>
      </w:r>
      <w:r>
        <w:rPr>
          <w:sz w:val="24"/>
          <w:szCs w:val="24"/>
        </w:rPr>
        <w:t>、付款方式：根据实际检验渔船数量计算</w:t>
      </w:r>
      <w:r>
        <w:rPr>
          <w:rFonts w:hint="eastAsia"/>
          <w:sz w:val="24"/>
          <w:szCs w:val="24"/>
        </w:rPr>
        <w:t>（每艘渔业船舶只计一次费用）</w:t>
      </w:r>
      <w:r>
        <w:rPr>
          <w:sz w:val="24"/>
          <w:szCs w:val="24"/>
        </w:rPr>
        <w:t>，按</w:t>
      </w:r>
      <w:r>
        <w:rPr>
          <w:rFonts w:hint="eastAsia"/>
          <w:sz w:val="24"/>
          <w:szCs w:val="24"/>
          <w:lang w:val="en-US" w:eastAsia="zh-CN"/>
        </w:rPr>
        <w:t>进度</w:t>
      </w:r>
      <w:r>
        <w:rPr>
          <w:sz w:val="24"/>
          <w:szCs w:val="24"/>
        </w:rPr>
        <w:t>结算。</w:t>
      </w:r>
    </w:p>
    <w:p>
      <w:pPr>
        <w:pStyle w:val="5"/>
        <w:spacing w:line="360" w:lineRule="auto"/>
        <w:rPr>
          <w:sz w:val="24"/>
          <w:szCs w:val="24"/>
        </w:rPr>
      </w:pPr>
      <w:r>
        <w:rPr>
          <w:rFonts w:hint="eastAsia"/>
          <w:sz w:val="24"/>
          <w:szCs w:val="24"/>
          <w:lang w:val="en-US" w:eastAsia="zh-CN"/>
        </w:rPr>
        <w:t>9</w:t>
      </w:r>
      <w:r>
        <w:rPr>
          <w:sz w:val="24"/>
          <w:szCs w:val="24"/>
        </w:rPr>
        <w:t>、验收： 由采购人管理部门组织，供应商配合进行。</w:t>
      </w:r>
    </w:p>
    <w:p>
      <w:pPr>
        <w:pStyle w:val="5"/>
        <w:spacing w:line="360" w:lineRule="auto"/>
        <w:rPr>
          <w:sz w:val="24"/>
          <w:szCs w:val="24"/>
        </w:rPr>
      </w:pPr>
      <w:r>
        <w:rPr>
          <w:rFonts w:hint="eastAsia"/>
          <w:sz w:val="24"/>
          <w:szCs w:val="24"/>
        </w:rPr>
        <w:t>四、其他要求</w:t>
      </w:r>
    </w:p>
    <w:p>
      <w:pPr>
        <w:pStyle w:val="5"/>
        <w:spacing w:line="360" w:lineRule="auto"/>
        <w:rPr>
          <w:sz w:val="24"/>
          <w:szCs w:val="24"/>
        </w:rPr>
      </w:pPr>
      <w:r>
        <w:rPr>
          <w:rFonts w:hint="eastAsia"/>
          <w:sz w:val="24"/>
          <w:szCs w:val="24"/>
        </w:rPr>
        <w:t>1</w:t>
      </w:r>
      <w:r>
        <w:rPr>
          <w:sz w:val="24"/>
          <w:szCs w:val="24"/>
        </w:rPr>
        <w:t>、</w:t>
      </w:r>
      <w:r>
        <w:rPr>
          <w:rFonts w:hint="eastAsia"/>
          <w:sz w:val="24"/>
          <w:szCs w:val="24"/>
        </w:rPr>
        <w:t>本项目检测所需的专业技术设备由</w:t>
      </w:r>
      <w:r>
        <w:rPr>
          <w:rFonts w:hint="eastAsia"/>
          <w:sz w:val="24"/>
          <w:szCs w:val="24"/>
          <w:lang w:val="en-US" w:eastAsia="zh-CN"/>
        </w:rPr>
        <w:t>成交</w:t>
      </w:r>
      <w:r>
        <w:rPr>
          <w:rFonts w:hint="eastAsia"/>
          <w:sz w:val="24"/>
          <w:szCs w:val="24"/>
        </w:rPr>
        <w:t>人提供。</w:t>
      </w:r>
    </w:p>
    <w:p>
      <w:pPr>
        <w:pStyle w:val="5"/>
        <w:spacing w:line="360" w:lineRule="auto"/>
        <w:rPr>
          <w:sz w:val="24"/>
          <w:szCs w:val="24"/>
        </w:rPr>
      </w:pPr>
      <w:r>
        <w:rPr>
          <w:rFonts w:hint="eastAsia"/>
          <w:sz w:val="24"/>
          <w:szCs w:val="24"/>
        </w:rPr>
        <w:t>2、本项目检测所需的船舶停靠场地由</w:t>
      </w:r>
      <w:r>
        <w:rPr>
          <w:rFonts w:hint="eastAsia"/>
          <w:sz w:val="24"/>
          <w:szCs w:val="24"/>
          <w:lang w:val="en-US" w:eastAsia="zh-CN"/>
        </w:rPr>
        <w:t>成交</w:t>
      </w:r>
      <w:r>
        <w:rPr>
          <w:rFonts w:hint="eastAsia"/>
          <w:sz w:val="24"/>
          <w:szCs w:val="24"/>
        </w:rPr>
        <w:t>人提供。</w:t>
      </w:r>
    </w:p>
    <w:p>
      <w:pPr>
        <w:pStyle w:val="5"/>
        <w:spacing w:line="360" w:lineRule="auto"/>
        <w:rPr>
          <w:sz w:val="24"/>
          <w:szCs w:val="24"/>
        </w:rPr>
      </w:pPr>
      <w:r>
        <w:rPr>
          <w:rFonts w:hint="eastAsia"/>
          <w:sz w:val="24"/>
          <w:szCs w:val="24"/>
        </w:rPr>
        <w:t>3、</w:t>
      </w:r>
      <w:r>
        <w:rPr>
          <w:rFonts w:hint="eastAsia"/>
          <w:sz w:val="24"/>
          <w:szCs w:val="24"/>
          <w:lang w:val="en-US" w:eastAsia="zh-CN"/>
        </w:rPr>
        <w:t>成交</w:t>
      </w:r>
      <w:r>
        <w:rPr>
          <w:rFonts w:hint="eastAsia"/>
          <w:sz w:val="24"/>
          <w:szCs w:val="24"/>
        </w:rPr>
        <w:t>人对所检渔船进行</w:t>
      </w:r>
      <w:r>
        <w:rPr>
          <w:rFonts w:hint="eastAsia"/>
          <w:sz w:val="24"/>
          <w:szCs w:val="24"/>
          <w:lang w:val="en-US" w:eastAsia="zh-CN"/>
        </w:rPr>
        <w:t>左侧或</w:t>
      </w:r>
      <w:r>
        <w:rPr>
          <w:rFonts w:hint="eastAsia"/>
          <w:sz w:val="24"/>
          <w:szCs w:val="24"/>
        </w:rPr>
        <w:t>右侧拍照并刻录光盘保存。</w:t>
      </w:r>
    </w:p>
    <w:p>
      <w:pPr>
        <w:pStyle w:val="5"/>
        <w:spacing w:line="360" w:lineRule="auto"/>
        <w:rPr>
          <w:sz w:val="24"/>
          <w:szCs w:val="24"/>
        </w:rPr>
      </w:pPr>
      <w:r>
        <w:rPr>
          <w:rFonts w:hint="eastAsia"/>
          <w:sz w:val="24"/>
          <w:szCs w:val="24"/>
        </w:rPr>
        <w:t>4、成交人要保持同采购人的密切联系，遇有重大事项及时报告和反馈信息，尊重项目业主方的意见，接受项目业主方的提议、监督和指导。</w:t>
      </w:r>
    </w:p>
    <w:p>
      <w:pPr>
        <w:pStyle w:val="5"/>
        <w:spacing w:line="360" w:lineRule="auto"/>
        <w:rPr>
          <w:rFonts w:hint="eastAsia"/>
          <w:sz w:val="24"/>
          <w:szCs w:val="24"/>
        </w:rPr>
      </w:pPr>
      <w:r>
        <w:rPr>
          <w:rFonts w:hint="eastAsia"/>
          <w:sz w:val="24"/>
          <w:szCs w:val="24"/>
        </w:rPr>
        <w:t>5、</w:t>
      </w:r>
      <w:r>
        <w:rPr>
          <w:sz w:val="24"/>
          <w:szCs w:val="24"/>
        </w:rPr>
        <w:t>在</w:t>
      </w:r>
      <w:r>
        <w:rPr>
          <w:rFonts w:hint="eastAsia"/>
          <w:sz w:val="24"/>
          <w:szCs w:val="24"/>
        </w:rPr>
        <w:t>成交结果</w:t>
      </w:r>
      <w:r>
        <w:rPr>
          <w:sz w:val="24"/>
          <w:szCs w:val="24"/>
        </w:rPr>
        <w:t>公示期间，采购人有权对</w:t>
      </w:r>
      <w:r>
        <w:rPr>
          <w:rFonts w:hint="eastAsia"/>
          <w:sz w:val="24"/>
          <w:szCs w:val="24"/>
        </w:rPr>
        <w:t>成交</w:t>
      </w:r>
      <w:r>
        <w:rPr>
          <w:sz w:val="24"/>
          <w:szCs w:val="24"/>
        </w:rPr>
        <w:t>候选人的资质证书等进行核查，如发现与其响应文件中的描述不一，代理机构将报政府采购主管部门严肃处理。</w:t>
      </w:r>
    </w:p>
    <w:p>
      <w:pPr>
        <w:pStyle w:val="2"/>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xMGY3ZmI4NzRiODNkZGE2NzNhNTRiZDkyNzYwNzIifQ=="/>
  </w:docVars>
  <w:rsids>
    <w:rsidRoot w:val="00000000"/>
    <w:rsid w:val="0FB14E79"/>
    <w:rsid w:val="6F290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before="120" w:after="120" w:line="360" w:lineRule="auto"/>
      <w:jc w:val="center"/>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kern w:val="0"/>
    </w:rPr>
  </w:style>
  <w:style w:type="paragraph" w:styleId="4">
    <w:name w:val="Body Text Indent"/>
    <w:basedOn w:val="1"/>
    <w:uiPriority w:val="0"/>
    <w:pPr>
      <w:spacing w:line="480" w:lineRule="auto"/>
      <w:ind w:firstLine="560" w:firstLineChars="200"/>
    </w:pPr>
    <w:rPr>
      <w:kern w:val="0"/>
    </w:rPr>
  </w:style>
  <w:style w:type="paragraph" w:styleId="5">
    <w:name w:val="Body Text First Indent 2"/>
    <w:basedOn w:val="4"/>
    <w:qFormat/>
    <w:uiPriority w:val="0"/>
    <w:pPr>
      <w:autoSpaceDE/>
      <w:autoSpaceDN/>
      <w:spacing w:after="120" w:line="240" w:lineRule="auto"/>
      <w:ind w:left="420" w:leftChars="200" w:firstLine="420" w:firstLineChars="200"/>
    </w:pPr>
    <w:rPr>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1470</Words>
  <Characters>1516</Characters>
  <Lines>0</Lines>
  <Paragraphs>0</Paragraphs>
  <TotalTime>1</TotalTime>
  <ScaleCrop>false</ScaleCrop>
  <LinksUpToDate>false</LinksUpToDate>
  <CharactersWithSpaces>1521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2023-03-09T10:33:00Z</dcterms:created>
  <dc:creator>NING MEI</dc:creator>
  <cp:lastModifiedBy>WPS_1563767880</cp:lastModifiedBy>
  <dcterms:modified xsi:type="dcterms:W3CDTF">2023-03-09T11:11:36Z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7E92D124393B49FC9F9D2ED81BED1EBE</vt:lpwstr>
  </property>
</Properties>
</file>