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after="156" w:afterLines="50"/>
        <w:jc w:val="center"/>
        <w:outlineLvl w:val="0"/>
        <w:rPr>
          <w:rFonts w:ascii="仿宋" w:hAnsi="仿宋" w:eastAsia="仿宋" w:cs="仿宋"/>
          <w:b/>
          <w:bCs/>
          <w:kern w:val="0"/>
          <w:sz w:val="32"/>
          <w:szCs w:val="32"/>
        </w:rPr>
      </w:pPr>
      <w:r>
        <w:rPr>
          <w:rFonts w:hint="eastAsia" w:ascii="仿宋" w:hAnsi="仿宋" w:eastAsia="仿宋" w:cs="仿宋"/>
          <w:b/>
          <w:bCs/>
          <w:kern w:val="0"/>
          <w:sz w:val="32"/>
          <w:szCs w:val="32"/>
        </w:rPr>
        <w:t>采购需求</w:t>
      </w:r>
    </w:p>
    <w:p>
      <w:pPr>
        <w:spacing w:line="580" w:lineRule="exact"/>
        <w:rPr>
          <w:rFonts w:ascii="仿宋" w:hAnsi="仿宋" w:eastAsia="仿宋" w:cs="仿宋"/>
          <w:b/>
          <w:bCs/>
          <w:sz w:val="44"/>
          <w:szCs w:val="44"/>
        </w:rPr>
      </w:pPr>
    </w:p>
    <w:p>
      <w:pPr>
        <w:numPr>
          <w:ilvl w:val="0"/>
          <w:numId w:val="1"/>
        </w:numPr>
        <w:spacing w:before="156" w:beforeLines="50" w:line="360" w:lineRule="auto"/>
        <w:ind w:right="57"/>
        <w:outlineLvl w:val="0"/>
        <w:rPr>
          <w:rStyle w:val="11"/>
          <w:rFonts w:ascii="仿宋" w:hAnsi="仿宋" w:eastAsia="仿宋" w:cs="仿宋"/>
          <w:sz w:val="24"/>
        </w:rPr>
      </w:pPr>
      <w:bookmarkStart w:id="0" w:name="_Toc3733"/>
      <w:r>
        <w:rPr>
          <w:rStyle w:val="11"/>
          <w:rFonts w:hint="eastAsia" w:ascii="仿宋" w:hAnsi="仿宋" w:eastAsia="仿宋" w:cs="仿宋"/>
          <w:sz w:val="24"/>
        </w:rPr>
        <w:t>项目概况</w:t>
      </w:r>
      <w:bookmarkEnd w:id="0"/>
    </w:p>
    <w:p>
      <w:pPr>
        <w:numPr>
          <w:ilvl w:val="0"/>
          <w:numId w:val="2"/>
        </w:numPr>
        <w:tabs>
          <w:tab w:val="left" w:pos="420"/>
          <w:tab w:val="clear" w:pos="780"/>
        </w:tabs>
        <w:spacing w:line="360" w:lineRule="auto"/>
        <w:ind w:left="573"/>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lang w:val="en-US" w:eastAsia="zh-CN"/>
        </w:rPr>
        <w:t>2023</w:t>
      </w:r>
      <w:r>
        <w:rPr>
          <w:rFonts w:hint="eastAsia" w:ascii="仿宋" w:hAnsi="仿宋" w:eastAsia="仿宋" w:cs="仿宋"/>
          <w:sz w:val="24"/>
        </w:rPr>
        <w:t>年度协征员劳务外包服务</w:t>
      </w:r>
    </w:p>
    <w:p>
      <w:pPr>
        <w:numPr>
          <w:ilvl w:val="0"/>
          <w:numId w:val="2"/>
        </w:numPr>
        <w:tabs>
          <w:tab w:val="clear" w:pos="780"/>
        </w:tabs>
        <w:spacing w:line="360" w:lineRule="auto"/>
        <w:ind w:left="573"/>
        <w:rPr>
          <w:rFonts w:ascii="仿宋" w:hAnsi="仿宋" w:eastAsia="仿宋" w:cs="仿宋"/>
          <w:sz w:val="24"/>
        </w:rPr>
      </w:pPr>
      <w:r>
        <w:rPr>
          <w:rFonts w:hint="eastAsia" w:ascii="仿宋" w:hAnsi="仿宋" w:eastAsia="仿宋" w:cs="仿宋"/>
          <w:sz w:val="24"/>
        </w:rPr>
        <w:t>项目编号：</w:t>
      </w:r>
      <w:r>
        <w:rPr>
          <w:rFonts w:hint="eastAsia" w:ascii="仿宋" w:hAnsi="仿宋" w:eastAsia="仿宋" w:cs="仿宋"/>
          <w:sz w:val="24"/>
          <w:lang w:eastAsia="zh-CN"/>
        </w:rPr>
        <w:t>HNWH202</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lang w:val="en-US" w:eastAsia="zh-CN"/>
        </w:rPr>
        <w:t>050</w:t>
      </w:r>
    </w:p>
    <w:p>
      <w:pPr>
        <w:numPr>
          <w:ilvl w:val="0"/>
          <w:numId w:val="2"/>
        </w:numPr>
        <w:tabs>
          <w:tab w:val="clear" w:pos="780"/>
        </w:tabs>
        <w:spacing w:line="360" w:lineRule="auto"/>
        <w:ind w:left="573"/>
        <w:rPr>
          <w:rFonts w:ascii="仿宋" w:hAnsi="仿宋" w:eastAsia="仿宋" w:cs="仿宋"/>
          <w:sz w:val="24"/>
        </w:rPr>
      </w:pPr>
      <w:r>
        <w:rPr>
          <w:rFonts w:hint="eastAsia" w:ascii="仿宋" w:hAnsi="仿宋" w:eastAsia="仿宋" w:cs="仿宋"/>
          <w:sz w:val="24"/>
        </w:rPr>
        <w:t>预算金额：</w:t>
      </w:r>
      <w:r>
        <w:rPr>
          <w:rFonts w:hint="eastAsia" w:ascii="仿宋" w:hAnsi="仿宋" w:eastAsia="仿宋" w:cs="仿宋"/>
          <w:sz w:val="24"/>
          <w:lang w:val="en-US" w:eastAsia="zh-CN"/>
        </w:rPr>
        <w:t>206.64</w:t>
      </w:r>
      <w:r>
        <w:rPr>
          <w:rFonts w:hint="eastAsia" w:ascii="仿宋" w:hAnsi="仿宋" w:eastAsia="仿宋" w:cs="仿宋"/>
          <w:sz w:val="24"/>
        </w:rPr>
        <w:t>万元：</w:t>
      </w:r>
    </w:p>
    <w:p>
      <w:pPr>
        <w:numPr>
          <w:ilvl w:val="0"/>
          <w:numId w:val="2"/>
        </w:numPr>
        <w:tabs>
          <w:tab w:val="clear" w:pos="780"/>
        </w:tabs>
        <w:spacing w:line="360" w:lineRule="auto"/>
        <w:ind w:left="573"/>
        <w:rPr>
          <w:rFonts w:ascii="仿宋" w:hAnsi="仿宋" w:eastAsia="仿宋" w:cs="仿宋"/>
          <w:sz w:val="24"/>
        </w:rPr>
      </w:pPr>
      <w:r>
        <w:rPr>
          <w:rFonts w:hint="eastAsia" w:ascii="仿宋" w:hAnsi="仿宋" w:eastAsia="仿宋" w:cs="仿宋"/>
          <w:sz w:val="24"/>
        </w:rPr>
        <w:t>劳务外包期限：自合同签订之日起一年止</w:t>
      </w:r>
    </w:p>
    <w:p>
      <w:pPr>
        <w:numPr>
          <w:ilvl w:val="0"/>
          <w:numId w:val="2"/>
        </w:numPr>
        <w:tabs>
          <w:tab w:val="clear" w:pos="780"/>
        </w:tabs>
        <w:spacing w:line="360" w:lineRule="auto"/>
        <w:ind w:left="573"/>
        <w:rPr>
          <w:rFonts w:ascii="仿宋" w:hAnsi="仿宋" w:eastAsia="仿宋" w:cs="仿宋"/>
          <w:sz w:val="24"/>
        </w:rPr>
      </w:pPr>
      <w:r>
        <w:rPr>
          <w:rFonts w:hint="eastAsia" w:ascii="仿宋" w:hAnsi="仿宋" w:eastAsia="仿宋" w:cs="仿宋"/>
          <w:sz w:val="24"/>
        </w:rPr>
        <w:t>付款方式: 以采购双方商订付款方式结算</w:t>
      </w:r>
    </w:p>
    <w:p>
      <w:pPr>
        <w:numPr>
          <w:ilvl w:val="0"/>
          <w:numId w:val="1"/>
        </w:numPr>
        <w:spacing w:before="156" w:beforeLines="50" w:line="360" w:lineRule="auto"/>
        <w:ind w:right="57"/>
        <w:outlineLvl w:val="0"/>
        <w:rPr>
          <w:rStyle w:val="11"/>
          <w:rFonts w:ascii="仿宋" w:hAnsi="仿宋" w:eastAsia="仿宋" w:cs="仿宋"/>
          <w:sz w:val="24"/>
          <w:lang w:val="en-GB"/>
        </w:rPr>
      </w:pPr>
      <w:bookmarkStart w:id="1" w:name="_Toc8230"/>
      <w:r>
        <w:rPr>
          <w:rStyle w:val="11"/>
          <w:rFonts w:hint="eastAsia" w:ascii="仿宋" w:hAnsi="仿宋" w:eastAsia="仿宋" w:cs="仿宋"/>
          <w:sz w:val="24"/>
          <w:lang w:val="en-GB"/>
        </w:rPr>
        <w:t>项目内容</w:t>
      </w:r>
      <w:bookmarkEnd w:id="1"/>
    </w:p>
    <w:p>
      <w:pPr>
        <w:numPr>
          <w:ilvl w:val="0"/>
          <w:numId w:val="3"/>
        </w:numPr>
        <w:spacing w:line="360" w:lineRule="auto"/>
        <w:rPr>
          <w:rFonts w:ascii="仿宋" w:hAnsi="仿宋" w:eastAsia="仿宋" w:cs="仿宋"/>
          <w:b/>
          <w:sz w:val="24"/>
        </w:rPr>
      </w:pPr>
      <w:r>
        <w:rPr>
          <w:rFonts w:hint="eastAsia" w:ascii="仿宋" w:hAnsi="仿宋" w:eastAsia="仿宋" w:cs="仿宋"/>
          <w:b/>
          <w:sz w:val="24"/>
        </w:rPr>
        <w:t>用工形式：</w:t>
      </w:r>
    </w:p>
    <w:p>
      <w:pPr>
        <w:spacing w:line="360" w:lineRule="auto"/>
        <w:ind w:left="153" w:firstLine="480" w:firstLineChars="200"/>
        <w:rPr>
          <w:rFonts w:ascii="仿宋" w:hAnsi="仿宋" w:eastAsia="仿宋" w:cs="仿宋"/>
          <w:sz w:val="24"/>
        </w:rPr>
      </w:pPr>
      <w:r>
        <w:rPr>
          <w:rFonts w:hint="eastAsia" w:ascii="仿宋" w:hAnsi="仿宋" w:eastAsia="仿宋" w:cs="仿宋"/>
          <w:sz w:val="24"/>
        </w:rPr>
        <w:t xml:space="preserve">聘用人员与成交人签订劳动合同后，以劳务外包的方式派往海南省交通规费征稽局港口分局各征稽站点工作，由成交人和海南省交通规费征稽局港口分局共同管理。 </w:t>
      </w:r>
    </w:p>
    <w:p>
      <w:pPr>
        <w:spacing w:line="360" w:lineRule="auto"/>
        <w:rPr>
          <w:rFonts w:ascii="仿宋" w:hAnsi="仿宋" w:eastAsia="仿宋" w:cs="仿宋"/>
          <w:b/>
          <w:sz w:val="24"/>
        </w:rPr>
      </w:pPr>
      <w:r>
        <w:rPr>
          <w:rFonts w:hint="eastAsia" w:ascii="仿宋" w:hAnsi="仿宋" w:eastAsia="仿宋" w:cs="仿宋"/>
          <w:b/>
          <w:sz w:val="24"/>
        </w:rPr>
        <w:t>2、招聘岗位和名额：</w:t>
      </w:r>
    </w:p>
    <w:p>
      <w:pPr>
        <w:spacing w:line="360" w:lineRule="auto"/>
        <w:ind w:left="153" w:firstLine="480" w:firstLineChars="200"/>
        <w:rPr>
          <w:rFonts w:ascii="仿宋" w:hAnsi="仿宋" w:eastAsia="仿宋" w:cs="仿宋"/>
          <w:sz w:val="24"/>
        </w:rPr>
      </w:pPr>
      <w:r>
        <w:rPr>
          <w:rFonts w:hint="eastAsia" w:ascii="仿宋" w:hAnsi="仿宋" w:eastAsia="仿宋" w:cs="仿宋"/>
          <w:sz w:val="24"/>
        </w:rPr>
        <w:t>本次计划招聘港口征稽站工作人员45名。</w:t>
      </w:r>
    </w:p>
    <w:p>
      <w:pPr>
        <w:spacing w:line="360" w:lineRule="auto"/>
        <w:rPr>
          <w:rFonts w:ascii="仿宋" w:hAnsi="仿宋" w:eastAsia="仿宋" w:cs="仿宋"/>
          <w:b/>
          <w:sz w:val="24"/>
        </w:rPr>
      </w:pPr>
      <w:r>
        <w:rPr>
          <w:rFonts w:hint="eastAsia" w:ascii="仿宋" w:hAnsi="仿宋" w:eastAsia="仿宋" w:cs="仿宋"/>
          <w:b/>
          <w:sz w:val="24"/>
        </w:rPr>
        <w:t>3、工资：</w:t>
      </w:r>
    </w:p>
    <w:p>
      <w:pPr>
        <w:spacing w:line="360" w:lineRule="auto"/>
        <w:ind w:left="153" w:firstLine="480" w:firstLineChars="200"/>
        <w:rPr>
          <w:rFonts w:ascii="仿宋" w:hAnsi="仿宋" w:eastAsia="仿宋" w:cs="仿宋"/>
          <w:sz w:val="24"/>
        </w:rPr>
      </w:pPr>
      <w:r>
        <w:rPr>
          <w:rFonts w:hint="eastAsia" w:ascii="仿宋" w:hAnsi="仿宋" w:eastAsia="仿宋" w:cs="仿宋"/>
          <w:sz w:val="24"/>
        </w:rPr>
        <w:t>工资包括基本工资、基础绩效工资、奖励性绩效工资、高温补贴、通讯费补贴、物业补贴等，并按规定每月缴纳养老、医疗、工伤、失业四项保险和住房公积金，住房公积金缴费比例为12%（个人承担部分养老、医疗、失业、公积金从中代扣代缴）。具体金额以财政审核后实际发放为准。</w:t>
      </w:r>
    </w:p>
    <w:p>
      <w:pPr>
        <w:spacing w:line="360" w:lineRule="auto"/>
        <w:rPr>
          <w:rFonts w:ascii="仿宋" w:hAnsi="仿宋" w:eastAsia="仿宋" w:cs="仿宋"/>
          <w:b/>
          <w:sz w:val="24"/>
        </w:rPr>
      </w:pPr>
      <w:r>
        <w:rPr>
          <w:rFonts w:hint="eastAsia" w:ascii="仿宋" w:hAnsi="仿宋" w:eastAsia="仿宋" w:cs="仿宋"/>
          <w:b/>
          <w:sz w:val="24"/>
        </w:rPr>
        <w:t>4、服务要求及标准：</w:t>
      </w:r>
    </w:p>
    <w:p>
      <w:pPr>
        <w:spacing w:line="360" w:lineRule="auto"/>
        <w:ind w:firstLine="240" w:firstLineChars="100"/>
        <w:rPr>
          <w:rFonts w:ascii="仿宋" w:hAnsi="仿宋" w:eastAsia="仿宋" w:cs="仿宋"/>
          <w:sz w:val="24"/>
        </w:rPr>
      </w:pPr>
      <w:r>
        <w:rPr>
          <w:rFonts w:hint="eastAsia" w:ascii="仿宋" w:hAnsi="仿宋" w:eastAsia="仿宋" w:cs="仿宋"/>
          <w:sz w:val="24"/>
        </w:rPr>
        <w:t>1）成交人要严格按照劳务外包项目需求数量编制用人方案，实施劳务外包人员的招聘、培训等事项，包括审查、笔试、面试、档案的审核、人才测评、业务培训等相关事项，保证被派往的劳务人员符合岗位所需。</w:t>
      </w:r>
    </w:p>
    <w:p>
      <w:pPr>
        <w:spacing w:line="360" w:lineRule="auto"/>
        <w:ind w:firstLine="240" w:firstLineChars="100"/>
        <w:rPr>
          <w:rFonts w:ascii="仿宋" w:hAnsi="仿宋" w:eastAsia="仿宋" w:cs="仿宋"/>
          <w:sz w:val="24"/>
        </w:rPr>
      </w:pPr>
      <w:r>
        <w:rPr>
          <w:rFonts w:hint="eastAsia" w:ascii="仿宋" w:hAnsi="仿宋" w:eastAsia="仿宋" w:cs="仿宋"/>
          <w:sz w:val="24"/>
        </w:rPr>
        <w:t>2）成交人作为劳务外包人员的人事管理单位应对被外包的劳务人员人事关系负责；严格履行劳动合同中人事单位要所承担的全部义务；及时为劳务外包人员依法办理各项劳动合同手续，包括入职、离职、薪酬福利、体检、奖惩、社保、工伤、人事档案、劳务纠纷、党团关系等事项。</w:t>
      </w:r>
    </w:p>
    <w:p>
      <w:pPr>
        <w:spacing w:line="360" w:lineRule="auto"/>
        <w:ind w:firstLine="240" w:firstLineChars="100"/>
        <w:rPr>
          <w:rFonts w:ascii="仿宋" w:hAnsi="仿宋" w:eastAsia="仿宋" w:cs="仿宋"/>
          <w:sz w:val="24"/>
        </w:rPr>
      </w:pPr>
      <w:r>
        <w:rPr>
          <w:rFonts w:hint="eastAsia" w:ascii="仿宋" w:hAnsi="仿宋" w:eastAsia="仿宋" w:cs="仿宋"/>
          <w:sz w:val="24"/>
        </w:rPr>
        <w:t>3）若采购人与劳务外包人员发生劳动争议，成交人应负责及时与劳务外包人员交涉，处理与劳务人员的劳动争议，并采取合法有效的措施避免给采购人带来负面影响。</w:t>
      </w:r>
    </w:p>
    <w:p>
      <w:pPr>
        <w:spacing w:line="360" w:lineRule="auto"/>
        <w:ind w:firstLine="240" w:firstLineChars="100"/>
        <w:rPr>
          <w:rFonts w:ascii="仿宋" w:hAnsi="仿宋" w:eastAsia="仿宋" w:cs="仿宋"/>
          <w:sz w:val="24"/>
        </w:rPr>
      </w:pPr>
      <w:r>
        <w:rPr>
          <w:rFonts w:hint="eastAsia" w:ascii="仿宋" w:hAnsi="仿宋" w:eastAsia="仿宋" w:cs="仿宋"/>
          <w:sz w:val="24"/>
        </w:rPr>
        <w:t>4）被派往的劳务外包人员若发生工伤等事故，成交人要按照相关法律、法规之规定办理理赔手续。</w:t>
      </w:r>
    </w:p>
    <w:p>
      <w:pPr>
        <w:spacing w:line="360" w:lineRule="auto"/>
        <w:ind w:firstLine="240" w:firstLineChars="100"/>
        <w:rPr>
          <w:rFonts w:ascii="仿宋" w:hAnsi="仿宋" w:eastAsia="仿宋" w:cs="仿宋"/>
          <w:sz w:val="24"/>
        </w:rPr>
      </w:pPr>
      <w:r>
        <w:rPr>
          <w:rFonts w:hint="eastAsia" w:ascii="仿宋" w:hAnsi="仿宋" w:eastAsia="仿宋" w:cs="仿宋"/>
          <w:sz w:val="24"/>
        </w:rPr>
        <w:t>5）成交人要结合采购人的审批劳务外包项目人员用人计划及劳务外包项目人员的具体情况，对劳务外包人员实行动态管理，对劳务外包人员要有完善的引进、补充、退出机制。</w:t>
      </w:r>
    </w:p>
    <w:p>
      <w:pPr>
        <w:spacing w:line="360" w:lineRule="auto"/>
        <w:ind w:firstLine="240" w:firstLineChars="100"/>
        <w:rPr>
          <w:rFonts w:ascii="仿宋" w:hAnsi="仿宋" w:eastAsia="仿宋" w:cs="仿宋"/>
          <w:bCs/>
          <w:sz w:val="24"/>
        </w:rPr>
      </w:pPr>
      <w:r>
        <w:rPr>
          <w:rFonts w:hint="eastAsia" w:ascii="仿宋" w:hAnsi="仿宋" w:eastAsia="仿宋" w:cs="仿宋"/>
          <w:sz w:val="24"/>
        </w:rPr>
        <w:t>6）成交人要按照统一规定的劳务外包项目人员工资标准，定额发放给外包的劳务人员薪酬，同时还应依法建立和完善规章制度，明确劳务外包人员工作时间、休息休假、劳动安全卫生、保险福利、岗位职责、劳动纪律、奖惩奖励，为劳务人员提供必要的工作条件。</w:t>
      </w:r>
    </w:p>
    <w:p>
      <w:pPr>
        <w:spacing w:line="360" w:lineRule="auto"/>
        <w:rPr>
          <w:rFonts w:ascii="仿宋" w:hAnsi="仿宋" w:eastAsia="仿宋" w:cs="仿宋"/>
          <w:b/>
          <w:sz w:val="24"/>
        </w:rPr>
      </w:pPr>
      <w:r>
        <w:rPr>
          <w:rFonts w:hint="eastAsia" w:ascii="仿宋" w:hAnsi="仿宋" w:eastAsia="仿宋" w:cs="仿宋"/>
          <w:b/>
          <w:sz w:val="24"/>
        </w:rPr>
        <w:t>5、安全标准：</w:t>
      </w:r>
    </w:p>
    <w:p>
      <w:pPr>
        <w:spacing w:line="360" w:lineRule="auto"/>
        <w:ind w:left="153" w:firstLine="480" w:firstLineChars="200"/>
        <w:rPr>
          <w:rFonts w:ascii="仿宋" w:hAnsi="仿宋" w:eastAsia="仿宋" w:cs="仿宋"/>
          <w:sz w:val="24"/>
        </w:rPr>
      </w:pPr>
      <w:r>
        <w:rPr>
          <w:rFonts w:hint="eastAsia" w:ascii="仿宋" w:hAnsi="仿宋" w:eastAsia="仿宋" w:cs="仿宋"/>
          <w:sz w:val="24"/>
        </w:rPr>
        <w:t>符合国家、地方及行业的相关政策、法规及规定要求</w:t>
      </w:r>
    </w:p>
    <w:p>
      <w:pPr>
        <w:spacing w:line="360" w:lineRule="auto"/>
        <w:rPr>
          <w:rFonts w:ascii="仿宋" w:hAnsi="仿宋" w:eastAsia="仿宋" w:cs="仿宋"/>
          <w:b/>
          <w:sz w:val="24"/>
        </w:rPr>
      </w:pPr>
      <w:r>
        <w:rPr>
          <w:rFonts w:hint="eastAsia" w:ascii="仿宋" w:hAnsi="仿宋" w:eastAsia="仿宋" w:cs="仿宋"/>
          <w:b/>
          <w:sz w:val="24"/>
        </w:rPr>
        <w:t>6、验收方法及标准：</w:t>
      </w:r>
    </w:p>
    <w:p>
      <w:pPr>
        <w:spacing w:line="360" w:lineRule="auto"/>
        <w:ind w:left="153" w:firstLine="480" w:firstLineChars="200"/>
        <w:rPr>
          <w:rFonts w:ascii="仿宋" w:hAnsi="仿宋" w:eastAsia="仿宋" w:cs="仿宋"/>
          <w:sz w:val="24"/>
        </w:rPr>
      </w:pPr>
      <w:r>
        <w:rPr>
          <w:rFonts w:hint="eastAsia" w:ascii="仿宋" w:hAnsi="仿宋" w:eastAsia="仿宋" w:cs="仿宋"/>
          <w:sz w:val="24"/>
        </w:rPr>
        <w:t>按本磋商文件、成交方响应文件及国家、地方和行业的相关政策、法规及规定实施。</w:t>
      </w:r>
    </w:p>
    <w:p>
      <w:pPr>
        <w:spacing w:before="156" w:beforeLines="50" w:line="360" w:lineRule="auto"/>
        <w:ind w:right="57"/>
        <w:outlineLvl w:val="0"/>
        <w:rPr>
          <w:rStyle w:val="11"/>
          <w:rFonts w:ascii="仿宋" w:hAnsi="仿宋" w:eastAsia="仿宋" w:cs="仿宋"/>
          <w:sz w:val="24"/>
          <w:lang w:val="en-GB"/>
        </w:rPr>
      </w:pPr>
      <w:bookmarkStart w:id="2" w:name="_Toc24588"/>
      <w:r>
        <w:rPr>
          <w:rStyle w:val="11"/>
          <w:rFonts w:hint="eastAsia" w:ascii="仿宋" w:hAnsi="仿宋" w:eastAsia="仿宋" w:cs="仿宋"/>
          <w:sz w:val="24"/>
          <w:lang w:val="en-GB"/>
        </w:rPr>
        <w:t>三、报价说明：</w:t>
      </w:r>
      <w:bookmarkEnd w:id="2"/>
    </w:p>
    <w:p>
      <w:pPr>
        <w:numPr>
          <w:ilvl w:val="0"/>
          <w:numId w:val="4"/>
        </w:numPr>
        <w:spacing w:line="360" w:lineRule="auto"/>
        <w:rPr>
          <w:rFonts w:ascii="仿宋" w:hAnsi="仿宋" w:eastAsia="仿宋" w:cs="仿宋"/>
          <w:sz w:val="24"/>
        </w:rPr>
      </w:pPr>
      <w:r>
        <w:rPr>
          <w:rFonts w:hint="eastAsia" w:ascii="仿宋" w:hAnsi="仿宋" w:eastAsia="仿宋" w:cs="仿宋"/>
          <w:sz w:val="24"/>
        </w:rPr>
        <w:t>本项目预算总价应包含(但不限于): 被招聘人员的薪资、单位应缴被招聘人员的四险一金、被招聘人员的奖励性绩效、通讯费补贴、物业费补贴、供应商的人力资源管理费以及本项采购活动中所产生的服务费等各项费用。</w:t>
      </w:r>
    </w:p>
    <w:p>
      <w:pPr>
        <w:numPr>
          <w:ilvl w:val="0"/>
          <w:numId w:val="4"/>
        </w:numPr>
        <w:spacing w:line="360" w:lineRule="auto"/>
        <w:rPr>
          <w:rFonts w:ascii="仿宋" w:hAnsi="仿宋" w:eastAsia="仿宋" w:cs="仿宋"/>
          <w:sz w:val="24"/>
        </w:rPr>
      </w:pPr>
      <w:r>
        <w:rPr>
          <w:rFonts w:hint="eastAsia" w:ascii="仿宋" w:hAnsi="仿宋" w:eastAsia="仿宋" w:cs="仿宋"/>
          <w:sz w:val="24"/>
        </w:rPr>
        <w:t>本项目全年采购服务的预算为</w:t>
      </w:r>
      <w:r>
        <w:rPr>
          <w:rFonts w:hint="eastAsia" w:ascii="仿宋" w:hAnsi="仿宋" w:eastAsia="仿宋" w:cs="仿宋"/>
          <w:sz w:val="24"/>
          <w:lang w:val="en-GB"/>
        </w:rPr>
        <w:t>人民币</w:t>
      </w:r>
      <w:r>
        <w:rPr>
          <w:rFonts w:hint="eastAsia" w:ascii="仿宋" w:hAnsi="仿宋" w:eastAsia="仿宋" w:cs="仿宋"/>
          <w:sz w:val="24"/>
          <w:lang w:val="en-US" w:eastAsia="zh-CN"/>
        </w:rPr>
        <w:t>206.64</w:t>
      </w:r>
      <w:bookmarkStart w:id="4" w:name="_GoBack"/>
      <w:bookmarkEnd w:id="4"/>
      <w:r>
        <w:rPr>
          <w:rFonts w:hint="eastAsia" w:ascii="仿宋" w:hAnsi="仿宋" w:eastAsia="仿宋" w:cs="仿宋"/>
          <w:sz w:val="24"/>
        </w:rPr>
        <w:t>万</w:t>
      </w:r>
      <w:r>
        <w:rPr>
          <w:rFonts w:hint="eastAsia" w:ascii="仿宋" w:hAnsi="仿宋" w:eastAsia="仿宋" w:cs="仿宋"/>
          <w:sz w:val="24"/>
          <w:lang w:val="en-GB"/>
        </w:rPr>
        <w:t>元</w:t>
      </w:r>
      <w:r>
        <w:rPr>
          <w:rFonts w:hint="eastAsia" w:ascii="仿宋" w:hAnsi="仿宋" w:eastAsia="仿宋" w:cs="仿宋"/>
          <w:sz w:val="24"/>
        </w:rPr>
        <w:t>。</w:t>
      </w:r>
    </w:p>
    <w:p>
      <w:pPr>
        <w:numPr>
          <w:ilvl w:val="0"/>
          <w:numId w:val="4"/>
        </w:numPr>
        <w:spacing w:line="360" w:lineRule="auto"/>
        <w:rPr>
          <w:rFonts w:ascii="仿宋" w:hAnsi="仿宋" w:eastAsia="仿宋" w:cs="仿宋"/>
          <w:sz w:val="24"/>
        </w:rPr>
      </w:pPr>
      <w:r>
        <w:rPr>
          <w:rFonts w:hint="eastAsia" w:ascii="仿宋" w:hAnsi="仿宋" w:eastAsia="仿宋" w:cs="仿宋"/>
          <w:sz w:val="24"/>
        </w:rPr>
        <w:t>由于外包服务所招聘人员的薪资及福利将以最终实际发生数额为准,在竞争性磋商阶段尚不能确定具体数额, 故本项目将采购预算总价视为成交合同的总价,结算时按实际发生的劳务薪资、福利及相关费用开支等计算所得支付。为此本项目不宜采用总价报价方式, 而采用单价报价方式, 即:</w:t>
      </w:r>
    </w:p>
    <w:p>
      <w:pPr>
        <w:numPr>
          <w:ilvl w:val="0"/>
          <w:numId w:val="4"/>
        </w:numPr>
        <w:spacing w:line="360" w:lineRule="auto"/>
        <w:rPr>
          <w:rFonts w:ascii="仿宋" w:hAnsi="仿宋" w:eastAsia="仿宋" w:cs="仿宋"/>
          <w:sz w:val="24"/>
        </w:rPr>
      </w:pPr>
      <w:r>
        <w:rPr>
          <w:rFonts w:hint="eastAsia" w:ascii="仿宋" w:hAnsi="仿宋" w:eastAsia="仿宋" w:cs="仿宋"/>
          <w:sz w:val="24"/>
        </w:rPr>
        <w:t>由各供应商在报价时需报出对每位被招聘人员每月收取的人力资源管理费（以元/人*月为计量单位）；</w:t>
      </w:r>
    </w:p>
    <w:p>
      <w:pPr>
        <w:numPr>
          <w:ilvl w:val="0"/>
          <w:numId w:val="4"/>
        </w:numPr>
        <w:spacing w:line="360" w:lineRule="auto"/>
        <w:rPr>
          <w:rFonts w:ascii="仿宋" w:hAnsi="仿宋" w:eastAsia="仿宋" w:cs="仿宋"/>
          <w:sz w:val="24"/>
        </w:rPr>
      </w:pPr>
      <w:r>
        <w:rPr>
          <w:rFonts w:hint="eastAsia" w:ascii="仿宋" w:hAnsi="仿宋" w:eastAsia="仿宋" w:cs="仿宋"/>
          <w:sz w:val="24"/>
        </w:rPr>
        <w:t>此外规定每人每月的人力资源管理费的单价报价最高限额为人民币100元(即单价报价≤¥100元/人*月),任何高出该标准的单价报价均作为无效报价处理。</w:t>
      </w:r>
    </w:p>
    <w:p>
      <w:pPr>
        <w:spacing w:before="156" w:beforeLines="50" w:line="360" w:lineRule="auto"/>
        <w:ind w:right="57"/>
        <w:outlineLvl w:val="0"/>
        <w:rPr>
          <w:rStyle w:val="11"/>
          <w:rFonts w:ascii="仿宋" w:hAnsi="仿宋" w:eastAsia="仿宋" w:cs="仿宋"/>
          <w:sz w:val="24"/>
        </w:rPr>
      </w:pPr>
      <w:bookmarkStart w:id="3" w:name="_Toc6204"/>
      <w:r>
        <w:rPr>
          <w:rStyle w:val="11"/>
          <w:rFonts w:hint="eastAsia" w:ascii="仿宋" w:hAnsi="仿宋" w:eastAsia="仿宋" w:cs="仿宋"/>
          <w:sz w:val="24"/>
        </w:rPr>
        <w:t>四、其他要求</w:t>
      </w:r>
      <w:bookmarkEnd w:id="3"/>
    </w:p>
    <w:p>
      <w:pPr>
        <w:numPr>
          <w:ilvl w:val="0"/>
          <w:numId w:val="5"/>
        </w:numPr>
        <w:spacing w:before="62" w:beforeLines="20" w:line="360" w:lineRule="auto"/>
        <w:rPr>
          <w:rFonts w:ascii="仿宋" w:hAnsi="仿宋" w:eastAsia="仿宋" w:cs="仿宋"/>
          <w:bCs/>
          <w:kern w:val="44"/>
          <w:sz w:val="24"/>
        </w:rPr>
      </w:pPr>
      <w:r>
        <w:rPr>
          <w:rFonts w:hint="eastAsia" w:ascii="仿宋" w:hAnsi="仿宋" w:eastAsia="仿宋" w:cs="仿宋"/>
          <w:sz w:val="24"/>
        </w:rPr>
        <w:t xml:space="preserve">如项目实施过程中出现成交供应商不按响应文件或合同内容要求执行，无法满足于项目实施标准要求、偷工减料、降低质量标准、超过服务期等行为，采购人有权终止合同，没收履约保证金，并报政府采购管理部门严肃处理。   </w:t>
      </w:r>
    </w:p>
    <w:p>
      <w:pPr>
        <w:numPr>
          <w:ilvl w:val="0"/>
          <w:numId w:val="5"/>
        </w:numPr>
        <w:spacing w:before="62" w:beforeLines="20" w:line="360" w:lineRule="auto"/>
        <w:rPr>
          <w:rFonts w:ascii="仿宋" w:hAnsi="仿宋" w:eastAsia="仿宋" w:cs="仿宋"/>
          <w:kern w:val="0"/>
          <w:sz w:val="24"/>
        </w:rPr>
      </w:pPr>
      <w:r>
        <w:rPr>
          <w:rFonts w:hint="eastAsia" w:ascii="仿宋" w:hAnsi="仿宋" w:eastAsia="仿宋" w:cs="仿宋"/>
          <w:sz w:val="24"/>
        </w:rPr>
        <w:t>为避免出现人力资源管理费报价低于成本价或与市场价格明显偏离的削价竞争，若供应商的人力资源管理费报价明显低于其他通过符合性审查的供应商时，则供应商还须提供相关低价竞标的佐证依据,该等佐证文件将作为投标文件的组成部分并获得磋商小组评审通过,若供应商不提供或提供的佐证文件未能通过专家评审,均视为无效投标处理。</w:t>
      </w:r>
    </w:p>
    <w:p>
      <w:pPr>
        <w:numPr>
          <w:ilvl w:val="0"/>
          <w:numId w:val="5"/>
        </w:numPr>
        <w:spacing w:before="62" w:beforeLines="20" w:line="360" w:lineRule="auto"/>
        <w:rPr>
          <w:rStyle w:val="13"/>
          <w:rFonts w:ascii="仿宋" w:hAnsi="仿宋" w:eastAsia="仿宋" w:cs="仿宋"/>
          <w:bCs w:val="0"/>
          <w:sz w:val="24"/>
        </w:rPr>
      </w:pPr>
      <w:r>
        <w:rPr>
          <w:rFonts w:hint="eastAsia" w:ascii="仿宋" w:hAnsi="仿宋" w:eastAsia="仿宋" w:cs="仿宋"/>
          <w:bCs/>
          <w:sz w:val="24"/>
        </w:rPr>
        <w:t>供应商必须根据所投服务的技术参数、资质资料编写响应文件。在成交结果公示期间，采购人有权对成交人所投服务的技术指标、资质证书资料等进行任何形式的核查，如发现与其响应文件中的描述不一或所提供的材料为虚假材料，采购人有权将此情况报政府采购主管部门，并由其对此情况进行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B"/>
    <w:multiLevelType w:val="multilevel"/>
    <w:tmpl w:val="0000001B"/>
    <w:lvl w:ilvl="0" w:tentative="0">
      <w:start w:val="1"/>
      <w:numFmt w:val="decimal"/>
      <w:lvlText w:val="%1、"/>
      <w:lvlJc w:val="left"/>
      <w:pPr>
        <w:tabs>
          <w:tab w:val="left" w:pos="780"/>
        </w:tabs>
        <w:ind w:left="780" w:hanging="420"/>
      </w:pPr>
      <w:rPr>
        <w:rFonts w:hint="eastAsia" w:cs="Times New Roman"/>
        <w:color w:val="000000"/>
      </w:rPr>
    </w:lvl>
    <w:lvl w:ilvl="1" w:tentative="0">
      <w:start w:val="6"/>
      <w:numFmt w:val="decimal"/>
      <w:lvlText w:val="%2."/>
      <w:lvlJc w:val="left"/>
      <w:pPr>
        <w:tabs>
          <w:tab w:val="left" w:pos="1260"/>
        </w:tabs>
        <w:ind w:left="1260" w:hanging="420"/>
      </w:pPr>
      <w:rPr>
        <w:rFonts w:hint="default"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04D87BC6"/>
    <w:multiLevelType w:val="multilevel"/>
    <w:tmpl w:val="04D87BC6"/>
    <w:lvl w:ilvl="0" w:tentative="0">
      <w:start w:val="1"/>
      <w:numFmt w:val="decimal"/>
      <w:lvlText w:val="%1、"/>
      <w:lvlJc w:val="left"/>
      <w:pPr>
        <w:ind w:left="420" w:hanging="420"/>
      </w:pPr>
      <w:rPr>
        <w:rFonts w:hint="default"/>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F83293"/>
    <w:multiLevelType w:val="multilevel"/>
    <w:tmpl w:val="2DF8329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06187B"/>
    <w:multiLevelType w:val="singleLevel"/>
    <w:tmpl w:val="5706187B"/>
    <w:lvl w:ilvl="0" w:tentative="0">
      <w:start w:val="1"/>
      <w:numFmt w:val="chineseCounting"/>
      <w:suff w:val="nothing"/>
      <w:lvlText w:val="%1、"/>
      <w:lvlJc w:val="left"/>
    </w:lvl>
  </w:abstractNum>
  <w:abstractNum w:abstractNumId="4">
    <w:nsid w:val="61279C64"/>
    <w:multiLevelType w:val="singleLevel"/>
    <w:tmpl w:val="61279C64"/>
    <w:lvl w:ilvl="0" w:tentative="0">
      <w:start w:val="1"/>
      <w:numFmt w:val="decimal"/>
      <w:suff w:val="nothing"/>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NGNhNzI2NDEzYWFhY2UwZTE2NjcwZGMxOTRkMmEifQ=="/>
  </w:docVars>
  <w:rsids>
    <w:rsidRoot w:val="0073560A"/>
    <w:rsid w:val="00286D89"/>
    <w:rsid w:val="002C4BE0"/>
    <w:rsid w:val="0073560A"/>
    <w:rsid w:val="00EE4839"/>
    <w:rsid w:val="00F66620"/>
    <w:rsid w:val="00FD6390"/>
    <w:rsid w:val="090158E3"/>
    <w:rsid w:val="31662A68"/>
    <w:rsid w:val="386A1349"/>
    <w:rsid w:val="4378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tabs>
        <w:tab w:val="left" w:pos="1440"/>
      </w:tabs>
      <w:spacing w:before="340" w:after="330" w:line="576" w:lineRule="auto"/>
      <w:ind w:left="432" w:hanging="432"/>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0"/>
    </w:rPr>
  </w:style>
  <w:style w:type="paragraph" w:styleId="4">
    <w:name w:val="Plain Text"/>
    <w:basedOn w:val="1"/>
    <w:link w:val="12"/>
    <w:unhideWhenUsed/>
    <w:qFormat/>
    <w:uiPriority w:val="99"/>
    <w:rPr>
      <w:rFonts w:ascii="宋体" w:hAnsi="Courier New" w:cs="Courier New"/>
      <w:szCs w:val="21"/>
    </w:r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标题 1 Char"/>
    <w:basedOn w:val="8"/>
    <w:link w:val="3"/>
    <w:qFormat/>
    <w:uiPriority w:val="0"/>
    <w:rPr>
      <w:rFonts w:ascii="Times New Roman" w:hAnsi="Times New Roman" w:eastAsia="宋体" w:cs="Times New Roman"/>
      <w:b/>
      <w:bCs/>
      <w:kern w:val="44"/>
      <w:sz w:val="44"/>
      <w:szCs w:val="44"/>
    </w:rPr>
  </w:style>
  <w:style w:type="character" w:customStyle="1" w:styleId="12">
    <w:name w:val="纯文本 Char"/>
    <w:basedOn w:val="8"/>
    <w:link w:val="4"/>
    <w:qFormat/>
    <w:uiPriority w:val="99"/>
    <w:rPr>
      <w:rFonts w:ascii="宋体" w:hAnsi="Courier New" w:eastAsia="宋体" w:cs="Courier New"/>
      <w:szCs w:val="21"/>
    </w:rPr>
  </w:style>
  <w:style w:type="character" w:customStyle="1" w:styleId="13">
    <w:name w:val="标题 1 Char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1692</Words>
  <Characters>1726</Characters>
  <Lines>12</Lines>
  <Paragraphs>3</Paragraphs>
  <TotalTime>1</TotalTime>
  <ScaleCrop>false</ScaleCrop>
  <LinksUpToDate>false</LinksUpToDate>
  <CharactersWithSpaces>1735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2022-04-06T08:59:00Z</dcterms:created>
  <dc:creator>·</dc:creator>
  <cp:lastModifiedBy>QQ</cp:lastModifiedBy>
  <dcterms:modified xsi:type="dcterms:W3CDTF">2023-03-10T01:39:33Z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7DE9836BF3A84704B7F648BDA7DA684E</vt:lpwstr>
  </property>
</Properties>
</file>