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360" w:lineRule="auto"/>
        <w:rPr>
          <w:rFonts w:hint="eastAsia" w:ascii="宋体" w:hAnsi="宋体" w:eastAsia="宋体" w:cs="宋体"/>
          <w:color w:val="auto"/>
          <w:highlight w:val="none"/>
        </w:rPr>
      </w:pPr>
    </w:p>
    <w:p>
      <w:pPr>
        <w:snapToGrid w:val="0"/>
        <w:spacing w:line="360" w:lineRule="auto"/>
        <w:rPr>
          <w:rFonts w:hint="eastAsia" w:ascii="宋体" w:hAnsi="宋体" w:eastAsia="宋体" w:cs="宋体"/>
          <w:color w:val="auto"/>
          <w:highlight w:val="none"/>
        </w:rPr>
      </w:pPr>
      <w:r>
        <w:rPr>
          <w:rStyle w:val="29"/>
          <w:rFonts w:hint="eastAsia" w:ascii="宋体" w:hAnsi="宋体" w:eastAsia="宋体" w:cs="宋体"/>
          <w:b/>
          <w:color w:val="auto"/>
          <w:sz w:val="30"/>
          <w:szCs w:val="30"/>
          <w:highlight w:val="none"/>
        </w:rPr>
        <w:t>项目编号：SCTCHN-2023-001</w:t>
      </w:r>
    </w:p>
    <w:p>
      <w:pPr>
        <w:snapToGrid w:val="0"/>
        <w:spacing w:line="360" w:lineRule="auto"/>
        <w:jc w:val="center"/>
        <w:rPr>
          <w:rFonts w:hint="eastAsia" w:ascii="宋体" w:hAnsi="宋体" w:eastAsia="宋体" w:cs="宋体"/>
          <w:b/>
          <w:bCs/>
          <w:color w:val="auto"/>
          <w:kern w:val="0"/>
          <w:sz w:val="28"/>
          <w:szCs w:val="28"/>
          <w:highlight w:val="none"/>
          <w:lang w:val="en-GB"/>
        </w:rPr>
      </w:pPr>
      <w:r>
        <w:rPr>
          <w:rStyle w:val="29"/>
          <w:rFonts w:hint="eastAsia" w:ascii="宋体" w:hAnsi="宋体" w:eastAsia="宋体" w:cs="宋体"/>
          <w:b/>
          <w:color w:val="auto"/>
          <w:sz w:val="30"/>
          <w:szCs w:val="30"/>
          <w:highlight w:val="none"/>
        </w:rPr>
        <w:t>G223海榆东线安全设施精细化提升工程（K276+350-K307+000)</w:t>
      </w:r>
    </w:p>
    <w:p>
      <w:pPr>
        <w:spacing w:line="360" w:lineRule="auto"/>
        <w:jc w:val="center"/>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highlight w:val="none"/>
        </w:rPr>
      </w:pPr>
    </w:p>
    <w:p>
      <w:pPr>
        <w:snapToGrid w:val="0"/>
        <w:spacing w:line="360" w:lineRule="auto"/>
        <w:jc w:val="center"/>
        <w:rPr>
          <w:rFonts w:hint="eastAsia" w:ascii="宋体" w:hAnsi="宋体" w:eastAsia="宋体" w:cs="宋体"/>
          <w:color w:val="auto"/>
          <w:highlight w:val="none"/>
        </w:rPr>
      </w:pPr>
    </w:p>
    <w:p>
      <w:pPr>
        <w:pStyle w:val="33"/>
        <w:spacing w:line="360" w:lineRule="auto"/>
        <w:rPr>
          <w:rFonts w:hint="eastAsia" w:ascii="宋体" w:hAnsi="宋体" w:eastAsia="宋体" w:cs="宋体"/>
          <w:color w:val="auto"/>
          <w:highlight w:val="none"/>
        </w:rPr>
      </w:pPr>
    </w:p>
    <w:p>
      <w:pPr>
        <w:spacing w:line="360" w:lineRule="auto"/>
        <w:jc w:val="center"/>
        <w:rPr>
          <w:rFonts w:hint="eastAsia" w:ascii="宋体" w:hAnsi="宋体" w:eastAsia="宋体" w:cs="宋体"/>
          <w:b/>
          <w:bCs/>
          <w:color w:val="auto"/>
          <w:kern w:val="0"/>
          <w:sz w:val="28"/>
          <w:szCs w:val="28"/>
          <w:highlight w:val="none"/>
          <w:lang w:val="en-GB"/>
        </w:rPr>
      </w:pPr>
    </w:p>
    <w:p>
      <w:pPr>
        <w:snapToGrid w:val="0"/>
        <w:spacing w:line="360" w:lineRule="auto"/>
        <w:jc w:val="center"/>
        <w:rPr>
          <w:rFonts w:hint="eastAsia" w:ascii="宋体" w:hAnsi="宋体" w:eastAsia="宋体" w:cs="宋体"/>
          <w:b/>
          <w:bCs/>
          <w:color w:val="auto"/>
          <w:kern w:val="0"/>
          <w:sz w:val="28"/>
          <w:szCs w:val="28"/>
          <w:highlight w:val="none"/>
          <w:lang w:val="en-GB"/>
        </w:rPr>
      </w:pPr>
    </w:p>
    <w:p>
      <w:pPr>
        <w:snapToGrid w:val="0"/>
        <w:spacing w:line="360" w:lineRule="auto"/>
        <w:jc w:val="center"/>
        <w:rPr>
          <w:rFonts w:hint="eastAsia" w:ascii="宋体" w:hAnsi="宋体" w:eastAsia="宋体" w:cs="宋体"/>
          <w:color w:val="auto"/>
          <w:highlight w:val="none"/>
        </w:rPr>
      </w:pPr>
      <w:r>
        <w:rPr>
          <w:rStyle w:val="31"/>
          <w:rFonts w:hint="eastAsia" w:ascii="宋体" w:hAnsi="宋体" w:eastAsia="宋体" w:cs="宋体"/>
          <w:b/>
          <w:color w:val="auto"/>
          <w:sz w:val="56"/>
          <w:szCs w:val="44"/>
          <w:highlight w:val="none"/>
        </w:rPr>
        <w:t>竞争性磋商文件</w:t>
      </w:r>
    </w:p>
    <w:p>
      <w:pPr>
        <w:snapToGrid w:val="0"/>
        <w:spacing w:line="360" w:lineRule="auto"/>
        <w:jc w:val="center"/>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highlight w:val="none"/>
        </w:rPr>
      </w:pPr>
    </w:p>
    <w:p>
      <w:pPr>
        <w:snapToGrid w:val="0"/>
        <w:spacing w:line="360" w:lineRule="auto"/>
        <w:jc w:val="center"/>
        <w:rPr>
          <w:rFonts w:hint="eastAsia" w:ascii="宋体" w:hAnsi="宋体" w:eastAsia="宋体" w:cs="宋体"/>
          <w:color w:val="auto"/>
          <w:highlight w:val="none"/>
        </w:rPr>
      </w:pPr>
    </w:p>
    <w:p>
      <w:pPr>
        <w:pStyle w:val="33"/>
        <w:snapToGrid w:val="0"/>
        <w:spacing w:line="360" w:lineRule="auto"/>
        <w:jc w:val="center"/>
        <w:rPr>
          <w:rFonts w:hint="eastAsia" w:ascii="宋体" w:hAnsi="宋体" w:eastAsia="宋体" w:cs="宋体"/>
          <w:color w:val="auto"/>
          <w:highlight w:val="none"/>
        </w:rPr>
      </w:pPr>
    </w:p>
    <w:p>
      <w:pPr>
        <w:pStyle w:val="33"/>
        <w:snapToGrid w:val="0"/>
        <w:spacing w:line="360" w:lineRule="auto"/>
        <w:jc w:val="center"/>
        <w:rPr>
          <w:rFonts w:hint="eastAsia" w:ascii="宋体" w:hAnsi="宋体" w:eastAsia="宋体" w:cs="宋体"/>
          <w:color w:val="auto"/>
          <w:highlight w:val="none"/>
        </w:rPr>
      </w:pPr>
    </w:p>
    <w:p>
      <w:pPr>
        <w:pStyle w:val="33"/>
        <w:snapToGrid w:val="0"/>
        <w:spacing w:line="360" w:lineRule="auto"/>
        <w:jc w:val="center"/>
        <w:rPr>
          <w:rFonts w:hint="eastAsia" w:ascii="宋体" w:hAnsi="宋体" w:eastAsia="宋体" w:cs="宋体"/>
          <w:color w:val="auto"/>
          <w:highlight w:val="none"/>
        </w:rPr>
      </w:pPr>
    </w:p>
    <w:p>
      <w:pPr>
        <w:pStyle w:val="33"/>
        <w:spacing w:line="360" w:lineRule="auto"/>
        <w:rPr>
          <w:rFonts w:hint="eastAsia" w:ascii="宋体" w:hAnsi="宋体" w:eastAsia="宋体" w:cs="宋体"/>
          <w:color w:val="auto"/>
          <w:highlight w:val="none"/>
        </w:rPr>
      </w:pPr>
    </w:p>
    <w:p>
      <w:pPr>
        <w:snapToGrid w:val="0"/>
        <w:spacing w:line="360" w:lineRule="auto"/>
        <w:jc w:val="center"/>
        <w:rPr>
          <w:rFonts w:hint="eastAsia" w:ascii="宋体" w:hAnsi="宋体" w:eastAsia="宋体" w:cs="宋体"/>
          <w:color w:val="auto"/>
          <w:highlight w:val="none"/>
        </w:rPr>
      </w:pPr>
    </w:p>
    <w:p>
      <w:pPr>
        <w:snapToGrid w:val="0"/>
        <w:spacing w:line="360" w:lineRule="auto"/>
        <w:jc w:val="center"/>
        <w:rPr>
          <w:rFonts w:hint="eastAsia" w:ascii="宋体" w:hAnsi="宋体" w:eastAsia="宋体" w:cs="宋体"/>
          <w:color w:val="auto"/>
          <w:highlight w:val="none"/>
        </w:rPr>
      </w:pPr>
    </w:p>
    <w:p>
      <w:pPr>
        <w:snapToGrid w:val="0"/>
        <w:spacing w:line="360" w:lineRule="auto"/>
        <w:jc w:val="center"/>
        <w:rPr>
          <w:rFonts w:hint="eastAsia" w:ascii="宋体" w:hAnsi="宋体" w:eastAsia="宋体" w:cs="宋体"/>
          <w:color w:val="auto"/>
          <w:highlight w:val="none"/>
        </w:rPr>
      </w:pPr>
    </w:p>
    <w:p>
      <w:pPr>
        <w:snapToGrid w:val="0"/>
        <w:spacing w:line="360" w:lineRule="auto"/>
        <w:rPr>
          <w:rFonts w:hint="eastAsia" w:ascii="宋体" w:hAnsi="宋体" w:eastAsia="宋体" w:cs="宋体"/>
          <w:color w:val="auto"/>
          <w:highlight w:val="none"/>
        </w:rPr>
      </w:pPr>
      <w:r>
        <w:rPr>
          <w:rStyle w:val="31"/>
          <w:rFonts w:hint="eastAsia" w:ascii="宋体" w:hAnsi="宋体" w:eastAsia="宋体" w:cs="宋体"/>
          <w:b/>
          <w:color w:val="auto"/>
          <w:sz w:val="30"/>
          <w:szCs w:val="30"/>
          <w:highlight w:val="none"/>
        </w:rPr>
        <w:t>采购人：</w:t>
      </w:r>
      <w:r>
        <w:rPr>
          <w:rFonts w:hint="eastAsia" w:ascii="宋体" w:hAnsi="宋体" w:eastAsia="宋体" w:cs="宋体"/>
          <w:b/>
          <w:color w:val="auto"/>
          <w:sz w:val="30"/>
          <w:szCs w:val="30"/>
          <w:highlight w:val="none"/>
        </w:rPr>
        <w:t>海南省公路管理局三亚公路局</w:t>
      </w:r>
    </w:p>
    <w:p>
      <w:pPr>
        <w:snapToGrid w:val="0"/>
        <w:spacing w:line="360" w:lineRule="auto"/>
        <w:rPr>
          <w:rFonts w:hint="eastAsia" w:ascii="宋体" w:hAnsi="宋体" w:eastAsia="宋体" w:cs="宋体"/>
          <w:color w:val="auto"/>
          <w:highlight w:val="none"/>
        </w:rPr>
      </w:pPr>
      <w:r>
        <w:rPr>
          <w:rStyle w:val="31"/>
          <w:rFonts w:hint="eastAsia" w:ascii="宋体" w:hAnsi="宋体" w:eastAsia="宋体" w:cs="宋体"/>
          <w:b/>
          <w:color w:val="auto"/>
          <w:sz w:val="30"/>
          <w:szCs w:val="30"/>
          <w:highlight w:val="none"/>
        </w:rPr>
        <w:t>采购代理机构：四川同创建设工程管理有限公司</w:t>
      </w:r>
    </w:p>
    <w:p>
      <w:pPr>
        <w:snapToGrid w:val="0"/>
        <w:spacing w:line="360" w:lineRule="auto"/>
        <w:rPr>
          <w:rStyle w:val="31"/>
          <w:rFonts w:hint="eastAsia" w:ascii="宋体" w:hAnsi="宋体" w:eastAsia="宋体" w:cs="宋体"/>
          <w:b/>
          <w:color w:val="auto"/>
          <w:sz w:val="30"/>
          <w:szCs w:val="30"/>
          <w:highlight w:val="none"/>
        </w:rPr>
      </w:pPr>
      <w:r>
        <w:rPr>
          <w:rStyle w:val="31"/>
          <w:rFonts w:hint="eastAsia" w:ascii="宋体" w:hAnsi="宋体" w:eastAsia="宋体" w:cs="宋体"/>
          <w:b/>
          <w:color w:val="auto"/>
          <w:sz w:val="30"/>
          <w:szCs w:val="30"/>
          <w:highlight w:val="none"/>
        </w:rPr>
        <w:t>日期：二〇二三年</w:t>
      </w:r>
      <w:r>
        <w:rPr>
          <w:rStyle w:val="31"/>
          <w:rFonts w:hint="eastAsia" w:ascii="宋体" w:hAnsi="宋体" w:eastAsia="宋体" w:cs="宋体"/>
          <w:b/>
          <w:color w:val="auto"/>
          <w:sz w:val="30"/>
          <w:szCs w:val="30"/>
          <w:highlight w:val="none"/>
          <w:lang w:val="en-US"/>
        </w:rPr>
        <w:t>三</w:t>
      </w:r>
      <w:r>
        <w:rPr>
          <w:rStyle w:val="31"/>
          <w:rFonts w:hint="eastAsia" w:ascii="宋体" w:hAnsi="宋体" w:eastAsia="宋体" w:cs="宋体"/>
          <w:b/>
          <w:color w:val="auto"/>
          <w:sz w:val="30"/>
          <w:szCs w:val="30"/>
          <w:highlight w:val="none"/>
        </w:rPr>
        <w:t>月</w:t>
      </w:r>
    </w:p>
    <w:p>
      <w:pPr>
        <w:snapToGrid w:val="0"/>
        <w:spacing w:line="360" w:lineRule="auto"/>
        <w:jc w:val="center"/>
        <w:rPr>
          <w:rFonts w:hint="eastAsia" w:ascii="宋体" w:hAnsi="宋体" w:eastAsia="宋体" w:cs="宋体"/>
          <w:color w:val="auto"/>
          <w:highlight w:val="none"/>
        </w:rPr>
      </w:pPr>
      <w:r>
        <w:rPr>
          <w:rStyle w:val="31"/>
          <w:rFonts w:hint="eastAsia" w:ascii="宋体" w:hAnsi="宋体" w:eastAsia="宋体" w:cs="宋体"/>
          <w:b/>
          <w:color w:val="auto"/>
          <w:sz w:val="30"/>
          <w:szCs w:val="30"/>
          <w:highlight w:val="none"/>
        </w:rPr>
        <w:br w:type="page"/>
      </w:r>
      <w:bookmarkStart w:id="0" w:name="_Toc18439"/>
      <w:bookmarkStart w:id="1" w:name="_Toc29597"/>
      <w:r>
        <w:rPr>
          <w:rFonts w:hint="eastAsia" w:ascii="宋体" w:hAnsi="宋体" w:eastAsia="宋体" w:cs="宋体"/>
          <w:b/>
          <w:bCs/>
          <w:color w:val="auto"/>
          <w:sz w:val="44"/>
          <w:szCs w:val="44"/>
          <w:highlight w:val="none"/>
          <w:lang w:val="zh-CN"/>
        </w:rPr>
        <w:t>目  录</w:t>
      </w:r>
      <w:bookmarkEnd w:id="0"/>
      <w:bookmarkEnd w:id="1"/>
    </w:p>
    <w:p>
      <w:pPr>
        <w:pStyle w:val="14"/>
        <w:tabs>
          <w:tab w:val="right" w:leader="dot" w:pos="8300"/>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TOC \o "1-3" \h \z \u </w:instrText>
      </w:r>
      <w:r>
        <w:rPr>
          <w:rFonts w:hint="eastAsia" w:ascii="宋体" w:hAnsi="宋体" w:eastAsia="宋体" w:cs="宋体"/>
          <w:color w:val="auto"/>
          <w:highlight w:val="none"/>
        </w:rPr>
        <w:fldChar w:fldCharType="separate"/>
      </w:r>
      <w:r>
        <w:fldChar w:fldCharType="begin"/>
      </w:r>
      <w:r>
        <w:instrText xml:space="preserve"> HYPERLINK \l "_Toc17674" </w:instrText>
      </w:r>
      <w:r>
        <w:fldChar w:fldCharType="separate"/>
      </w:r>
      <w:r>
        <w:rPr>
          <w:rFonts w:hint="eastAsia" w:ascii="宋体" w:hAnsi="宋体" w:eastAsia="宋体" w:cs="宋体"/>
          <w:color w:val="auto"/>
          <w:highlight w:val="none"/>
        </w:rPr>
        <w:t>第一章 竞争性磋商公告</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_Toc17674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4"/>
        <w:tabs>
          <w:tab w:val="right" w:leader="dot" w:pos="8300"/>
        </w:tabs>
        <w:spacing w:line="360" w:lineRule="auto"/>
        <w:rPr>
          <w:rFonts w:hint="eastAsia" w:ascii="宋体" w:hAnsi="宋体" w:eastAsia="宋体" w:cs="宋体"/>
          <w:color w:val="auto"/>
          <w:highlight w:val="none"/>
        </w:rPr>
      </w:pPr>
      <w:r>
        <w:fldChar w:fldCharType="begin"/>
      </w:r>
      <w:r>
        <w:instrText xml:space="preserve"> HYPERLINK \l "_Toc6477" </w:instrText>
      </w:r>
      <w:r>
        <w:fldChar w:fldCharType="separate"/>
      </w:r>
      <w:r>
        <w:rPr>
          <w:rFonts w:hint="eastAsia" w:ascii="宋体" w:hAnsi="宋体" w:eastAsia="宋体" w:cs="宋体"/>
          <w:color w:val="auto"/>
          <w:highlight w:val="none"/>
        </w:rPr>
        <w:t>第二章 供应商须知</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_Toc6477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4"/>
        <w:tabs>
          <w:tab w:val="right" w:leader="dot" w:pos="8300"/>
        </w:tabs>
        <w:spacing w:line="360" w:lineRule="auto"/>
        <w:rPr>
          <w:rFonts w:hint="eastAsia" w:ascii="宋体" w:hAnsi="宋体" w:eastAsia="宋体" w:cs="宋体"/>
          <w:color w:val="auto"/>
          <w:highlight w:val="none"/>
        </w:rPr>
      </w:pPr>
      <w:r>
        <w:fldChar w:fldCharType="begin"/>
      </w:r>
      <w:r>
        <w:instrText xml:space="preserve"> HYPERLINK \l "_Toc20754" </w:instrText>
      </w:r>
      <w:r>
        <w:fldChar w:fldCharType="separate"/>
      </w:r>
      <w:r>
        <w:rPr>
          <w:rFonts w:hint="eastAsia" w:ascii="宋体" w:hAnsi="宋体" w:eastAsia="宋体" w:cs="宋体"/>
          <w:bCs/>
          <w:color w:val="auto"/>
          <w:highlight w:val="none"/>
        </w:rPr>
        <w:t>第三章 采购要求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_Toc20754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4"/>
        <w:tabs>
          <w:tab w:val="right" w:leader="dot" w:pos="8300"/>
        </w:tabs>
        <w:spacing w:line="360" w:lineRule="auto"/>
        <w:rPr>
          <w:rFonts w:hint="eastAsia" w:ascii="宋体" w:hAnsi="宋体" w:eastAsia="宋体" w:cs="宋体"/>
          <w:color w:val="auto"/>
          <w:highlight w:val="none"/>
        </w:rPr>
      </w:pPr>
      <w:r>
        <w:fldChar w:fldCharType="begin"/>
      </w:r>
      <w:r>
        <w:instrText xml:space="preserve"> HYPERLINK \l "_Toc20832" </w:instrText>
      </w:r>
      <w:r>
        <w:fldChar w:fldCharType="separate"/>
      </w:r>
      <w:r>
        <w:rPr>
          <w:rFonts w:hint="eastAsia" w:ascii="宋体" w:hAnsi="宋体" w:eastAsia="宋体" w:cs="宋体"/>
          <w:color w:val="auto"/>
          <w:highlight w:val="none"/>
        </w:rPr>
        <w:t>第四章 清单、图纸（另册）</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_Toc20832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28</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4"/>
        <w:tabs>
          <w:tab w:val="right" w:leader="dot" w:pos="8300"/>
        </w:tabs>
        <w:spacing w:line="360" w:lineRule="auto"/>
        <w:rPr>
          <w:rFonts w:hint="eastAsia" w:ascii="宋体" w:hAnsi="宋体" w:eastAsia="宋体" w:cs="宋体"/>
          <w:color w:val="auto"/>
          <w:highlight w:val="none"/>
        </w:rPr>
      </w:pPr>
      <w:r>
        <w:fldChar w:fldCharType="begin"/>
      </w:r>
      <w:r>
        <w:instrText xml:space="preserve"> HYPERLINK \l "_Toc11481" </w:instrText>
      </w:r>
      <w:r>
        <w:fldChar w:fldCharType="separate"/>
      </w:r>
      <w:r>
        <w:rPr>
          <w:rFonts w:hint="eastAsia" w:ascii="宋体" w:hAnsi="宋体" w:eastAsia="宋体" w:cs="宋体"/>
          <w:color w:val="auto"/>
          <w:highlight w:val="none"/>
        </w:rPr>
        <w:t>第五章 合同条款及格式（仅供参考）</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_Toc11481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28</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4"/>
        <w:tabs>
          <w:tab w:val="right" w:leader="dot" w:pos="8300"/>
        </w:tabs>
        <w:spacing w:line="360" w:lineRule="auto"/>
        <w:rPr>
          <w:rFonts w:hint="eastAsia" w:ascii="宋体" w:hAnsi="宋体" w:eastAsia="宋体" w:cs="宋体"/>
          <w:color w:val="auto"/>
          <w:highlight w:val="none"/>
        </w:rPr>
      </w:pPr>
      <w:r>
        <w:fldChar w:fldCharType="begin"/>
      </w:r>
      <w:r>
        <w:instrText xml:space="preserve"> HYPERLINK \l "_Toc7448" </w:instrText>
      </w:r>
      <w:r>
        <w:fldChar w:fldCharType="separate"/>
      </w:r>
      <w:r>
        <w:rPr>
          <w:rFonts w:hint="eastAsia" w:ascii="宋体" w:hAnsi="宋体" w:eastAsia="宋体" w:cs="宋体"/>
          <w:color w:val="auto"/>
          <w:highlight w:val="none"/>
        </w:rPr>
        <w:t>第六章 响应文件内容及格式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_Toc7448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118</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4"/>
        <w:tabs>
          <w:tab w:val="right" w:leader="dot" w:pos="8868"/>
        </w:tabs>
        <w:spacing w:line="360" w:lineRule="auto"/>
        <w:rPr>
          <w:rFonts w:hint="eastAsia" w:ascii="宋体" w:hAnsi="宋体" w:eastAsia="宋体" w:cs="宋体"/>
          <w:bCs/>
          <w:color w:val="auto"/>
          <w:szCs w:val="36"/>
          <w:highlight w:val="none"/>
          <w:lang w:val="zh-CN"/>
        </w:rPr>
      </w:pPr>
      <w:r>
        <w:rPr>
          <w:rFonts w:hint="eastAsia" w:ascii="宋体" w:hAnsi="宋体" w:eastAsia="宋体" w:cs="宋体"/>
          <w:color w:val="auto"/>
          <w:highlight w:val="none"/>
        </w:rPr>
        <w:fldChar w:fldCharType="end"/>
      </w:r>
    </w:p>
    <w:p>
      <w:pPr>
        <w:spacing w:line="360" w:lineRule="auto"/>
        <w:ind w:right="57"/>
        <w:rPr>
          <w:rFonts w:hint="eastAsia" w:ascii="宋体" w:hAnsi="宋体" w:eastAsia="宋体" w:cs="宋体"/>
          <w:color w:val="auto"/>
          <w:highlight w:val="none"/>
        </w:rPr>
      </w:pPr>
    </w:p>
    <w:p>
      <w:pPr>
        <w:spacing w:line="360" w:lineRule="auto"/>
        <w:ind w:firstLine="560"/>
        <w:rPr>
          <w:rFonts w:hint="eastAsia" w:ascii="宋体" w:hAnsi="宋体" w:eastAsia="宋体" w:cs="宋体"/>
          <w:color w:val="auto"/>
          <w:sz w:val="24"/>
          <w:highlight w:val="none"/>
        </w:rPr>
      </w:pPr>
    </w:p>
    <w:p>
      <w:pPr>
        <w:spacing w:line="360" w:lineRule="auto"/>
        <w:rPr>
          <w:rFonts w:hint="eastAsia" w:ascii="宋体" w:hAnsi="宋体" w:eastAsia="宋体" w:cs="宋体"/>
          <w:color w:val="auto"/>
          <w:highlight w:val="none"/>
        </w:rPr>
        <w:sectPr>
          <w:footerReference r:id="rId5" w:type="first"/>
          <w:footerReference r:id="rId4" w:type="default"/>
          <w:pgSz w:w="11906" w:h="16838"/>
          <w:pgMar w:top="1440" w:right="1440" w:bottom="1440" w:left="1803" w:header="720" w:footer="907" w:gutter="0"/>
          <w:cols w:space="708" w:num="1"/>
          <w:titlePg/>
          <w:docGrid w:type="lines" w:linePitch="312" w:charSpace="0"/>
        </w:sectPr>
      </w:pPr>
    </w:p>
    <w:p>
      <w:pPr>
        <w:pStyle w:val="3"/>
        <w:spacing w:line="360" w:lineRule="auto"/>
        <w:jc w:val="center"/>
        <w:rPr>
          <w:rFonts w:hint="eastAsia" w:ascii="宋体" w:hAnsi="宋体" w:eastAsia="宋体" w:cs="宋体"/>
          <w:color w:val="auto"/>
          <w:highlight w:val="none"/>
        </w:rPr>
      </w:pPr>
      <w:bookmarkStart w:id="2" w:name="_Toc17674"/>
      <w:r>
        <w:rPr>
          <w:rFonts w:hint="eastAsia" w:ascii="宋体" w:hAnsi="宋体" w:eastAsia="宋体" w:cs="宋体"/>
          <w:color w:val="auto"/>
          <w:highlight w:val="none"/>
        </w:rPr>
        <w:t>第一章 竞争性磋商公告</w:t>
      </w:r>
      <w:bookmarkEnd w:id="2"/>
    </w:p>
    <w:p>
      <w:pPr>
        <w:pBdr>
          <w:top w:val="single" w:color="000000" w:sz="4" w:space="1"/>
          <w:left w:val="single" w:color="000000" w:sz="4" w:space="4"/>
          <w:bottom w:val="single" w:color="000000" w:sz="4" w:space="1"/>
          <w:right w:val="single" w:color="000000" w:sz="4" w:space="4"/>
        </w:pBd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项目概况</w:t>
      </w:r>
    </w:p>
    <w:p>
      <w:pPr>
        <w:pBdr>
          <w:top w:val="single" w:color="000000" w:sz="4" w:space="1"/>
          <w:left w:val="single" w:color="000000" w:sz="4" w:space="4"/>
          <w:bottom w:val="single" w:color="000000" w:sz="4" w:space="1"/>
          <w:right w:val="single" w:color="000000" w:sz="4" w:space="4"/>
        </w:pBd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u w:val="single"/>
          <w:lang w:eastAsia="zh-CN"/>
        </w:rPr>
        <w:t>G223海榆东线安全设施精细化提升工程（K276+350-K307+000)</w:t>
      </w:r>
      <w:r>
        <w:rPr>
          <w:rFonts w:hint="eastAsia" w:ascii="宋体" w:hAnsi="宋体" w:eastAsia="宋体" w:cs="宋体"/>
          <w:color w:val="auto"/>
          <w:sz w:val="28"/>
          <w:szCs w:val="28"/>
          <w:highlight w:val="none"/>
        </w:rPr>
        <w:t>的潜在供应商应在海南政府采购网(www.ccgp-hainan.gov.cn)-海南省政府采购电子化交易管理系统（新）获取竞争性磋商文件，并于</w:t>
      </w:r>
      <w:r>
        <w:rPr>
          <w:rFonts w:hint="eastAsia" w:ascii="宋体" w:hAnsi="宋体" w:eastAsia="宋体" w:cs="宋体"/>
          <w:color w:val="auto"/>
          <w:sz w:val="28"/>
          <w:szCs w:val="28"/>
          <w:highlight w:val="none"/>
          <w:u w:val="single"/>
          <w:lang w:eastAsia="zh-CN"/>
        </w:rPr>
        <w:t>2023年4月11日10点00分</w:t>
      </w:r>
      <w:r>
        <w:rPr>
          <w:rFonts w:hint="eastAsia" w:ascii="宋体" w:hAnsi="宋体" w:eastAsia="宋体" w:cs="宋体"/>
          <w:bCs/>
          <w:color w:val="auto"/>
          <w:sz w:val="28"/>
          <w:szCs w:val="28"/>
          <w:highlight w:val="none"/>
        </w:rPr>
        <w:t>（北京时间）前提交响应文件</w:t>
      </w:r>
      <w:r>
        <w:rPr>
          <w:rFonts w:hint="eastAsia" w:ascii="宋体" w:hAnsi="宋体" w:eastAsia="宋体" w:cs="宋体"/>
          <w:color w:val="auto"/>
          <w:sz w:val="28"/>
          <w:szCs w:val="28"/>
          <w:highlight w:val="none"/>
        </w:rPr>
        <w:t>。</w:t>
      </w:r>
    </w:p>
    <w:p>
      <w:pPr>
        <w:pStyle w:val="2"/>
        <w:spacing w:before="0" w:after="0" w:line="360" w:lineRule="auto"/>
        <w:rPr>
          <w:rFonts w:hint="eastAsia" w:ascii="宋体" w:hAnsi="宋体" w:eastAsia="宋体" w:cs="宋体"/>
          <w:color w:val="auto"/>
          <w:highlight w:val="none"/>
        </w:rPr>
      </w:pPr>
      <w:bookmarkStart w:id="3" w:name="_Toc2191"/>
      <w:bookmarkStart w:id="4" w:name="_Toc31336"/>
      <w:r>
        <w:rPr>
          <w:rFonts w:hint="eastAsia" w:ascii="宋体" w:hAnsi="宋体" w:eastAsia="宋体" w:cs="宋体"/>
          <w:b w:val="0"/>
          <w:color w:val="auto"/>
          <w:sz w:val="28"/>
          <w:szCs w:val="28"/>
          <w:highlight w:val="none"/>
        </w:rPr>
        <w:t>一、项目基本情况</w:t>
      </w:r>
      <w:bookmarkEnd w:id="3"/>
      <w:bookmarkEnd w:id="4"/>
    </w:p>
    <w:p>
      <w:pPr>
        <w:spacing w:line="360" w:lineRule="auto"/>
        <w:ind w:firstLine="560"/>
        <w:rPr>
          <w:rFonts w:hint="eastAsia" w:ascii="宋体" w:hAnsi="宋体" w:eastAsia="宋体" w:cs="宋体"/>
          <w:color w:val="auto"/>
          <w:highlight w:val="none"/>
          <w:lang w:eastAsia="zh-CN"/>
        </w:rPr>
      </w:pPr>
      <w:r>
        <w:rPr>
          <w:rFonts w:hint="eastAsia" w:ascii="宋体" w:hAnsi="宋体" w:eastAsia="宋体" w:cs="宋体"/>
          <w:color w:val="auto"/>
          <w:sz w:val="28"/>
          <w:szCs w:val="28"/>
          <w:highlight w:val="none"/>
        </w:rPr>
        <w:t>1、项目编号：</w:t>
      </w:r>
      <w:r>
        <w:rPr>
          <w:rFonts w:hint="eastAsia" w:ascii="宋体" w:hAnsi="宋体" w:eastAsia="宋体" w:cs="宋体"/>
          <w:color w:val="auto"/>
          <w:sz w:val="28"/>
          <w:szCs w:val="28"/>
          <w:highlight w:val="none"/>
          <w:lang w:eastAsia="zh-CN"/>
        </w:rPr>
        <w:t>SCTCHN-2023-001</w:t>
      </w:r>
    </w:p>
    <w:p>
      <w:pPr>
        <w:spacing w:line="360" w:lineRule="auto"/>
        <w:ind w:firstLine="56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2、项目名称：</w:t>
      </w:r>
      <w:r>
        <w:rPr>
          <w:rFonts w:hint="eastAsia" w:ascii="宋体" w:hAnsi="宋体" w:eastAsia="宋体" w:cs="宋体"/>
          <w:color w:val="auto"/>
          <w:sz w:val="28"/>
          <w:szCs w:val="28"/>
          <w:highlight w:val="none"/>
          <w:lang w:eastAsia="zh-CN"/>
        </w:rPr>
        <w:t>G223海榆东线安全设施精细化提升工程（K276+350-K307+000)</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 xml:space="preserve">3、采购方式：竞争性磋商 </w:t>
      </w:r>
    </w:p>
    <w:p>
      <w:pPr>
        <w:spacing w:line="360" w:lineRule="auto"/>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4、预算金额：¥</w:t>
      </w:r>
      <w:r>
        <w:rPr>
          <w:rFonts w:hint="eastAsia" w:ascii="宋体" w:hAnsi="宋体" w:eastAsia="宋体" w:cs="宋体"/>
          <w:color w:val="auto"/>
          <w:sz w:val="28"/>
          <w:szCs w:val="28"/>
          <w:highlight w:val="none"/>
          <w:lang w:eastAsia="zh-CN"/>
        </w:rPr>
        <w:t>3691941.00</w:t>
      </w:r>
      <w:r>
        <w:rPr>
          <w:rFonts w:hint="eastAsia" w:ascii="宋体" w:hAnsi="宋体" w:eastAsia="宋体" w:cs="宋体"/>
          <w:color w:val="auto"/>
          <w:sz w:val="28"/>
          <w:szCs w:val="28"/>
          <w:highlight w:val="none"/>
        </w:rPr>
        <w:t>元；最高限价（如有）：¥</w:t>
      </w:r>
      <w:r>
        <w:rPr>
          <w:rFonts w:hint="eastAsia" w:ascii="宋体" w:hAnsi="宋体" w:eastAsia="宋体" w:cs="宋体"/>
          <w:color w:val="auto"/>
          <w:sz w:val="28"/>
          <w:szCs w:val="28"/>
          <w:highlight w:val="none"/>
          <w:lang w:eastAsia="zh-CN"/>
        </w:rPr>
        <w:t>3691941.00</w:t>
      </w:r>
      <w:r>
        <w:rPr>
          <w:rFonts w:hint="eastAsia" w:ascii="宋体" w:hAnsi="宋体" w:eastAsia="宋体" w:cs="宋体"/>
          <w:color w:val="auto"/>
          <w:sz w:val="28"/>
          <w:szCs w:val="28"/>
          <w:highlight w:val="none"/>
        </w:rPr>
        <w:t>元（超过最高限价按无效投标处理）。</w:t>
      </w:r>
    </w:p>
    <w:p>
      <w:pPr>
        <w:kinsoku/>
        <w:wordWrap/>
        <w:overflowPunct/>
        <w:topLinePunct w:val="0"/>
        <w:autoSpaceDN/>
        <w:bidi w:val="0"/>
        <w:adjustRightInd/>
        <w:spacing w:line="360" w:lineRule="auto"/>
        <w:ind w:left="0" w:right="0"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项目建设地址：海南省三亚市吉阳区。</w:t>
      </w:r>
    </w:p>
    <w:p>
      <w:pPr>
        <w:kinsoku/>
        <w:wordWrap/>
        <w:overflowPunct/>
        <w:topLinePunct w:val="0"/>
        <w:autoSpaceDN/>
        <w:bidi w:val="0"/>
        <w:adjustRightInd/>
        <w:spacing w:line="360" w:lineRule="auto"/>
        <w:ind w:left="0" w:right="0" w:firstLine="56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6、</w:t>
      </w:r>
      <w:r>
        <w:rPr>
          <w:rFonts w:hint="eastAsia" w:ascii="宋体" w:hAnsi="宋体" w:eastAsia="宋体" w:cs="宋体"/>
          <w:color w:val="auto"/>
          <w:sz w:val="28"/>
          <w:szCs w:val="28"/>
          <w:highlight w:val="none"/>
        </w:rPr>
        <w:t>项目建设规模和内容：</w:t>
      </w:r>
      <w:r>
        <w:rPr>
          <w:rFonts w:hint="eastAsia" w:ascii="宋体" w:hAnsi="宋体" w:eastAsia="宋体" w:cs="宋体"/>
          <w:color w:val="auto"/>
          <w:sz w:val="28"/>
          <w:szCs w:val="28"/>
          <w:highlight w:val="none"/>
          <w:lang w:eastAsia="zh-CN"/>
        </w:rPr>
        <w:t>本项目位于三亚市G223海榆东线(K276+350~K307+000)道路等级为二级公路，设计速度为60km/h，现状为沥青混凝土路面。路面结构层厚度为4cm细粒式沥青混凝土(AC-13C)上面层+6cm中粒式沥青混凝土(AC-20C)下面层+32cm水泥稳定碎石基层+15cm级配碎石底基层。现状沥青混凝土路面结构完好,道路附属设施均完善，本次项目主要涉及自发光路面标识(自发光钢化玻璃道钉、智能地埋式圆形路面标识)的增设、竹落岭隧道出入口波形护栏的增设及竹落岭隧道蓄能自发光应急诱导系统的增设。</w:t>
      </w:r>
    </w:p>
    <w:p>
      <w:pPr>
        <w:spacing w:line="360" w:lineRule="auto"/>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7、合同履行期限：</w:t>
      </w:r>
      <w:r>
        <w:rPr>
          <w:rFonts w:hint="eastAsia" w:ascii="宋体" w:hAnsi="宋体" w:eastAsia="宋体" w:cs="宋体"/>
          <w:color w:val="auto"/>
          <w:sz w:val="28"/>
          <w:szCs w:val="28"/>
          <w:highlight w:val="none"/>
          <w:lang w:eastAsia="zh-CN"/>
        </w:rPr>
        <w:t>720日历天，其中施工期180日历天，交工准备期180日历天，缺陷责任期360日历天</w:t>
      </w:r>
      <w:r>
        <w:rPr>
          <w:rFonts w:hint="eastAsia" w:ascii="宋体" w:hAnsi="宋体" w:eastAsia="宋体" w:cs="宋体"/>
          <w:color w:val="auto"/>
          <w:sz w:val="28"/>
          <w:szCs w:val="28"/>
          <w:highlight w:val="none"/>
        </w:rPr>
        <w:t>。</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8、质量标准：合格。</w:t>
      </w:r>
    </w:p>
    <w:p>
      <w:pPr>
        <w:spacing w:line="360" w:lineRule="auto"/>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9、资金来源：政府投资。</w:t>
      </w:r>
    </w:p>
    <w:p>
      <w:pPr>
        <w:pStyle w:val="2"/>
        <w:spacing w:before="0" w:after="0" w:line="360" w:lineRule="auto"/>
        <w:rPr>
          <w:rFonts w:hint="eastAsia" w:ascii="宋体" w:hAnsi="宋体" w:eastAsia="宋体" w:cs="宋体"/>
          <w:color w:val="auto"/>
          <w:highlight w:val="none"/>
        </w:rPr>
      </w:pPr>
      <w:bookmarkStart w:id="5" w:name="_Toc7952"/>
      <w:bookmarkStart w:id="6" w:name="_Toc7018"/>
      <w:r>
        <w:rPr>
          <w:rFonts w:hint="eastAsia" w:ascii="宋体" w:hAnsi="宋体" w:eastAsia="宋体" w:cs="宋体"/>
          <w:b w:val="0"/>
          <w:color w:val="auto"/>
          <w:sz w:val="28"/>
          <w:szCs w:val="28"/>
          <w:highlight w:val="none"/>
        </w:rPr>
        <w:t>二、申请人的资格要求：</w:t>
      </w:r>
      <w:bookmarkEnd w:id="5"/>
      <w:bookmarkEnd w:id="6"/>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1、满足《中华人民共和国政府采购法》第二十二条规定；</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2、落实政府采购政策需满足的资格要求：《政府采购促进中小企业发展管理办法》、《关于促进残疾人就业政府采购政策的通知》、《财政部司法部关于政府采购支持监狱企业发展有关问题的通知》、《节能产品政府采购实施意见》、《关于环境标志产品政府采购实施的意见》、《关于信息安全产品实施政府采购的通知》。</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3、本项目的特定资格要求：</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3.1、在中华人民共和国注册，具有独立承担民事责任能力的法人；</w:t>
      </w:r>
    </w:p>
    <w:p>
      <w:pPr>
        <w:spacing w:before="104" w:line="350" w:lineRule="auto"/>
        <w:ind w:right="70" w:firstLine="480"/>
        <w:rPr>
          <w:rFonts w:hint="eastAsia" w:ascii="宋体" w:hAnsi="宋体" w:eastAsia="宋体" w:cs="宋体"/>
          <w:color w:val="auto"/>
          <w:spacing w:val="-1"/>
          <w:sz w:val="30"/>
          <w:szCs w:val="30"/>
          <w:highlight w:val="none"/>
        </w:rPr>
      </w:pPr>
      <w:r>
        <w:rPr>
          <w:rFonts w:hint="eastAsia" w:ascii="宋体" w:hAnsi="宋体" w:eastAsia="宋体" w:cs="宋体"/>
          <w:color w:val="auto"/>
          <w:sz w:val="28"/>
          <w:szCs w:val="28"/>
          <w:highlight w:val="none"/>
        </w:rPr>
        <w:t>3.2、</w:t>
      </w:r>
      <w:r>
        <w:rPr>
          <w:rFonts w:hint="eastAsia" w:ascii="宋体" w:hAnsi="宋体" w:eastAsia="宋体" w:cs="宋体"/>
          <w:color w:val="auto"/>
          <w:sz w:val="28"/>
          <w:szCs w:val="28"/>
          <w:highlight w:val="none"/>
          <w:lang w:eastAsia="zh-CN"/>
        </w:rPr>
        <w:t>供应商具备国家住建部（或建设主管部门）核发的公路工程施工总承包叁级及以上资质（或根据《住房和城乡建设部关于印发建设工程企业资质管理制度改革方案的通知（【建市[2020]94号】）换发新证取得相应的资质）；具备有效的安全生产许可证，并在人员、设备、资金等方面具有相应的施工能力；拟派项目经理须具备公路工程专业二级及以上注册建造师执业资格并持有交通运输主管部门颁发的安全生产考核合格证书（B证），且未担任其他在建工程项目的项目负责人（项目经理）；拟派项目总工具有公路工程相关专业中级或以上职称，且未担任其他在建工程项目的项目技术负责人（项目总工）。（证明材料：响应文件中须提供项目经理</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项目总工相关证书复印件加盖公章、无在建承诺书并加盖公章；2022年7月至今任意3个月养老保险证明复印件加盖单位公章（退休人员提供退休证和劳动合同）)</w:t>
      </w:r>
      <w:r>
        <w:rPr>
          <w:rFonts w:hint="eastAsia" w:ascii="宋体" w:hAnsi="宋体" w:eastAsia="宋体" w:cs="宋体"/>
          <w:color w:val="auto"/>
          <w:spacing w:val="-1"/>
          <w:sz w:val="28"/>
          <w:szCs w:val="28"/>
          <w:highlight w:val="none"/>
        </w:rPr>
        <w:t>。</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3.3、具有良好的商业信誉和健全的财务会计制度（须提供2020年或2021年会计师事务所出具的财务审计报告或2022年至今任意一个季度的企业财务会计报表）；</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3.4、具有履行合同所必须的设备和专业技术能力；</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3.5、具有依法缴纳税收和社会保障资金的良好记录（须提供2022年7月至今任意3个月的缴纳税收及社会保障缴费记录凭证的有效证明材料，零纳税须提供税务部门盖章的纳税申报表）；</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3.6、信誉要求：供应商在“信用中国”（https://www.creditchina.gov.cn/）网站未被列入失信被执行人、重大税收违法失信主体、政府采购严重违法失信名单；供应商在“中国政府采购网”未被列入政府采购严重违法失信行为记录名单。（提供信息查询结果界面截图加盖公章；备注：因“信用中国-失信被执行人”查询网址链接为”中国执行信息公开网“网站，故失信被执行人查询以中国执行信息公开网（http://zxgk.court.gov.cn）查询为准）；</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3.7、供应商提供参加政府采购活动近三年内（成立不足三年的从成立之日起算）在经营活动中没有骗取中标和严重违约及重大工程质量问题，没有重大违约记录，没有处于被责令停业，投标资格被取消，财产被接管、冻结、破产状态的声明（格式内容自拟，须加盖本单位公章）；</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3.8、本项目不接受联合体投标。</w:t>
      </w:r>
    </w:p>
    <w:p>
      <w:pPr>
        <w:pStyle w:val="2"/>
        <w:spacing w:before="0" w:after="0" w:line="360" w:lineRule="auto"/>
        <w:rPr>
          <w:rFonts w:hint="eastAsia" w:ascii="宋体" w:hAnsi="宋体" w:eastAsia="宋体" w:cs="宋体"/>
          <w:color w:val="auto"/>
          <w:highlight w:val="none"/>
        </w:rPr>
      </w:pPr>
      <w:bookmarkStart w:id="7" w:name="_Toc24001"/>
      <w:bookmarkStart w:id="8" w:name="_Toc25439"/>
      <w:r>
        <w:rPr>
          <w:rFonts w:hint="eastAsia" w:ascii="宋体" w:hAnsi="宋体" w:eastAsia="宋体" w:cs="宋体"/>
          <w:b w:val="0"/>
          <w:color w:val="auto"/>
          <w:sz w:val="28"/>
          <w:szCs w:val="28"/>
          <w:highlight w:val="none"/>
        </w:rPr>
        <w:t>三、获取竞争性磋商文件</w:t>
      </w:r>
      <w:bookmarkEnd w:id="7"/>
      <w:bookmarkEnd w:id="8"/>
    </w:p>
    <w:p>
      <w:pPr>
        <w:spacing w:line="360" w:lineRule="auto"/>
        <w:ind w:firstLine="540"/>
        <w:rPr>
          <w:rFonts w:hint="eastAsia" w:ascii="宋体" w:hAnsi="宋体" w:eastAsia="宋体" w:cs="宋体"/>
          <w:color w:val="auto"/>
          <w:highlight w:val="none"/>
        </w:rPr>
      </w:pPr>
      <w:r>
        <w:rPr>
          <w:rFonts w:hint="eastAsia" w:ascii="宋体" w:hAnsi="宋体" w:eastAsia="宋体" w:cs="宋体"/>
          <w:color w:val="auto"/>
          <w:sz w:val="28"/>
          <w:szCs w:val="28"/>
          <w:highlight w:val="none"/>
        </w:rPr>
        <w:t>时间：</w:t>
      </w:r>
      <w:r>
        <w:rPr>
          <w:rFonts w:hint="eastAsia" w:ascii="宋体" w:hAnsi="宋体" w:eastAsia="宋体" w:cs="宋体"/>
          <w:color w:val="auto"/>
          <w:sz w:val="28"/>
          <w:szCs w:val="28"/>
          <w:highlight w:val="none"/>
          <w:u w:val="single"/>
          <w:lang w:eastAsia="zh-CN"/>
        </w:rPr>
        <w:t>2023年3月27日至 2023年4月3日</w:t>
      </w:r>
      <w:r>
        <w:rPr>
          <w:rFonts w:hint="eastAsia" w:ascii="宋体" w:hAnsi="宋体" w:eastAsia="宋体" w:cs="宋体"/>
          <w:color w:val="auto"/>
          <w:sz w:val="28"/>
          <w:szCs w:val="28"/>
          <w:highlight w:val="none"/>
          <w:u w:val="single"/>
        </w:rPr>
        <w:t>（磋商文件的发售期限自开始之日起不得少于5个工作日）</w:t>
      </w:r>
      <w:r>
        <w:rPr>
          <w:rFonts w:hint="eastAsia" w:ascii="宋体" w:hAnsi="宋体" w:eastAsia="宋体" w:cs="宋体"/>
          <w:color w:val="auto"/>
          <w:sz w:val="28"/>
          <w:szCs w:val="28"/>
          <w:highlight w:val="none"/>
        </w:rPr>
        <w:t>，每天上午</w:t>
      </w:r>
      <w:r>
        <w:rPr>
          <w:rFonts w:hint="eastAsia" w:ascii="宋体" w:hAnsi="宋体" w:eastAsia="宋体" w:cs="宋体"/>
          <w:color w:val="auto"/>
          <w:sz w:val="28"/>
          <w:szCs w:val="28"/>
          <w:highlight w:val="none"/>
          <w:u w:val="single"/>
        </w:rPr>
        <w:t>08:30</w:t>
      </w:r>
      <w:r>
        <w:rPr>
          <w:rFonts w:hint="eastAsia" w:ascii="宋体" w:hAnsi="宋体" w:eastAsia="宋体" w:cs="宋体"/>
          <w:color w:val="auto"/>
          <w:sz w:val="28"/>
          <w:szCs w:val="28"/>
          <w:highlight w:val="none"/>
        </w:rPr>
        <w:t>至</w:t>
      </w:r>
      <w:r>
        <w:rPr>
          <w:rFonts w:hint="eastAsia" w:ascii="宋体" w:hAnsi="宋体" w:eastAsia="宋体" w:cs="宋体"/>
          <w:color w:val="auto"/>
          <w:sz w:val="28"/>
          <w:szCs w:val="28"/>
          <w:highlight w:val="none"/>
          <w:u w:val="single"/>
        </w:rPr>
        <w:t>12:00</w:t>
      </w:r>
      <w:r>
        <w:rPr>
          <w:rFonts w:hint="eastAsia" w:ascii="宋体" w:hAnsi="宋体" w:eastAsia="宋体" w:cs="宋体"/>
          <w:color w:val="auto"/>
          <w:sz w:val="28"/>
          <w:szCs w:val="28"/>
          <w:highlight w:val="none"/>
        </w:rPr>
        <w:t>，下午</w:t>
      </w:r>
      <w:r>
        <w:rPr>
          <w:rFonts w:hint="eastAsia" w:ascii="宋体" w:hAnsi="宋体" w:eastAsia="宋体" w:cs="宋体"/>
          <w:color w:val="auto"/>
          <w:sz w:val="28"/>
          <w:szCs w:val="28"/>
          <w:highlight w:val="none"/>
          <w:u w:val="single"/>
        </w:rPr>
        <w:t>14:30</w:t>
      </w:r>
      <w:r>
        <w:rPr>
          <w:rFonts w:hint="eastAsia" w:ascii="宋体" w:hAnsi="宋体" w:eastAsia="宋体" w:cs="宋体"/>
          <w:color w:val="auto"/>
          <w:sz w:val="28"/>
          <w:szCs w:val="28"/>
          <w:highlight w:val="none"/>
        </w:rPr>
        <w:t>至</w:t>
      </w:r>
      <w:r>
        <w:rPr>
          <w:rFonts w:hint="eastAsia" w:ascii="宋体" w:hAnsi="宋体" w:eastAsia="宋体" w:cs="宋体"/>
          <w:color w:val="auto"/>
          <w:sz w:val="28"/>
          <w:szCs w:val="28"/>
          <w:highlight w:val="none"/>
          <w:u w:val="single"/>
        </w:rPr>
        <w:t>17:30</w:t>
      </w:r>
      <w:r>
        <w:rPr>
          <w:rFonts w:hint="eastAsia" w:ascii="宋体" w:hAnsi="宋体" w:eastAsia="宋体" w:cs="宋体"/>
          <w:color w:val="auto"/>
          <w:sz w:val="28"/>
          <w:szCs w:val="28"/>
          <w:highlight w:val="none"/>
        </w:rPr>
        <w:t>（北京时间，法定节假日除外）</w:t>
      </w:r>
    </w:p>
    <w:p>
      <w:pPr>
        <w:spacing w:before="104" w:line="350" w:lineRule="auto"/>
        <w:ind w:right="70" w:firstLine="480"/>
        <w:rPr>
          <w:rFonts w:hint="eastAsia" w:ascii="宋体" w:hAnsi="宋体" w:eastAsia="宋体" w:cs="宋体"/>
          <w:color w:val="auto"/>
          <w:sz w:val="28"/>
          <w:szCs w:val="28"/>
          <w:highlight w:val="none"/>
          <w:lang w:val="en-US" w:eastAsia="zh-CN"/>
        </w:rPr>
      </w:pPr>
      <w:bookmarkStart w:id="9" w:name="_Toc7329"/>
      <w:bookmarkStart w:id="10" w:name="_Toc27359"/>
      <w:r>
        <w:rPr>
          <w:rFonts w:hint="eastAsia" w:ascii="宋体" w:hAnsi="宋体" w:eastAsia="宋体" w:cs="宋体"/>
          <w:color w:val="auto"/>
          <w:sz w:val="28"/>
          <w:szCs w:val="28"/>
          <w:highlight w:val="none"/>
          <w:lang w:val="en-US" w:eastAsia="zh-CN"/>
        </w:rPr>
        <w:t>地点：海南政府采购网(www.ccgp-hainan.gov.cn)-海南省政府采购电子化交易管理系统（新）</w:t>
      </w:r>
    </w:p>
    <w:p>
      <w:pPr>
        <w:spacing w:before="104" w:line="350" w:lineRule="auto"/>
        <w:ind w:right="70" w:firstLine="48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方式：网上下载</w:t>
      </w:r>
    </w:p>
    <w:p>
      <w:pPr>
        <w:spacing w:before="104" w:line="350" w:lineRule="auto"/>
        <w:ind w:right="70" w:firstLine="48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售价：0.00元（含图纸），售后不退</w:t>
      </w:r>
    </w:p>
    <w:p>
      <w:pPr>
        <w:pStyle w:val="2"/>
        <w:spacing w:before="0" w:after="0" w:line="360" w:lineRule="auto"/>
        <w:rPr>
          <w:rFonts w:hint="eastAsia" w:ascii="宋体" w:hAnsi="宋体" w:eastAsia="宋体" w:cs="宋体"/>
          <w:color w:val="auto"/>
          <w:highlight w:val="none"/>
        </w:rPr>
      </w:pPr>
      <w:r>
        <w:rPr>
          <w:rFonts w:hint="eastAsia" w:ascii="宋体" w:hAnsi="宋体" w:eastAsia="宋体" w:cs="宋体"/>
          <w:b w:val="0"/>
          <w:color w:val="auto"/>
          <w:sz w:val="28"/>
          <w:szCs w:val="28"/>
          <w:highlight w:val="none"/>
        </w:rPr>
        <w:t>四、响应文件提交</w:t>
      </w:r>
      <w:bookmarkEnd w:id="9"/>
      <w:bookmarkEnd w:id="10"/>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1、截止时间：</w:t>
      </w:r>
      <w:r>
        <w:rPr>
          <w:rFonts w:hint="eastAsia" w:ascii="宋体" w:hAnsi="宋体" w:eastAsia="宋体" w:cs="宋体"/>
          <w:color w:val="auto"/>
          <w:sz w:val="28"/>
          <w:szCs w:val="28"/>
          <w:highlight w:val="none"/>
          <w:u w:val="single"/>
          <w:lang w:eastAsia="zh-CN"/>
        </w:rPr>
        <w:t>2023年4月11日10点00分</w:t>
      </w:r>
      <w:r>
        <w:rPr>
          <w:rFonts w:hint="eastAsia" w:ascii="宋体" w:hAnsi="宋体" w:eastAsia="宋体" w:cs="宋体"/>
          <w:bCs/>
          <w:color w:val="auto"/>
          <w:sz w:val="28"/>
          <w:szCs w:val="28"/>
          <w:highlight w:val="none"/>
        </w:rPr>
        <w:t>（北京时间）</w:t>
      </w:r>
    </w:p>
    <w:p>
      <w:pPr>
        <w:spacing w:line="360" w:lineRule="auto"/>
        <w:ind w:firstLine="560"/>
        <w:rPr>
          <w:rFonts w:hint="eastAsia" w:ascii="宋体" w:hAnsi="宋体" w:eastAsia="宋体" w:cs="宋体"/>
          <w:color w:val="auto"/>
          <w:highlight w:val="none"/>
          <w:lang w:eastAsia="zh-CN"/>
        </w:rPr>
      </w:pPr>
      <w:r>
        <w:rPr>
          <w:rFonts w:hint="eastAsia" w:ascii="宋体" w:hAnsi="宋体" w:eastAsia="宋体" w:cs="宋体"/>
          <w:color w:val="auto"/>
          <w:sz w:val="28"/>
          <w:szCs w:val="28"/>
          <w:highlight w:val="none"/>
        </w:rPr>
        <w:t>地点：</w:t>
      </w:r>
      <w:r>
        <w:rPr>
          <w:rFonts w:hint="eastAsia" w:ascii="宋体" w:hAnsi="宋体" w:eastAsia="宋体" w:cs="宋体"/>
          <w:color w:val="auto"/>
          <w:sz w:val="28"/>
          <w:szCs w:val="28"/>
          <w:highlight w:val="none"/>
          <w:lang w:eastAsia="zh-CN"/>
        </w:rPr>
        <w:t>海口市美兰区蓝天路51号京航大酒店5楼3号开标室</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2、</w:t>
      </w:r>
      <w:r>
        <w:rPr>
          <w:rFonts w:hint="eastAsia" w:ascii="宋体" w:hAnsi="宋体" w:eastAsia="宋体" w:cs="宋体"/>
          <w:bCs/>
          <w:color w:val="auto"/>
          <w:sz w:val="28"/>
          <w:szCs w:val="28"/>
          <w:highlight w:val="none"/>
        </w:rPr>
        <w:t>逾期送达的或者未送达指定地点的响应文件，采购人不予受理</w:t>
      </w:r>
    </w:p>
    <w:p>
      <w:pPr>
        <w:pStyle w:val="2"/>
        <w:spacing w:before="0" w:after="0" w:line="360" w:lineRule="auto"/>
        <w:rPr>
          <w:rFonts w:hint="eastAsia" w:ascii="宋体" w:hAnsi="宋体" w:eastAsia="宋体" w:cs="宋体"/>
          <w:color w:val="auto"/>
          <w:highlight w:val="none"/>
        </w:rPr>
      </w:pPr>
      <w:bookmarkStart w:id="11" w:name="_Toc14945"/>
      <w:bookmarkStart w:id="12" w:name="_Toc17767"/>
      <w:r>
        <w:rPr>
          <w:rFonts w:hint="eastAsia" w:ascii="宋体" w:hAnsi="宋体" w:eastAsia="宋体" w:cs="宋体"/>
          <w:b w:val="0"/>
          <w:color w:val="auto"/>
          <w:sz w:val="28"/>
          <w:szCs w:val="28"/>
          <w:highlight w:val="none"/>
        </w:rPr>
        <w:t>五、开启</w:t>
      </w:r>
      <w:bookmarkEnd w:id="11"/>
      <w:bookmarkEnd w:id="12"/>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时间：</w:t>
      </w:r>
      <w:r>
        <w:rPr>
          <w:rFonts w:hint="eastAsia" w:ascii="宋体" w:hAnsi="宋体" w:eastAsia="宋体" w:cs="宋体"/>
          <w:color w:val="auto"/>
          <w:sz w:val="28"/>
          <w:szCs w:val="28"/>
          <w:highlight w:val="none"/>
          <w:u w:val="single"/>
          <w:lang w:eastAsia="zh-CN"/>
        </w:rPr>
        <w:t>2023年4月11日10点00分</w:t>
      </w:r>
      <w:r>
        <w:rPr>
          <w:rFonts w:hint="eastAsia" w:ascii="宋体" w:hAnsi="宋体" w:eastAsia="宋体" w:cs="宋体"/>
          <w:bCs/>
          <w:color w:val="auto"/>
          <w:sz w:val="28"/>
          <w:szCs w:val="28"/>
          <w:highlight w:val="none"/>
        </w:rPr>
        <w:t>（北京时间）</w:t>
      </w:r>
    </w:p>
    <w:p>
      <w:pPr>
        <w:spacing w:line="360" w:lineRule="auto"/>
        <w:ind w:firstLine="560"/>
        <w:rPr>
          <w:rFonts w:hint="eastAsia" w:ascii="宋体" w:hAnsi="宋体" w:eastAsia="宋体" w:cs="宋体"/>
          <w:color w:val="auto"/>
          <w:highlight w:val="none"/>
          <w:lang w:eastAsia="zh-CN"/>
        </w:rPr>
      </w:pPr>
      <w:r>
        <w:rPr>
          <w:rFonts w:hint="eastAsia" w:ascii="宋体" w:hAnsi="宋体" w:eastAsia="宋体" w:cs="宋体"/>
          <w:color w:val="auto"/>
          <w:sz w:val="28"/>
          <w:szCs w:val="28"/>
          <w:highlight w:val="none"/>
        </w:rPr>
        <w:t>地点：</w:t>
      </w:r>
      <w:r>
        <w:rPr>
          <w:rFonts w:hint="eastAsia" w:ascii="宋体" w:hAnsi="宋体" w:eastAsia="宋体" w:cs="宋体"/>
          <w:color w:val="auto"/>
          <w:sz w:val="28"/>
          <w:szCs w:val="28"/>
          <w:highlight w:val="none"/>
          <w:lang w:eastAsia="zh-CN"/>
        </w:rPr>
        <w:t>海口市美兰区蓝天路51号京航大酒店5楼3号开标室</w:t>
      </w:r>
    </w:p>
    <w:p>
      <w:pPr>
        <w:pStyle w:val="2"/>
        <w:spacing w:before="0" w:after="0" w:line="360" w:lineRule="auto"/>
        <w:rPr>
          <w:rFonts w:hint="eastAsia" w:ascii="宋体" w:hAnsi="宋体" w:eastAsia="宋体" w:cs="宋体"/>
          <w:color w:val="auto"/>
          <w:highlight w:val="none"/>
        </w:rPr>
      </w:pPr>
      <w:bookmarkStart w:id="13" w:name="_Toc30113"/>
      <w:bookmarkStart w:id="14" w:name="_Toc12282"/>
      <w:r>
        <w:rPr>
          <w:rFonts w:hint="eastAsia" w:ascii="宋体" w:hAnsi="宋体" w:eastAsia="宋体" w:cs="宋体"/>
          <w:b w:val="0"/>
          <w:color w:val="auto"/>
          <w:sz w:val="28"/>
          <w:szCs w:val="28"/>
          <w:highlight w:val="none"/>
        </w:rPr>
        <w:t>六、公告期限</w:t>
      </w:r>
      <w:bookmarkEnd w:id="13"/>
      <w:bookmarkEnd w:id="14"/>
    </w:p>
    <w:p>
      <w:pPr>
        <w:spacing w:line="360" w:lineRule="auto"/>
        <w:ind w:firstLine="56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自本公告发布之日起5个工作日。</w:t>
      </w:r>
      <w:bookmarkStart w:id="308" w:name="_GoBack"/>
      <w:bookmarkEnd w:id="308"/>
      <w:bookmarkStart w:id="15" w:name="_Toc2238"/>
      <w:bookmarkStart w:id="16" w:name="_Toc11457"/>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七、其他补充事宜</w:t>
      </w:r>
      <w:bookmarkEnd w:id="15"/>
      <w:bookmarkEnd w:id="16"/>
      <w:bookmarkStart w:id="17" w:name="_Toc24568"/>
      <w:bookmarkStart w:id="18" w:name="_Toc6567"/>
    </w:p>
    <w:p>
      <w:pPr>
        <w:kinsoku/>
        <w:wordWrap/>
        <w:overflowPunct/>
        <w:topLinePunct w:val="0"/>
        <w:autoSpaceDN/>
        <w:bidi w:val="0"/>
        <w:adjustRightInd/>
        <w:spacing w:line="360" w:lineRule="auto"/>
        <w:ind w:left="0" w:right="0" w:firstLine="540"/>
        <w:rPr>
          <w:rFonts w:hint="eastAsia" w:ascii="宋体" w:hAnsi="宋体" w:eastAsia="宋体" w:cs="宋体"/>
          <w:color w:val="auto"/>
          <w:sz w:val="28"/>
          <w:szCs w:val="28"/>
          <w:highlight w:val="none"/>
          <w:u w:val="none"/>
        </w:rPr>
      </w:pPr>
      <w:r>
        <w:rPr>
          <w:rFonts w:hint="eastAsia" w:ascii="宋体" w:hAnsi="宋体" w:eastAsia="宋体" w:cs="宋体"/>
          <w:color w:val="auto"/>
          <w:sz w:val="28"/>
          <w:szCs w:val="28"/>
          <w:highlight w:val="none"/>
          <w:u w:val="none"/>
        </w:rPr>
        <w:t>1、本项目为工程采购项目，最高限价为</w:t>
      </w:r>
      <w:r>
        <w:rPr>
          <w:rFonts w:hint="eastAsia" w:ascii="宋体" w:hAnsi="宋体" w:eastAsia="宋体" w:cs="宋体"/>
          <w:color w:val="auto"/>
          <w:sz w:val="28"/>
          <w:szCs w:val="28"/>
          <w:highlight w:val="none"/>
          <w:u w:val="none"/>
          <w:lang w:eastAsia="zh-CN"/>
        </w:rPr>
        <w:t>3691941.00</w:t>
      </w:r>
      <w:r>
        <w:rPr>
          <w:rFonts w:hint="eastAsia" w:ascii="宋体" w:hAnsi="宋体" w:eastAsia="宋体" w:cs="宋体"/>
          <w:color w:val="auto"/>
          <w:sz w:val="28"/>
          <w:szCs w:val="28"/>
          <w:highlight w:val="none"/>
          <w:u w:val="none"/>
        </w:rPr>
        <w:t>元，超出最高限价的投标报价按无效响应处理。</w:t>
      </w:r>
    </w:p>
    <w:p>
      <w:pPr>
        <w:kinsoku/>
        <w:wordWrap/>
        <w:overflowPunct/>
        <w:topLinePunct w:val="0"/>
        <w:autoSpaceDN/>
        <w:bidi w:val="0"/>
        <w:adjustRightInd/>
        <w:spacing w:line="360" w:lineRule="auto"/>
        <w:ind w:left="0" w:right="0" w:firstLine="540"/>
        <w:rPr>
          <w:rFonts w:hint="eastAsia" w:ascii="宋体" w:hAnsi="宋体" w:eastAsia="宋体" w:cs="宋体"/>
          <w:color w:val="auto"/>
          <w:sz w:val="28"/>
          <w:szCs w:val="28"/>
          <w:highlight w:val="none"/>
          <w:u w:val="none"/>
        </w:rPr>
      </w:pPr>
      <w:r>
        <w:rPr>
          <w:rFonts w:hint="eastAsia" w:ascii="宋体" w:hAnsi="宋体" w:eastAsia="宋体" w:cs="宋体"/>
          <w:color w:val="auto"/>
          <w:sz w:val="28"/>
          <w:szCs w:val="28"/>
          <w:highlight w:val="none"/>
          <w:u w:val="none"/>
        </w:rPr>
        <w:t>2、获取</w:t>
      </w:r>
      <w:r>
        <w:rPr>
          <w:rFonts w:hint="eastAsia" w:ascii="宋体" w:hAnsi="宋体" w:eastAsia="宋体" w:cs="宋体"/>
          <w:color w:val="auto"/>
          <w:sz w:val="28"/>
          <w:szCs w:val="28"/>
          <w:highlight w:val="none"/>
          <w:u w:val="none"/>
          <w:lang w:eastAsia="zh-CN"/>
        </w:rPr>
        <w:t>竞争性磋商文件</w:t>
      </w:r>
      <w:r>
        <w:rPr>
          <w:rFonts w:hint="eastAsia" w:ascii="宋体" w:hAnsi="宋体" w:eastAsia="宋体" w:cs="宋体"/>
          <w:color w:val="auto"/>
          <w:sz w:val="28"/>
          <w:szCs w:val="28"/>
          <w:highlight w:val="none"/>
          <w:u w:val="none"/>
        </w:rPr>
        <w:t>：供应商须在海南政府采购网(https://www.ccgp-hainan.gov.cn/zhuzhan/)中的海南省政府采购电子化交易管理系统平台进行注册。（网站联系电话：0898-68546705）</w:t>
      </w:r>
    </w:p>
    <w:p>
      <w:pPr>
        <w:kinsoku/>
        <w:wordWrap/>
        <w:overflowPunct/>
        <w:topLinePunct w:val="0"/>
        <w:autoSpaceDN/>
        <w:bidi w:val="0"/>
        <w:adjustRightInd/>
        <w:spacing w:line="360" w:lineRule="auto"/>
        <w:ind w:left="0" w:right="0" w:firstLine="540"/>
        <w:rPr>
          <w:rFonts w:hint="eastAsia" w:ascii="宋体" w:hAnsi="宋体" w:eastAsia="宋体" w:cs="宋体"/>
          <w:color w:val="auto"/>
          <w:sz w:val="28"/>
          <w:szCs w:val="28"/>
          <w:highlight w:val="none"/>
          <w:u w:val="none"/>
        </w:rPr>
      </w:pPr>
      <w:r>
        <w:rPr>
          <w:rFonts w:hint="eastAsia" w:ascii="宋体" w:hAnsi="宋体" w:eastAsia="宋体" w:cs="宋体"/>
          <w:color w:val="auto"/>
          <w:sz w:val="28"/>
          <w:szCs w:val="28"/>
          <w:highlight w:val="none"/>
          <w:u w:val="none"/>
        </w:rPr>
        <w:t>3、现场提交报名材料：购买</w:t>
      </w:r>
      <w:r>
        <w:rPr>
          <w:rFonts w:hint="eastAsia" w:ascii="宋体" w:hAnsi="宋体" w:eastAsia="宋体" w:cs="宋体"/>
          <w:color w:val="auto"/>
          <w:sz w:val="28"/>
          <w:szCs w:val="28"/>
          <w:highlight w:val="none"/>
          <w:u w:val="none"/>
          <w:lang w:eastAsia="zh-CN"/>
        </w:rPr>
        <w:t>竞争性磋商文件</w:t>
      </w:r>
      <w:r>
        <w:rPr>
          <w:rFonts w:hint="eastAsia" w:ascii="宋体" w:hAnsi="宋体" w:eastAsia="宋体" w:cs="宋体"/>
          <w:color w:val="auto"/>
          <w:sz w:val="28"/>
          <w:szCs w:val="28"/>
          <w:highlight w:val="none"/>
          <w:u w:val="none"/>
        </w:rPr>
        <w:t>时需提交营业执照副本复印件；法定代表人身份证复印件及授权代表身份证复印件（正反面）；授权委托书（以上材料均需加盖投标单位公章）；提交报名材料至招标代理公司现场审核（地点：海口市美兰区国机中洋公馆1号楼A座602室）。</w:t>
      </w:r>
    </w:p>
    <w:p>
      <w:pPr>
        <w:kinsoku/>
        <w:wordWrap/>
        <w:overflowPunct/>
        <w:topLinePunct w:val="0"/>
        <w:autoSpaceDN/>
        <w:bidi w:val="0"/>
        <w:adjustRightInd/>
        <w:spacing w:line="360" w:lineRule="auto"/>
        <w:ind w:left="0" w:right="0" w:firstLine="540"/>
        <w:rPr>
          <w:rFonts w:hint="eastAsia" w:ascii="宋体" w:hAnsi="宋体" w:eastAsia="宋体" w:cs="宋体"/>
          <w:color w:val="auto"/>
          <w:sz w:val="28"/>
          <w:szCs w:val="28"/>
          <w:highlight w:val="none"/>
          <w:u w:val="none"/>
        </w:rPr>
      </w:pPr>
      <w:r>
        <w:rPr>
          <w:rFonts w:hint="eastAsia" w:ascii="宋体" w:hAnsi="宋体" w:eastAsia="宋体" w:cs="宋体"/>
          <w:color w:val="auto"/>
          <w:sz w:val="28"/>
          <w:szCs w:val="28"/>
          <w:highlight w:val="none"/>
          <w:u w:val="none"/>
        </w:rPr>
        <w:t>4、现场递交报名材料时间：</w:t>
      </w:r>
      <w:r>
        <w:rPr>
          <w:rFonts w:hint="eastAsia" w:ascii="宋体" w:hAnsi="宋体" w:eastAsia="宋体" w:cs="宋体"/>
          <w:color w:val="auto"/>
          <w:sz w:val="28"/>
          <w:szCs w:val="28"/>
          <w:highlight w:val="none"/>
          <w:u w:val="none"/>
          <w:lang w:eastAsia="zh-CN"/>
        </w:rPr>
        <w:t>2023年3月27日至 2023年4月3日</w:t>
      </w:r>
      <w:r>
        <w:rPr>
          <w:rFonts w:hint="eastAsia" w:ascii="宋体" w:hAnsi="宋体" w:eastAsia="宋体" w:cs="宋体"/>
          <w:color w:val="auto"/>
          <w:sz w:val="28"/>
          <w:szCs w:val="28"/>
          <w:highlight w:val="none"/>
          <w:u w:val="none"/>
        </w:rPr>
        <w:t>（磋商文件的发售期限自开始之日起不得少于5个工作日），每天上午08:30至12:00，下午14:30至17:30（北京时间，法定节假日除外 ）。</w:t>
      </w:r>
    </w:p>
    <w:p>
      <w:pPr>
        <w:kinsoku/>
        <w:wordWrap/>
        <w:overflowPunct/>
        <w:topLinePunct w:val="0"/>
        <w:autoSpaceDN/>
        <w:bidi w:val="0"/>
        <w:adjustRightInd/>
        <w:spacing w:line="360" w:lineRule="auto"/>
        <w:ind w:left="0" w:right="0" w:firstLine="540"/>
        <w:rPr>
          <w:rFonts w:hint="eastAsia" w:ascii="宋体" w:hAnsi="宋体" w:eastAsia="宋体" w:cs="宋体"/>
          <w:color w:val="auto"/>
          <w:sz w:val="28"/>
          <w:szCs w:val="28"/>
          <w:highlight w:val="none"/>
          <w:u w:val="none"/>
        </w:rPr>
      </w:pPr>
      <w:r>
        <w:rPr>
          <w:rFonts w:hint="eastAsia" w:ascii="宋体" w:hAnsi="宋体" w:eastAsia="宋体" w:cs="宋体"/>
          <w:color w:val="auto"/>
          <w:sz w:val="28"/>
          <w:szCs w:val="28"/>
          <w:highlight w:val="none"/>
          <w:u w:val="none"/>
        </w:rPr>
        <w:t>5、供应商完成上述交易平台注册及现场提交报名材料后，登陆交易平台进行投标参与并下载查看电子版</w:t>
      </w:r>
      <w:r>
        <w:rPr>
          <w:rFonts w:hint="eastAsia" w:ascii="宋体" w:hAnsi="宋体" w:eastAsia="宋体" w:cs="宋体"/>
          <w:color w:val="auto"/>
          <w:sz w:val="28"/>
          <w:szCs w:val="28"/>
          <w:highlight w:val="none"/>
          <w:u w:val="none"/>
          <w:lang w:eastAsia="zh-CN"/>
        </w:rPr>
        <w:t>竞争性磋商文件</w:t>
      </w:r>
      <w:r>
        <w:rPr>
          <w:rFonts w:hint="eastAsia" w:ascii="宋体" w:hAnsi="宋体" w:eastAsia="宋体" w:cs="宋体"/>
          <w:color w:val="auto"/>
          <w:sz w:val="28"/>
          <w:szCs w:val="28"/>
          <w:highlight w:val="none"/>
          <w:u w:val="none"/>
        </w:rPr>
        <w:t>及其他文件，平台系统中投标参与所需上传的材料应与提交现场审核的材料一致；未按时在系统平台注册、投标参与，或上传的材料不符合要求的视为无效报名。</w:t>
      </w:r>
    </w:p>
    <w:p>
      <w:pPr>
        <w:kinsoku/>
        <w:wordWrap/>
        <w:overflowPunct/>
        <w:topLinePunct w:val="0"/>
        <w:autoSpaceDN/>
        <w:bidi w:val="0"/>
        <w:adjustRightInd/>
        <w:spacing w:line="360" w:lineRule="auto"/>
        <w:ind w:left="0" w:right="0" w:firstLine="540"/>
        <w:rPr>
          <w:rFonts w:hint="eastAsia" w:ascii="宋体" w:hAnsi="宋体" w:eastAsia="宋体" w:cs="宋体"/>
          <w:color w:val="auto"/>
          <w:sz w:val="28"/>
          <w:szCs w:val="28"/>
          <w:highlight w:val="none"/>
          <w:u w:val="none"/>
        </w:rPr>
      </w:pPr>
      <w:r>
        <w:rPr>
          <w:rFonts w:hint="eastAsia" w:ascii="宋体" w:hAnsi="宋体" w:eastAsia="宋体" w:cs="宋体"/>
          <w:color w:val="auto"/>
          <w:sz w:val="28"/>
          <w:szCs w:val="28"/>
          <w:highlight w:val="none"/>
          <w:u w:val="none"/>
        </w:rPr>
        <w:t>6、采购信息及采购结果发布媒体海南省政府采购网https://www.ccgp-hainan.gov.cn/</w:t>
      </w:r>
      <w:r>
        <w:rPr>
          <w:rFonts w:hint="eastAsia" w:ascii="宋体" w:hAnsi="宋体" w:eastAsia="宋体" w:cs="宋体"/>
          <w:color w:val="auto"/>
          <w:sz w:val="28"/>
          <w:szCs w:val="28"/>
          <w:highlight w:val="none"/>
          <w:u w:val="none"/>
          <w:lang w:eastAsia="zh-CN"/>
        </w:rPr>
        <w:t>、</w:t>
      </w:r>
      <w:r>
        <w:rPr>
          <w:rFonts w:hint="eastAsia" w:ascii="宋体" w:hAnsi="宋体" w:eastAsia="宋体" w:cs="宋体"/>
          <w:color w:val="auto"/>
          <w:sz w:val="28"/>
          <w:szCs w:val="28"/>
          <w:highlight w:val="none"/>
          <w:u w:val="none"/>
        </w:rPr>
        <w:t>海南省公路管理局官网（http://jt.hainan.gov.cn/hnsglglj/）。</w:t>
      </w:r>
    </w:p>
    <w:p>
      <w:pPr>
        <w:kinsoku/>
        <w:wordWrap/>
        <w:overflowPunct/>
        <w:topLinePunct w:val="0"/>
        <w:autoSpaceDN/>
        <w:bidi w:val="0"/>
        <w:adjustRightInd/>
        <w:spacing w:line="360" w:lineRule="auto"/>
        <w:ind w:left="0" w:right="0" w:firstLine="540"/>
        <w:rPr>
          <w:rFonts w:hint="eastAsia" w:ascii="宋体" w:hAnsi="宋体" w:eastAsia="宋体" w:cs="宋体"/>
          <w:color w:val="auto"/>
          <w:sz w:val="28"/>
          <w:szCs w:val="28"/>
          <w:highlight w:val="none"/>
          <w:u w:val="none"/>
        </w:rPr>
      </w:pPr>
      <w:r>
        <w:rPr>
          <w:rFonts w:hint="eastAsia" w:ascii="宋体" w:hAnsi="宋体" w:eastAsia="宋体" w:cs="宋体"/>
          <w:color w:val="auto"/>
          <w:sz w:val="28"/>
          <w:szCs w:val="28"/>
          <w:highlight w:val="none"/>
          <w:u w:val="none"/>
        </w:rPr>
        <w:t>7、有关本项目竞争性磋商文件的补遗、澄清及变更信息以上述网站公告为准，采购代理机构不再另行通知，竞争性磋商文件与更正公告的内容相互矛盾时，以最后发出的更正公告内容为准。</w:t>
      </w:r>
    </w:p>
    <w:p>
      <w:pPr>
        <w:kinsoku/>
        <w:wordWrap/>
        <w:overflowPunct/>
        <w:topLinePunct w:val="0"/>
        <w:autoSpaceDN/>
        <w:bidi w:val="0"/>
        <w:adjustRightInd/>
        <w:spacing w:line="360" w:lineRule="auto"/>
        <w:ind w:left="0" w:right="0" w:firstLine="540"/>
        <w:rPr>
          <w:rFonts w:hint="eastAsia" w:ascii="宋体" w:hAnsi="宋体" w:eastAsia="宋体" w:cs="宋体"/>
          <w:color w:val="auto"/>
          <w:sz w:val="28"/>
          <w:szCs w:val="28"/>
          <w:highlight w:val="none"/>
          <w:u w:val="none"/>
        </w:rPr>
      </w:pPr>
      <w:r>
        <w:rPr>
          <w:rFonts w:hint="eastAsia" w:ascii="宋体" w:hAnsi="宋体" w:eastAsia="宋体" w:cs="宋体"/>
          <w:color w:val="auto"/>
          <w:sz w:val="28"/>
          <w:szCs w:val="28"/>
          <w:highlight w:val="none"/>
          <w:u w:val="none"/>
        </w:rPr>
        <w:t>注意事项：本项目采用电子辅助操作，供应商应详细阅读海南政府采购网的通知《海南省财政厅关于政府采购电子化交易管理系统全省推广应用的通知》，供应商使用交易系统遇到问题可致电技术支持：0898-68546705。</w:t>
      </w:r>
    </w:p>
    <w:p>
      <w:pPr>
        <w:pStyle w:val="2"/>
        <w:spacing w:before="0" w:after="0" w:line="360" w:lineRule="auto"/>
        <w:rPr>
          <w:rFonts w:hint="eastAsia" w:ascii="宋体" w:hAnsi="宋体" w:eastAsia="宋体" w:cs="宋体"/>
          <w:color w:val="auto"/>
          <w:highlight w:val="none"/>
        </w:rPr>
      </w:pPr>
      <w:r>
        <w:rPr>
          <w:rFonts w:hint="eastAsia" w:ascii="宋体" w:hAnsi="宋体" w:eastAsia="宋体" w:cs="宋体"/>
          <w:b w:val="0"/>
          <w:color w:val="auto"/>
          <w:sz w:val="28"/>
          <w:szCs w:val="28"/>
          <w:highlight w:val="none"/>
        </w:rPr>
        <w:t>八、凡对本次采购提出询问，请按以下方式联系</w:t>
      </w:r>
      <w:bookmarkEnd w:id="17"/>
      <w:bookmarkEnd w:id="18"/>
    </w:p>
    <w:p>
      <w:pPr>
        <w:pStyle w:val="2"/>
        <w:spacing w:before="0" w:after="0" w:line="360" w:lineRule="auto"/>
        <w:ind w:firstLine="560"/>
        <w:rPr>
          <w:rFonts w:hint="eastAsia" w:ascii="宋体" w:hAnsi="宋体" w:eastAsia="宋体" w:cs="宋体"/>
          <w:color w:val="auto"/>
          <w:highlight w:val="none"/>
        </w:rPr>
      </w:pPr>
      <w:bookmarkStart w:id="19" w:name="_Toc19238"/>
      <w:bookmarkStart w:id="20" w:name="_Toc7961"/>
      <w:r>
        <w:rPr>
          <w:rFonts w:hint="eastAsia" w:ascii="宋体" w:hAnsi="宋体" w:eastAsia="宋体" w:cs="宋体"/>
          <w:b w:val="0"/>
          <w:color w:val="auto"/>
          <w:sz w:val="28"/>
          <w:szCs w:val="28"/>
          <w:highlight w:val="none"/>
        </w:rPr>
        <w:t>1、采购人信息</w:t>
      </w:r>
      <w:bookmarkEnd w:id="19"/>
      <w:bookmarkEnd w:id="20"/>
    </w:p>
    <w:p>
      <w:pPr>
        <w:spacing w:line="360" w:lineRule="auto"/>
        <w:ind w:firstLine="560"/>
        <w:jc w:val="left"/>
        <w:rPr>
          <w:rFonts w:hint="eastAsia" w:ascii="宋体" w:hAnsi="宋体" w:eastAsia="宋体" w:cs="宋体"/>
          <w:color w:val="auto"/>
          <w:highlight w:val="none"/>
        </w:rPr>
      </w:pPr>
      <w:r>
        <w:rPr>
          <w:rFonts w:hint="eastAsia" w:ascii="宋体" w:hAnsi="宋体" w:eastAsia="宋体" w:cs="宋体"/>
          <w:color w:val="auto"/>
          <w:sz w:val="28"/>
          <w:szCs w:val="28"/>
          <w:highlight w:val="none"/>
        </w:rPr>
        <w:t>名    称：海南省公路管理局三亚公路局</w:t>
      </w:r>
    </w:p>
    <w:p>
      <w:pPr>
        <w:spacing w:line="360" w:lineRule="auto"/>
        <w:ind w:firstLine="560"/>
        <w:jc w:val="left"/>
        <w:rPr>
          <w:rFonts w:hint="eastAsia" w:ascii="宋体" w:hAnsi="宋体" w:eastAsia="宋体" w:cs="宋体"/>
          <w:color w:val="auto"/>
          <w:highlight w:val="none"/>
        </w:rPr>
      </w:pPr>
      <w:r>
        <w:rPr>
          <w:rFonts w:hint="eastAsia" w:ascii="宋体" w:hAnsi="宋体" w:eastAsia="宋体" w:cs="宋体"/>
          <w:color w:val="auto"/>
          <w:sz w:val="28"/>
          <w:szCs w:val="28"/>
          <w:highlight w:val="none"/>
        </w:rPr>
        <w:t>地    址：海南省三亚市解放路456号</w:t>
      </w:r>
    </w:p>
    <w:p>
      <w:pPr>
        <w:spacing w:line="360" w:lineRule="auto"/>
        <w:ind w:firstLine="56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联系方式：黎工0898-88267449</w:t>
      </w:r>
    </w:p>
    <w:p>
      <w:pPr>
        <w:spacing w:line="360" w:lineRule="auto"/>
        <w:ind w:firstLine="56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2、采购代理机构信息（如有）</w:t>
      </w:r>
    </w:p>
    <w:p>
      <w:pPr>
        <w:spacing w:line="360" w:lineRule="auto"/>
        <w:ind w:firstLine="560"/>
        <w:jc w:val="left"/>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名    称：</w:t>
      </w:r>
      <w:r>
        <w:rPr>
          <w:rFonts w:hint="eastAsia" w:ascii="宋体" w:hAnsi="宋体" w:eastAsia="宋体" w:cs="宋体"/>
          <w:color w:val="auto"/>
          <w:sz w:val="28"/>
          <w:szCs w:val="28"/>
          <w:highlight w:val="none"/>
          <w:lang w:eastAsia="zh-CN"/>
        </w:rPr>
        <w:t>四川同创建设工程管理有限公司</w:t>
      </w:r>
    </w:p>
    <w:p>
      <w:pPr>
        <w:spacing w:line="360" w:lineRule="auto"/>
        <w:ind w:firstLine="560"/>
        <w:jc w:val="left"/>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地　　址：</w:t>
      </w:r>
      <w:r>
        <w:rPr>
          <w:rFonts w:hint="eastAsia" w:ascii="宋体" w:hAnsi="宋体" w:eastAsia="宋体" w:cs="宋体"/>
          <w:color w:val="auto"/>
          <w:sz w:val="28"/>
          <w:szCs w:val="28"/>
          <w:highlight w:val="none"/>
          <w:lang w:eastAsia="zh-CN"/>
        </w:rPr>
        <w:t>海口市美兰区国机中洋公馆1号楼A座602室</w:t>
      </w:r>
    </w:p>
    <w:p>
      <w:pPr>
        <w:spacing w:line="360" w:lineRule="auto"/>
        <w:ind w:firstLine="560"/>
        <w:jc w:val="left"/>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联系方式：</w:t>
      </w:r>
      <w:r>
        <w:rPr>
          <w:rFonts w:hint="eastAsia" w:ascii="宋体" w:hAnsi="宋体" w:eastAsia="宋体" w:cs="宋体"/>
          <w:color w:val="auto"/>
          <w:sz w:val="28"/>
          <w:szCs w:val="28"/>
          <w:highlight w:val="none"/>
          <w:lang w:eastAsia="zh-CN"/>
        </w:rPr>
        <w:t>吴工0898-66500737</w:t>
      </w:r>
    </w:p>
    <w:p>
      <w:pPr>
        <w:spacing w:line="360" w:lineRule="auto"/>
        <w:ind w:firstLine="56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3、项目联系方式</w:t>
      </w:r>
    </w:p>
    <w:p>
      <w:pPr>
        <w:spacing w:line="360" w:lineRule="auto"/>
        <w:ind w:firstLine="560"/>
        <w:jc w:val="left"/>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项目联系人：</w:t>
      </w:r>
      <w:r>
        <w:rPr>
          <w:rFonts w:hint="eastAsia" w:ascii="宋体" w:hAnsi="宋体" w:eastAsia="宋体" w:cs="宋体"/>
          <w:color w:val="auto"/>
          <w:sz w:val="28"/>
          <w:szCs w:val="28"/>
          <w:highlight w:val="none"/>
          <w:lang w:eastAsia="zh-CN"/>
        </w:rPr>
        <w:t>吴工</w:t>
      </w:r>
    </w:p>
    <w:p>
      <w:pPr>
        <w:spacing w:line="360" w:lineRule="auto"/>
        <w:ind w:firstLine="560"/>
        <w:jc w:val="left"/>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电　　 话：</w:t>
      </w:r>
      <w:r>
        <w:rPr>
          <w:rFonts w:hint="eastAsia" w:ascii="宋体" w:hAnsi="宋体" w:eastAsia="宋体" w:cs="宋体"/>
          <w:color w:val="auto"/>
          <w:sz w:val="28"/>
          <w:szCs w:val="28"/>
          <w:highlight w:val="none"/>
          <w:lang w:eastAsia="zh-CN"/>
        </w:rPr>
        <w:t>0898-66500737</w:t>
      </w:r>
    </w:p>
    <w:p>
      <w:pPr>
        <w:spacing w:line="360" w:lineRule="auto"/>
        <w:ind w:firstLine="560"/>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21" w:name="_Toc6477"/>
      <w:r>
        <w:rPr>
          <w:rFonts w:hint="eastAsia" w:ascii="宋体" w:hAnsi="宋体" w:eastAsia="宋体" w:cs="宋体"/>
          <w:b/>
          <w:bCs/>
          <w:color w:val="auto"/>
          <w:sz w:val="44"/>
          <w:szCs w:val="44"/>
          <w:highlight w:val="none"/>
        </w:rPr>
        <w:t>第二章 供应商须知</w:t>
      </w:r>
      <w:bookmarkEnd w:id="21"/>
    </w:p>
    <w:p>
      <w:pPr>
        <w:pStyle w:val="2"/>
        <w:spacing w:before="120" w:after="120" w:line="360" w:lineRule="auto"/>
        <w:jc w:val="center"/>
        <w:rPr>
          <w:rFonts w:hint="eastAsia" w:ascii="宋体" w:hAnsi="宋体" w:eastAsia="宋体" w:cs="宋体"/>
          <w:color w:val="auto"/>
          <w:highlight w:val="none"/>
        </w:rPr>
      </w:pPr>
      <w:bookmarkStart w:id="22" w:name="_Toc6228"/>
      <w:bookmarkStart w:id="23" w:name="_Toc11683"/>
      <w:r>
        <w:rPr>
          <w:rFonts w:hint="eastAsia" w:ascii="宋体" w:hAnsi="宋体" w:eastAsia="宋体" w:cs="宋体"/>
          <w:b w:val="0"/>
          <w:bCs w:val="0"/>
          <w:color w:val="auto"/>
          <w:sz w:val="28"/>
          <w:szCs w:val="28"/>
          <w:highlight w:val="none"/>
        </w:rPr>
        <w:t>供应商须知前附表</w:t>
      </w:r>
      <w:bookmarkEnd w:id="22"/>
      <w:bookmarkEnd w:id="23"/>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650"/>
        <w:gridCol w:w="6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序号</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编列名称</w:t>
            </w:r>
          </w:p>
        </w:tc>
        <w:tc>
          <w:tcPr>
            <w:tcW w:w="6123"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1</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项目名称</w:t>
            </w:r>
          </w:p>
        </w:tc>
        <w:tc>
          <w:tcPr>
            <w:tcW w:w="6123" w:type="dxa"/>
            <w:vAlign w:val="center"/>
          </w:tcPr>
          <w:p>
            <w:pPr>
              <w:widowControl/>
              <w:spacing w:line="360" w:lineRule="auto"/>
              <w:jc w:val="left"/>
              <w:rPr>
                <w:rFonts w:hint="eastAsia" w:ascii="宋体" w:hAnsi="宋体" w:eastAsia="宋体" w:cs="宋体"/>
                <w:color w:val="auto"/>
                <w:highlight w:val="none"/>
                <w:lang w:eastAsia="zh-CN"/>
              </w:rPr>
            </w:pPr>
            <w:r>
              <w:rPr>
                <w:rFonts w:hint="eastAsia" w:ascii="宋体" w:hAnsi="宋体" w:eastAsia="宋体" w:cs="宋体"/>
                <w:color w:val="auto"/>
                <w:kern w:val="0"/>
                <w:sz w:val="24"/>
                <w:highlight w:val="none"/>
                <w:lang w:eastAsia="zh-CN"/>
              </w:rPr>
              <w:t>G223海榆东线安全设施精细化提升工程（K276+350-K307+000)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2</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建设地点</w:t>
            </w:r>
          </w:p>
        </w:tc>
        <w:tc>
          <w:tcPr>
            <w:tcW w:w="6123" w:type="dxa"/>
            <w:vAlign w:val="center"/>
          </w:tcPr>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海南省三亚市吉阳区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3</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资金来源</w:t>
            </w:r>
          </w:p>
        </w:tc>
        <w:tc>
          <w:tcPr>
            <w:tcW w:w="6123" w:type="dxa"/>
            <w:vAlign w:val="center"/>
          </w:tcPr>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4</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出资比例</w:t>
            </w:r>
          </w:p>
        </w:tc>
        <w:tc>
          <w:tcPr>
            <w:tcW w:w="6123" w:type="dxa"/>
            <w:vAlign w:val="center"/>
          </w:tcPr>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5</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资金落实情况</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6"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6</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供应商资质条件</w:t>
            </w:r>
          </w:p>
        </w:tc>
        <w:tc>
          <w:tcPr>
            <w:tcW w:w="6123" w:type="dxa"/>
            <w:vAlign w:val="center"/>
          </w:tcPr>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1、在中华人民共和国注册，具有独立承担民事责任能力的法人；</w:t>
            </w:r>
          </w:p>
          <w:p>
            <w:pPr>
              <w:spacing w:before="104" w:line="350" w:lineRule="auto"/>
              <w:ind w:right="70"/>
              <w:rPr>
                <w:rFonts w:hint="eastAsia" w:ascii="宋体" w:hAnsi="宋体" w:eastAsia="宋体" w:cs="宋体"/>
                <w:color w:val="auto"/>
                <w:spacing w:val="-1"/>
                <w:sz w:val="24"/>
                <w:highlight w:val="none"/>
              </w:rPr>
            </w:pPr>
            <w:r>
              <w:rPr>
                <w:rFonts w:hint="eastAsia" w:ascii="宋体" w:hAnsi="宋体" w:eastAsia="宋体" w:cs="宋体"/>
                <w:color w:val="auto"/>
                <w:kern w:val="0"/>
                <w:sz w:val="24"/>
                <w:highlight w:val="none"/>
              </w:rPr>
              <w:t>2、供应商具备国家住建部（或建设主管部门）核发的公路工程施工总承包叁级及以上资质（或根据《住房和城乡建设部关于印发建设工程企业资质管理制度改革方案的通知（【建市[2020]94号】）换发新证取得相应的资质）；具备有效的安全生产许可证，并在人员、设备、资金等方面具有相应的施工能力；拟派项目经理须具备公路工程专业二级及以上注册建造师执业资格并持有交通运输主管部门颁发的安全生产考核合格证书（B证），且未担任其他在建工程项目的项目负责人（项目经理）；拟派项目总工具有公路工程相关专业中级或以上职称，且未担任其他在建工程项目的项目技术负责人（项目总工）。（证明材料：响应文件中须提供项目经理、项目总工相关证书复印件加盖公章、无在建承诺书并加盖公章；2022年7月至今任意3个月养老保险证明复印件加盖单位公章（退休人员提供退休证和劳动合同）)</w:t>
            </w:r>
            <w:r>
              <w:rPr>
                <w:rFonts w:hint="eastAsia" w:ascii="宋体" w:hAnsi="宋体" w:eastAsia="宋体" w:cs="宋体"/>
                <w:color w:val="auto"/>
                <w:spacing w:val="-1"/>
                <w:sz w:val="24"/>
                <w:szCs w:val="24"/>
                <w:highlight w:val="none"/>
              </w:rPr>
              <w:t>。</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3、具有良好的商业信誉和健全的财务会计制度（须提供2020年或2021年会计师事务所出具的财务审计报告或2022年至今任意一个季度的企业财务会计报表）；</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4、具有履行合同所必须的设备和专业技术能力；</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5、具有依法缴纳税收和社会保障资金的良好记录（须提供2022年7月至今任意3个月的缴纳税收及社会保障缴费记录凭证的有效证明材料，零纳税须提供税务部门盖章的纳税申报表）；</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信誉要求：供应商在“信用中国”（https://www.creditchina.gov.cn/）网站未被列入失信被执行人、重大税收违法失信主体、政府采购严重违法失信名单；供应商在“中国政府采购网”未被列入政府采购严重违法失信行为记录名单。（提供信息查询结果界面截图加盖公章；备注：因“信用中国-失信被执行人”查询网址链接为”中国执行信息公开网“网站，故失信被执行人查询以中国执行信息公开网（http://zxgk.court.gov.cn）查询为准）；</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供应商提供参加政府采购活动近三年内（成立不足三年的从成立之日起算）在经营活动中没有骗取中标和严重违约及重大工程质量问题，没有重大违约记录，没有处于被责令停业，投标资格被取消，财产被接管、冻结、破产状态的声明（格式内容自拟，须加盖本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7</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是否接受联合体投标</w:t>
            </w:r>
          </w:p>
        </w:tc>
        <w:tc>
          <w:tcPr>
            <w:tcW w:w="6123" w:type="dxa"/>
            <w:vAlign w:val="center"/>
          </w:tcPr>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8</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踏勘现场</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9</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投标预备会</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10</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采购人书面澄清或修改的时间</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提交响应文件截至时间至少 5 日前，不足 5 日的，采购人应当顺延提交响应文件的截止时间。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11</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分包</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12</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偏离</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13</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BIM 技术</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不应用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14</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构成竞争性磋商文件的其他材料</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采购人对竞争性磋商文件所作的补充、澄清、修改等。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15</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供应商要求澄清竞争性磋商文件的截止时间</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投标截止时间至少 5 日前，不足 5 日的，采购人应当顺延提交响应文件的截止时间。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16</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投标截止时间</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lang w:eastAsia="zh-CN"/>
              </w:rPr>
              <w:t>2023年4月11日10点00分</w:t>
            </w:r>
            <w:r>
              <w:rPr>
                <w:rFonts w:hint="eastAsia" w:ascii="宋体" w:hAnsi="宋体" w:eastAsia="宋体" w:cs="宋体"/>
                <w:color w:val="auto"/>
                <w:kern w:val="0"/>
                <w:sz w:val="24"/>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17</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供应商确认收到竞争性磋商文件澄清的时间</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在收到相应澄清文件后 24 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18</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供应商确认收到竞争性磋商文件修改的时间</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在收到相应修改文件后 24 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19</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构成响应文件的其他材料</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供应商认为有助于本次采购的其他资料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20</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投标有效期</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投标截止之日起 90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21</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投标保证金（本项目不适用）</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lang w:eastAsia="zh-CN"/>
              </w:rPr>
              <w:t>响应《海南省财政厅关于进一步优化政府采购营商环境的通知》（琼财采[68]号），故本项目不收取投标（响应）保证金。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22</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是否允许递交备选投标方案</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23</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签字和（或）</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盖章要求</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1.纸质响应文件正本、副本应用不褪色的墨水书写或打印，字迹应易于辨认并按竞争性磋商文件给定格式签字或盖章，正本和副本具有同等的法律效力；正本和副本之间如有差异，以正本为准。由委托代理人签字的，响应文件中应附有法定代表人授权书。</w:t>
            </w:r>
          </w:p>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2.纸质响应文件应加盖骑缝章（单位公章）。</w:t>
            </w:r>
          </w:p>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3.电子版响应文件与纸质版响应文件签字盖章不一致的地方，以纸质版响应文件正本为准。</w:t>
            </w:r>
          </w:p>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4.</w:t>
            </w: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rPr>
              <w:t>响应文件应尽量避免涂改、行间插字或删除。如果出现上述情况，改动之处应加盖单位公章或由供应商的法定代表人或其委托代理人签字确认。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24</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响应文件</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份数</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b/>
                <w:bCs/>
                <w:color w:val="auto"/>
                <w:kern w:val="0"/>
                <w:sz w:val="24"/>
                <w:highlight w:val="none"/>
                <w:lang w:eastAsia="zh-CN"/>
              </w:rPr>
              <w:t>正本 1 份，副本2份，电子版一份（U盘）</w:t>
            </w:r>
            <w:r>
              <w:rPr>
                <w:rFonts w:hint="eastAsia" w:ascii="宋体" w:hAnsi="宋体" w:eastAsia="宋体" w:cs="宋体"/>
                <w:color w:val="auto"/>
                <w:kern w:val="0"/>
                <w:sz w:val="24"/>
                <w:highlight w:val="none"/>
              </w:rPr>
              <w:t>。</w:t>
            </w:r>
          </w:p>
          <w:p>
            <w:pPr>
              <w:widowControl/>
              <w:spacing w:line="360" w:lineRule="auto"/>
              <w:jc w:val="left"/>
              <w:rPr>
                <w:rFonts w:hint="eastAsia" w:ascii="宋体" w:hAnsi="宋体" w:eastAsia="宋体" w:cs="宋体"/>
                <w:color w:val="auto"/>
                <w:highlight w:val="none"/>
                <w:lang w:eastAsia="zh-CN"/>
              </w:rPr>
            </w:pPr>
            <w:r>
              <w:rPr>
                <w:rFonts w:hint="eastAsia" w:ascii="宋体" w:hAnsi="宋体" w:eastAsia="宋体" w:cs="宋体"/>
                <w:color w:val="auto"/>
                <w:kern w:val="0"/>
                <w:sz w:val="24"/>
                <w:highlight w:val="none"/>
              </w:rPr>
              <w:t>响应文件电子版内容：响应文件的所有内容（应为纸质响应文件签字盖章后的扫描件，格式为PDF）</w:t>
            </w:r>
            <w:r>
              <w:rPr>
                <w:rFonts w:hint="eastAsia" w:ascii="宋体" w:hAnsi="宋体" w:eastAsia="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25</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装订要求</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响应文件采用胶装方式装订，装订应牢固、不易拆散和换页，不得采用活页装订，须在封面上清楚标明项目名称、供应商名称以及 “正本”、“副本”字样。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0"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26</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密封要求</w:t>
            </w:r>
          </w:p>
        </w:tc>
        <w:tc>
          <w:tcPr>
            <w:tcW w:w="6123" w:type="dxa"/>
            <w:vAlign w:val="center"/>
          </w:tcPr>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1、封套上写明：</w:t>
            </w:r>
          </w:p>
          <w:p>
            <w:pPr>
              <w:widowControl/>
              <w:spacing w:line="360" w:lineRule="auto"/>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采购人名称：</w:t>
            </w:r>
            <w:r>
              <w:rPr>
                <w:rFonts w:hint="eastAsia" w:ascii="宋体" w:hAnsi="宋体" w:eastAsia="宋体" w:cs="宋体"/>
                <w:color w:val="auto"/>
                <w:kern w:val="0"/>
                <w:sz w:val="24"/>
                <w:highlight w:val="none"/>
                <w:u w:val="single"/>
              </w:rPr>
              <w:t>海南省公路管理局三亚公路局</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地址：</w:t>
            </w:r>
            <w:r>
              <w:rPr>
                <w:rFonts w:hint="eastAsia" w:ascii="宋体" w:hAnsi="宋体" w:eastAsia="宋体" w:cs="宋体"/>
                <w:color w:val="auto"/>
                <w:kern w:val="0"/>
                <w:sz w:val="24"/>
                <w:highlight w:val="none"/>
                <w:u w:val="single"/>
              </w:rPr>
              <w:t>海南省三亚市解放路456号</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u w:val="single"/>
                <w:lang w:eastAsia="zh-CN"/>
              </w:rPr>
              <w:t>G223海榆东线安全设施精细化提升工程（K276+350-K307+000)</w:t>
            </w:r>
            <w:r>
              <w:rPr>
                <w:rFonts w:hint="eastAsia" w:ascii="宋体" w:hAnsi="宋体" w:eastAsia="宋体" w:cs="宋体"/>
                <w:color w:val="auto"/>
                <w:kern w:val="0"/>
                <w:sz w:val="24"/>
                <w:highlight w:val="none"/>
              </w:rPr>
              <w:t>响应文件在</w:t>
            </w:r>
            <w:r>
              <w:rPr>
                <w:rFonts w:hint="eastAsia" w:ascii="宋体" w:hAnsi="宋体" w:eastAsia="宋体" w:cs="宋体"/>
                <w:color w:val="auto"/>
                <w:kern w:val="0"/>
                <w:sz w:val="24"/>
                <w:highlight w:val="none"/>
                <w:u w:val="single"/>
                <w:lang w:eastAsia="zh-CN"/>
              </w:rPr>
              <w:t>2023年4月11日10点00分</w:t>
            </w:r>
            <w:r>
              <w:rPr>
                <w:rFonts w:hint="eastAsia" w:ascii="宋体" w:hAnsi="宋体" w:eastAsia="宋体" w:cs="宋体"/>
                <w:color w:val="auto"/>
                <w:kern w:val="0"/>
                <w:sz w:val="24"/>
                <w:highlight w:val="none"/>
              </w:rPr>
              <w:t>时前不得开启</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2、密封方式：响应文件正本、副本、电子版全部放入一个密封袋中，加贴封条，并在封套封口处加盖供应商单位章。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27</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递交响应文件地点</w:t>
            </w:r>
          </w:p>
        </w:tc>
        <w:tc>
          <w:tcPr>
            <w:tcW w:w="6123" w:type="dxa"/>
            <w:vAlign w:val="center"/>
          </w:tcPr>
          <w:p>
            <w:pPr>
              <w:widowControl/>
              <w:spacing w:line="360" w:lineRule="auto"/>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eastAsia="zh-CN"/>
              </w:rPr>
              <w:t>海口市美兰区蓝天路51号京航大酒店5楼3号开标室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28</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是否退还响应文件</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29</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开标时间和</w:t>
            </w:r>
          </w:p>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地点</w:t>
            </w:r>
          </w:p>
        </w:tc>
        <w:tc>
          <w:tcPr>
            <w:tcW w:w="6123" w:type="dxa"/>
            <w:vAlign w:val="center"/>
          </w:tcPr>
          <w:p>
            <w:pPr>
              <w:widowControl/>
              <w:spacing w:line="360" w:lineRule="auto"/>
              <w:jc w:val="left"/>
              <w:rPr>
                <w:rFonts w:hint="eastAsia" w:ascii="宋体" w:hAnsi="宋体" w:eastAsia="宋体" w:cs="宋体"/>
                <w:color w:val="auto"/>
                <w:highlight w:val="none"/>
                <w:lang w:eastAsia="zh-CN"/>
              </w:rPr>
            </w:pPr>
            <w:r>
              <w:rPr>
                <w:rFonts w:hint="eastAsia" w:ascii="宋体" w:hAnsi="宋体" w:eastAsia="宋体" w:cs="宋体"/>
                <w:color w:val="auto"/>
                <w:kern w:val="0"/>
                <w:sz w:val="24"/>
                <w:highlight w:val="none"/>
              </w:rPr>
              <w:t>开标时间：同投标截止时间</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开标地点：</w:t>
            </w:r>
            <w:r>
              <w:rPr>
                <w:rFonts w:hint="eastAsia" w:ascii="宋体" w:hAnsi="宋体" w:eastAsia="宋体" w:cs="宋体"/>
                <w:color w:val="auto"/>
                <w:kern w:val="0"/>
                <w:sz w:val="24"/>
                <w:highlight w:val="none"/>
                <w:lang w:eastAsia="zh-CN"/>
              </w:rPr>
              <w:t>海口市美兰区蓝天路51号京航大酒店5楼3号开标室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30</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评标委员会的组建</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评标委员会构成：3人</w:t>
            </w:r>
          </w:p>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其中采购人代表</w:t>
            </w:r>
            <w:r>
              <w:rPr>
                <w:rFonts w:hint="eastAsia" w:ascii="宋体" w:hAnsi="宋体" w:eastAsia="宋体" w:cs="宋体"/>
                <w:color w:val="auto"/>
                <w:kern w:val="0"/>
                <w:sz w:val="24"/>
                <w:highlight w:val="none"/>
                <w:lang w:val="en-US" w:eastAsia="zh-CN"/>
              </w:rPr>
              <w:t>0</w:t>
            </w:r>
            <w:r>
              <w:rPr>
                <w:rFonts w:hint="eastAsia" w:ascii="宋体" w:hAnsi="宋体" w:eastAsia="宋体" w:cs="宋体"/>
                <w:color w:val="auto"/>
                <w:kern w:val="0"/>
                <w:sz w:val="24"/>
                <w:highlight w:val="none"/>
              </w:rPr>
              <w:t>人，专家</w:t>
            </w: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rPr>
              <w:t>人；</w:t>
            </w:r>
          </w:p>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评标专家确定方式：</w:t>
            </w:r>
          </w:p>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（1）专家成员从海南省综合评标专家库中随机抽取；</w:t>
            </w:r>
          </w:p>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（2）技术、经济等方面专家不得少于三分之二。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31</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是否授权评标委员会确定中标人</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□是，推荐的中标候选人数 3 名，并且确定排名第一的中标候选人为中标人。</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√否，推荐的中标候选人数 3 名，并标明排列顺序。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32</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履约担保</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lang w:eastAsia="zh-CN"/>
              </w:rPr>
              <w:t>履约保证金缴纳的形式：支票、汇票、本票、银行转账、银行保函、建设工程履约保证保险等其他合法有效方式</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履约担保的金额：中标价的5%。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33</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招标控制价</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招标控制价为：¥</w:t>
            </w:r>
            <w:r>
              <w:rPr>
                <w:rFonts w:hint="eastAsia" w:ascii="宋体" w:hAnsi="宋体" w:eastAsia="宋体" w:cs="宋体"/>
                <w:color w:val="auto"/>
                <w:kern w:val="0"/>
                <w:sz w:val="24"/>
                <w:highlight w:val="none"/>
                <w:lang w:eastAsia="zh-CN"/>
              </w:rPr>
              <w:t>3691941.00</w:t>
            </w:r>
            <w:r>
              <w:rPr>
                <w:rFonts w:hint="eastAsia" w:ascii="宋体" w:hAnsi="宋体" w:eastAsia="宋体" w:cs="宋体"/>
                <w:color w:val="auto"/>
                <w:kern w:val="0"/>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806"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34</w:t>
            </w:r>
          </w:p>
        </w:tc>
        <w:tc>
          <w:tcPr>
            <w:tcW w:w="1650" w:type="dxa"/>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其他说明</w:t>
            </w:r>
          </w:p>
        </w:tc>
        <w:tc>
          <w:tcPr>
            <w:tcW w:w="6123" w:type="dxa"/>
            <w:vAlign w:val="center"/>
          </w:tcPr>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1、在评标过程中，评标委员会发现供应商的报价（修正价）明显低于其他投标报价，使得其投标报价可能低于其个别成本的，应当要求该供应商作出书面说明并提供相关证明材料。供应商不能合理说明或者不能提供相关证明材料的，由评标委员会认定该供应商以低于成本报价竞标，其投标应作废标处理。</w:t>
            </w:r>
          </w:p>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2、经核实，若供应商所提供的材料有虚假材料，采购人将上报有关部门追究其法律责任，提请省级行政主管部门将其列入不良企业名单，若给采购人造成损失的，应给予赔偿，若其为中标单位，将取消其中标资格；若已签订合同则取消合同，没收履约保证金。</w:t>
            </w:r>
          </w:p>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3、采购人保留核实供应商是否被责令停业、财产被接管、冻结、破产的权力，若供应商在投标有效期内处于以上情形的，采购人将有权取消其中标资格。</w:t>
            </w:r>
          </w:p>
          <w:p>
            <w:pPr>
              <w:widowControl/>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4、单位负责人为同一人或者存在直接控股、管理关系的不同供应商，不得参加同一合同项下的政府采购活动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806" w:type="dxa"/>
            <w:vAlign w:val="center"/>
          </w:tcPr>
          <w:p>
            <w:pPr>
              <w:widowControl/>
              <w:spacing w:line="360" w:lineRule="auto"/>
              <w:jc w:val="center"/>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35</w:t>
            </w:r>
          </w:p>
        </w:tc>
        <w:tc>
          <w:tcPr>
            <w:tcW w:w="1650" w:type="dxa"/>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项目所属行业</w:t>
            </w:r>
          </w:p>
        </w:tc>
        <w:tc>
          <w:tcPr>
            <w:tcW w:w="6123" w:type="dxa"/>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土木工程建筑业</w:t>
            </w:r>
          </w:p>
        </w:tc>
      </w:tr>
    </w:tbl>
    <w:p>
      <w:pPr>
        <w:pageBreakBefore/>
        <w:spacing w:before="156" w:after="156" w:line="360" w:lineRule="auto"/>
        <w:rPr>
          <w:rFonts w:hint="eastAsia" w:ascii="宋体" w:hAnsi="宋体" w:eastAsia="宋体" w:cs="宋体"/>
          <w:color w:val="auto"/>
          <w:highlight w:val="none"/>
        </w:rPr>
      </w:pPr>
      <w:r>
        <w:rPr>
          <w:rFonts w:hint="eastAsia" w:ascii="宋体" w:hAnsi="宋体" w:eastAsia="宋体" w:cs="宋体"/>
          <w:b/>
          <w:color w:val="auto"/>
          <w:sz w:val="28"/>
          <w:szCs w:val="28"/>
          <w:highlight w:val="none"/>
        </w:rPr>
        <w:t>（一）总则</w:t>
      </w:r>
    </w:p>
    <w:p>
      <w:pPr>
        <w:spacing w:line="360" w:lineRule="auto"/>
        <w:rPr>
          <w:rFonts w:hint="eastAsia" w:ascii="宋体" w:hAnsi="宋体" w:eastAsia="宋体" w:cs="宋体"/>
          <w:color w:val="auto"/>
          <w:highlight w:val="none"/>
        </w:rPr>
      </w:pPr>
      <w:r>
        <w:rPr>
          <w:rFonts w:hint="eastAsia" w:ascii="宋体" w:hAnsi="宋体" w:eastAsia="宋体" w:cs="宋体"/>
          <w:b/>
          <w:bCs/>
          <w:color w:val="auto"/>
          <w:sz w:val="24"/>
          <w:highlight w:val="none"/>
        </w:rPr>
        <w:t>1、适用范围</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w:t>
      </w:r>
      <w:r>
        <w:rPr>
          <w:rFonts w:hint="eastAsia" w:ascii="宋体" w:hAnsi="宋体" w:eastAsia="宋体" w:cs="宋体"/>
          <w:bCs/>
          <w:color w:val="auto"/>
          <w:kern w:val="0"/>
          <w:sz w:val="24"/>
          <w:highlight w:val="none"/>
          <w:lang w:val="en-GB"/>
        </w:rPr>
        <w:t>竞争性磋商</w:t>
      </w:r>
      <w:r>
        <w:rPr>
          <w:rFonts w:hint="eastAsia" w:ascii="宋体" w:hAnsi="宋体" w:eastAsia="宋体" w:cs="宋体"/>
          <w:color w:val="auto"/>
          <w:sz w:val="24"/>
          <w:highlight w:val="none"/>
        </w:rPr>
        <w:t>文件仅适用于</w:t>
      </w:r>
      <w:r>
        <w:rPr>
          <w:rFonts w:hint="eastAsia" w:ascii="宋体" w:hAnsi="宋体" w:eastAsia="宋体" w:cs="宋体"/>
          <w:bCs/>
          <w:color w:val="auto"/>
          <w:kern w:val="0"/>
          <w:sz w:val="24"/>
          <w:highlight w:val="none"/>
          <w:lang w:val="en-GB"/>
        </w:rPr>
        <w:t>本次磋商邀请中所叙述工程项目的磋商。</w:t>
      </w:r>
    </w:p>
    <w:p>
      <w:pPr>
        <w:tabs>
          <w:tab w:val="left" w:pos="7665"/>
        </w:tabs>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2、有关定义及相应职责</w:t>
      </w:r>
    </w:p>
    <w:p>
      <w:pPr>
        <w:tabs>
          <w:tab w:val="left" w:pos="7665"/>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2.1 “采购人”系指依法进行政府采购的国家机关、事业单位、团体组织。本次</w:t>
      </w:r>
      <w:r>
        <w:rPr>
          <w:rFonts w:hint="eastAsia" w:ascii="宋体" w:hAnsi="宋体" w:eastAsia="宋体" w:cs="宋体"/>
          <w:bCs/>
          <w:color w:val="auto"/>
          <w:kern w:val="0"/>
          <w:sz w:val="24"/>
          <w:highlight w:val="none"/>
          <w:lang w:val="en-GB"/>
        </w:rPr>
        <w:t>竞争性磋商的</w:t>
      </w:r>
      <w:r>
        <w:rPr>
          <w:rFonts w:hint="eastAsia" w:ascii="宋体" w:hAnsi="宋体" w:eastAsia="宋体" w:cs="宋体"/>
          <w:color w:val="auto"/>
          <w:sz w:val="24"/>
          <w:highlight w:val="none"/>
        </w:rPr>
        <w:t>采购人是</w:t>
      </w:r>
      <w:r>
        <w:rPr>
          <w:rFonts w:hint="eastAsia" w:ascii="宋体" w:hAnsi="宋体" w:eastAsia="宋体" w:cs="宋体"/>
          <w:b/>
          <w:bCs/>
          <w:color w:val="auto"/>
          <w:sz w:val="24"/>
          <w:highlight w:val="none"/>
        </w:rPr>
        <w:t>海南省公路管理局三亚公路局</w:t>
      </w:r>
      <w:r>
        <w:rPr>
          <w:rFonts w:hint="eastAsia" w:ascii="宋体" w:hAnsi="宋体" w:eastAsia="宋体" w:cs="宋体"/>
          <w:color w:val="auto"/>
          <w:sz w:val="24"/>
          <w:highlight w:val="none"/>
        </w:rPr>
        <w:t>。</w:t>
      </w:r>
    </w:p>
    <w:p>
      <w:pPr>
        <w:tabs>
          <w:tab w:val="left" w:pos="7665"/>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2.2 “采购代理机构”系指受采购人的委托依法办理</w:t>
      </w:r>
      <w:r>
        <w:rPr>
          <w:rFonts w:hint="eastAsia" w:ascii="宋体" w:hAnsi="宋体" w:eastAsia="宋体" w:cs="宋体"/>
          <w:bCs/>
          <w:color w:val="auto"/>
          <w:kern w:val="0"/>
          <w:sz w:val="24"/>
          <w:highlight w:val="none"/>
          <w:lang w:val="en-GB"/>
        </w:rPr>
        <w:t>采购</w:t>
      </w:r>
      <w:r>
        <w:rPr>
          <w:rFonts w:hint="eastAsia" w:ascii="宋体" w:hAnsi="宋体" w:eastAsia="宋体" w:cs="宋体"/>
          <w:color w:val="auto"/>
          <w:sz w:val="24"/>
          <w:highlight w:val="none"/>
        </w:rPr>
        <w:t>事宜的机构。本次</w:t>
      </w:r>
      <w:r>
        <w:rPr>
          <w:rFonts w:hint="eastAsia" w:ascii="宋体" w:hAnsi="宋体" w:eastAsia="宋体" w:cs="宋体"/>
          <w:bCs/>
          <w:color w:val="auto"/>
          <w:kern w:val="0"/>
          <w:sz w:val="24"/>
          <w:highlight w:val="none"/>
          <w:lang w:val="en-GB"/>
        </w:rPr>
        <w:t>竞争性磋商</w:t>
      </w:r>
      <w:r>
        <w:rPr>
          <w:rFonts w:hint="eastAsia" w:ascii="宋体" w:hAnsi="宋体" w:eastAsia="宋体" w:cs="宋体"/>
          <w:color w:val="auto"/>
          <w:sz w:val="24"/>
          <w:highlight w:val="none"/>
        </w:rPr>
        <w:t>的采购代理机构是</w:t>
      </w:r>
      <w:r>
        <w:rPr>
          <w:rFonts w:hint="eastAsia" w:ascii="宋体" w:hAnsi="宋体" w:eastAsia="宋体" w:cs="宋体"/>
          <w:b/>
          <w:bCs/>
          <w:color w:val="auto"/>
          <w:sz w:val="24"/>
          <w:highlight w:val="none"/>
          <w:lang w:eastAsia="zh-CN"/>
        </w:rPr>
        <w:t>四川同创建设工程管理有限公司</w:t>
      </w:r>
      <w:r>
        <w:rPr>
          <w:rFonts w:hint="eastAsia" w:ascii="宋体" w:hAnsi="宋体" w:eastAsia="宋体" w:cs="宋体"/>
          <w:color w:val="auto"/>
          <w:sz w:val="24"/>
          <w:highlight w:val="none"/>
        </w:rPr>
        <w:t>。</w:t>
      </w:r>
    </w:p>
    <w:p>
      <w:pPr>
        <w:tabs>
          <w:tab w:val="left" w:pos="7665"/>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2.3 “供应商”系指实名购买</w:t>
      </w:r>
      <w:r>
        <w:rPr>
          <w:rFonts w:hint="eastAsia" w:ascii="宋体" w:hAnsi="宋体" w:eastAsia="宋体" w:cs="宋体"/>
          <w:bCs/>
          <w:color w:val="auto"/>
          <w:kern w:val="0"/>
          <w:sz w:val="24"/>
          <w:highlight w:val="none"/>
          <w:lang w:val="en-GB"/>
        </w:rPr>
        <w:t>竞争性磋商</w:t>
      </w:r>
      <w:r>
        <w:rPr>
          <w:rFonts w:hint="eastAsia" w:ascii="宋体" w:hAnsi="宋体" w:eastAsia="宋体" w:cs="宋体"/>
          <w:color w:val="auto"/>
          <w:sz w:val="24"/>
          <w:highlight w:val="none"/>
        </w:rPr>
        <w:t>文件拟参加竞争性磋商和拟向采购人提供服务的供应商。其职责如下：</w:t>
      </w:r>
    </w:p>
    <w:p>
      <w:pPr>
        <w:tabs>
          <w:tab w:val="left" w:pos="7665"/>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2.3.1 对</w:t>
      </w:r>
      <w:r>
        <w:rPr>
          <w:rFonts w:hint="eastAsia" w:ascii="宋体" w:hAnsi="宋体" w:eastAsia="宋体" w:cs="宋体"/>
          <w:bCs/>
          <w:color w:val="auto"/>
          <w:kern w:val="0"/>
          <w:sz w:val="24"/>
          <w:highlight w:val="none"/>
          <w:lang w:val="en-GB"/>
        </w:rPr>
        <w:t>竞争性磋商</w:t>
      </w:r>
      <w:r>
        <w:rPr>
          <w:rFonts w:hint="eastAsia" w:ascii="宋体" w:hAnsi="宋体" w:eastAsia="宋体" w:cs="宋体"/>
          <w:color w:val="auto"/>
          <w:sz w:val="24"/>
          <w:highlight w:val="none"/>
        </w:rPr>
        <w:t>文件错、漏之处提出澄清、说明要求或质疑；</w:t>
      </w:r>
    </w:p>
    <w:p>
      <w:pPr>
        <w:tabs>
          <w:tab w:val="left" w:pos="3060"/>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2.3.2 按要求编制响应文件；</w:t>
      </w:r>
    </w:p>
    <w:p>
      <w:pPr>
        <w:tabs>
          <w:tab w:val="left" w:pos="3060"/>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2.3.3 派磋商代表递交响应文件，参加磋商活动，对评审小组就响应文件提出的问题进行澄清；“磋商代表”系指在磋商过程中代表提交响应文件单位处理磋商事宜的人员，包括单位法定代表人或负责人及取得授权的单位人员；</w:t>
      </w:r>
    </w:p>
    <w:p>
      <w:pPr>
        <w:tabs>
          <w:tab w:val="left" w:pos="3060"/>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2.3.4 配合相关职能部门就</w:t>
      </w:r>
      <w:r>
        <w:rPr>
          <w:rFonts w:hint="eastAsia" w:ascii="宋体" w:hAnsi="宋体" w:eastAsia="宋体" w:cs="宋体"/>
          <w:bCs/>
          <w:color w:val="auto"/>
          <w:kern w:val="0"/>
          <w:sz w:val="24"/>
          <w:highlight w:val="none"/>
          <w:lang w:val="en-GB"/>
        </w:rPr>
        <w:t>竞争性磋商采购</w:t>
      </w:r>
      <w:r>
        <w:rPr>
          <w:rFonts w:hint="eastAsia" w:ascii="宋体" w:hAnsi="宋体" w:eastAsia="宋体" w:cs="宋体"/>
          <w:color w:val="auto"/>
          <w:sz w:val="24"/>
          <w:highlight w:val="none"/>
        </w:rPr>
        <w:t>项目的质疑、投诉和举报的处理工作；</w:t>
      </w:r>
    </w:p>
    <w:p>
      <w:pPr>
        <w:tabs>
          <w:tab w:val="left" w:pos="3060"/>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2.3.5 与采购人签订采购合同，按照合同规定向采购人提供服务；</w:t>
      </w:r>
    </w:p>
    <w:p>
      <w:pPr>
        <w:tabs>
          <w:tab w:val="left" w:pos="7665"/>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2.3.6 政府采购法律法规所规定的其他职责。</w:t>
      </w:r>
    </w:p>
    <w:p>
      <w:pPr>
        <w:tabs>
          <w:tab w:val="left" w:pos="7665"/>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2.4 合格的供应商 </w:t>
      </w:r>
    </w:p>
    <w:p>
      <w:pPr>
        <w:tabs>
          <w:tab w:val="left" w:pos="7665"/>
        </w:tabs>
        <w:spacing w:line="360" w:lineRule="auto"/>
        <w:ind w:firstLine="480"/>
        <w:rPr>
          <w:rFonts w:hint="eastAsia" w:ascii="宋体" w:hAnsi="宋体" w:eastAsia="宋体" w:cs="宋体"/>
          <w:color w:val="auto"/>
          <w:highlight w:val="none"/>
        </w:rPr>
      </w:pPr>
      <w:r>
        <w:rPr>
          <w:rFonts w:hint="eastAsia" w:ascii="宋体" w:hAnsi="宋体" w:eastAsia="宋体" w:cs="宋体"/>
          <w:bCs/>
          <w:color w:val="auto"/>
          <w:kern w:val="0"/>
          <w:sz w:val="24"/>
          <w:highlight w:val="none"/>
        </w:rPr>
        <w:t xml:space="preserve">2.4.1 </w:t>
      </w:r>
      <w:r>
        <w:rPr>
          <w:rFonts w:hint="eastAsia" w:ascii="宋体" w:hAnsi="宋体" w:eastAsia="宋体" w:cs="宋体"/>
          <w:bCs/>
          <w:color w:val="auto"/>
          <w:kern w:val="0"/>
          <w:sz w:val="24"/>
          <w:highlight w:val="none"/>
          <w:lang w:val="en-GB"/>
        </w:rPr>
        <w:t>符合《中华人民共和国政府采购法》第二十二条规定的供应商。</w:t>
      </w:r>
    </w:p>
    <w:p>
      <w:pPr>
        <w:tabs>
          <w:tab w:val="left" w:pos="7665"/>
        </w:tabs>
        <w:spacing w:line="360" w:lineRule="auto"/>
        <w:ind w:firstLine="480"/>
        <w:rPr>
          <w:rFonts w:hint="eastAsia" w:ascii="宋体" w:hAnsi="宋体" w:eastAsia="宋体" w:cs="宋体"/>
          <w:color w:val="auto"/>
          <w:highlight w:val="none"/>
        </w:rPr>
      </w:pPr>
      <w:r>
        <w:rPr>
          <w:rFonts w:hint="eastAsia" w:ascii="宋体" w:hAnsi="宋体" w:eastAsia="宋体" w:cs="宋体"/>
          <w:bCs/>
          <w:color w:val="auto"/>
          <w:kern w:val="0"/>
          <w:sz w:val="24"/>
          <w:highlight w:val="none"/>
        </w:rPr>
        <w:t xml:space="preserve">2.4.2 </w:t>
      </w:r>
      <w:r>
        <w:rPr>
          <w:rFonts w:hint="eastAsia" w:ascii="宋体" w:hAnsi="宋体" w:eastAsia="宋体" w:cs="宋体"/>
          <w:bCs/>
          <w:color w:val="auto"/>
          <w:kern w:val="0"/>
          <w:sz w:val="24"/>
          <w:highlight w:val="none"/>
          <w:lang w:val="en-GB"/>
        </w:rPr>
        <w:t>符合竞争性磋商</w:t>
      </w:r>
      <w:r>
        <w:rPr>
          <w:rFonts w:hint="eastAsia" w:ascii="宋体" w:hAnsi="宋体" w:eastAsia="宋体" w:cs="宋体"/>
          <w:color w:val="auto"/>
          <w:sz w:val="24"/>
          <w:highlight w:val="none"/>
        </w:rPr>
        <w:t>文件</w:t>
      </w:r>
      <w:r>
        <w:rPr>
          <w:rFonts w:hint="eastAsia" w:ascii="宋体" w:hAnsi="宋体" w:eastAsia="宋体" w:cs="宋体"/>
          <w:bCs/>
          <w:color w:val="auto"/>
          <w:kern w:val="0"/>
          <w:sz w:val="24"/>
          <w:highlight w:val="none"/>
          <w:lang w:val="en-GB"/>
        </w:rPr>
        <w:t>规定的资质要求，有能力提供满足竞争性磋商</w:t>
      </w:r>
      <w:r>
        <w:rPr>
          <w:rFonts w:hint="eastAsia" w:ascii="宋体" w:hAnsi="宋体" w:eastAsia="宋体" w:cs="宋体"/>
          <w:color w:val="auto"/>
          <w:sz w:val="24"/>
          <w:highlight w:val="none"/>
        </w:rPr>
        <w:t>文件</w:t>
      </w:r>
      <w:r>
        <w:rPr>
          <w:rFonts w:hint="eastAsia" w:ascii="宋体" w:hAnsi="宋体" w:eastAsia="宋体" w:cs="宋体"/>
          <w:bCs/>
          <w:color w:val="auto"/>
          <w:kern w:val="0"/>
          <w:sz w:val="24"/>
          <w:highlight w:val="none"/>
          <w:lang w:val="en-GB"/>
        </w:rPr>
        <w:t>要求的相关服务的法人实体。</w:t>
      </w:r>
    </w:p>
    <w:p>
      <w:pPr>
        <w:tabs>
          <w:tab w:val="left" w:pos="7665"/>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2.5 </w:t>
      </w:r>
      <w:r>
        <w:rPr>
          <w:rFonts w:hint="eastAsia" w:ascii="宋体" w:hAnsi="宋体" w:eastAsia="宋体" w:cs="宋体"/>
          <w:bCs/>
          <w:color w:val="auto"/>
          <w:kern w:val="0"/>
          <w:sz w:val="24"/>
          <w:highlight w:val="none"/>
          <w:lang w:val="en-GB"/>
        </w:rPr>
        <w:t>“成交供应商”系指经磋商小组评审，并授予合同的供应商。</w:t>
      </w:r>
    </w:p>
    <w:p>
      <w:pPr>
        <w:pStyle w:val="42"/>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3、供应商不得存在下列情形之一：</w:t>
      </w:r>
    </w:p>
    <w:p>
      <w:pPr>
        <w:pStyle w:val="42"/>
        <w:spacing w:line="360" w:lineRule="auto"/>
        <w:rPr>
          <w:rFonts w:hint="eastAsia" w:ascii="宋体" w:hAnsi="宋体" w:eastAsia="宋体" w:cs="宋体"/>
          <w:color w:val="auto"/>
          <w:highlight w:val="none"/>
        </w:rPr>
      </w:pPr>
      <w:r>
        <w:rPr>
          <w:rFonts w:hint="eastAsia" w:ascii="宋体" w:hAnsi="宋体" w:eastAsia="宋体" w:cs="宋体"/>
          <w:bCs/>
          <w:color w:val="auto"/>
          <w:kern w:val="0"/>
          <w:sz w:val="24"/>
          <w:highlight w:val="none"/>
          <w:lang w:val="en-GB"/>
        </w:rPr>
        <w:t>（1）为招标人不具有独立法人资格的附属机构（单位）；</w:t>
      </w:r>
    </w:p>
    <w:p>
      <w:pPr>
        <w:pStyle w:val="42"/>
        <w:spacing w:line="360" w:lineRule="auto"/>
        <w:rPr>
          <w:rFonts w:hint="eastAsia" w:ascii="宋体" w:hAnsi="宋体" w:eastAsia="宋体" w:cs="宋体"/>
          <w:color w:val="auto"/>
          <w:highlight w:val="none"/>
        </w:rPr>
      </w:pPr>
      <w:r>
        <w:rPr>
          <w:rFonts w:hint="eastAsia" w:ascii="宋体" w:hAnsi="宋体" w:eastAsia="宋体" w:cs="宋体"/>
          <w:bCs/>
          <w:color w:val="auto"/>
          <w:kern w:val="0"/>
          <w:sz w:val="24"/>
          <w:highlight w:val="none"/>
          <w:lang w:val="en-GB"/>
        </w:rPr>
        <w:t>（2）</w:t>
      </w:r>
      <w:r>
        <w:rPr>
          <w:rFonts w:hint="eastAsia" w:ascii="宋体" w:hAnsi="宋体" w:eastAsia="宋体" w:cs="宋体"/>
          <w:b/>
          <w:color w:val="auto"/>
          <w:kern w:val="0"/>
          <w:sz w:val="24"/>
          <w:highlight w:val="none"/>
          <w:lang w:val="en-GB"/>
        </w:rPr>
        <w:t>为本标段前期准备提供设计或咨询服务的，但设计施工总承包的除外；</w:t>
      </w:r>
    </w:p>
    <w:p>
      <w:pPr>
        <w:pStyle w:val="42"/>
        <w:spacing w:line="360" w:lineRule="auto"/>
        <w:rPr>
          <w:rFonts w:hint="eastAsia" w:ascii="宋体" w:hAnsi="宋体" w:eastAsia="宋体" w:cs="宋体"/>
          <w:color w:val="auto"/>
          <w:highlight w:val="none"/>
        </w:rPr>
      </w:pPr>
      <w:r>
        <w:rPr>
          <w:rFonts w:hint="eastAsia" w:ascii="宋体" w:hAnsi="宋体" w:eastAsia="宋体" w:cs="宋体"/>
          <w:bCs/>
          <w:color w:val="auto"/>
          <w:kern w:val="0"/>
          <w:sz w:val="24"/>
          <w:highlight w:val="none"/>
          <w:lang w:val="en-GB"/>
        </w:rPr>
        <w:t>（3）为本标段的监理人；</w:t>
      </w:r>
    </w:p>
    <w:p>
      <w:pPr>
        <w:pStyle w:val="42"/>
        <w:spacing w:line="360" w:lineRule="auto"/>
        <w:rPr>
          <w:rFonts w:hint="eastAsia" w:ascii="宋体" w:hAnsi="宋体" w:eastAsia="宋体" w:cs="宋体"/>
          <w:color w:val="auto"/>
          <w:highlight w:val="none"/>
        </w:rPr>
      </w:pPr>
      <w:r>
        <w:rPr>
          <w:rFonts w:hint="eastAsia" w:ascii="宋体" w:hAnsi="宋体" w:eastAsia="宋体" w:cs="宋体"/>
          <w:bCs/>
          <w:color w:val="auto"/>
          <w:kern w:val="0"/>
          <w:sz w:val="24"/>
          <w:highlight w:val="none"/>
          <w:lang w:val="en-GB"/>
        </w:rPr>
        <w:t>（4）为本标段的代建人；</w:t>
      </w:r>
    </w:p>
    <w:p>
      <w:pPr>
        <w:pStyle w:val="42"/>
        <w:spacing w:line="360" w:lineRule="auto"/>
        <w:rPr>
          <w:rFonts w:hint="eastAsia" w:ascii="宋体" w:hAnsi="宋体" w:eastAsia="宋体" w:cs="宋体"/>
          <w:color w:val="auto"/>
          <w:highlight w:val="none"/>
        </w:rPr>
      </w:pPr>
      <w:r>
        <w:rPr>
          <w:rFonts w:hint="eastAsia" w:ascii="宋体" w:hAnsi="宋体" w:eastAsia="宋体" w:cs="宋体"/>
          <w:bCs/>
          <w:color w:val="auto"/>
          <w:kern w:val="0"/>
          <w:sz w:val="24"/>
          <w:highlight w:val="none"/>
          <w:lang w:val="en-GB"/>
        </w:rPr>
        <w:t>（5）为本标段提供招标代理服务的；</w:t>
      </w:r>
    </w:p>
    <w:p>
      <w:pPr>
        <w:pStyle w:val="42"/>
        <w:spacing w:line="360" w:lineRule="auto"/>
        <w:rPr>
          <w:rFonts w:hint="eastAsia" w:ascii="宋体" w:hAnsi="宋体" w:eastAsia="宋体" w:cs="宋体"/>
          <w:color w:val="auto"/>
          <w:highlight w:val="none"/>
        </w:rPr>
      </w:pPr>
      <w:r>
        <w:rPr>
          <w:rFonts w:hint="eastAsia" w:ascii="宋体" w:hAnsi="宋体" w:eastAsia="宋体" w:cs="宋体"/>
          <w:bCs/>
          <w:color w:val="auto"/>
          <w:kern w:val="0"/>
          <w:sz w:val="24"/>
          <w:highlight w:val="none"/>
          <w:lang w:val="en-GB"/>
        </w:rPr>
        <w:t>（6）与本标段的监理人或代建人或采购代理机构同为一个法定代表人的；</w:t>
      </w:r>
    </w:p>
    <w:p>
      <w:pPr>
        <w:pStyle w:val="42"/>
        <w:spacing w:line="360" w:lineRule="auto"/>
        <w:rPr>
          <w:rFonts w:hint="eastAsia" w:ascii="宋体" w:hAnsi="宋体" w:eastAsia="宋体" w:cs="宋体"/>
          <w:color w:val="auto"/>
          <w:highlight w:val="none"/>
        </w:rPr>
      </w:pPr>
      <w:r>
        <w:rPr>
          <w:rFonts w:hint="eastAsia" w:ascii="宋体" w:hAnsi="宋体" w:eastAsia="宋体" w:cs="宋体"/>
          <w:bCs/>
          <w:color w:val="auto"/>
          <w:kern w:val="0"/>
          <w:sz w:val="24"/>
          <w:highlight w:val="none"/>
          <w:lang w:val="en-GB"/>
        </w:rPr>
        <w:t>（7）与本标段的监理人或代建人或采购代理机构相互控股或参股的；</w:t>
      </w:r>
    </w:p>
    <w:p>
      <w:pPr>
        <w:pStyle w:val="42"/>
        <w:spacing w:line="360" w:lineRule="auto"/>
        <w:rPr>
          <w:rFonts w:hint="eastAsia" w:ascii="宋体" w:hAnsi="宋体" w:eastAsia="宋体" w:cs="宋体"/>
          <w:color w:val="auto"/>
          <w:highlight w:val="none"/>
        </w:rPr>
      </w:pPr>
      <w:r>
        <w:rPr>
          <w:rFonts w:hint="eastAsia" w:ascii="宋体" w:hAnsi="宋体" w:eastAsia="宋体" w:cs="宋体"/>
          <w:bCs/>
          <w:color w:val="auto"/>
          <w:kern w:val="0"/>
          <w:sz w:val="24"/>
          <w:highlight w:val="none"/>
          <w:lang w:val="en-GB"/>
        </w:rPr>
        <w:t>（8）与本标段的监理人或代建人或采购代理机构相互任职或工作的；</w:t>
      </w:r>
    </w:p>
    <w:p>
      <w:pPr>
        <w:pStyle w:val="42"/>
        <w:spacing w:line="360" w:lineRule="auto"/>
        <w:rPr>
          <w:rFonts w:hint="eastAsia" w:ascii="宋体" w:hAnsi="宋体" w:eastAsia="宋体" w:cs="宋体"/>
          <w:color w:val="auto"/>
          <w:highlight w:val="none"/>
        </w:rPr>
      </w:pPr>
      <w:r>
        <w:rPr>
          <w:rFonts w:hint="eastAsia" w:ascii="宋体" w:hAnsi="宋体" w:eastAsia="宋体" w:cs="宋体"/>
          <w:bCs/>
          <w:color w:val="auto"/>
          <w:kern w:val="0"/>
          <w:sz w:val="24"/>
          <w:highlight w:val="none"/>
          <w:lang w:val="en-GB"/>
        </w:rPr>
        <w:t>（9）被责令停业的；</w:t>
      </w:r>
    </w:p>
    <w:p>
      <w:pPr>
        <w:pStyle w:val="42"/>
        <w:spacing w:line="360" w:lineRule="auto"/>
        <w:rPr>
          <w:rFonts w:hint="eastAsia" w:ascii="宋体" w:hAnsi="宋体" w:eastAsia="宋体" w:cs="宋体"/>
          <w:color w:val="auto"/>
          <w:highlight w:val="none"/>
        </w:rPr>
      </w:pPr>
      <w:r>
        <w:rPr>
          <w:rFonts w:hint="eastAsia" w:ascii="宋体" w:hAnsi="宋体" w:eastAsia="宋体" w:cs="宋体"/>
          <w:bCs/>
          <w:color w:val="auto"/>
          <w:kern w:val="0"/>
          <w:sz w:val="24"/>
          <w:highlight w:val="none"/>
          <w:lang w:val="en-GB"/>
        </w:rPr>
        <w:t>（10）被暂停或取消投标资格的；</w:t>
      </w:r>
    </w:p>
    <w:p>
      <w:pPr>
        <w:pStyle w:val="42"/>
        <w:spacing w:line="360" w:lineRule="auto"/>
        <w:rPr>
          <w:rFonts w:hint="eastAsia" w:ascii="宋体" w:hAnsi="宋体" w:eastAsia="宋体" w:cs="宋体"/>
          <w:color w:val="auto"/>
          <w:highlight w:val="none"/>
        </w:rPr>
      </w:pPr>
      <w:r>
        <w:rPr>
          <w:rFonts w:hint="eastAsia" w:ascii="宋体" w:hAnsi="宋体" w:eastAsia="宋体" w:cs="宋体"/>
          <w:bCs/>
          <w:color w:val="auto"/>
          <w:kern w:val="0"/>
          <w:sz w:val="24"/>
          <w:highlight w:val="none"/>
          <w:lang w:val="en-GB"/>
        </w:rPr>
        <w:t>（11）财产被接管或冻结的；</w:t>
      </w:r>
    </w:p>
    <w:p>
      <w:pPr>
        <w:pStyle w:val="42"/>
        <w:spacing w:line="360" w:lineRule="auto"/>
        <w:rPr>
          <w:rFonts w:hint="eastAsia" w:ascii="宋体" w:hAnsi="宋体" w:eastAsia="宋体" w:cs="宋体"/>
          <w:color w:val="auto"/>
          <w:highlight w:val="none"/>
        </w:rPr>
      </w:pPr>
      <w:r>
        <w:rPr>
          <w:rFonts w:hint="eastAsia" w:ascii="宋体" w:hAnsi="宋体" w:eastAsia="宋体" w:cs="宋体"/>
          <w:bCs/>
          <w:color w:val="auto"/>
          <w:kern w:val="0"/>
          <w:sz w:val="24"/>
          <w:highlight w:val="none"/>
          <w:lang w:val="en-GB"/>
        </w:rPr>
        <w:t>（12）在最近三年内有骗取中标或严重违约或重大工程质量问题的；</w:t>
      </w:r>
    </w:p>
    <w:p>
      <w:pPr>
        <w:pStyle w:val="42"/>
        <w:spacing w:line="360" w:lineRule="auto"/>
        <w:rPr>
          <w:rFonts w:hint="eastAsia" w:ascii="宋体" w:hAnsi="宋体" w:eastAsia="宋体" w:cs="宋体"/>
          <w:color w:val="auto"/>
          <w:highlight w:val="none"/>
        </w:rPr>
      </w:pPr>
      <w:r>
        <w:rPr>
          <w:rFonts w:hint="eastAsia" w:ascii="宋体" w:hAnsi="宋体" w:eastAsia="宋体" w:cs="宋体"/>
          <w:bCs/>
          <w:color w:val="auto"/>
          <w:kern w:val="0"/>
          <w:sz w:val="24"/>
          <w:highlight w:val="none"/>
          <w:lang w:val="en-GB"/>
        </w:rPr>
        <w:t>（13）涉及正在诉讼的案件，或涉及正在诉讼的案件但经审查委员会认定不会对承担本项目造成重大影响；</w:t>
      </w:r>
    </w:p>
    <w:p>
      <w:pPr>
        <w:pStyle w:val="42"/>
        <w:spacing w:line="360" w:lineRule="auto"/>
        <w:rPr>
          <w:rFonts w:hint="eastAsia" w:ascii="宋体" w:hAnsi="宋体" w:eastAsia="宋体" w:cs="宋体"/>
          <w:color w:val="auto"/>
          <w:highlight w:val="none"/>
        </w:rPr>
      </w:pPr>
      <w:r>
        <w:rPr>
          <w:rFonts w:hint="eastAsia" w:ascii="宋体" w:hAnsi="宋体" w:eastAsia="宋体" w:cs="宋体"/>
          <w:bCs/>
          <w:color w:val="auto"/>
          <w:kern w:val="0"/>
          <w:sz w:val="24"/>
          <w:highlight w:val="none"/>
          <w:lang w:val="en-GB"/>
        </w:rPr>
        <w:t>（14）被省级及以上交通主管部门取消项目所在地的投标资格或禁止进入该区域公路建设市场且处于有效期内；</w:t>
      </w:r>
    </w:p>
    <w:p>
      <w:pPr>
        <w:pStyle w:val="42"/>
        <w:spacing w:line="360" w:lineRule="auto"/>
        <w:rPr>
          <w:rFonts w:hint="eastAsia" w:ascii="宋体" w:hAnsi="宋体" w:eastAsia="宋体" w:cs="宋体"/>
          <w:color w:val="auto"/>
          <w:highlight w:val="none"/>
        </w:rPr>
      </w:pPr>
      <w:r>
        <w:rPr>
          <w:rFonts w:hint="eastAsia" w:ascii="宋体" w:hAnsi="宋体" w:eastAsia="宋体" w:cs="宋体"/>
          <w:bCs/>
          <w:color w:val="auto"/>
          <w:kern w:val="0"/>
          <w:sz w:val="24"/>
          <w:highlight w:val="none"/>
          <w:lang w:val="en-GB"/>
        </w:rPr>
        <w:t>（15）为投资参股本项目的法人单位。</w:t>
      </w:r>
    </w:p>
    <w:p>
      <w:pPr>
        <w:pStyle w:val="42"/>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4、投标费用</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供应商应承担所有与准备和参加磋商有关的费用。不论磋商的结果如何，采购代理机构和采购人均无义务和责任承担这些费用。</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5、竞争性磋商文件的约束力</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5.1供应商购买本竞争性磋商文件后如在响应文件提交截止时间5日前未对采购代理提出书面质疑，即视为接受了本竞争性磋商文件中的所有条款和规定。</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5.2 本竞争性磋商文件由采购代理机构负责解释。</w:t>
      </w:r>
    </w:p>
    <w:p>
      <w:pPr>
        <w:tabs>
          <w:tab w:val="left" w:pos="7665"/>
        </w:tabs>
        <w:spacing w:before="156" w:after="156" w:line="360" w:lineRule="auto"/>
        <w:rPr>
          <w:rFonts w:hint="eastAsia" w:ascii="宋体" w:hAnsi="宋体" w:eastAsia="宋体" w:cs="宋体"/>
          <w:color w:val="auto"/>
          <w:highlight w:val="none"/>
        </w:rPr>
      </w:pPr>
      <w:r>
        <w:rPr>
          <w:rFonts w:hint="eastAsia" w:ascii="宋体" w:hAnsi="宋体" w:eastAsia="宋体" w:cs="宋体"/>
          <w:b/>
          <w:color w:val="auto"/>
          <w:sz w:val="28"/>
          <w:szCs w:val="28"/>
          <w:highlight w:val="none"/>
        </w:rPr>
        <w:t>（二）</w:t>
      </w:r>
      <w:r>
        <w:rPr>
          <w:rFonts w:hint="eastAsia" w:ascii="宋体" w:hAnsi="宋体" w:eastAsia="宋体" w:cs="宋体"/>
          <w:b/>
          <w:bCs/>
          <w:color w:val="auto"/>
          <w:sz w:val="28"/>
          <w:szCs w:val="28"/>
          <w:highlight w:val="none"/>
          <w:lang w:val="en-GB"/>
        </w:rPr>
        <w:t>竞争性磋商</w:t>
      </w:r>
      <w:r>
        <w:rPr>
          <w:rFonts w:hint="eastAsia" w:ascii="宋体" w:hAnsi="宋体" w:eastAsia="宋体" w:cs="宋体"/>
          <w:b/>
          <w:color w:val="auto"/>
          <w:sz w:val="28"/>
          <w:szCs w:val="28"/>
          <w:highlight w:val="none"/>
        </w:rPr>
        <w:t>文件</w:t>
      </w:r>
    </w:p>
    <w:p>
      <w:pPr>
        <w:pStyle w:val="42"/>
        <w:spacing w:line="360" w:lineRule="auto"/>
        <w:rPr>
          <w:rFonts w:hint="eastAsia" w:ascii="宋体" w:hAnsi="宋体" w:eastAsia="宋体" w:cs="宋体"/>
          <w:color w:val="auto"/>
          <w:highlight w:val="none"/>
        </w:rPr>
      </w:pPr>
      <w:r>
        <w:rPr>
          <w:rFonts w:hint="eastAsia" w:ascii="宋体" w:hAnsi="宋体" w:eastAsia="宋体" w:cs="宋体"/>
          <w:b/>
          <w:bCs/>
          <w:color w:val="auto"/>
          <w:sz w:val="24"/>
          <w:highlight w:val="none"/>
        </w:rPr>
        <w:t>6、竞争性磋商文件的构成</w:t>
      </w:r>
    </w:p>
    <w:p>
      <w:pPr>
        <w:pStyle w:val="42"/>
        <w:snapToGrid w:val="0"/>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6.1 竞争性磋商文件由下列文件以及在磋商过程中发出的修正和补充文件等组成：</w:t>
      </w:r>
    </w:p>
    <w:p>
      <w:pPr>
        <w:spacing w:line="360" w:lineRule="auto"/>
        <w:ind w:firstLine="960"/>
        <w:rPr>
          <w:rFonts w:hint="eastAsia" w:ascii="宋体" w:hAnsi="宋体" w:eastAsia="宋体" w:cs="宋体"/>
          <w:color w:val="auto"/>
          <w:highlight w:val="none"/>
        </w:rPr>
      </w:pPr>
      <w:r>
        <w:rPr>
          <w:rFonts w:hint="eastAsia" w:ascii="宋体" w:hAnsi="宋体" w:eastAsia="宋体" w:cs="宋体"/>
          <w:color w:val="auto"/>
          <w:sz w:val="24"/>
          <w:highlight w:val="none"/>
        </w:rPr>
        <w:t>第一章  竞争性磋商公告</w:t>
      </w:r>
    </w:p>
    <w:p>
      <w:pPr>
        <w:spacing w:line="360" w:lineRule="auto"/>
        <w:ind w:firstLine="960"/>
        <w:rPr>
          <w:rFonts w:hint="eastAsia" w:ascii="宋体" w:hAnsi="宋体" w:eastAsia="宋体" w:cs="宋体"/>
          <w:color w:val="auto"/>
          <w:highlight w:val="none"/>
        </w:rPr>
      </w:pPr>
      <w:r>
        <w:rPr>
          <w:rFonts w:hint="eastAsia" w:ascii="宋体" w:hAnsi="宋体" w:eastAsia="宋体" w:cs="宋体"/>
          <w:color w:val="auto"/>
          <w:sz w:val="24"/>
          <w:highlight w:val="none"/>
        </w:rPr>
        <w:t>第二章  供应商须知</w:t>
      </w:r>
    </w:p>
    <w:p>
      <w:pPr>
        <w:spacing w:line="360" w:lineRule="auto"/>
        <w:ind w:firstLine="960"/>
        <w:rPr>
          <w:rFonts w:hint="eastAsia" w:ascii="宋体" w:hAnsi="宋体" w:eastAsia="宋体" w:cs="宋体"/>
          <w:color w:val="auto"/>
          <w:highlight w:val="none"/>
        </w:rPr>
      </w:pPr>
      <w:r>
        <w:rPr>
          <w:rFonts w:hint="eastAsia" w:ascii="宋体" w:hAnsi="宋体" w:eastAsia="宋体" w:cs="宋体"/>
          <w:color w:val="auto"/>
          <w:sz w:val="24"/>
          <w:highlight w:val="none"/>
        </w:rPr>
        <w:t>第三章  工程量清单</w:t>
      </w:r>
    </w:p>
    <w:p>
      <w:pPr>
        <w:tabs>
          <w:tab w:val="left" w:pos="1843"/>
        </w:tabs>
        <w:spacing w:line="360" w:lineRule="auto"/>
        <w:ind w:firstLine="960"/>
        <w:rPr>
          <w:rFonts w:hint="eastAsia" w:ascii="宋体" w:hAnsi="宋体" w:eastAsia="宋体" w:cs="宋体"/>
          <w:color w:val="auto"/>
          <w:highlight w:val="none"/>
        </w:rPr>
      </w:pPr>
      <w:r>
        <w:rPr>
          <w:rFonts w:hint="eastAsia" w:ascii="宋体" w:hAnsi="宋体" w:eastAsia="宋体" w:cs="宋体"/>
          <w:color w:val="auto"/>
          <w:sz w:val="24"/>
          <w:highlight w:val="none"/>
        </w:rPr>
        <w:t>第四章  图纸</w:t>
      </w:r>
    </w:p>
    <w:p>
      <w:pPr>
        <w:spacing w:line="360" w:lineRule="auto"/>
        <w:ind w:firstLine="960"/>
        <w:rPr>
          <w:rFonts w:hint="eastAsia" w:ascii="宋体" w:hAnsi="宋体" w:eastAsia="宋体" w:cs="宋体"/>
          <w:color w:val="auto"/>
          <w:highlight w:val="none"/>
        </w:rPr>
      </w:pPr>
      <w:r>
        <w:rPr>
          <w:rFonts w:hint="eastAsia" w:ascii="宋体" w:hAnsi="宋体" w:eastAsia="宋体" w:cs="宋体"/>
          <w:color w:val="auto"/>
          <w:sz w:val="24"/>
          <w:highlight w:val="none"/>
        </w:rPr>
        <w:t>第五章  合同条款及格式</w:t>
      </w:r>
    </w:p>
    <w:p>
      <w:pPr>
        <w:spacing w:line="360" w:lineRule="auto"/>
        <w:ind w:firstLine="960"/>
        <w:rPr>
          <w:rFonts w:hint="eastAsia" w:ascii="宋体" w:hAnsi="宋体" w:eastAsia="宋体" w:cs="宋体"/>
          <w:color w:val="auto"/>
          <w:highlight w:val="none"/>
        </w:rPr>
      </w:pPr>
      <w:r>
        <w:rPr>
          <w:rFonts w:hint="eastAsia" w:ascii="宋体" w:hAnsi="宋体" w:eastAsia="宋体" w:cs="宋体"/>
          <w:color w:val="auto"/>
          <w:sz w:val="24"/>
          <w:highlight w:val="none"/>
        </w:rPr>
        <w:t>第六章  响应文件内容及格式</w:t>
      </w:r>
    </w:p>
    <w:p>
      <w:pPr>
        <w:spacing w:line="360" w:lineRule="auto"/>
        <w:ind w:firstLine="482"/>
        <w:rPr>
          <w:rFonts w:hint="eastAsia" w:ascii="宋体" w:hAnsi="宋体" w:eastAsia="宋体" w:cs="宋体"/>
          <w:color w:val="auto"/>
          <w:highlight w:val="none"/>
        </w:rPr>
      </w:pPr>
      <w:r>
        <w:rPr>
          <w:rFonts w:hint="eastAsia" w:ascii="宋体" w:hAnsi="宋体" w:eastAsia="宋体" w:cs="宋体"/>
          <w:b/>
          <w:color w:val="auto"/>
          <w:sz w:val="24"/>
          <w:highlight w:val="none"/>
        </w:rPr>
        <w:t>注：请仔细检查竞争性磋商文件是否齐全，如有缺漏，请立即与采购代理联系解决。</w:t>
      </w:r>
    </w:p>
    <w:p>
      <w:pPr>
        <w:pStyle w:val="42"/>
        <w:snapToGrid w:val="0"/>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6.2 供应商应认真阅读磋商文件中所有的事项、格式、条款和技术规范等。供应商没有按照磋商文件要求提交全部资料，或者供应商没有对磋商文件在各方面都做出实质性响应是供应商的风险，并可能导致其响应文件被拒绝。</w:t>
      </w:r>
    </w:p>
    <w:p>
      <w:pPr>
        <w:pStyle w:val="42"/>
        <w:spacing w:line="360" w:lineRule="auto"/>
        <w:rPr>
          <w:rFonts w:hint="eastAsia" w:ascii="宋体" w:hAnsi="宋体" w:eastAsia="宋体" w:cs="宋体"/>
          <w:color w:val="auto"/>
          <w:highlight w:val="none"/>
        </w:rPr>
      </w:pPr>
      <w:r>
        <w:rPr>
          <w:rFonts w:hint="eastAsia" w:ascii="宋体" w:hAnsi="宋体" w:eastAsia="宋体" w:cs="宋体"/>
          <w:b/>
          <w:bCs/>
          <w:color w:val="auto"/>
          <w:sz w:val="24"/>
          <w:highlight w:val="none"/>
        </w:rPr>
        <w:t>7、竞争性磋商文件的澄清</w:t>
      </w:r>
    </w:p>
    <w:p>
      <w:pPr>
        <w:pStyle w:val="42"/>
        <w:snapToGrid w:val="0"/>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供应商在收到竞争性磋商文件后，若有疑问需要澄清，可以书面形式（包括信函、传真、电传，下同）在响应文件提交截止时间5日前（逾期不受理）通知采购代理机构，采购代理机构将以书面形式进行答复，同时采购代理机构有权将答复内容（包括所提问题，但不包括问题来源）分发给所有购买了本磋商文件的供应商。未对采购代理机构提出书面意见，即视为接受了本竞争性磋商文件中的所有条款和规定。</w:t>
      </w:r>
    </w:p>
    <w:p>
      <w:pPr>
        <w:pStyle w:val="42"/>
        <w:spacing w:line="360" w:lineRule="auto"/>
        <w:rPr>
          <w:rFonts w:hint="eastAsia" w:ascii="宋体" w:hAnsi="宋体" w:eastAsia="宋体" w:cs="宋体"/>
          <w:color w:val="auto"/>
          <w:highlight w:val="none"/>
        </w:rPr>
      </w:pPr>
      <w:r>
        <w:rPr>
          <w:rFonts w:hint="eastAsia" w:ascii="宋体" w:hAnsi="宋体" w:eastAsia="宋体" w:cs="宋体"/>
          <w:b/>
          <w:bCs/>
          <w:color w:val="auto"/>
          <w:sz w:val="24"/>
          <w:highlight w:val="none"/>
        </w:rPr>
        <w:t>8、竞争性磋商文件的修改</w:t>
      </w:r>
    </w:p>
    <w:p>
      <w:pPr>
        <w:pStyle w:val="42"/>
        <w:snapToGrid w:val="0"/>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8.l 在响应文件提交截止时间5天前，采购代理机构和采购人可主动或在解答供应商提出的澄清问题时对磋商文件进行修改。</w:t>
      </w:r>
    </w:p>
    <w:p>
      <w:pPr>
        <w:pStyle w:val="42"/>
        <w:snapToGrid w:val="0"/>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8.2 竞争性磋商文件的修改是竞争性磋商文件的组成部分，采购代理机构将以书面或网上公告的形式通知所有购买本竞争性磋商文件的供应商，并对供应商具有约束力。供应商在收到上述通知后，应立即以书面形式向采购代理机构和采购人确认。</w:t>
      </w:r>
    </w:p>
    <w:p>
      <w:pPr>
        <w:pStyle w:val="42"/>
        <w:snapToGrid w:val="0"/>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8.3 为使供应商准备响应文件时有充分的时间对磋商文件修改部分进行研究，采购代理机构和采购人可适当推迟响应文件提交截止时间。</w:t>
      </w:r>
    </w:p>
    <w:p>
      <w:pPr>
        <w:pStyle w:val="42"/>
        <w:snapToGrid w:val="0"/>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8.4 本</w:t>
      </w:r>
      <w:r>
        <w:rPr>
          <w:rFonts w:hint="eastAsia" w:ascii="宋体" w:hAnsi="宋体" w:eastAsia="宋体" w:cs="宋体"/>
          <w:bCs/>
          <w:color w:val="auto"/>
          <w:kern w:val="0"/>
          <w:sz w:val="24"/>
          <w:highlight w:val="none"/>
          <w:lang w:val="en-GB"/>
        </w:rPr>
        <w:t>竞争性磋商文件</w:t>
      </w:r>
      <w:r>
        <w:rPr>
          <w:rFonts w:hint="eastAsia" w:ascii="宋体" w:hAnsi="宋体" w:eastAsia="宋体" w:cs="宋体"/>
          <w:color w:val="auto"/>
          <w:sz w:val="24"/>
          <w:highlight w:val="none"/>
        </w:rPr>
        <w:t>的解释权属于采购代理机构和采购人。</w:t>
      </w:r>
    </w:p>
    <w:p>
      <w:pPr>
        <w:snapToGrid w:val="0"/>
        <w:spacing w:before="156" w:after="156" w:line="360" w:lineRule="auto"/>
        <w:rPr>
          <w:rFonts w:hint="eastAsia" w:ascii="宋体" w:hAnsi="宋体" w:eastAsia="宋体" w:cs="宋体"/>
          <w:color w:val="auto"/>
          <w:highlight w:val="none"/>
        </w:rPr>
      </w:pPr>
      <w:r>
        <w:rPr>
          <w:rFonts w:hint="eastAsia" w:ascii="宋体" w:hAnsi="宋体" w:eastAsia="宋体" w:cs="宋体"/>
          <w:b/>
          <w:color w:val="auto"/>
          <w:sz w:val="28"/>
          <w:szCs w:val="28"/>
          <w:highlight w:val="none"/>
        </w:rPr>
        <w:t>（三）竞争性磋商文件的编制和数量</w:t>
      </w:r>
    </w:p>
    <w:p>
      <w:pPr>
        <w:pStyle w:val="42"/>
        <w:spacing w:line="360" w:lineRule="auto"/>
        <w:rPr>
          <w:rFonts w:hint="eastAsia" w:ascii="宋体" w:hAnsi="宋体" w:eastAsia="宋体" w:cs="宋体"/>
          <w:color w:val="auto"/>
          <w:highlight w:val="none"/>
        </w:rPr>
      </w:pPr>
      <w:r>
        <w:rPr>
          <w:rFonts w:hint="eastAsia" w:ascii="宋体" w:hAnsi="宋体" w:eastAsia="宋体" w:cs="宋体"/>
          <w:b/>
          <w:bCs/>
          <w:color w:val="auto"/>
          <w:sz w:val="24"/>
          <w:highlight w:val="none"/>
        </w:rPr>
        <w:t>9、响应文件的语言</w:t>
      </w:r>
    </w:p>
    <w:p>
      <w:pPr>
        <w:pStyle w:val="42"/>
        <w:snapToGrid w:val="0"/>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供应商提交的响应文件以及供应商与采购代理机构和采购人就有关磋商的所有来往函电均应使用中文。供应商提交的支持文件和印刷的文献可以用另一种语言，但相应内容应附有中文翻译本，在解释响应文件时以翻译本为准。</w:t>
      </w:r>
    </w:p>
    <w:p>
      <w:pPr>
        <w:pStyle w:val="42"/>
        <w:spacing w:line="360" w:lineRule="auto"/>
        <w:rPr>
          <w:rFonts w:hint="eastAsia" w:ascii="宋体" w:hAnsi="宋体" w:eastAsia="宋体" w:cs="宋体"/>
          <w:color w:val="auto"/>
          <w:highlight w:val="none"/>
        </w:rPr>
      </w:pPr>
      <w:r>
        <w:rPr>
          <w:rFonts w:hint="eastAsia" w:ascii="宋体" w:hAnsi="宋体" w:eastAsia="宋体" w:cs="宋体"/>
          <w:b/>
          <w:bCs/>
          <w:color w:val="auto"/>
          <w:sz w:val="24"/>
          <w:highlight w:val="none"/>
        </w:rPr>
        <w:t>10、响应文件的构成</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10.1详见竞争性磋商文件“第五章 响应文件内容及格式”。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10.2采购人或采购代理机构对竞争性磋商文件澄清、修改的内容（如果有，投标单位在投标截止时间前递交响应文件后视为响应竞争性磋商文件以及采购人或采购代理机构对竞争性磋商文件澄清、修改的全部内容，如因供应商的原因未能实质性响应则造成的负面后果由供应商自行承担）。</w:t>
      </w:r>
    </w:p>
    <w:p>
      <w:pPr>
        <w:pStyle w:val="42"/>
        <w:snapToGrid w:val="0"/>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lang w:val="en-GB"/>
        </w:rPr>
        <w:t>11、响应文件编制</w:t>
      </w:r>
    </w:p>
    <w:p>
      <w:pPr>
        <w:spacing w:line="360" w:lineRule="auto"/>
        <w:ind w:firstLine="480"/>
        <w:rPr>
          <w:rFonts w:hint="eastAsia" w:ascii="宋体" w:hAnsi="宋体" w:eastAsia="宋体" w:cs="宋体"/>
          <w:color w:val="auto"/>
          <w:highlight w:val="none"/>
        </w:rPr>
      </w:pPr>
      <w:r>
        <w:rPr>
          <w:rFonts w:hint="eastAsia" w:ascii="宋体" w:hAnsi="宋体" w:eastAsia="宋体" w:cs="宋体"/>
          <w:bCs/>
          <w:color w:val="auto"/>
          <w:sz w:val="24"/>
          <w:highlight w:val="none"/>
          <w:lang w:val="en-GB"/>
        </w:rPr>
        <w:t>11.1</w:t>
      </w:r>
      <w:r>
        <w:rPr>
          <w:rFonts w:hint="eastAsia" w:ascii="宋体" w:hAnsi="宋体" w:eastAsia="宋体" w:cs="宋体"/>
          <w:bCs/>
          <w:color w:val="auto"/>
          <w:sz w:val="24"/>
          <w:highlight w:val="none"/>
        </w:rPr>
        <w:t xml:space="preserve"> </w:t>
      </w:r>
      <w:r>
        <w:rPr>
          <w:rFonts w:hint="eastAsia" w:ascii="宋体" w:hAnsi="宋体" w:eastAsia="宋体" w:cs="宋体"/>
          <w:bCs/>
          <w:color w:val="auto"/>
          <w:sz w:val="24"/>
          <w:highlight w:val="none"/>
          <w:lang w:val="en-GB"/>
        </w:rPr>
        <w:t>供应商应完整地填写磋商文件中规定的所有内容。</w:t>
      </w:r>
    </w:p>
    <w:p>
      <w:pPr>
        <w:pStyle w:val="42"/>
        <w:snapToGrid w:val="0"/>
        <w:spacing w:line="360" w:lineRule="auto"/>
        <w:ind w:firstLine="480"/>
        <w:rPr>
          <w:rFonts w:hint="eastAsia" w:ascii="宋体" w:hAnsi="宋体" w:eastAsia="宋体" w:cs="宋体"/>
          <w:color w:val="auto"/>
          <w:highlight w:val="none"/>
        </w:rPr>
      </w:pPr>
      <w:r>
        <w:rPr>
          <w:rFonts w:hint="eastAsia" w:ascii="宋体" w:hAnsi="宋体" w:eastAsia="宋体" w:cs="宋体"/>
          <w:bCs/>
          <w:color w:val="auto"/>
          <w:sz w:val="24"/>
          <w:highlight w:val="none"/>
          <w:lang w:val="en-GB"/>
        </w:rPr>
        <w:t>11.2</w:t>
      </w:r>
      <w:r>
        <w:rPr>
          <w:rFonts w:hint="eastAsia" w:ascii="宋体" w:hAnsi="宋体" w:eastAsia="宋体" w:cs="宋体"/>
          <w:bCs/>
          <w:color w:val="auto"/>
          <w:sz w:val="24"/>
          <w:highlight w:val="none"/>
        </w:rPr>
        <w:t xml:space="preserve"> </w:t>
      </w:r>
      <w:r>
        <w:rPr>
          <w:rFonts w:hint="eastAsia" w:ascii="宋体" w:hAnsi="宋体" w:eastAsia="宋体" w:cs="宋体"/>
          <w:bCs/>
          <w:color w:val="auto"/>
          <w:sz w:val="24"/>
          <w:highlight w:val="none"/>
          <w:lang w:val="en-GB"/>
        </w:rPr>
        <w:t>如果响应文件填报的内容不详或没有提供磋商文件中所要求的全部资料及数据，使磋商小组无法正常评审的，由此产生的结果由供应商承担。</w:t>
      </w:r>
    </w:p>
    <w:p>
      <w:pPr>
        <w:pStyle w:val="40"/>
        <w:spacing w:before="0" w:after="0" w:line="360" w:lineRule="auto"/>
        <w:ind w:firstLine="480"/>
        <w:jc w:val="both"/>
        <w:rPr>
          <w:rFonts w:hint="eastAsia" w:ascii="宋体" w:hAnsi="宋体" w:eastAsia="宋体" w:cs="宋体"/>
          <w:color w:val="auto"/>
          <w:highlight w:val="none"/>
        </w:rPr>
      </w:pPr>
      <w:r>
        <w:rPr>
          <w:rFonts w:hint="eastAsia" w:ascii="宋体" w:hAnsi="宋体" w:eastAsia="宋体" w:cs="宋体"/>
          <w:color w:val="auto"/>
          <w:spacing w:val="0"/>
          <w:kern w:val="2"/>
          <w:szCs w:val="24"/>
          <w:highlight w:val="none"/>
          <w:lang w:val="en-GB"/>
        </w:rPr>
        <w:t>11.3</w:t>
      </w:r>
      <w:r>
        <w:rPr>
          <w:rFonts w:hint="eastAsia" w:ascii="宋体" w:hAnsi="宋体" w:eastAsia="宋体" w:cs="宋体"/>
          <w:color w:val="auto"/>
          <w:spacing w:val="0"/>
          <w:kern w:val="2"/>
          <w:szCs w:val="24"/>
          <w:highlight w:val="none"/>
        </w:rPr>
        <w:t xml:space="preserve"> </w:t>
      </w:r>
      <w:r>
        <w:rPr>
          <w:rFonts w:hint="eastAsia" w:ascii="宋体" w:hAnsi="宋体" w:eastAsia="宋体" w:cs="宋体"/>
          <w:color w:val="auto"/>
          <w:spacing w:val="0"/>
          <w:kern w:val="2"/>
          <w:szCs w:val="24"/>
          <w:highlight w:val="none"/>
          <w:lang w:val="en-GB"/>
        </w:rPr>
        <w:t>响应文件外形尺寸应统一为A4纸规格，</w:t>
      </w:r>
      <w:r>
        <w:rPr>
          <w:rFonts w:hint="eastAsia" w:ascii="宋体" w:hAnsi="宋体" w:eastAsia="宋体" w:cs="宋体"/>
          <w:bCs w:val="0"/>
          <w:color w:val="auto"/>
          <w:spacing w:val="0"/>
          <w:szCs w:val="24"/>
          <w:highlight w:val="none"/>
          <w:lang w:val="en-GB"/>
        </w:rPr>
        <w:t>文件所使用的印章必须为企业公章，且与供应商名称完全一致，不能以其它业务章或附属机构印章代替。需签名之处必须由当事人亲笔签署。</w:t>
      </w:r>
    </w:p>
    <w:p>
      <w:pPr>
        <w:snapToGrid w:val="0"/>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lang w:val="en-GB"/>
        </w:rPr>
        <w:t>12、备选方案</w:t>
      </w:r>
    </w:p>
    <w:p>
      <w:pPr>
        <w:pStyle w:val="42"/>
        <w:snapToGrid w:val="0"/>
        <w:spacing w:line="360" w:lineRule="auto"/>
        <w:ind w:firstLine="480"/>
        <w:rPr>
          <w:rFonts w:hint="eastAsia" w:ascii="宋体" w:hAnsi="宋体" w:eastAsia="宋体" w:cs="宋体"/>
          <w:color w:val="auto"/>
          <w:highlight w:val="none"/>
        </w:rPr>
      </w:pPr>
      <w:r>
        <w:rPr>
          <w:rFonts w:hint="eastAsia" w:ascii="宋体" w:hAnsi="宋体" w:eastAsia="宋体" w:cs="宋体"/>
          <w:bCs/>
          <w:color w:val="auto"/>
          <w:sz w:val="24"/>
          <w:highlight w:val="none"/>
          <w:lang w:val="en-GB"/>
        </w:rPr>
        <w:t>本次竞争性磋商只允许供应商有一个响应方案，否则视其响应文件无效。</w:t>
      </w:r>
    </w:p>
    <w:p>
      <w:pPr>
        <w:snapToGrid w:val="0"/>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13、</w:t>
      </w:r>
      <w:r>
        <w:rPr>
          <w:rFonts w:hint="eastAsia" w:ascii="宋体" w:hAnsi="宋体" w:eastAsia="宋体" w:cs="宋体"/>
          <w:b/>
          <w:color w:val="auto"/>
          <w:sz w:val="24"/>
          <w:highlight w:val="none"/>
          <w:lang w:val="en-GB"/>
        </w:rPr>
        <w:t>磋商保证金的退还（本项目不适用）</w:t>
      </w:r>
    </w:p>
    <w:p>
      <w:pPr>
        <w:spacing w:line="360" w:lineRule="auto"/>
        <w:ind w:firstLine="480"/>
        <w:rPr>
          <w:rFonts w:hint="eastAsia" w:ascii="宋体" w:hAnsi="宋体" w:eastAsia="宋体" w:cs="宋体"/>
          <w:bCs/>
          <w:color w:val="auto"/>
          <w:sz w:val="24"/>
          <w:highlight w:val="none"/>
          <w:lang w:val="en-GB"/>
        </w:rPr>
      </w:pPr>
      <w:r>
        <w:rPr>
          <w:rFonts w:hint="eastAsia" w:ascii="宋体" w:hAnsi="宋体" w:eastAsia="宋体" w:cs="宋体"/>
          <w:bCs/>
          <w:color w:val="auto"/>
          <w:sz w:val="24"/>
          <w:highlight w:val="none"/>
          <w:lang w:val="en-GB"/>
        </w:rPr>
        <w:t>13.1磋商保证金金额：见供应商须知前附表。</w:t>
      </w:r>
    </w:p>
    <w:p>
      <w:pPr>
        <w:spacing w:line="360" w:lineRule="auto"/>
        <w:ind w:firstLine="480"/>
        <w:rPr>
          <w:rFonts w:hint="eastAsia" w:ascii="宋体" w:hAnsi="宋体" w:eastAsia="宋体" w:cs="宋体"/>
          <w:bCs/>
          <w:color w:val="auto"/>
          <w:sz w:val="24"/>
          <w:highlight w:val="none"/>
          <w:lang w:val="en-GB"/>
        </w:rPr>
      </w:pPr>
      <w:r>
        <w:rPr>
          <w:rFonts w:hint="eastAsia" w:ascii="宋体" w:hAnsi="宋体" w:eastAsia="宋体" w:cs="宋体"/>
          <w:bCs/>
          <w:color w:val="auto"/>
          <w:sz w:val="24"/>
          <w:highlight w:val="none"/>
          <w:lang w:val="en-GB"/>
        </w:rPr>
        <w:t>13.2磋商保证金缴纳时间：见供应商须知前附表。</w:t>
      </w:r>
    </w:p>
    <w:p>
      <w:pPr>
        <w:spacing w:line="360" w:lineRule="auto"/>
        <w:ind w:firstLine="480"/>
        <w:rPr>
          <w:rFonts w:hint="eastAsia" w:ascii="宋体" w:hAnsi="宋体" w:eastAsia="宋体" w:cs="宋体"/>
          <w:bCs/>
          <w:color w:val="auto"/>
          <w:sz w:val="24"/>
          <w:highlight w:val="none"/>
          <w:lang w:val="en-GB"/>
        </w:rPr>
      </w:pPr>
      <w:r>
        <w:rPr>
          <w:rFonts w:hint="eastAsia" w:ascii="宋体" w:hAnsi="宋体" w:eastAsia="宋体" w:cs="宋体"/>
          <w:bCs/>
          <w:color w:val="auto"/>
          <w:sz w:val="24"/>
          <w:highlight w:val="none"/>
          <w:lang w:val="en-GB"/>
        </w:rPr>
        <w:t>13.3磋商保证金缴纳方式：见供应商须知前附表。</w:t>
      </w:r>
    </w:p>
    <w:p>
      <w:pPr>
        <w:spacing w:line="360" w:lineRule="auto"/>
        <w:ind w:firstLine="480"/>
        <w:rPr>
          <w:rFonts w:hint="eastAsia" w:ascii="宋体" w:hAnsi="宋体" w:eastAsia="宋体" w:cs="宋体"/>
          <w:bCs/>
          <w:color w:val="auto"/>
          <w:sz w:val="24"/>
          <w:highlight w:val="none"/>
          <w:lang w:val="en-GB"/>
        </w:rPr>
      </w:pPr>
      <w:r>
        <w:rPr>
          <w:rFonts w:hint="eastAsia" w:ascii="宋体" w:hAnsi="宋体" w:eastAsia="宋体" w:cs="宋体"/>
          <w:bCs/>
          <w:color w:val="auto"/>
          <w:sz w:val="24"/>
          <w:highlight w:val="none"/>
          <w:lang w:val="en-GB"/>
        </w:rPr>
        <w:t>13.4供应商未按磋商文件要求提交磋商保证金的，报价无效。</w:t>
      </w:r>
    </w:p>
    <w:p>
      <w:pPr>
        <w:spacing w:line="360" w:lineRule="auto"/>
        <w:ind w:firstLine="480"/>
        <w:rPr>
          <w:rFonts w:hint="eastAsia" w:ascii="宋体" w:hAnsi="宋体" w:eastAsia="宋体" w:cs="宋体"/>
          <w:bCs/>
          <w:color w:val="auto"/>
          <w:sz w:val="24"/>
          <w:highlight w:val="none"/>
          <w:lang w:val="en-GB"/>
        </w:rPr>
      </w:pPr>
      <w:r>
        <w:rPr>
          <w:rFonts w:hint="eastAsia" w:ascii="宋体" w:hAnsi="宋体" w:eastAsia="宋体" w:cs="宋体"/>
          <w:bCs/>
          <w:color w:val="auto"/>
          <w:sz w:val="24"/>
          <w:highlight w:val="none"/>
          <w:lang w:val="en-GB"/>
        </w:rPr>
        <w:t>13.5未成交的供应商，磋商保证金将在成交通知书发出之日起5个工作日内，由采购代理机构在公司财务系统中操作退还磋商保证金。</w:t>
      </w:r>
    </w:p>
    <w:p>
      <w:pPr>
        <w:spacing w:line="360" w:lineRule="auto"/>
        <w:ind w:firstLine="480"/>
        <w:rPr>
          <w:rFonts w:hint="eastAsia" w:ascii="宋体" w:hAnsi="宋体" w:eastAsia="宋体" w:cs="宋体"/>
          <w:bCs/>
          <w:color w:val="auto"/>
          <w:sz w:val="24"/>
          <w:highlight w:val="none"/>
          <w:lang w:val="en-GB"/>
        </w:rPr>
      </w:pPr>
      <w:r>
        <w:rPr>
          <w:rFonts w:hint="eastAsia" w:ascii="宋体" w:hAnsi="宋体" w:eastAsia="宋体" w:cs="宋体"/>
          <w:bCs/>
          <w:color w:val="auto"/>
          <w:sz w:val="24"/>
          <w:highlight w:val="none"/>
          <w:lang w:val="en-GB"/>
        </w:rPr>
        <w:t>13.6成交的供应商，磋商保证金将在采购合同签署后5个工作日内，由采购代理机构在公司财务系统中操作退还磋商保证金。</w:t>
      </w:r>
    </w:p>
    <w:p>
      <w:pPr>
        <w:spacing w:line="360" w:lineRule="auto"/>
        <w:ind w:firstLine="480"/>
        <w:rPr>
          <w:rFonts w:hint="eastAsia" w:ascii="宋体" w:hAnsi="宋体" w:eastAsia="宋体" w:cs="宋体"/>
          <w:bCs/>
          <w:color w:val="auto"/>
          <w:sz w:val="24"/>
          <w:highlight w:val="none"/>
          <w:lang w:val="en-GB"/>
        </w:rPr>
      </w:pPr>
      <w:r>
        <w:rPr>
          <w:rFonts w:hint="eastAsia" w:ascii="宋体" w:hAnsi="宋体" w:eastAsia="宋体" w:cs="宋体"/>
          <w:bCs/>
          <w:color w:val="auto"/>
          <w:sz w:val="24"/>
          <w:highlight w:val="none"/>
          <w:lang w:val="en-GB"/>
        </w:rPr>
        <w:t>13.7发生下列情况之一，磋商保证金不予退还：</w:t>
      </w:r>
    </w:p>
    <w:p>
      <w:pPr>
        <w:spacing w:line="360" w:lineRule="auto"/>
        <w:ind w:firstLine="480"/>
        <w:rPr>
          <w:rFonts w:hint="eastAsia" w:ascii="宋体" w:hAnsi="宋体" w:eastAsia="宋体" w:cs="宋体"/>
          <w:bCs/>
          <w:color w:val="auto"/>
          <w:sz w:val="24"/>
          <w:highlight w:val="none"/>
          <w:lang w:val="en-GB"/>
        </w:rPr>
      </w:pPr>
      <w:r>
        <w:rPr>
          <w:rFonts w:hint="eastAsia" w:ascii="宋体" w:hAnsi="宋体" w:eastAsia="宋体" w:cs="宋体"/>
          <w:bCs/>
          <w:color w:val="auto"/>
          <w:sz w:val="24"/>
          <w:highlight w:val="none"/>
          <w:lang w:val="en-GB"/>
        </w:rPr>
        <w:t>13.7.1供应商在提交响应文件截止时间后撤回响应文件的；</w:t>
      </w:r>
    </w:p>
    <w:p>
      <w:pPr>
        <w:spacing w:line="360" w:lineRule="auto"/>
        <w:ind w:firstLine="480"/>
        <w:rPr>
          <w:rFonts w:hint="eastAsia" w:ascii="宋体" w:hAnsi="宋体" w:eastAsia="宋体" w:cs="宋体"/>
          <w:bCs/>
          <w:color w:val="auto"/>
          <w:sz w:val="24"/>
          <w:highlight w:val="none"/>
          <w:lang w:val="en-GB"/>
        </w:rPr>
      </w:pPr>
      <w:r>
        <w:rPr>
          <w:rFonts w:hint="eastAsia" w:ascii="宋体" w:hAnsi="宋体" w:eastAsia="宋体" w:cs="宋体"/>
          <w:bCs/>
          <w:color w:val="auto"/>
          <w:sz w:val="24"/>
          <w:highlight w:val="none"/>
          <w:lang w:val="en-GB"/>
        </w:rPr>
        <w:t>13.7.2供应商在响应文件中提供虚假材料的；</w:t>
      </w:r>
    </w:p>
    <w:p>
      <w:pPr>
        <w:spacing w:line="360" w:lineRule="auto"/>
        <w:ind w:firstLine="480"/>
        <w:rPr>
          <w:rFonts w:hint="eastAsia" w:ascii="宋体" w:hAnsi="宋体" w:eastAsia="宋体" w:cs="宋体"/>
          <w:bCs/>
          <w:color w:val="auto"/>
          <w:sz w:val="24"/>
          <w:highlight w:val="none"/>
          <w:lang w:val="en-GB"/>
        </w:rPr>
      </w:pPr>
      <w:r>
        <w:rPr>
          <w:rFonts w:hint="eastAsia" w:ascii="宋体" w:hAnsi="宋体" w:eastAsia="宋体" w:cs="宋体"/>
          <w:bCs/>
          <w:color w:val="auto"/>
          <w:sz w:val="24"/>
          <w:highlight w:val="none"/>
          <w:lang w:val="en-GB"/>
        </w:rPr>
        <w:t>13.7.3除因不可抗力或磋商文件认可的情形以外，成交供应商不与采购人签订合同的；</w:t>
      </w:r>
    </w:p>
    <w:p>
      <w:pPr>
        <w:spacing w:line="360" w:lineRule="auto"/>
        <w:ind w:firstLine="480"/>
        <w:rPr>
          <w:rFonts w:hint="eastAsia" w:ascii="宋体" w:hAnsi="宋体" w:eastAsia="宋体" w:cs="宋体"/>
          <w:bCs/>
          <w:color w:val="auto"/>
          <w:sz w:val="24"/>
          <w:highlight w:val="none"/>
          <w:lang w:val="en-GB"/>
        </w:rPr>
      </w:pPr>
      <w:r>
        <w:rPr>
          <w:rFonts w:hint="eastAsia" w:ascii="宋体" w:hAnsi="宋体" w:eastAsia="宋体" w:cs="宋体"/>
          <w:bCs/>
          <w:color w:val="auto"/>
          <w:sz w:val="24"/>
          <w:highlight w:val="none"/>
          <w:lang w:val="en-GB"/>
        </w:rPr>
        <w:t>13.7.4供应商与采购人、其他供应商或者采购代理机构恶意串通的；</w:t>
      </w:r>
    </w:p>
    <w:p>
      <w:pPr>
        <w:spacing w:line="360" w:lineRule="auto"/>
        <w:ind w:firstLine="480"/>
        <w:rPr>
          <w:rFonts w:hint="eastAsia" w:ascii="宋体" w:hAnsi="宋体" w:eastAsia="宋体" w:cs="宋体"/>
          <w:bCs/>
          <w:color w:val="auto"/>
          <w:sz w:val="24"/>
          <w:highlight w:val="none"/>
          <w:lang w:val="en-GB"/>
        </w:rPr>
      </w:pPr>
      <w:r>
        <w:rPr>
          <w:rFonts w:hint="eastAsia" w:ascii="宋体" w:hAnsi="宋体" w:eastAsia="宋体" w:cs="宋体"/>
          <w:bCs/>
          <w:color w:val="auto"/>
          <w:sz w:val="24"/>
          <w:highlight w:val="none"/>
          <w:lang w:val="en-GB"/>
        </w:rPr>
        <w:t>13.7.5供应商提交磋商保证金后，至提交响应文件截止时间未参加磋商，且未在提交响应文件截止时间前书面通知采购代理机构声明放弃磋商的；</w:t>
      </w:r>
    </w:p>
    <w:p>
      <w:pPr>
        <w:spacing w:line="360" w:lineRule="auto"/>
        <w:ind w:firstLine="480"/>
        <w:rPr>
          <w:rFonts w:hint="eastAsia" w:ascii="宋体" w:hAnsi="宋体" w:eastAsia="宋体" w:cs="宋体"/>
          <w:bCs/>
          <w:color w:val="auto"/>
          <w:sz w:val="24"/>
          <w:highlight w:val="none"/>
          <w:lang w:val="en-GB"/>
        </w:rPr>
      </w:pPr>
      <w:r>
        <w:rPr>
          <w:rFonts w:hint="eastAsia" w:ascii="宋体" w:hAnsi="宋体" w:eastAsia="宋体" w:cs="宋体"/>
          <w:bCs/>
          <w:color w:val="auto"/>
          <w:sz w:val="24"/>
          <w:highlight w:val="none"/>
          <w:lang w:val="en-GB"/>
        </w:rPr>
        <w:t>13.7.6成交供应商不在规定期限内与采购人签订合同的；</w:t>
      </w:r>
    </w:p>
    <w:p>
      <w:pPr>
        <w:spacing w:line="360" w:lineRule="auto"/>
        <w:ind w:firstLine="480"/>
        <w:rPr>
          <w:rFonts w:hint="eastAsia" w:ascii="宋体" w:hAnsi="宋体" w:eastAsia="宋体" w:cs="宋体"/>
          <w:bCs/>
          <w:color w:val="auto"/>
          <w:sz w:val="24"/>
          <w:highlight w:val="none"/>
          <w:lang w:val="en-GB"/>
        </w:rPr>
      </w:pPr>
      <w:r>
        <w:rPr>
          <w:rFonts w:hint="eastAsia" w:ascii="宋体" w:hAnsi="宋体" w:eastAsia="宋体" w:cs="宋体"/>
          <w:bCs/>
          <w:color w:val="auto"/>
          <w:sz w:val="24"/>
          <w:highlight w:val="none"/>
          <w:lang w:val="en-GB"/>
        </w:rPr>
        <w:t>13.7.7供应商在本次磋商过程中出现违反法律法规的行为、扰乱磋商、评审秩序的行为或恶意利用规则谋求不法利益的行为。</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14、投标报价</w:t>
      </w:r>
      <w:r>
        <w:rPr>
          <w:rFonts w:hint="eastAsia" w:ascii="宋体" w:hAnsi="宋体" w:eastAsia="宋体" w:cs="宋体"/>
          <w:color w:val="auto"/>
          <w:highlight w:val="none"/>
        </w:rPr>
        <w:br w:type="textWrapping"/>
      </w:r>
      <w:r>
        <w:rPr>
          <w:rFonts w:hint="eastAsia" w:ascii="宋体" w:hAnsi="宋体" w:eastAsia="宋体" w:cs="宋体"/>
          <w:color w:val="auto"/>
          <w:sz w:val="22"/>
          <w:highlight w:val="none"/>
        </w:rPr>
        <w:t xml:space="preserve">    </w:t>
      </w:r>
      <w:r>
        <w:rPr>
          <w:rFonts w:hint="eastAsia" w:ascii="宋体" w:hAnsi="宋体" w:eastAsia="宋体" w:cs="宋体"/>
          <w:bCs/>
          <w:color w:val="auto"/>
          <w:sz w:val="24"/>
          <w:highlight w:val="none"/>
          <w:lang w:val="en-GB"/>
        </w:rPr>
        <w:t xml:space="preserve"> 14.1供应商应按附件“工程量清单”的要求填写相应表格。</w:t>
      </w:r>
      <w:r>
        <w:rPr>
          <w:rFonts w:hint="eastAsia" w:ascii="宋体" w:hAnsi="宋体" w:eastAsia="宋体" w:cs="宋体"/>
          <w:bCs/>
          <w:color w:val="auto"/>
          <w:sz w:val="24"/>
          <w:highlight w:val="none"/>
          <w:lang w:val="en-GB"/>
        </w:rPr>
        <w:br w:type="textWrapping"/>
      </w:r>
      <w:r>
        <w:rPr>
          <w:rFonts w:hint="eastAsia" w:ascii="宋体" w:hAnsi="宋体" w:eastAsia="宋体" w:cs="宋体"/>
          <w:bCs/>
          <w:color w:val="auto"/>
          <w:sz w:val="24"/>
          <w:highlight w:val="none"/>
          <w:lang w:val="en-GB"/>
        </w:rPr>
        <w:t xml:space="preserve">     14.2供应商在投标截止时间前修改投标函中的投标总报价，应同时修改 “已标价工程量清单”中的相应报价。</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15、 投标有效期</w:t>
      </w:r>
      <w:r>
        <w:rPr>
          <w:rFonts w:hint="eastAsia" w:ascii="宋体" w:hAnsi="宋体" w:eastAsia="宋体" w:cs="宋体"/>
          <w:color w:val="auto"/>
          <w:highlight w:val="none"/>
        </w:rPr>
        <w:br w:type="textWrapping"/>
      </w:r>
      <w:r>
        <w:rPr>
          <w:rFonts w:hint="eastAsia" w:ascii="宋体" w:hAnsi="宋体" w:eastAsia="宋体" w:cs="宋体"/>
          <w:color w:val="auto"/>
          <w:sz w:val="22"/>
          <w:highlight w:val="none"/>
        </w:rPr>
        <w:t xml:space="preserve">   </w:t>
      </w:r>
      <w:r>
        <w:rPr>
          <w:rFonts w:hint="eastAsia" w:ascii="宋体" w:hAnsi="宋体" w:eastAsia="宋体" w:cs="宋体"/>
          <w:bCs/>
          <w:color w:val="auto"/>
          <w:sz w:val="24"/>
          <w:highlight w:val="none"/>
          <w:lang w:val="en-GB"/>
        </w:rPr>
        <w:t xml:space="preserve">  15、1在供应商须知前附表规定的投标有效期内，供应商不得要求撤销或修改其响应文件。</w:t>
      </w:r>
      <w:r>
        <w:rPr>
          <w:rFonts w:hint="eastAsia" w:ascii="宋体" w:hAnsi="宋体" w:eastAsia="宋体" w:cs="宋体"/>
          <w:bCs/>
          <w:color w:val="auto"/>
          <w:sz w:val="24"/>
          <w:highlight w:val="none"/>
          <w:lang w:val="en-GB"/>
        </w:rPr>
        <w:br w:type="textWrapping"/>
      </w:r>
      <w:r>
        <w:rPr>
          <w:rFonts w:hint="eastAsia" w:ascii="宋体" w:hAnsi="宋体" w:eastAsia="宋体" w:cs="宋体"/>
          <w:bCs/>
          <w:color w:val="auto"/>
          <w:sz w:val="24"/>
          <w:highlight w:val="none"/>
          <w:lang w:val="en-GB"/>
        </w:rPr>
        <w:t xml:space="preserve">    15、2出现特殊情况需要延长投标有效期的，采购人以书面形式通知所有供应商延长投标有效期。供应商同意延长的，不得要求或被允许修改或撤销其响应文件；供应商拒绝延长的，其投标失效。</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8"/>
          <w:szCs w:val="28"/>
          <w:highlight w:val="none"/>
        </w:rPr>
        <w:t>（四）响应文件的递交</w:t>
      </w:r>
    </w:p>
    <w:p>
      <w:pPr>
        <w:spacing w:line="360" w:lineRule="auto"/>
        <w:rPr>
          <w:rFonts w:hint="eastAsia" w:ascii="宋体" w:hAnsi="宋体" w:eastAsia="宋体" w:cs="宋体"/>
          <w:color w:val="auto"/>
          <w:highlight w:val="none"/>
        </w:rPr>
      </w:pPr>
      <w:r>
        <w:rPr>
          <w:rFonts w:hint="eastAsia" w:ascii="宋体" w:hAnsi="宋体" w:eastAsia="宋体" w:cs="宋体"/>
          <w:b/>
          <w:bCs/>
          <w:color w:val="auto"/>
          <w:sz w:val="24"/>
          <w:highlight w:val="none"/>
          <w:lang w:val="en-GB"/>
        </w:rPr>
        <w:t>16、响应文件由供应商的法定代表人或其授权代表（以下统称磋商申请人代表）递交，并出示本人有效身份证（或港澳台通行证、护照，下同）的原件，和授权书原件（装订在响应文件内也可），以证明授权代表的身份和被授权范围，并由采购人验证确认。</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17、响应文件提交截止时间</w:t>
      </w:r>
    </w:p>
    <w:p>
      <w:pPr>
        <w:spacing w:line="360" w:lineRule="auto"/>
        <w:ind w:firstLine="480"/>
        <w:rPr>
          <w:rFonts w:hint="eastAsia" w:ascii="宋体" w:hAnsi="宋体" w:eastAsia="宋体" w:cs="宋体"/>
          <w:color w:val="auto"/>
          <w:highlight w:val="none"/>
        </w:rPr>
      </w:pPr>
      <w:r>
        <w:rPr>
          <w:rFonts w:hint="eastAsia" w:ascii="宋体" w:hAnsi="宋体" w:eastAsia="宋体" w:cs="宋体"/>
          <w:bCs/>
          <w:color w:val="auto"/>
          <w:sz w:val="24"/>
          <w:highlight w:val="none"/>
          <w:lang w:val="en-GB"/>
        </w:rPr>
        <w:t>1</w:t>
      </w:r>
      <w:r>
        <w:rPr>
          <w:rFonts w:hint="eastAsia" w:ascii="宋体" w:hAnsi="宋体" w:eastAsia="宋体" w:cs="宋体"/>
          <w:bCs/>
          <w:color w:val="auto"/>
          <w:sz w:val="24"/>
          <w:highlight w:val="none"/>
        </w:rPr>
        <w:t>7</w:t>
      </w:r>
      <w:r>
        <w:rPr>
          <w:rFonts w:hint="eastAsia" w:ascii="宋体" w:hAnsi="宋体" w:eastAsia="宋体" w:cs="宋体"/>
          <w:bCs/>
          <w:color w:val="auto"/>
          <w:sz w:val="24"/>
          <w:highlight w:val="none"/>
          <w:lang w:val="en-GB"/>
        </w:rPr>
        <w:t>、l 供应商须在响应文件提交截止时间前将响应文件送达采购代理机构规定的地点。</w:t>
      </w:r>
    </w:p>
    <w:p>
      <w:pPr>
        <w:spacing w:line="360" w:lineRule="auto"/>
        <w:ind w:firstLine="480"/>
        <w:rPr>
          <w:rFonts w:hint="eastAsia" w:ascii="宋体" w:hAnsi="宋体" w:eastAsia="宋体" w:cs="宋体"/>
          <w:color w:val="auto"/>
          <w:highlight w:val="none"/>
        </w:rPr>
      </w:pPr>
      <w:r>
        <w:rPr>
          <w:rFonts w:hint="eastAsia" w:ascii="宋体" w:hAnsi="宋体" w:eastAsia="宋体" w:cs="宋体"/>
          <w:bCs/>
          <w:color w:val="auto"/>
          <w:sz w:val="24"/>
          <w:highlight w:val="none"/>
          <w:lang w:val="en-GB"/>
        </w:rPr>
        <w:t>1</w:t>
      </w:r>
      <w:r>
        <w:rPr>
          <w:rFonts w:hint="eastAsia" w:ascii="宋体" w:hAnsi="宋体" w:eastAsia="宋体" w:cs="宋体"/>
          <w:bCs/>
          <w:color w:val="auto"/>
          <w:sz w:val="24"/>
          <w:highlight w:val="none"/>
        </w:rPr>
        <w:t>7</w:t>
      </w:r>
      <w:r>
        <w:rPr>
          <w:rFonts w:hint="eastAsia" w:ascii="宋体" w:hAnsi="宋体" w:eastAsia="宋体" w:cs="宋体"/>
          <w:bCs/>
          <w:color w:val="auto"/>
          <w:sz w:val="24"/>
          <w:highlight w:val="none"/>
          <w:lang w:val="en-GB"/>
        </w:rPr>
        <w:t>、</w:t>
      </w:r>
      <w:r>
        <w:rPr>
          <w:rFonts w:hint="eastAsia" w:ascii="宋体" w:hAnsi="宋体" w:eastAsia="宋体" w:cs="宋体"/>
          <w:bCs/>
          <w:color w:val="auto"/>
          <w:sz w:val="24"/>
          <w:highlight w:val="none"/>
        </w:rPr>
        <w:t>2</w:t>
      </w:r>
      <w:r>
        <w:rPr>
          <w:rFonts w:hint="eastAsia" w:ascii="宋体" w:hAnsi="宋体" w:eastAsia="宋体" w:cs="宋体"/>
          <w:bCs/>
          <w:color w:val="auto"/>
          <w:sz w:val="24"/>
          <w:highlight w:val="none"/>
          <w:lang w:val="en-GB"/>
        </w:rPr>
        <w:t xml:space="preserve"> 若采购代理机构推迟了响应文件提交截止时间，应以公告的形式通知所有供应商。在这种情况下，采购代理机构、采购人和供应商的权利和义务均应以新的响应文件提交截止时间为准。</w:t>
      </w:r>
    </w:p>
    <w:p>
      <w:pPr>
        <w:spacing w:line="360" w:lineRule="auto"/>
        <w:ind w:firstLine="480"/>
        <w:rPr>
          <w:rFonts w:hint="eastAsia" w:ascii="宋体" w:hAnsi="宋体" w:eastAsia="宋体" w:cs="宋体"/>
          <w:color w:val="auto"/>
          <w:highlight w:val="none"/>
        </w:rPr>
      </w:pPr>
      <w:r>
        <w:rPr>
          <w:rFonts w:hint="eastAsia" w:ascii="宋体" w:hAnsi="宋体" w:eastAsia="宋体" w:cs="宋体"/>
          <w:bCs/>
          <w:color w:val="auto"/>
          <w:sz w:val="24"/>
          <w:highlight w:val="none"/>
          <w:lang w:val="en-GB"/>
        </w:rPr>
        <w:t>1</w:t>
      </w:r>
      <w:r>
        <w:rPr>
          <w:rFonts w:hint="eastAsia" w:ascii="宋体" w:hAnsi="宋体" w:eastAsia="宋体" w:cs="宋体"/>
          <w:bCs/>
          <w:color w:val="auto"/>
          <w:sz w:val="24"/>
          <w:highlight w:val="none"/>
        </w:rPr>
        <w:t>7</w:t>
      </w:r>
      <w:r>
        <w:rPr>
          <w:rFonts w:hint="eastAsia" w:ascii="宋体" w:hAnsi="宋体" w:eastAsia="宋体" w:cs="宋体"/>
          <w:bCs/>
          <w:color w:val="auto"/>
          <w:sz w:val="24"/>
          <w:highlight w:val="none"/>
          <w:lang w:val="en-GB"/>
        </w:rPr>
        <w:t>、</w:t>
      </w:r>
      <w:r>
        <w:rPr>
          <w:rFonts w:hint="eastAsia" w:ascii="宋体" w:hAnsi="宋体" w:eastAsia="宋体" w:cs="宋体"/>
          <w:bCs/>
          <w:color w:val="auto"/>
          <w:sz w:val="24"/>
          <w:highlight w:val="none"/>
        </w:rPr>
        <w:t>3</w:t>
      </w:r>
      <w:r>
        <w:rPr>
          <w:rFonts w:hint="eastAsia" w:ascii="宋体" w:hAnsi="宋体" w:eastAsia="宋体" w:cs="宋体"/>
          <w:bCs/>
          <w:color w:val="auto"/>
          <w:sz w:val="24"/>
          <w:highlight w:val="none"/>
          <w:lang w:val="en-GB"/>
        </w:rPr>
        <w:t xml:space="preserve"> 在响应文件提交截止时间后递交的响应文件，采购代理机构将拒绝接收。</w:t>
      </w:r>
    </w:p>
    <w:p>
      <w:pPr>
        <w:spacing w:before="156" w:after="156" w:line="360" w:lineRule="auto"/>
        <w:rPr>
          <w:rFonts w:hint="eastAsia" w:ascii="宋体" w:hAnsi="宋体" w:eastAsia="宋体" w:cs="宋体"/>
          <w:color w:val="auto"/>
          <w:highlight w:val="none"/>
        </w:rPr>
      </w:pPr>
      <w:r>
        <w:rPr>
          <w:rFonts w:hint="eastAsia" w:ascii="宋体" w:hAnsi="宋体" w:eastAsia="宋体" w:cs="宋体"/>
          <w:b/>
          <w:color w:val="auto"/>
          <w:sz w:val="28"/>
          <w:szCs w:val="28"/>
          <w:highlight w:val="none"/>
          <w:lang w:val="en-GB"/>
        </w:rPr>
        <w:t>（五）开标</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18、开标</w:t>
      </w:r>
    </w:p>
    <w:p>
      <w:pPr>
        <w:spacing w:line="360" w:lineRule="auto"/>
        <w:ind w:firstLine="480"/>
        <w:rPr>
          <w:rFonts w:hint="eastAsia" w:ascii="宋体" w:hAnsi="宋体" w:eastAsia="宋体" w:cs="宋体"/>
          <w:color w:val="auto"/>
          <w:highlight w:val="none"/>
        </w:rPr>
      </w:pPr>
      <w:r>
        <w:rPr>
          <w:rFonts w:hint="eastAsia" w:ascii="宋体" w:hAnsi="宋体" w:eastAsia="宋体" w:cs="宋体"/>
          <w:bCs/>
          <w:color w:val="auto"/>
          <w:sz w:val="24"/>
          <w:highlight w:val="none"/>
          <w:lang w:val="en-GB"/>
        </w:rPr>
        <w:t>1</w:t>
      </w:r>
      <w:r>
        <w:rPr>
          <w:rFonts w:hint="eastAsia" w:ascii="宋体" w:hAnsi="宋体" w:eastAsia="宋体" w:cs="宋体"/>
          <w:bCs/>
          <w:color w:val="auto"/>
          <w:sz w:val="24"/>
          <w:highlight w:val="none"/>
        </w:rPr>
        <w:t>8</w:t>
      </w:r>
      <w:r>
        <w:rPr>
          <w:rFonts w:hint="eastAsia" w:ascii="宋体" w:hAnsi="宋体" w:eastAsia="宋体" w:cs="宋体"/>
          <w:bCs/>
          <w:color w:val="auto"/>
          <w:sz w:val="24"/>
          <w:highlight w:val="none"/>
          <w:lang w:val="en-GB"/>
        </w:rPr>
        <w:t>.l 采购代理机构按“竞争性磋商公告”中规定的时间和地点组织开标，采购人代表、采购代理机构有关工作人员参加。供应商应委派授权代表参加开标活动，参加开标的代表须持本人身份证件签名报到以证明其出席。未派授权代表或不能证明其授权代表身份的，采购代理机构对响应文件的处理不承担责任。</w:t>
      </w:r>
    </w:p>
    <w:p>
      <w:pPr>
        <w:spacing w:line="360" w:lineRule="auto"/>
        <w:ind w:firstLine="480"/>
        <w:rPr>
          <w:rFonts w:hint="eastAsia" w:ascii="宋体" w:hAnsi="宋体" w:eastAsia="宋体" w:cs="宋体"/>
          <w:color w:val="auto"/>
          <w:highlight w:val="none"/>
        </w:rPr>
      </w:pPr>
      <w:r>
        <w:rPr>
          <w:rFonts w:hint="eastAsia" w:ascii="宋体" w:hAnsi="宋体" w:eastAsia="宋体" w:cs="宋体"/>
          <w:bCs/>
          <w:color w:val="auto"/>
          <w:sz w:val="24"/>
          <w:highlight w:val="none"/>
          <w:lang w:val="en-GB"/>
        </w:rPr>
        <w:t>1</w:t>
      </w:r>
      <w:r>
        <w:rPr>
          <w:rFonts w:hint="eastAsia" w:ascii="宋体" w:hAnsi="宋体" w:eastAsia="宋体" w:cs="宋体"/>
          <w:bCs/>
          <w:color w:val="auto"/>
          <w:sz w:val="24"/>
          <w:highlight w:val="none"/>
        </w:rPr>
        <w:t>8</w:t>
      </w:r>
      <w:r>
        <w:rPr>
          <w:rFonts w:hint="eastAsia" w:ascii="宋体" w:hAnsi="宋体" w:eastAsia="宋体" w:cs="宋体"/>
          <w:bCs/>
          <w:color w:val="auto"/>
          <w:sz w:val="24"/>
          <w:highlight w:val="none"/>
          <w:lang w:val="en-GB"/>
        </w:rPr>
        <w:t>.2</w:t>
      </w:r>
      <w:r>
        <w:rPr>
          <w:rFonts w:hint="eastAsia" w:ascii="宋体" w:hAnsi="宋体" w:eastAsia="宋体" w:cs="宋体"/>
          <w:bCs/>
          <w:color w:val="auto"/>
          <w:sz w:val="24"/>
          <w:highlight w:val="none"/>
        </w:rPr>
        <w:t xml:space="preserve"> </w:t>
      </w:r>
      <w:r>
        <w:rPr>
          <w:rFonts w:hint="eastAsia" w:ascii="宋体" w:hAnsi="宋体" w:eastAsia="宋体" w:cs="宋体"/>
          <w:bCs/>
          <w:color w:val="auto"/>
          <w:sz w:val="24"/>
          <w:highlight w:val="none"/>
          <w:lang w:val="en-GB"/>
        </w:rPr>
        <w:t>政府采购主管部门、监督部门、国家公证机关公证员由其视情况决定是否派代表到现场进行监督。</w:t>
      </w:r>
    </w:p>
    <w:p>
      <w:pPr>
        <w:spacing w:line="360" w:lineRule="auto"/>
        <w:ind w:firstLine="480"/>
        <w:rPr>
          <w:rFonts w:hint="eastAsia" w:ascii="宋体" w:hAnsi="宋体" w:eastAsia="宋体" w:cs="宋体"/>
          <w:color w:val="auto"/>
          <w:highlight w:val="none"/>
        </w:rPr>
      </w:pPr>
      <w:r>
        <w:rPr>
          <w:rFonts w:hint="eastAsia" w:ascii="宋体" w:hAnsi="宋体" w:eastAsia="宋体" w:cs="宋体"/>
          <w:bCs/>
          <w:color w:val="auto"/>
          <w:sz w:val="24"/>
          <w:highlight w:val="none"/>
          <w:lang w:val="en-GB"/>
        </w:rPr>
        <w:t>1</w:t>
      </w:r>
      <w:r>
        <w:rPr>
          <w:rFonts w:hint="eastAsia" w:ascii="宋体" w:hAnsi="宋体" w:eastAsia="宋体" w:cs="宋体"/>
          <w:bCs/>
          <w:color w:val="auto"/>
          <w:sz w:val="24"/>
          <w:highlight w:val="none"/>
        </w:rPr>
        <w:t>8</w:t>
      </w:r>
      <w:r>
        <w:rPr>
          <w:rFonts w:hint="eastAsia" w:ascii="宋体" w:hAnsi="宋体" w:eastAsia="宋体" w:cs="宋体"/>
          <w:bCs/>
          <w:color w:val="auto"/>
          <w:sz w:val="24"/>
          <w:highlight w:val="none"/>
          <w:lang w:val="en-GB"/>
        </w:rPr>
        <w:t>.3 开标时，供应商授权代表将查验响应文件的密封情况，确认无误后拆封，采购代理机构公布认为合适的其他内容，采购代理机构将作开标记录。</w:t>
      </w:r>
    </w:p>
    <w:p>
      <w:pPr>
        <w:spacing w:line="360" w:lineRule="auto"/>
        <w:ind w:firstLine="480"/>
        <w:rPr>
          <w:rFonts w:hint="eastAsia" w:ascii="宋体" w:hAnsi="宋体" w:eastAsia="宋体" w:cs="宋体"/>
          <w:color w:val="auto"/>
          <w:highlight w:val="none"/>
        </w:rPr>
      </w:pPr>
      <w:r>
        <w:rPr>
          <w:rFonts w:hint="eastAsia" w:ascii="宋体" w:hAnsi="宋体" w:eastAsia="宋体" w:cs="宋体"/>
          <w:bCs/>
          <w:color w:val="auto"/>
          <w:sz w:val="24"/>
          <w:highlight w:val="none"/>
          <w:lang w:val="en-GB"/>
        </w:rPr>
        <w:t>1</w:t>
      </w:r>
      <w:r>
        <w:rPr>
          <w:rFonts w:hint="eastAsia" w:ascii="宋体" w:hAnsi="宋体" w:eastAsia="宋体" w:cs="宋体"/>
          <w:bCs/>
          <w:color w:val="auto"/>
          <w:sz w:val="24"/>
          <w:highlight w:val="none"/>
        </w:rPr>
        <w:t>8</w:t>
      </w:r>
      <w:r>
        <w:rPr>
          <w:rFonts w:hint="eastAsia" w:ascii="宋体" w:hAnsi="宋体" w:eastAsia="宋体" w:cs="宋体"/>
          <w:bCs/>
          <w:color w:val="auto"/>
          <w:sz w:val="24"/>
          <w:highlight w:val="none"/>
          <w:lang w:val="en-GB"/>
        </w:rPr>
        <w:t>.4 若响应文件未密封或未按照竞争性磋商文件要求密封标记的，采购代理机构将拒绝接收该供应商的响应文件。</w:t>
      </w:r>
    </w:p>
    <w:p>
      <w:pPr>
        <w:spacing w:line="360" w:lineRule="auto"/>
        <w:ind w:firstLine="480"/>
        <w:jc w:val="left"/>
        <w:rPr>
          <w:rFonts w:hint="eastAsia" w:ascii="宋体" w:hAnsi="宋体" w:eastAsia="宋体" w:cs="宋体"/>
          <w:color w:val="auto"/>
          <w:highlight w:val="none"/>
        </w:rPr>
      </w:pPr>
      <w:r>
        <w:rPr>
          <w:rFonts w:hint="eastAsia" w:ascii="宋体" w:hAnsi="宋体" w:eastAsia="宋体" w:cs="宋体"/>
          <w:bCs/>
          <w:color w:val="auto"/>
          <w:sz w:val="24"/>
          <w:highlight w:val="none"/>
        </w:rPr>
        <w:t>18.5</w:t>
      </w:r>
      <w:r>
        <w:rPr>
          <w:rFonts w:hint="eastAsia" w:ascii="宋体" w:hAnsi="宋体" w:eastAsia="宋体" w:cs="宋体"/>
          <w:color w:val="auto"/>
          <w:sz w:val="24"/>
          <w:highlight w:val="none"/>
        </w:rPr>
        <w:t xml:space="preserve"> </w:t>
      </w:r>
      <w:r>
        <w:rPr>
          <w:rFonts w:hint="eastAsia" w:ascii="宋体" w:hAnsi="宋体" w:eastAsia="宋体" w:cs="宋体"/>
          <w:bCs/>
          <w:color w:val="auto"/>
          <w:sz w:val="24"/>
          <w:highlight w:val="none"/>
        </w:rPr>
        <w:t>根据财库〔2015〕124号《财政部关于政府采购竞争性磋商采购方式管理暂行办法有关问题的补充通知</w:t>
      </w:r>
      <w:r>
        <w:rPr>
          <w:rFonts w:hint="eastAsia" w:ascii="宋体" w:hAnsi="宋体" w:eastAsia="宋体" w:cs="宋体"/>
          <w:color w:val="auto"/>
          <w:sz w:val="24"/>
          <w:highlight w:val="none"/>
        </w:rPr>
        <w:t>》在采购过程中符合要求的供应商（社会资本）只有2家的，竞争性磋商采购活动可以继续进行。</w:t>
      </w:r>
    </w:p>
    <w:p>
      <w:pPr>
        <w:snapToGrid w:val="0"/>
        <w:spacing w:before="156" w:after="156" w:line="360" w:lineRule="auto"/>
        <w:rPr>
          <w:rFonts w:hint="eastAsia" w:ascii="宋体" w:hAnsi="宋体" w:eastAsia="宋体" w:cs="宋体"/>
          <w:color w:val="auto"/>
          <w:highlight w:val="none"/>
        </w:rPr>
      </w:pPr>
      <w:r>
        <w:rPr>
          <w:rFonts w:hint="eastAsia" w:ascii="宋体" w:hAnsi="宋体" w:eastAsia="宋体" w:cs="宋体"/>
          <w:b/>
          <w:color w:val="auto"/>
          <w:sz w:val="28"/>
          <w:szCs w:val="28"/>
          <w:highlight w:val="none"/>
        </w:rPr>
        <w:t>（六）</w:t>
      </w:r>
      <w:r>
        <w:rPr>
          <w:rFonts w:hint="eastAsia" w:ascii="宋体" w:hAnsi="宋体" w:eastAsia="宋体" w:cs="宋体"/>
          <w:b/>
          <w:color w:val="auto"/>
          <w:sz w:val="28"/>
          <w:szCs w:val="28"/>
          <w:highlight w:val="none"/>
          <w:lang w:val="en-GB"/>
        </w:rPr>
        <w:t>磋商、评审及成交</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19、</w:t>
      </w:r>
      <w:r>
        <w:rPr>
          <w:rFonts w:hint="eastAsia" w:ascii="宋体" w:hAnsi="宋体" w:eastAsia="宋体" w:cs="宋体"/>
          <w:b/>
          <w:color w:val="auto"/>
          <w:sz w:val="24"/>
          <w:highlight w:val="none"/>
          <w:lang w:val="en-GB"/>
        </w:rPr>
        <w:t>磋商小组的组成</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19.1磋商小组从海南省综合评标专家库中随机抽取的相关专家共3人及以上单数组成。磋商小组成员将按照客观、公正、审慎的原则，根据磋商文件规定的评审程序、评审方法和评审标准进行独立评审。</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19.2 评标委员会成员有下列情形之一的，应当回避：</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（1）招标人或供应商的主要负责人的近亲属；</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（2）项目主管部门或者行政监督部门的人员；</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（3）与供应商有经济利益关系，可能影响对投标公正评审的；</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（4）曾因在招标、评标以及其他与招标投标有关活动中从事违法行为而受过行政处罚或刑事处罚的。</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20、评审方法及评审程序</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本次采购采用竞争性磋商方式进行，评审由依法组成的磋商小组负责完成。评审基本原则：评审工作应根据《中华人民共和国政府采购法》、《政府采购竞争性磋商采购方式管理暂行办法》和《政府采购货物和服务招标投标管理办法》（财政部第87 号令）等法律和规章，遵循“公开、公平、公正、择优、诚实信用”的原则。结合本采购项目特点制定本评审办法。</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2、本次竞争性磋商采购的评审采用综合评分法。</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21、磋商程序和评审方法</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磋商小组对响应文件的有效性、完整性和响应程度进行审查，如发现响应文件中含义不明确、同类问题表述不一致或者有明显文字和计算错误的等内容，可以要求供应商作出必要的澄清、说明或者更正。供应商的澄清、说明或者更正不得超出响应文件的范围或者改变响应文件的实质性内容。</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2、磋商小组根据竞争性磋商文件的内容，对响应文件进行初步评审，只有通过初步评审的供应商才能继续进行磋商程序。初审分为资格性检查和符合性检查。</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2.1 资格性检查。依据法律法规和竞争性磋商文件的规定，对响应文件中的资格证明等进行审查，以确定投标供应商是否具备投标资格。供应商响应文件属于下列情况之一的，在资格性检查时按照无效投标处理：</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（1）不具备竞争性磋商文件第二章中规定的资格要求的;</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（2）未按照竞争性磋商文件规定的格式要求编制，且影响响应文件的资格性的；</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（3）供应商投标报价超出本项目预算价的；</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（4）竞争性磋商文件存在围标、串标嫌疑的（涉及的文件均无效）；</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（5）规定的其他无效投标情形；</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2.2 符合性检查。依据竞争性磋商文件的规定，从响应文件的有效性、完整性和对竞争性磋商文件的响应程度进行审查，以确定是否对竞争性磋商文件的实质性要求作出响应。供应商响应文件属于下列情况之一的，在符合性检查时按照无效投标处理：</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（1）投标产品的技术规格、技术标准明显不符合招标项目的要求，且采购人无法接受的；</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（2）未载明或者载明的招标项目履约时间、方式、数量及其他政府采购合同实质性内容与竞争性磋商文件要求不一致，且采购人无法接受的；</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（3）附有采购人不能接受的条件或者不符合竞争性磋商文件规定的其他实质性要求。</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2.3 在响应文件初审过程中，如果出现评标委员会成员意见不一致的情况，按照少数服从多数的原则确定，但不得违背政府采购基本原则和竞争性磋商文件规定。</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财政部关于政府采购竞争性磋商采购方式管理暂行办法有关问题的补充通知》；采用竞争性磋商采购方式采购的政府购买服务项目（含政府和社会资本合作项目），在采购过程中符合要求的供应商只有2家的，竞争性磋商采购活动可以继续进行。采购过程中符合要求的供应商只有1家的，招标人（项目实施机构）或者采购代理机构应当终止竞争性磋商采购活动，发布项目终止公告并说明原因，重新开展采购活动。</w:t>
      </w:r>
    </w:p>
    <w:p>
      <w:pPr>
        <w:spacing w:line="360" w:lineRule="auto"/>
        <w:ind w:firstLine="480"/>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除符合“政府采购竞争性磋商采购方式管理暂行办法”第三条第四项情形的，</w:t>
      </w:r>
      <w:r>
        <w:rPr>
          <w:rFonts w:hint="eastAsia" w:ascii="宋体" w:hAnsi="宋体" w:eastAsia="宋体" w:cs="宋体"/>
          <w:b/>
          <w:bCs/>
          <w:color w:val="auto"/>
          <w:sz w:val="24"/>
          <w:highlight w:val="none"/>
        </w:rPr>
        <w:t xml:space="preserve">通过初步评审的供应商必须不少于3家，否则磋商失败。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3、磋商小组所有成员应当集中与单一供应商分别进行磋商。</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4、磋商结束后，磋商小组应当要求所有</w:t>
      </w:r>
      <w:r>
        <w:rPr>
          <w:rFonts w:hint="eastAsia" w:ascii="宋体" w:hAnsi="宋体" w:eastAsia="宋体" w:cs="宋体"/>
          <w:color w:val="auto"/>
          <w:sz w:val="24"/>
          <w:highlight w:val="none"/>
          <w:lang w:eastAsia="zh-CN"/>
        </w:rPr>
        <w:t>想</w:t>
      </w:r>
      <w:r>
        <w:rPr>
          <w:rFonts w:hint="eastAsia" w:ascii="宋体" w:hAnsi="宋体" w:eastAsia="宋体" w:cs="宋体"/>
          <w:color w:val="auto"/>
          <w:sz w:val="24"/>
          <w:highlight w:val="none"/>
        </w:rPr>
        <w:t xml:space="preserve">实质性响应的供应商在规定时间内提交最后报价。最后报价是供应商响应文件的有效组成部分。已提交响应文件的供应商，在提交最后报价之前，可以根据磋商情况退出磋商。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5、经磋商确定最终用户需求书和提交最后报价的供应商后，由磋商小组采用综合评分法对提交最后报价的供应商的响应文件和最后报价进行综合评分。</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6、综合评分具体评审的内容详见（综合评分表），技术、商务及价格权重分配如下：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0"/>
        <w:gridCol w:w="2700"/>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2720" w:type="dxa"/>
            <w:vAlign w:val="center"/>
          </w:tcPr>
          <w:p>
            <w:pPr>
              <w:spacing w:line="360" w:lineRule="auto"/>
              <w:ind w:firstLine="48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类别</w:t>
            </w:r>
          </w:p>
        </w:tc>
        <w:tc>
          <w:tcPr>
            <w:tcW w:w="2700" w:type="dxa"/>
            <w:vAlign w:val="center"/>
          </w:tcPr>
          <w:p>
            <w:pPr>
              <w:spacing w:line="360" w:lineRule="auto"/>
              <w:ind w:firstLine="48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技术、商务</w:t>
            </w:r>
          </w:p>
        </w:tc>
        <w:tc>
          <w:tcPr>
            <w:tcW w:w="2513" w:type="dxa"/>
            <w:vAlign w:val="center"/>
          </w:tcPr>
          <w:p>
            <w:pPr>
              <w:spacing w:line="360" w:lineRule="auto"/>
              <w:ind w:firstLine="48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720" w:type="dxa"/>
            <w:vAlign w:val="center"/>
          </w:tcPr>
          <w:p>
            <w:pPr>
              <w:spacing w:line="360" w:lineRule="auto"/>
              <w:ind w:firstLine="48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权重</w:t>
            </w:r>
          </w:p>
        </w:tc>
        <w:tc>
          <w:tcPr>
            <w:tcW w:w="2700" w:type="dxa"/>
            <w:vAlign w:val="center"/>
          </w:tcPr>
          <w:p>
            <w:pPr>
              <w:spacing w:line="360" w:lineRule="auto"/>
              <w:ind w:firstLine="480" w:firstLineChars="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0%</w:t>
            </w:r>
          </w:p>
        </w:tc>
        <w:tc>
          <w:tcPr>
            <w:tcW w:w="2513" w:type="dxa"/>
            <w:vAlign w:val="center"/>
          </w:tcPr>
          <w:p>
            <w:pPr>
              <w:spacing w:line="360" w:lineRule="auto"/>
              <w:ind w:firstLine="480" w:firstLineChars="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0%</w:t>
            </w:r>
          </w:p>
        </w:tc>
      </w:tr>
    </w:tbl>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7、价格分计算方法：</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满足竞争性磋商文件要求且最终报价最低的报价为磋商基准价，价格分统一按照下列公式计算：报价得分=(磋商基准价／最后磋商报价)×价格权值×100</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7.1、如供应商满足 “关于政策性加分”规定的，</w:t>
      </w:r>
      <w:bookmarkStart w:id="24" w:name="_Toc496550513"/>
      <w:bookmarkStart w:id="25" w:name="_Toc488335965"/>
      <w:r>
        <w:rPr>
          <w:rFonts w:hint="eastAsia" w:ascii="宋体" w:hAnsi="宋体" w:eastAsia="宋体" w:cs="宋体"/>
          <w:color w:val="auto"/>
          <w:sz w:val="24"/>
          <w:highlight w:val="none"/>
        </w:rPr>
        <w:t>因落实政府采购政策进行价格调整的，以调整后的价格计算评标基准价和投标报价。</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调整对小微企业的价格评审优惠幅度。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w:t>
      </w:r>
      <w:r>
        <w:rPr>
          <w:rFonts w:hint="eastAsia" w:ascii="宋体" w:hAnsi="宋体" w:eastAsia="宋体" w:cs="宋体"/>
          <w:b/>
          <w:bCs/>
          <w:color w:val="auto"/>
          <w:sz w:val="24"/>
          <w:highlight w:val="none"/>
        </w:rPr>
        <w:t>给予3%的价格扣除。</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财政部、工业和信息化部关于《政府采购促进中小企业发展暂行办法》（财库【2020】46号）的要求，货物服务采购项目给予小微企业的价格扣除优惠，给予10%的扣除，用扣除后的价格参与评审。联合体各方均为小型、微型企业的，联合体视同为小型、微型企业。</w:t>
      </w:r>
    </w:p>
    <w:p>
      <w:pPr>
        <w:spacing w:line="360" w:lineRule="auto"/>
        <w:ind w:firstLine="480"/>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7.2、关于监狱企业参与政府采购优惠政策（对监狱企业视同小型、微型企</w:t>
      </w:r>
      <w:r>
        <w:rPr>
          <w:rFonts w:hint="eastAsia" w:ascii="宋体" w:hAnsi="宋体" w:eastAsia="宋体" w:cs="宋体"/>
          <w:b/>
          <w:bCs/>
          <w:color w:val="auto"/>
          <w:sz w:val="24"/>
          <w:highlight w:val="none"/>
        </w:rPr>
        <w:t>业）对监狱企业产品的价格给予6%的扣除，用扣除后的价格参与评审。</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根据关于政府采购支持监狱企业发展有关问题的通知财库[2014]68号的要求：</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7.2.1、监狱企业参加政府采购活动时，应当提供由省级以上监狱管理局、戒毒管理局（含新疆生产建设兵团）出具的属于监狱企业的证明文件。</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（监狱企业的证明文件格式自行拟定、投标时装订在响应文件中）</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7.2.2、在政府采购活动中，监狱企业视同小型、微型企业，享受预留份额、评审中价格扣除等政府采购促进中小企业发展的政府采购政策。</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7.3、残疾人就业政府采购优惠政策（残疾人福利性单位视同小型、微型企业）</w:t>
      </w:r>
    </w:p>
    <w:p>
      <w:pPr>
        <w:spacing w:line="360" w:lineRule="auto"/>
        <w:ind w:firstLine="48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对残疾人福利性单位产品的价格给予6%的扣除，用扣除后的价格参与评审。</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根据财政部 民政部 中国残疾人联合会关于促进残疾人就业政府采购政策的通知财库[2017]141号要求：</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7.3.1、符合条件的残疾人福利性单位在参加政府采购活动时，应当提供本通知规定的《残疾人福利性单位声明函》（见附件），并对声明的真实性负责。</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7.3.2、中标人为残疾人福利性单位的，采购人或者其委托的采购代理机构应当随中标、成交结果同时公告其《残疾人福利性单位声明函》，接受社会监督。</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8. 综合评分及其统计：</w:t>
      </w:r>
      <w:bookmarkEnd w:id="24"/>
      <w:bookmarkEnd w:id="25"/>
      <w:r>
        <w:rPr>
          <w:rFonts w:hint="eastAsia" w:ascii="宋体" w:hAnsi="宋体" w:eastAsia="宋体" w:cs="宋体"/>
          <w:color w:val="auto"/>
          <w:sz w:val="24"/>
          <w:highlight w:val="none"/>
        </w:rPr>
        <w:t>磋商小组将严格按照响应文件的要求和条件进行评标，磋商小组按照得分由高到低的顺序推荐综合得分前3名内的供应商为成交候选人，得分最高的供应商作为预成交人；得分相同的，按照投标报价由低到高顺序排列；得分且投标报价相同的，按照技术评审得分由高到低顺序排列。评标总得分、报价得分和技术得分均相同的，名次由磋商小组抽签决定。</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22、磋商、评审过程的保密性</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1、接受报价后，直至成交供应商与采购人签订合同后止，凡与磋商、审查、澄清、评价、比较、确定成交供应商意见有关的内容，任何人均不得向供应商及与磋商、评审无关的其他人透露。</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从文件递交截止时间起到确定成交供应商日止，供应商不得与参加磋商、评审的有关人员私下接触。在磋商评审过程中，如果供应商试图在响应文件审查、澄清、比较及推荐成交供应商方面向参与磋商、评审的有关人员和采购人施加任何影响，其报价将被拒绝。</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23、接受和拒绝任何或所有报价的权利</w:t>
      </w:r>
    </w:p>
    <w:p>
      <w:pPr>
        <w:spacing w:line="360" w:lineRule="auto"/>
        <w:ind w:firstLine="480"/>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采购代理机构和采购人保留在成交之前任何时候接受或拒绝任何报价，以及宣布竞争性磋商无效或拒绝所有报价的权力，对受影响的供应商不承担任何责任。</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24、变更技术方案的权利</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在竞争性磋商过程中，采购人有权变更技术方案或采购数量，如果供应商根据采购人提出的变更要求调整方案或价格后未能获得合同，采购人和采购代理机构不承担任何责任。</w:t>
      </w:r>
    </w:p>
    <w:p>
      <w:pPr>
        <w:pageBreakBefore/>
        <w:spacing w:before="156" w:after="156"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（附表1）</w:t>
      </w:r>
    </w:p>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b/>
          <w:bCs/>
          <w:color w:val="auto"/>
          <w:sz w:val="36"/>
          <w:szCs w:val="36"/>
          <w:highlight w:val="none"/>
          <w:lang w:val="en-GB"/>
        </w:rPr>
        <w:t>资格审查表</w:t>
      </w:r>
    </w:p>
    <w:p>
      <w:pPr>
        <w:spacing w:line="360" w:lineRule="auto"/>
        <w:rPr>
          <w:rFonts w:hint="eastAsia" w:ascii="宋体" w:hAnsi="宋体" w:eastAsia="宋体" w:cs="宋体"/>
          <w:color w:val="auto"/>
          <w:highlight w:val="none"/>
          <w:lang w:eastAsia="zh-CN"/>
        </w:rPr>
      </w:pPr>
      <w:r>
        <w:rPr>
          <w:rFonts w:hint="eastAsia" w:ascii="宋体" w:hAnsi="宋体" w:eastAsia="宋体" w:cs="宋体"/>
          <w:b/>
          <w:color w:val="auto"/>
          <w:sz w:val="24"/>
          <w:highlight w:val="none"/>
        </w:rPr>
        <w:t>项目名称：</w:t>
      </w:r>
      <w:r>
        <w:rPr>
          <w:rFonts w:hint="eastAsia" w:ascii="宋体" w:hAnsi="宋体" w:eastAsia="宋体" w:cs="宋体"/>
          <w:b/>
          <w:color w:val="auto"/>
          <w:sz w:val="24"/>
          <w:highlight w:val="none"/>
          <w:lang w:eastAsia="zh-CN"/>
        </w:rPr>
        <w:t>G223海榆东线安全设施精细化提升工程（K276+350-K307+000)</w:t>
      </w:r>
      <w:r>
        <w:rPr>
          <w:rFonts w:hint="eastAsia" w:ascii="宋体" w:hAnsi="宋体" w:eastAsia="宋体" w:cs="宋体"/>
          <w:b/>
          <w:color w:val="auto"/>
          <w:sz w:val="24"/>
          <w:highlight w:val="none"/>
        </w:rPr>
        <w:t xml:space="preserve">    项目编号：</w:t>
      </w:r>
      <w:r>
        <w:rPr>
          <w:rFonts w:hint="eastAsia" w:ascii="宋体" w:hAnsi="宋体" w:eastAsia="宋体" w:cs="宋体"/>
          <w:b/>
          <w:color w:val="auto"/>
          <w:sz w:val="24"/>
          <w:highlight w:val="none"/>
          <w:lang w:eastAsia="zh-CN"/>
        </w:rPr>
        <w:t>SCTCHN-2023-001</w:t>
      </w:r>
    </w:p>
    <w:tbl>
      <w:tblPr>
        <w:tblStyle w:val="18"/>
        <w:tblW w:w="8842" w:type="dxa"/>
        <w:tblInd w:w="-224" w:type="dxa"/>
        <w:tblLayout w:type="fixed"/>
        <w:tblCellMar>
          <w:top w:w="0" w:type="dxa"/>
          <w:left w:w="108" w:type="dxa"/>
          <w:bottom w:w="0" w:type="dxa"/>
          <w:right w:w="108" w:type="dxa"/>
        </w:tblCellMar>
      </w:tblPr>
      <w:tblGrid>
        <w:gridCol w:w="725"/>
        <w:gridCol w:w="1704"/>
        <w:gridCol w:w="4354"/>
        <w:gridCol w:w="720"/>
        <w:gridCol w:w="686"/>
        <w:gridCol w:w="653"/>
      </w:tblGrid>
      <w:tr>
        <w:tblPrEx>
          <w:tblCellMar>
            <w:top w:w="0" w:type="dxa"/>
            <w:left w:w="108" w:type="dxa"/>
            <w:bottom w:w="0" w:type="dxa"/>
            <w:right w:w="108" w:type="dxa"/>
          </w:tblCellMar>
        </w:tblPrEx>
        <w:trPr>
          <w:trHeight w:val="95" w:hRule="atLeast"/>
        </w:trPr>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autoSpaceDE w:val="0"/>
              <w:spacing w:before="93" w:after="93" w:line="360" w:lineRule="auto"/>
              <w:jc w:val="center"/>
              <w:rPr>
                <w:rFonts w:hint="eastAsia" w:ascii="宋体" w:hAnsi="宋体" w:eastAsia="宋体" w:cs="宋体"/>
                <w:b/>
                <w:color w:val="auto"/>
                <w:highlight w:val="none"/>
              </w:rPr>
            </w:pPr>
            <w:r>
              <w:rPr>
                <w:rFonts w:hint="eastAsia" w:ascii="宋体" w:hAnsi="宋体" w:eastAsia="宋体" w:cs="宋体"/>
                <w:b/>
                <w:color w:val="auto"/>
                <w:sz w:val="24"/>
                <w:highlight w:val="none"/>
              </w:rPr>
              <w:t>序号</w:t>
            </w:r>
          </w:p>
        </w:tc>
        <w:tc>
          <w:tcPr>
            <w:tcW w:w="17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autoSpaceDE w:val="0"/>
              <w:spacing w:before="93" w:after="93" w:line="360" w:lineRule="auto"/>
              <w:jc w:val="center"/>
              <w:rPr>
                <w:rFonts w:hint="eastAsia" w:ascii="宋体" w:hAnsi="宋体" w:eastAsia="宋体" w:cs="宋体"/>
                <w:b/>
                <w:color w:val="auto"/>
                <w:highlight w:val="none"/>
              </w:rPr>
            </w:pPr>
            <w:r>
              <w:rPr>
                <w:rFonts w:hint="eastAsia" w:ascii="宋体" w:hAnsi="宋体" w:eastAsia="宋体" w:cs="宋体"/>
                <w:b/>
                <w:color w:val="auto"/>
                <w:sz w:val="24"/>
                <w:highlight w:val="none"/>
              </w:rPr>
              <w:t>审查项目</w:t>
            </w:r>
          </w:p>
        </w:tc>
        <w:tc>
          <w:tcPr>
            <w:tcW w:w="4354" w:type="dxa"/>
            <w:tcBorders>
              <w:top w:val="single" w:color="000000" w:sz="4" w:space="0"/>
              <w:left w:val="single" w:color="000000" w:sz="4" w:space="0"/>
              <w:bottom w:val="single" w:color="000000" w:sz="4" w:space="0"/>
              <w:right w:val="single" w:color="000000" w:sz="4" w:space="0"/>
            </w:tcBorders>
            <w:shd w:val="clear" w:color="auto" w:fill="D9D9D9"/>
            <w:vAlign w:val="center"/>
          </w:tcPr>
          <w:p>
            <w:pPr>
              <w:autoSpaceDE w:val="0"/>
              <w:spacing w:before="93" w:after="93" w:line="360" w:lineRule="auto"/>
              <w:jc w:val="center"/>
              <w:rPr>
                <w:rFonts w:hint="eastAsia" w:ascii="宋体" w:hAnsi="宋体" w:eastAsia="宋体" w:cs="宋体"/>
                <w:b/>
                <w:color w:val="auto"/>
                <w:highlight w:val="none"/>
              </w:rPr>
            </w:pPr>
            <w:r>
              <w:rPr>
                <w:rFonts w:hint="eastAsia" w:ascii="宋体" w:hAnsi="宋体" w:eastAsia="宋体" w:cs="宋体"/>
                <w:b/>
                <w:color w:val="auto"/>
                <w:sz w:val="24"/>
                <w:highlight w:val="none"/>
              </w:rPr>
              <w:t>评议内容</w:t>
            </w:r>
          </w:p>
          <w:p>
            <w:pPr>
              <w:autoSpaceDE w:val="0"/>
              <w:spacing w:before="93" w:after="93" w:line="360" w:lineRule="auto"/>
              <w:jc w:val="center"/>
              <w:rPr>
                <w:rFonts w:hint="eastAsia" w:ascii="宋体" w:hAnsi="宋体" w:eastAsia="宋体" w:cs="宋体"/>
                <w:b/>
                <w:color w:val="auto"/>
                <w:highlight w:val="none"/>
              </w:rPr>
            </w:pPr>
            <w:r>
              <w:rPr>
                <w:rFonts w:hint="eastAsia" w:ascii="宋体" w:hAnsi="宋体" w:eastAsia="宋体" w:cs="宋体"/>
                <w:b/>
                <w:color w:val="auto"/>
                <w:sz w:val="24"/>
                <w:highlight w:val="none"/>
              </w:rPr>
              <w:t>（无效投标认定条件）</w:t>
            </w:r>
          </w:p>
        </w:tc>
        <w:tc>
          <w:tcPr>
            <w:tcW w:w="720" w:type="dxa"/>
            <w:tcBorders>
              <w:top w:val="single" w:color="000000" w:sz="4" w:space="0"/>
              <w:left w:val="single" w:color="000000" w:sz="4" w:space="0"/>
              <w:bottom w:val="single" w:color="000000" w:sz="4" w:space="0"/>
              <w:right w:val="single" w:color="000000" w:sz="4" w:space="0"/>
            </w:tcBorders>
            <w:shd w:val="clear" w:color="auto" w:fill="D9D9D9"/>
            <w:vAlign w:val="center"/>
          </w:tcPr>
          <w:p>
            <w:pPr>
              <w:autoSpaceDE w:val="0"/>
              <w:spacing w:before="93" w:after="93" w:line="360" w:lineRule="auto"/>
              <w:jc w:val="center"/>
              <w:rPr>
                <w:rFonts w:hint="eastAsia" w:ascii="宋体" w:hAnsi="宋体" w:eastAsia="宋体" w:cs="宋体"/>
                <w:b/>
                <w:color w:val="auto"/>
                <w:highlight w:val="none"/>
              </w:rPr>
            </w:pPr>
            <w:r>
              <w:rPr>
                <w:rFonts w:hint="eastAsia" w:ascii="宋体" w:hAnsi="宋体" w:eastAsia="宋体" w:cs="宋体"/>
                <w:b/>
                <w:color w:val="auto"/>
                <w:highlight w:val="none"/>
              </w:rPr>
              <w:t>1</w:t>
            </w:r>
          </w:p>
        </w:tc>
        <w:tc>
          <w:tcPr>
            <w:tcW w:w="686" w:type="dxa"/>
            <w:tcBorders>
              <w:top w:val="single" w:color="000000" w:sz="4" w:space="0"/>
              <w:left w:val="single" w:color="000000" w:sz="4" w:space="0"/>
              <w:bottom w:val="single" w:color="000000" w:sz="4" w:space="0"/>
              <w:right w:val="single" w:color="000000" w:sz="4" w:space="0"/>
            </w:tcBorders>
            <w:shd w:val="clear" w:color="auto" w:fill="D9D9D9"/>
            <w:vAlign w:val="center"/>
          </w:tcPr>
          <w:p>
            <w:pPr>
              <w:autoSpaceDE w:val="0"/>
              <w:spacing w:before="93" w:after="93" w:line="360" w:lineRule="auto"/>
              <w:jc w:val="center"/>
              <w:rPr>
                <w:rFonts w:hint="eastAsia" w:ascii="宋体" w:hAnsi="宋体" w:eastAsia="宋体" w:cs="宋体"/>
                <w:b/>
                <w:color w:val="auto"/>
                <w:highlight w:val="none"/>
              </w:rPr>
            </w:pPr>
            <w:r>
              <w:rPr>
                <w:rFonts w:hint="eastAsia" w:ascii="宋体" w:hAnsi="宋体" w:eastAsia="宋体" w:cs="宋体"/>
                <w:b/>
                <w:color w:val="auto"/>
                <w:highlight w:val="none"/>
              </w:rPr>
              <w:t>2</w:t>
            </w:r>
          </w:p>
        </w:tc>
        <w:tc>
          <w:tcPr>
            <w:tcW w:w="653" w:type="dxa"/>
            <w:tcBorders>
              <w:top w:val="single" w:color="000000" w:sz="4" w:space="0"/>
              <w:left w:val="single" w:color="000000" w:sz="4" w:space="0"/>
              <w:bottom w:val="single" w:color="000000" w:sz="4" w:space="0"/>
              <w:right w:val="single" w:color="000000" w:sz="4" w:space="0"/>
            </w:tcBorders>
            <w:shd w:val="clear" w:color="auto" w:fill="D9D9D9"/>
            <w:vAlign w:val="center"/>
          </w:tcPr>
          <w:p>
            <w:pPr>
              <w:autoSpaceDE w:val="0"/>
              <w:spacing w:before="93" w:after="93" w:line="360" w:lineRule="auto"/>
              <w:jc w:val="center"/>
              <w:rPr>
                <w:rFonts w:hint="eastAsia" w:ascii="宋体" w:hAnsi="宋体" w:eastAsia="宋体" w:cs="宋体"/>
                <w:b/>
                <w:color w:val="auto"/>
                <w:highlight w:val="none"/>
              </w:rPr>
            </w:pPr>
            <w:r>
              <w:rPr>
                <w:rFonts w:hint="eastAsia" w:ascii="宋体" w:hAnsi="宋体" w:eastAsia="宋体" w:cs="宋体"/>
                <w:b/>
                <w:color w:val="auto"/>
                <w:highlight w:val="none"/>
              </w:rPr>
              <w:t>3</w:t>
            </w:r>
          </w:p>
        </w:tc>
      </w:tr>
      <w:tr>
        <w:tblPrEx>
          <w:tblCellMar>
            <w:top w:w="0" w:type="dxa"/>
            <w:left w:w="108" w:type="dxa"/>
            <w:bottom w:w="0" w:type="dxa"/>
            <w:right w:w="108" w:type="dxa"/>
          </w:tblCellMar>
        </w:tblPrEx>
        <w:trPr>
          <w:trHeight w:val="9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r>
              <w:rPr>
                <w:rFonts w:hint="eastAsia" w:ascii="宋体" w:hAnsi="宋体" w:eastAsia="宋体" w:cs="宋体"/>
                <w:b/>
                <w:bCs/>
                <w:color w:val="auto"/>
                <w:sz w:val="24"/>
                <w:highlight w:val="none"/>
              </w:rPr>
              <w:t>1</w:t>
            </w: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供应商的资格</w:t>
            </w:r>
          </w:p>
        </w:tc>
        <w:tc>
          <w:tcPr>
            <w:tcW w:w="4354"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left"/>
              <w:rPr>
                <w:rFonts w:hint="eastAsia" w:ascii="宋体" w:hAnsi="宋体" w:eastAsia="宋体" w:cs="宋体"/>
                <w:color w:val="auto"/>
                <w:highlight w:val="none"/>
              </w:rPr>
            </w:pPr>
            <w:r>
              <w:rPr>
                <w:rFonts w:hint="eastAsia" w:ascii="宋体" w:hAnsi="宋体" w:eastAsia="宋体" w:cs="宋体"/>
                <w:color w:val="auto"/>
                <w:sz w:val="24"/>
                <w:highlight w:val="none"/>
              </w:rPr>
              <w:t>是否符合磋商文件对供应商资格的要求</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9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r>
              <w:rPr>
                <w:rFonts w:hint="eastAsia" w:ascii="宋体" w:hAnsi="宋体" w:eastAsia="宋体" w:cs="宋体"/>
                <w:b/>
                <w:bCs/>
                <w:color w:val="auto"/>
                <w:sz w:val="24"/>
                <w:highlight w:val="none"/>
              </w:rPr>
              <w:t>2</w:t>
            </w: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响应文件的有效性、完整性</w:t>
            </w:r>
          </w:p>
        </w:tc>
        <w:tc>
          <w:tcPr>
            <w:tcW w:w="4354"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left"/>
              <w:rPr>
                <w:rFonts w:hint="eastAsia" w:ascii="宋体" w:hAnsi="宋体" w:eastAsia="宋体" w:cs="宋体"/>
                <w:color w:val="auto"/>
                <w:highlight w:val="none"/>
              </w:rPr>
            </w:pPr>
            <w:r>
              <w:rPr>
                <w:rFonts w:hint="eastAsia" w:ascii="宋体" w:hAnsi="宋体" w:eastAsia="宋体" w:cs="宋体"/>
                <w:color w:val="auto"/>
                <w:sz w:val="24"/>
                <w:highlight w:val="none"/>
              </w:rPr>
              <w:t>是否符合竞争性磋商文件的样式和签署要求且内容完整无缺漏</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37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r>
              <w:rPr>
                <w:rFonts w:hint="eastAsia" w:ascii="宋体" w:hAnsi="宋体" w:eastAsia="宋体" w:cs="宋体"/>
                <w:b/>
                <w:bCs/>
                <w:color w:val="auto"/>
                <w:sz w:val="24"/>
                <w:highlight w:val="none"/>
              </w:rPr>
              <w:t>3</w:t>
            </w: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报价项目完整性</w:t>
            </w:r>
          </w:p>
        </w:tc>
        <w:tc>
          <w:tcPr>
            <w:tcW w:w="4354"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left"/>
              <w:rPr>
                <w:rFonts w:hint="eastAsia" w:ascii="宋体" w:hAnsi="宋体" w:eastAsia="宋体" w:cs="宋体"/>
                <w:color w:val="auto"/>
                <w:highlight w:val="none"/>
              </w:rPr>
            </w:pPr>
            <w:r>
              <w:rPr>
                <w:rFonts w:hint="eastAsia" w:ascii="宋体" w:hAnsi="宋体" w:eastAsia="宋体" w:cs="宋体"/>
                <w:color w:val="auto"/>
                <w:sz w:val="24"/>
                <w:highlight w:val="none"/>
              </w:rPr>
              <w:t>是否对本项目内所有的内容进行投标，漏报其投标将被拒绝</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9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r>
              <w:rPr>
                <w:rFonts w:hint="eastAsia" w:ascii="宋体" w:hAnsi="宋体" w:eastAsia="宋体" w:cs="宋体"/>
                <w:b/>
                <w:bCs/>
                <w:color w:val="auto"/>
                <w:sz w:val="24"/>
                <w:highlight w:val="none"/>
              </w:rPr>
              <w:t>4</w:t>
            </w: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投标有效期</w:t>
            </w:r>
          </w:p>
        </w:tc>
        <w:tc>
          <w:tcPr>
            <w:tcW w:w="4354"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left"/>
              <w:rPr>
                <w:rFonts w:hint="eastAsia" w:ascii="宋体" w:hAnsi="宋体" w:eastAsia="宋体" w:cs="宋体"/>
                <w:color w:val="auto"/>
                <w:highlight w:val="none"/>
              </w:rPr>
            </w:pPr>
            <w:r>
              <w:rPr>
                <w:rFonts w:hint="eastAsia" w:ascii="宋体" w:hAnsi="宋体" w:eastAsia="宋体" w:cs="宋体"/>
                <w:color w:val="auto"/>
                <w:sz w:val="24"/>
                <w:highlight w:val="none"/>
              </w:rPr>
              <w:t>是否满足磋商文件要求</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9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r>
              <w:rPr>
                <w:rFonts w:hint="eastAsia" w:ascii="宋体" w:hAnsi="宋体" w:eastAsia="宋体" w:cs="宋体"/>
                <w:b/>
                <w:bCs/>
                <w:color w:val="auto"/>
                <w:sz w:val="24"/>
                <w:highlight w:val="none"/>
              </w:rPr>
              <w:t>5</w:t>
            </w: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响应文件数量</w:t>
            </w:r>
          </w:p>
        </w:tc>
        <w:tc>
          <w:tcPr>
            <w:tcW w:w="4354"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left"/>
              <w:rPr>
                <w:rFonts w:hint="eastAsia" w:ascii="宋体" w:hAnsi="宋体" w:eastAsia="宋体" w:cs="宋体"/>
                <w:color w:val="auto"/>
                <w:highlight w:val="none"/>
              </w:rPr>
            </w:pPr>
            <w:r>
              <w:rPr>
                <w:rFonts w:hint="eastAsia" w:ascii="宋体" w:hAnsi="宋体" w:eastAsia="宋体" w:cs="宋体"/>
                <w:color w:val="auto"/>
                <w:sz w:val="24"/>
                <w:highlight w:val="none"/>
              </w:rPr>
              <w:t>是否满足磋商文件要求</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9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r>
              <w:rPr>
                <w:rFonts w:hint="eastAsia" w:ascii="宋体" w:hAnsi="宋体" w:eastAsia="宋体" w:cs="宋体"/>
                <w:b/>
                <w:bCs/>
                <w:color w:val="auto"/>
                <w:sz w:val="24"/>
                <w:highlight w:val="none"/>
              </w:rPr>
              <w:t>6</w:t>
            </w: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其它</w:t>
            </w:r>
          </w:p>
        </w:tc>
        <w:tc>
          <w:tcPr>
            <w:tcW w:w="4354"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left"/>
              <w:rPr>
                <w:rFonts w:hint="eastAsia" w:ascii="宋体" w:hAnsi="宋体" w:eastAsia="宋体" w:cs="宋体"/>
                <w:color w:val="auto"/>
                <w:highlight w:val="none"/>
              </w:rPr>
            </w:pPr>
            <w:r>
              <w:rPr>
                <w:rFonts w:hint="eastAsia" w:ascii="宋体" w:hAnsi="宋体" w:eastAsia="宋体" w:cs="宋体"/>
                <w:color w:val="auto"/>
                <w:sz w:val="24"/>
                <w:highlight w:val="none"/>
              </w:rPr>
              <w:t>是否有其它无效投标认定条件</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before="93" w:after="93" w:line="360" w:lineRule="auto"/>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90" w:hRule="atLeast"/>
        </w:trPr>
        <w:tc>
          <w:tcPr>
            <w:tcW w:w="678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before="156" w:after="156" w:line="360" w:lineRule="auto"/>
              <w:jc w:val="center"/>
              <w:rPr>
                <w:rFonts w:hint="eastAsia" w:ascii="宋体" w:hAnsi="宋体" w:eastAsia="宋体" w:cs="宋体"/>
                <w:color w:val="auto"/>
                <w:highlight w:val="none"/>
              </w:rPr>
            </w:pPr>
            <w:r>
              <w:rPr>
                <w:rFonts w:hint="eastAsia" w:ascii="宋体" w:hAnsi="宋体" w:eastAsia="宋体" w:cs="宋体"/>
                <w:b/>
                <w:bCs/>
                <w:color w:val="auto"/>
                <w:sz w:val="24"/>
                <w:highlight w:val="none"/>
              </w:rPr>
              <w:t>结    论</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before="156" w:after="156" w:line="360" w:lineRule="auto"/>
              <w:jc w:val="center"/>
              <w:rPr>
                <w:rFonts w:hint="eastAsia" w:ascii="宋体" w:hAnsi="宋体" w:eastAsia="宋体" w:cs="宋体"/>
                <w:color w:val="auto"/>
                <w:highlight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widowControl/>
              <w:spacing w:before="156" w:after="156" w:line="360" w:lineRule="auto"/>
              <w:jc w:val="center"/>
              <w:rPr>
                <w:rFonts w:hint="eastAsia" w:ascii="宋体" w:hAnsi="宋体" w:eastAsia="宋体" w:cs="宋体"/>
                <w:color w:val="auto"/>
                <w:highlight w:val="none"/>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before="156" w:after="156" w:line="360" w:lineRule="auto"/>
              <w:jc w:val="center"/>
              <w:rPr>
                <w:rFonts w:hint="eastAsia" w:ascii="宋体" w:hAnsi="宋体" w:eastAsia="宋体" w:cs="宋体"/>
                <w:color w:val="auto"/>
                <w:highlight w:val="none"/>
              </w:rPr>
            </w:pPr>
          </w:p>
        </w:tc>
      </w:tr>
    </w:tbl>
    <w:p>
      <w:pPr>
        <w:spacing w:before="156" w:after="156" w:line="360" w:lineRule="auto"/>
        <w:rPr>
          <w:rFonts w:hint="eastAsia" w:ascii="宋体" w:hAnsi="宋体" w:eastAsia="宋体" w:cs="宋体"/>
          <w:color w:val="auto"/>
          <w:highlight w:val="none"/>
        </w:rPr>
      </w:pPr>
      <w:r>
        <w:rPr>
          <w:rFonts w:hint="eastAsia" w:ascii="宋体" w:hAnsi="宋体" w:eastAsia="宋体" w:cs="宋体"/>
          <w:b/>
          <w:bCs/>
          <w:color w:val="auto"/>
          <w:sz w:val="24"/>
          <w:highlight w:val="none"/>
        </w:rPr>
        <w:t>注：</w:t>
      </w:r>
      <w:r>
        <w:rPr>
          <w:rFonts w:hint="eastAsia" w:ascii="宋体" w:hAnsi="宋体" w:eastAsia="宋体" w:cs="宋体"/>
          <w:color w:val="auto"/>
          <w:sz w:val="24"/>
          <w:highlight w:val="none"/>
        </w:rPr>
        <w:t>1、表中只需填写“√”通过或“×”不通过；</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2、在结论中按“一项否决”的原则，只有全部是“√”通过的，填写“合格”；只要其中有一项是“×”不通过的，填写“不合格”；</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3、结论是合格的，才能进入下一轮，不合格的被淘汰。</w:t>
      </w:r>
    </w:p>
    <w:p>
      <w:pPr>
        <w:spacing w:before="156" w:after="156" w:line="360" w:lineRule="auto"/>
        <w:ind w:left="3000" w:hanging="3000"/>
        <w:jc w:val="left"/>
        <w:rPr>
          <w:rFonts w:hint="eastAsia" w:ascii="宋体" w:hAnsi="宋体" w:eastAsia="宋体" w:cs="宋体"/>
          <w:color w:val="auto"/>
          <w:highlight w:val="none"/>
        </w:rPr>
      </w:pPr>
      <w:r>
        <w:rPr>
          <w:rFonts w:hint="eastAsia" w:ascii="宋体" w:hAnsi="宋体" w:eastAsia="宋体" w:cs="宋体"/>
          <w:color w:val="auto"/>
          <w:sz w:val="24"/>
          <w:highlight w:val="none"/>
        </w:rPr>
        <w:t xml:space="preserve">磋商小组签字确认：                                     </w:t>
      </w:r>
    </w:p>
    <w:p>
      <w:pPr>
        <w:pageBreakBefore/>
        <w:spacing w:before="156" w:after="156"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(附表2)</w:t>
      </w:r>
    </w:p>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b/>
          <w:bCs/>
          <w:color w:val="auto"/>
          <w:sz w:val="36"/>
          <w:szCs w:val="36"/>
          <w:highlight w:val="none"/>
          <w:lang w:val="en-GB"/>
        </w:rPr>
        <w:t>商务、技术评分表</w:t>
      </w:r>
    </w:p>
    <w:tbl>
      <w:tblPr>
        <w:tblStyle w:val="18"/>
        <w:tblW w:w="9434" w:type="dxa"/>
        <w:jc w:val="center"/>
        <w:tblLayout w:type="fixed"/>
        <w:tblCellMar>
          <w:top w:w="0" w:type="dxa"/>
          <w:left w:w="108" w:type="dxa"/>
          <w:bottom w:w="0" w:type="dxa"/>
          <w:right w:w="108" w:type="dxa"/>
        </w:tblCellMar>
      </w:tblPr>
      <w:tblGrid>
        <w:gridCol w:w="659"/>
        <w:gridCol w:w="709"/>
        <w:gridCol w:w="1032"/>
        <w:gridCol w:w="6223"/>
        <w:gridCol w:w="811"/>
      </w:tblGrid>
      <w:tr>
        <w:tblPrEx>
          <w:tblCellMar>
            <w:top w:w="0" w:type="dxa"/>
            <w:left w:w="108" w:type="dxa"/>
            <w:bottom w:w="0" w:type="dxa"/>
            <w:right w:w="108" w:type="dxa"/>
          </w:tblCellMar>
        </w:tblPrEx>
        <w:trPr>
          <w:trHeight w:val="71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序号</w:t>
            </w:r>
          </w:p>
        </w:tc>
        <w:tc>
          <w:tcPr>
            <w:tcW w:w="1741" w:type="dxa"/>
            <w:gridSpan w:val="2"/>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评审内容</w:t>
            </w:r>
          </w:p>
        </w:tc>
        <w:tc>
          <w:tcPr>
            <w:tcW w:w="6223" w:type="dxa"/>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评审标准</w:t>
            </w:r>
          </w:p>
        </w:tc>
        <w:tc>
          <w:tcPr>
            <w:tcW w:w="811" w:type="dxa"/>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分值</w:t>
            </w:r>
          </w:p>
        </w:tc>
      </w:tr>
      <w:tr>
        <w:tblPrEx>
          <w:tblCellMar>
            <w:top w:w="0" w:type="dxa"/>
            <w:left w:w="108" w:type="dxa"/>
            <w:bottom w:w="0" w:type="dxa"/>
            <w:right w:w="108" w:type="dxa"/>
          </w:tblCellMar>
        </w:tblPrEx>
        <w:trPr>
          <w:trHeight w:val="2743" w:hRule="atLeast"/>
          <w:jc w:val="center"/>
        </w:trPr>
        <w:tc>
          <w:tcPr>
            <w:tcW w:w="659" w:type="dxa"/>
            <w:vMerge w:val="restart"/>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施工组织设计</w:t>
            </w:r>
          </w:p>
        </w:tc>
        <w:tc>
          <w:tcPr>
            <w:tcW w:w="1032" w:type="dxa"/>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施工组织设计的完整性</w:t>
            </w:r>
          </w:p>
        </w:tc>
        <w:tc>
          <w:tcPr>
            <w:tcW w:w="6223" w:type="dxa"/>
            <w:tcBorders>
              <w:top w:val="single" w:color="000000" w:sz="4" w:space="0"/>
              <w:left w:val="single" w:color="000000" w:sz="4" w:space="0"/>
              <w:bottom w:val="single" w:color="000000" w:sz="4" w:space="0"/>
              <w:right w:val="single" w:color="000000" w:sz="4" w:space="0"/>
            </w:tcBorders>
          </w:tcPr>
          <w:p>
            <w:pPr>
              <w:spacing w:line="360" w:lineRule="auto"/>
              <w:jc w:val="left"/>
              <w:rPr>
                <w:rFonts w:hint="eastAsia" w:ascii="宋体" w:hAnsi="宋体" w:eastAsia="宋体" w:cs="宋体"/>
                <w:color w:val="auto"/>
                <w:highlight w:val="none"/>
              </w:rPr>
            </w:pPr>
            <w:r>
              <w:rPr>
                <w:rFonts w:hint="eastAsia" w:ascii="宋体" w:hAnsi="宋体" w:eastAsia="宋体" w:cs="宋体"/>
                <w:color w:val="auto"/>
                <w:sz w:val="24"/>
                <w:highlight w:val="none"/>
              </w:rPr>
              <w:t>施工组织设计重点内容突出、有效，具有完整性、针对性、先进性，符合竞争性磋商文件的要求得</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（含）分-</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分；</w:t>
            </w:r>
          </w:p>
          <w:p>
            <w:pPr>
              <w:spacing w:line="360" w:lineRule="auto"/>
              <w:jc w:val="left"/>
              <w:rPr>
                <w:rFonts w:hint="eastAsia" w:ascii="宋体" w:hAnsi="宋体" w:eastAsia="宋体" w:cs="宋体"/>
                <w:color w:val="auto"/>
                <w:highlight w:val="none"/>
              </w:rPr>
            </w:pPr>
            <w:r>
              <w:rPr>
                <w:rFonts w:hint="eastAsia" w:ascii="宋体" w:hAnsi="宋体" w:eastAsia="宋体" w:cs="宋体"/>
                <w:color w:val="auto"/>
                <w:sz w:val="24"/>
                <w:highlight w:val="none"/>
              </w:rPr>
              <w:t>施工组织设计重点内容突出、有效，具有完整性、针对性，符合竞争性磋商文件的要求得3（含）分-</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（不含）分；</w:t>
            </w:r>
          </w:p>
          <w:p>
            <w:pPr>
              <w:spacing w:line="360" w:lineRule="auto"/>
              <w:jc w:val="left"/>
              <w:rPr>
                <w:rFonts w:hint="eastAsia" w:ascii="宋体" w:hAnsi="宋体" w:eastAsia="宋体" w:cs="宋体"/>
                <w:color w:val="auto"/>
                <w:highlight w:val="none"/>
              </w:rPr>
            </w:pPr>
            <w:r>
              <w:rPr>
                <w:rFonts w:hint="eastAsia" w:ascii="宋体" w:hAnsi="宋体" w:eastAsia="宋体" w:cs="宋体"/>
                <w:color w:val="auto"/>
                <w:sz w:val="24"/>
                <w:highlight w:val="none"/>
              </w:rPr>
              <w:t>施工组织设计内容一般、具有完整性，符合竞争性磋商文件的要求得1分-3（不含）分；</w:t>
            </w:r>
          </w:p>
        </w:tc>
        <w:tc>
          <w:tcPr>
            <w:tcW w:w="811" w:type="dxa"/>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分</w:t>
            </w:r>
          </w:p>
        </w:tc>
      </w:tr>
      <w:tr>
        <w:tblPrEx>
          <w:tblCellMar>
            <w:top w:w="0" w:type="dxa"/>
            <w:left w:w="108" w:type="dxa"/>
            <w:bottom w:w="0" w:type="dxa"/>
            <w:right w:w="108" w:type="dxa"/>
          </w:tblCellMar>
        </w:tblPrEx>
        <w:trPr>
          <w:trHeight w:val="3251" w:hRule="atLeast"/>
          <w:jc w:val="center"/>
        </w:trPr>
        <w:tc>
          <w:tcPr>
            <w:tcW w:w="65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156" w:after="156" w:line="360" w:lineRule="auto"/>
              <w:jc w:val="center"/>
              <w:rPr>
                <w:rFonts w:hint="eastAsia" w:ascii="宋体" w:hAnsi="宋体" w:eastAsia="宋体" w:cs="宋体"/>
                <w:color w:val="auto"/>
                <w:sz w:val="22"/>
                <w:szCs w:val="22"/>
                <w:highlight w:val="none"/>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156" w:after="156" w:line="360" w:lineRule="auto"/>
              <w:jc w:val="center"/>
              <w:rPr>
                <w:rFonts w:hint="eastAsia" w:ascii="宋体" w:hAnsi="宋体" w:eastAsia="宋体" w:cs="宋体"/>
                <w:color w:val="auto"/>
                <w:sz w:val="22"/>
                <w:szCs w:val="22"/>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施工方案与技术措施</w:t>
            </w:r>
          </w:p>
        </w:tc>
        <w:tc>
          <w:tcPr>
            <w:tcW w:w="622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宋体" w:hAnsi="宋体" w:eastAsia="宋体" w:cs="宋体"/>
                <w:color w:val="auto"/>
                <w:highlight w:val="none"/>
              </w:rPr>
            </w:pPr>
            <w:r>
              <w:rPr>
                <w:rFonts w:hint="eastAsia" w:ascii="宋体" w:hAnsi="宋体" w:eastAsia="宋体" w:cs="宋体"/>
                <w:color w:val="auto"/>
                <w:sz w:val="24"/>
                <w:highlight w:val="none"/>
              </w:rPr>
              <w:t>施工方案及施工方法先进可行，技术措施针对工程质量、工期和施工安全生产科学、合理的得</w:t>
            </w:r>
            <w:r>
              <w:rPr>
                <w:rFonts w:hint="eastAsia" w:ascii="宋体" w:hAnsi="宋体" w:eastAsia="宋体" w:cs="宋体"/>
                <w:color w:val="auto"/>
                <w:sz w:val="24"/>
                <w:highlight w:val="none"/>
                <w:lang w:eastAsia="zh-CN"/>
              </w:rPr>
              <w:t xml:space="preserve"> 6（含）分-8分</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施工方案及方法可行，技术措施针对工程质量、工期和施工安全生产科学性、合理性一般的得3（含）分-</w:t>
            </w:r>
            <w:r>
              <w:rPr>
                <w:rFonts w:hint="eastAsia" w:ascii="宋体" w:hAnsi="宋体" w:eastAsia="宋体" w:cs="宋体"/>
                <w:color w:val="auto"/>
                <w:sz w:val="24"/>
                <w:highlight w:val="none"/>
                <w:lang w:eastAsia="zh-CN"/>
              </w:rPr>
              <w:t>6（不含）</w:t>
            </w:r>
            <w:r>
              <w:rPr>
                <w:rFonts w:hint="eastAsia" w:ascii="宋体" w:hAnsi="宋体" w:eastAsia="宋体" w:cs="宋体"/>
                <w:color w:val="auto"/>
                <w:sz w:val="24"/>
                <w:highlight w:val="none"/>
              </w:rPr>
              <w:t>分；</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施工方案及施工方法较差，技术措施针对工程质量、工期和施工安全生产科学性、合理性较差，得1分-3（不含）分；</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没有方案不得分。</w:t>
            </w:r>
          </w:p>
        </w:tc>
        <w:tc>
          <w:tcPr>
            <w:tcW w:w="811" w:type="dxa"/>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分</w:t>
            </w:r>
          </w:p>
        </w:tc>
      </w:tr>
      <w:tr>
        <w:tblPrEx>
          <w:tblCellMar>
            <w:top w:w="0" w:type="dxa"/>
            <w:left w:w="108" w:type="dxa"/>
            <w:bottom w:w="0" w:type="dxa"/>
            <w:right w:w="108" w:type="dxa"/>
          </w:tblCellMar>
        </w:tblPrEx>
        <w:trPr>
          <w:trHeight w:val="3081" w:hRule="atLeast"/>
          <w:jc w:val="center"/>
        </w:trPr>
        <w:tc>
          <w:tcPr>
            <w:tcW w:w="65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156" w:after="156" w:line="360" w:lineRule="auto"/>
              <w:jc w:val="center"/>
              <w:rPr>
                <w:rFonts w:hint="eastAsia" w:ascii="宋体" w:hAnsi="宋体" w:eastAsia="宋体" w:cs="宋体"/>
                <w:color w:val="auto"/>
                <w:sz w:val="22"/>
                <w:szCs w:val="22"/>
                <w:highlight w:val="none"/>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156" w:after="156" w:line="360" w:lineRule="auto"/>
              <w:jc w:val="center"/>
              <w:rPr>
                <w:rFonts w:hint="eastAsia" w:ascii="宋体" w:hAnsi="宋体" w:eastAsia="宋体" w:cs="宋体"/>
                <w:color w:val="auto"/>
                <w:sz w:val="22"/>
                <w:szCs w:val="22"/>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质量管理体系与措施</w:t>
            </w:r>
          </w:p>
        </w:tc>
        <w:tc>
          <w:tcPr>
            <w:tcW w:w="6223" w:type="dxa"/>
            <w:tcBorders>
              <w:top w:val="single" w:color="000000" w:sz="4" w:space="0"/>
              <w:left w:val="single" w:color="000000" w:sz="4" w:space="0"/>
              <w:bottom w:val="single" w:color="000000" w:sz="4" w:space="0"/>
              <w:right w:val="single" w:color="000000" w:sz="4" w:space="0"/>
            </w:tcBorders>
          </w:tcPr>
          <w:p>
            <w:pPr>
              <w:spacing w:line="360" w:lineRule="auto"/>
              <w:jc w:val="left"/>
              <w:rPr>
                <w:rFonts w:hint="eastAsia" w:ascii="宋体" w:hAnsi="宋体" w:eastAsia="宋体" w:cs="宋体"/>
                <w:color w:val="auto"/>
                <w:highlight w:val="none"/>
              </w:rPr>
            </w:pPr>
            <w:r>
              <w:rPr>
                <w:rFonts w:hint="eastAsia" w:ascii="宋体" w:hAnsi="宋体" w:eastAsia="宋体" w:cs="宋体"/>
                <w:color w:val="auto"/>
                <w:sz w:val="24"/>
                <w:highlight w:val="none"/>
              </w:rPr>
              <w:t>质量管理体系与措施科学性，完整性、合理性较强得</w:t>
            </w:r>
            <w:r>
              <w:rPr>
                <w:rFonts w:hint="eastAsia" w:ascii="宋体" w:hAnsi="宋体" w:eastAsia="宋体" w:cs="宋体"/>
                <w:color w:val="auto"/>
                <w:sz w:val="24"/>
                <w:highlight w:val="none"/>
                <w:lang w:eastAsia="zh-CN"/>
              </w:rPr>
              <w:t>6（含）分</w:t>
            </w:r>
            <w:r>
              <w:rPr>
                <w:rFonts w:hint="eastAsia" w:ascii="宋体" w:hAnsi="宋体" w:eastAsia="宋体" w:cs="宋体"/>
                <w:color w:val="auto"/>
                <w:sz w:val="24"/>
                <w:highlight w:val="none"/>
              </w:rPr>
              <w:t>-7分；</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质量管理体系与措施科学性，完整性、合理性一般得3（含）分-</w:t>
            </w:r>
            <w:r>
              <w:rPr>
                <w:rFonts w:hint="eastAsia" w:ascii="宋体" w:hAnsi="宋体" w:eastAsia="宋体" w:cs="宋体"/>
                <w:color w:val="auto"/>
                <w:sz w:val="24"/>
                <w:highlight w:val="none"/>
                <w:lang w:eastAsia="zh-CN"/>
              </w:rPr>
              <w:t>6（不含）</w:t>
            </w:r>
            <w:r>
              <w:rPr>
                <w:rFonts w:hint="eastAsia" w:ascii="宋体" w:hAnsi="宋体" w:eastAsia="宋体" w:cs="宋体"/>
                <w:color w:val="auto"/>
                <w:sz w:val="24"/>
                <w:highlight w:val="none"/>
              </w:rPr>
              <w:t>分；</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质量管理体系与措施科学性，完整性、合理性较差得1分-3（不含）分；</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无质量管理体系与措施不得分。</w:t>
            </w:r>
          </w:p>
        </w:tc>
        <w:tc>
          <w:tcPr>
            <w:tcW w:w="811" w:type="dxa"/>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分</w:t>
            </w:r>
          </w:p>
        </w:tc>
      </w:tr>
      <w:tr>
        <w:tblPrEx>
          <w:tblCellMar>
            <w:top w:w="0" w:type="dxa"/>
            <w:left w:w="108" w:type="dxa"/>
            <w:bottom w:w="0" w:type="dxa"/>
            <w:right w:w="108" w:type="dxa"/>
          </w:tblCellMar>
        </w:tblPrEx>
        <w:trPr>
          <w:trHeight w:val="416" w:hRule="atLeast"/>
          <w:jc w:val="center"/>
        </w:trPr>
        <w:tc>
          <w:tcPr>
            <w:tcW w:w="65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156" w:after="156" w:line="360" w:lineRule="auto"/>
              <w:jc w:val="center"/>
              <w:rPr>
                <w:rFonts w:hint="eastAsia" w:ascii="宋体" w:hAnsi="宋体" w:eastAsia="宋体" w:cs="宋体"/>
                <w:color w:val="auto"/>
                <w:sz w:val="22"/>
                <w:szCs w:val="22"/>
                <w:highlight w:val="none"/>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156" w:after="156" w:line="360" w:lineRule="auto"/>
              <w:jc w:val="center"/>
              <w:rPr>
                <w:rFonts w:hint="eastAsia" w:ascii="宋体" w:hAnsi="宋体" w:eastAsia="宋体" w:cs="宋体"/>
                <w:color w:val="auto"/>
                <w:sz w:val="22"/>
                <w:szCs w:val="22"/>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安全管理体系与措施</w:t>
            </w:r>
          </w:p>
        </w:tc>
        <w:tc>
          <w:tcPr>
            <w:tcW w:w="6223" w:type="dxa"/>
            <w:tcBorders>
              <w:top w:val="single" w:color="000000" w:sz="4" w:space="0"/>
              <w:left w:val="single" w:color="000000" w:sz="4" w:space="0"/>
              <w:bottom w:val="single" w:color="000000" w:sz="4" w:space="0"/>
              <w:right w:val="single" w:color="000000" w:sz="4" w:space="0"/>
            </w:tcBorders>
          </w:tcPr>
          <w:p>
            <w:pPr>
              <w:spacing w:line="360" w:lineRule="auto"/>
              <w:jc w:val="left"/>
              <w:rPr>
                <w:rFonts w:hint="eastAsia" w:ascii="宋体" w:hAnsi="宋体" w:eastAsia="宋体" w:cs="宋体"/>
                <w:color w:val="auto"/>
                <w:highlight w:val="none"/>
              </w:rPr>
            </w:pPr>
            <w:r>
              <w:rPr>
                <w:rFonts w:hint="eastAsia" w:ascii="宋体" w:hAnsi="宋体" w:eastAsia="宋体" w:cs="宋体"/>
                <w:color w:val="auto"/>
                <w:sz w:val="24"/>
                <w:highlight w:val="none"/>
              </w:rPr>
              <w:t>安全管理体系与措施科学性，完整性、合理性较强得</w:t>
            </w:r>
            <w:r>
              <w:rPr>
                <w:rFonts w:hint="eastAsia" w:ascii="宋体" w:hAnsi="宋体" w:eastAsia="宋体" w:cs="宋体"/>
                <w:color w:val="auto"/>
                <w:sz w:val="24"/>
                <w:highlight w:val="none"/>
                <w:lang w:eastAsia="zh-CN"/>
              </w:rPr>
              <w:t>6（含）分</w:t>
            </w:r>
            <w:r>
              <w:rPr>
                <w:rFonts w:hint="eastAsia" w:ascii="宋体" w:hAnsi="宋体" w:eastAsia="宋体" w:cs="宋体"/>
                <w:color w:val="auto"/>
                <w:sz w:val="24"/>
                <w:highlight w:val="none"/>
              </w:rPr>
              <w:t>-7分；</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安全管理体系与措施科学性，完整性、合理性一般得3（含）分-</w:t>
            </w:r>
            <w:r>
              <w:rPr>
                <w:rFonts w:hint="eastAsia" w:ascii="宋体" w:hAnsi="宋体" w:eastAsia="宋体" w:cs="宋体"/>
                <w:color w:val="auto"/>
                <w:sz w:val="24"/>
                <w:highlight w:val="none"/>
                <w:lang w:eastAsia="zh-CN"/>
              </w:rPr>
              <w:t>6（不含）</w:t>
            </w:r>
            <w:r>
              <w:rPr>
                <w:rFonts w:hint="eastAsia" w:ascii="宋体" w:hAnsi="宋体" w:eastAsia="宋体" w:cs="宋体"/>
                <w:color w:val="auto"/>
                <w:sz w:val="24"/>
                <w:highlight w:val="none"/>
              </w:rPr>
              <w:t>分；</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安全管理体系与措施科学性，完整性、合理性较差得1分-3（不含）分；</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无安全管理体系与措施不得分。</w:t>
            </w:r>
          </w:p>
        </w:tc>
        <w:tc>
          <w:tcPr>
            <w:tcW w:w="811" w:type="dxa"/>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分</w:t>
            </w:r>
          </w:p>
        </w:tc>
      </w:tr>
      <w:tr>
        <w:tblPrEx>
          <w:tblCellMar>
            <w:top w:w="0" w:type="dxa"/>
            <w:left w:w="108" w:type="dxa"/>
            <w:bottom w:w="0" w:type="dxa"/>
            <w:right w:w="108" w:type="dxa"/>
          </w:tblCellMar>
        </w:tblPrEx>
        <w:trPr>
          <w:trHeight w:val="645" w:hRule="atLeast"/>
          <w:jc w:val="center"/>
        </w:trPr>
        <w:tc>
          <w:tcPr>
            <w:tcW w:w="65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156" w:after="156" w:line="360" w:lineRule="auto"/>
              <w:jc w:val="center"/>
              <w:rPr>
                <w:rFonts w:hint="eastAsia" w:ascii="宋体" w:hAnsi="宋体" w:eastAsia="宋体" w:cs="宋体"/>
                <w:color w:val="auto"/>
                <w:sz w:val="22"/>
                <w:szCs w:val="22"/>
                <w:highlight w:val="none"/>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156" w:after="156" w:line="360" w:lineRule="auto"/>
              <w:jc w:val="center"/>
              <w:rPr>
                <w:rFonts w:hint="eastAsia" w:ascii="宋体" w:hAnsi="宋体" w:eastAsia="宋体" w:cs="宋体"/>
                <w:color w:val="auto"/>
                <w:sz w:val="22"/>
                <w:szCs w:val="22"/>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环保管理体系与措施</w:t>
            </w:r>
          </w:p>
        </w:tc>
        <w:tc>
          <w:tcPr>
            <w:tcW w:w="6223" w:type="dxa"/>
            <w:tcBorders>
              <w:top w:val="single" w:color="000000" w:sz="4" w:space="0"/>
              <w:left w:val="single" w:color="000000" w:sz="4" w:space="0"/>
              <w:bottom w:val="single" w:color="000000" w:sz="4" w:space="0"/>
              <w:right w:val="single" w:color="000000" w:sz="4" w:space="0"/>
            </w:tcBorders>
          </w:tcPr>
          <w:p>
            <w:pPr>
              <w:spacing w:before="156" w:after="156"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环保管理体系与措施科学性，完整性、合理性较强得</w:t>
            </w:r>
            <w:r>
              <w:rPr>
                <w:rFonts w:hint="eastAsia" w:ascii="宋体" w:hAnsi="宋体" w:eastAsia="宋体" w:cs="宋体"/>
                <w:color w:val="auto"/>
                <w:sz w:val="24"/>
                <w:highlight w:val="none"/>
                <w:lang w:eastAsia="zh-CN"/>
              </w:rPr>
              <w:t>6（含）分</w:t>
            </w:r>
            <w:r>
              <w:rPr>
                <w:rFonts w:hint="eastAsia" w:ascii="宋体" w:hAnsi="宋体" w:eastAsia="宋体" w:cs="宋体"/>
                <w:color w:val="auto"/>
                <w:sz w:val="24"/>
                <w:highlight w:val="none"/>
              </w:rPr>
              <w:t>-7分；</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环保管理体系与措施科学性，完整性、合理性一般得3（含）分-</w:t>
            </w:r>
            <w:r>
              <w:rPr>
                <w:rFonts w:hint="eastAsia" w:ascii="宋体" w:hAnsi="宋体" w:eastAsia="宋体" w:cs="宋体"/>
                <w:color w:val="auto"/>
                <w:sz w:val="24"/>
                <w:highlight w:val="none"/>
                <w:lang w:eastAsia="zh-CN"/>
              </w:rPr>
              <w:t>6（不含）</w:t>
            </w:r>
            <w:r>
              <w:rPr>
                <w:rFonts w:hint="eastAsia" w:ascii="宋体" w:hAnsi="宋体" w:eastAsia="宋体" w:cs="宋体"/>
                <w:color w:val="auto"/>
                <w:sz w:val="24"/>
                <w:highlight w:val="none"/>
              </w:rPr>
              <w:t>分；</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环保管理体系与措施科学性，完整性、合理性较差得1分-3（不含）分；</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无环保管理体系与措施不得分。</w:t>
            </w:r>
          </w:p>
        </w:tc>
        <w:tc>
          <w:tcPr>
            <w:tcW w:w="811" w:type="dxa"/>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分</w:t>
            </w:r>
          </w:p>
        </w:tc>
      </w:tr>
      <w:tr>
        <w:tblPrEx>
          <w:tblCellMar>
            <w:top w:w="0" w:type="dxa"/>
            <w:left w:w="108" w:type="dxa"/>
            <w:bottom w:w="0" w:type="dxa"/>
            <w:right w:w="108" w:type="dxa"/>
          </w:tblCellMar>
        </w:tblPrEx>
        <w:trPr>
          <w:trHeight w:val="603" w:hRule="atLeast"/>
          <w:jc w:val="center"/>
        </w:trPr>
        <w:tc>
          <w:tcPr>
            <w:tcW w:w="65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156" w:after="156" w:line="360" w:lineRule="auto"/>
              <w:jc w:val="center"/>
              <w:rPr>
                <w:rFonts w:hint="eastAsia" w:ascii="宋体" w:hAnsi="宋体" w:eastAsia="宋体" w:cs="宋体"/>
                <w:color w:val="auto"/>
                <w:sz w:val="22"/>
                <w:szCs w:val="22"/>
                <w:highlight w:val="none"/>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156" w:after="156" w:line="360" w:lineRule="auto"/>
              <w:jc w:val="center"/>
              <w:rPr>
                <w:rFonts w:hint="eastAsia" w:ascii="宋体" w:hAnsi="宋体" w:eastAsia="宋体" w:cs="宋体"/>
                <w:color w:val="auto"/>
                <w:sz w:val="22"/>
                <w:szCs w:val="22"/>
                <w:highlight w:val="none"/>
              </w:rPr>
            </w:pPr>
          </w:p>
        </w:tc>
        <w:tc>
          <w:tcPr>
            <w:tcW w:w="1032" w:type="dxa"/>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工程进度计划与措施</w:t>
            </w:r>
          </w:p>
        </w:tc>
        <w:tc>
          <w:tcPr>
            <w:tcW w:w="6223" w:type="dxa"/>
            <w:tcBorders>
              <w:top w:val="single" w:color="000000" w:sz="4" w:space="0"/>
              <w:left w:val="single" w:color="000000" w:sz="4" w:space="0"/>
              <w:bottom w:val="single" w:color="000000" w:sz="4" w:space="0"/>
              <w:right w:val="single" w:color="000000" w:sz="4" w:space="0"/>
            </w:tcBorders>
          </w:tcPr>
          <w:p>
            <w:pPr>
              <w:spacing w:before="156" w:after="156"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工程进度计划与措施完整性、科学性、合理性强，得</w:t>
            </w:r>
            <w:r>
              <w:rPr>
                <w:rFonts w:hint="eastAsia" w:ascii="宋体" w:hAnsi="宋体" w:eastAsia="宋体" w:cs="宋体"/>
                <w:color w:val="auto"/>
                <w:sz w:val="24"/>
                <w:highlight w:val="none"/>
                <w:lang w:eastAsia="zh-CN"/>
              </w:rPr>
              <w:t>6（含）分</w:t>
            </w:r>
            <w:r>
              <w:rPr>
                <w:rFonts w:hint="eastAsia" w:ascii="宋体" w:hAnsi="宋体" w:eastAsia="宋体" w:cs="宋体"/>
                <w:color w:val="auto"/>
                <w:sz w:val="24"/>
                <w:highlight w:val="none"/>
              </w:rPr>
              <w:t>-7分；</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工程进度计划与措施完整性、科学性、合理性较一般，得3（含）分-</w:t>
            </w:r>
            <w:r>
              <w:rPr>
                <w:rFonts w:hint="eastAsia" w:ascii="宋体" w:hAnsi="宋体" w:eastAsia="宋体" w:cs="宋体"/>
                <w:color w:val="auto"/>
                <w:sz w:val="24"/>
                <w:highlight w:val="none"/>
                <w:lang w:eastAsia="zh-CN"/>
              </w:rPr>
              <w:t>6（不含）</w:t>
            </w:r>
            <w:r>
              <w:rPr>
                <w:rFonts w:hint="eastAsia" w:ascii="宋体" w:hAnsi="宋体" w:eastAsia="宋体" w:cs="宋体"/>
                <w:color w:val="auto"/>
                <w:sz w:val="24"/>
                <w:highlight w:val="none"/>
              </w:rPr>
              <w:t>分；</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工程进度计划与措施完整性、科学性、合理性较差，</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得1分-3（不含）分；</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无工程进度计划与措施不得分。</w:t>
            </w:r>
          </w:p>
        </w:tc>
        <w:tc>
          <w:tcPr>
            <w:tcW w:w="811" w:type="dxa"/>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分</w:t>
            </w:r>
          </w:p>
        </w:tc>
      </w:tr>
      <w:tr>
        <w:tblPrEx>
          <w:tblCellMar>
            <w:top w:w="0" w:type="dxa"/>
            <w:left w:w="108" w:type="dxa"/>
            <w:bottom w:w="0" w:type="dxa"/>
            <w:right w:w="108" w:type="dxa"/>
          </w:tblCellMar>
        </w:tblPrEx>
        <w:trPr>
          <w:trHeight w:val="9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2</w:t>
            </w:r>
          </w:p>
        </w:tc>
        <w:tc>
          <w:tcPr>
            <w:tcW w:w="1741" w:type="dxa"/>
            <w:gridSpan w:val="2"/>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项目管理机构</w:t>
            </w:r>
          </w:p>
        </w:tc>
        <w:tc>
          <w:tcPr>
            <w:tcW w:w="6223" w:type="dxa"/>
            <w:tcBorders>
              <w:top w:val="single" w:color="000000" w:sz="4" w:space="0"/>
              <w:left w:val="single" w:color="000000" w:sz="4" w:space="0"/>
              <w:bottom w:val="single" w:color="000000" w:sz="4" w:space="0"/>
              <w:right w:val="single" w:color="000000" w:sz="4" w:space="0"/>
            </w:tcBorders>
          </w:tcPr>
          <w:p>
            <w:pPr>
              <w:spacing w:before="156" w:after="156"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1、配备施工员、安全员、质量员、资料员，每配备一个得3分，满分12分。</w:t>
            </w:r>
          </w:p>
          <w:p>
            <w:pPr>
              <w:spacing w:before="156" w:after="156"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证明材料：响应文件中</w:t>
            </w:r>
            <w:r>
              <w:rPr>
                <w:rFonts w:hint="eastAsia" w:ascii="宋体" w:hAnsi="宋体" w:eastAsia="宋体" w:cs="宋体"/>
                <w:color w:val="auto"/>
                <w:sz w:val="24"/>
                <w:highlight w:val="none"/>
                <w:lang w:eastAsia="zh-CN"/>
              </w:rPr>
              <w:t>须</w:t>
            </w:r>
            <w:r>
              <w:rPr>
                <w:rFonts w:hint="eastAsia" w:ascii="宋体" w:hAnsi="宋体" w:eastAsia="宋体" w:cs="宋体"/>
                <w:color w:val="auto"/>
                <w:sz w:val="24"/>
                <w:highlight w:val="none"/>
              </w:rPr>
              <w:t>提供施工员、安全员、质量员、资料员等岗位资格证书复印件</w:t>
            </w:r>
            <w:r>
              <w:rPr>
                <w:rFonts w:hint="eastAsia" w:ascii="宋体" w:hAnsi="宋体" w:eastAsia="宋体" w:cs="宋体"/>
                <w:color w:val="auto"/>
                <w:sz w:val="24"/>
                <w:highlight w:val="none"/>
                <w:lang w:eastAsia="zh-CN"/>
              </w:rPr>
              <w:t>加盖公章</w:t>
            </w:r>
            <w:r>
              <w:rPr>
                <w:rFonts w:hint="eastAsia" w:ascii="宋体" w:hAnsi="宋体" w:eastAsia="宋体" w:cs="宋体"/>
                <w:color w:val="auto"/>
                <w:sz w:val="24"/>
                <w:highlight w:val="none"/>
              </w:rPr>
              <w:t>，在本单位缴纳2022年7月至今任意3个月社保证明（养老保险）的凭证复印件</w:t>
            </w:r>
            <w:r>
              <w:rPr>
                <w:rFonts w:hint="eastAsia" w:ascii="宋体" w:hAnsi="宋体" w:eastAsia="宋体" w:cs="宋体"/>
                <w:color w:val="auto"/>
                <w:sz w:val="24"/>
                <w:highlight w:val="none"/>
                <w:lang w:eastAsia="zh-CN"/>
              </w:rPr>
              <w:t>加盖公章</w:t>
            </w:r>
            <w:r>
              <w:rPr>
                <w:rFonts w:hint="eastAsia" w:ascii="宋体" w:hAnsi="宋体" w:eastAsia="宋体" w:cs="宋体"/>
                <w:color w:val="auto"/>
                <w:sz w:val="24"/>
                <w:highlight w:val="none"/>
              </w:rPr>
              <w:t>。不满足不得分。</w:t>
            </w:r>
          </w:p>
          <w:p>
            <w:pPr>
              <w:spacing w:before="156" w:after="156"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根据《海南省建设工程和质量安全监督管理局关于“安管人员”考核合格证书停发情况说明》。因全国各省市建设行政主管部门颁发的安全员证书名称不一致，存在部分省市不颁发安全员岗位证书，因此海南省外的其他省市如不颁发安全员岗位证书的，供应商的安全员须提供有效的安全生产考核合格证，无需提供安全员岗位证书。</w:t>
            </w:r>
          </w:p>
        </w:tc>
        <w:tc>
          <w:tcPr>
            <w:tcW w:w="811" w:type="dxa"/>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lang w:val="en-US" w:eastAsia="zh-CN"/>
              </w:rPr>
              <w:t>12</w:t>
            </w:r>
            <w:r>
              <w:rPr>
                <w:rFonts w:hint="eastAsia" w:ascii="宋体" w:hAnsi="宋体" w:eastAsia="宋体" w:cs="宋体"/>
                <w:color w:val="auto"/>
                <w:sz w:val="24"/>
                <w:highlight w:val="none"/>
              </w:rPr>
              <w:t>分</w:t>
            </w:r>
          </w:p>
        </w:tc>
      </w:tr>
      <w:tr>
        <w:tblPrEx>
          <w:tblCellMar>
            <w:top w:w="0" w:type="dxa"/>
            <w:left w:w="108" w:type="dxa"/>
            <w:bottom w:w="0" w:type="dxa"/>
            <w:right w:w="108" w:type="dxa"/>
          </w:tblCellMar>
        </w:tblPrEx>
        <w:trPr>
          <w:trHeight w:val="1857"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3</w:t>
            </w:r>
          </w:p>
        </w:tc>
        <w:tc>
          <w:tcPr>
            <w:tcW w:w="1741" w:type="dxa"/>
            <w:gridSpan w:val="2"/>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类似业绩</w:t>
            </w:r>
          </w:p>
        </w:tc>
        <w:tc>
          <w:tcPr>
            <w:tcW w:w="6223" w:type="dxa"/>
            <w:tcBorders>
              <w:top w:val="single" w:color="000000" w:sz="4" w:space="0"/>
              <w:left w:val="single" w:color="000000" w:sz="4" w:space="0"/>
              <w:bottom w:val="single" w:color="000000" w:sz="4" w:space="0"/>
              <w:right w:val="single" w:color="000000" w:sz="4" w:space="0"/>
            </w:tcBorders>
          </w:tcPr>
          <w:p>
            <w:pPr>
              <w:spacing w:before="156" w:after="156"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供应商2019年1月1日至今每承接过1个公路工程或者公路养护工程施工相关业绩的得10分，满分30分。</w:t>
            </w:r>
          </w:p>
          <w:p>
            <w:pPr>
              <w:spacing w:before="156" w:after="156"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证明材料：响应文件中每提供一个施工合同或中标通知书（或成交通知书）复印件。 </w:t>
            </w:r>
          </w:p>
        </w:tc>
        <w:tc>
          <w:tcPr>
            <w:tcW w:w="811" w:type="dxa"/>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分</w:t>
            </w:r>
          </w:p>
        </w:tc>
      </w:tr>
      <w:tr>
        <w:tblPrEx>
          <w:tblCellMar>
            <w:top w:w="0" w:type="dxa"/>
            <w:left w:w="108" w:type="dxa"/>
            <w:bottom w:w="0" w:type="dxa"/>
            <w:right w:w="108" w:type="dxa"/>
          </w:tblCellMar>
        </w:tblPrEx>
        <w:trPr>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4</w:t>
            </w:r>
          </w:p>
        </w:tc>
        <w:tc>
          <w:tcPr>
            <w:tcW w:w="1741" w:type="dxa"/>
            <w:gridSpan w:val="2"/>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投标报价得分</w:t>
            </w:r>
          </w:p>
        </w:tc>
        <w:tc>
          <w:tcPr>
            <w:tcW w:w="6223" w:type="dxa"/>
            <w:tcBorders>
              <w:top w:val="single" w:color="000000" w:sz="4" w:space="0"/>
              <w:left w:val="single" w:color="000000" w:sz="4" w:space="0"/>
              <w:bottom w:val="single" w:color="000000" w:sz="4" w:space="0"/>
              <w:right w:val="single" w:color="000000" w:sz="4" w:space="0"/>
            </w:tcBorders>
          </w:tcPr>
          <w:p>
            <w:pPr>
              <w:spacing w:before="156" w:after="156"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满足竞争性磋商文件要求且价格最低的投标价为基准价，价格分统一按照下列公式计算：价格分=(基准价／投标报价)×价格权值×100</w:t>
            </w:r>
          </w:p>
        </w:tc>
        <w:tc>
          <w:tcPr>
            <w:tcW w:w="811" w:type="dxa"/>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0分</w:t>
            </w:r>
          </w:p>
        </w:tc>
      </w:tr>
      <w:tr>
        <w:tblPrEx>
          <w:tblCellMar>
            <w:top w:w="0" w:type="dxa"/>
            <w:left w:w="108" w:type="dxa"/>
            <w:bottom w:w="0" w:type="dxa"/>
            <w:right w:w="108" w:type="dxa"/>
          </w:tblCellMar>
        </w:tblPrEx>
        <w:trPr>
          <w:jc w:val="center"/>
        </w:trPr>
        <w:tc>
          <w:tcPr>
            <w:tcW w:w="8623" w:type="dxa"/>
            <w:gridSpan w:val="4"/>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满分</w:t>
            </w:r>
          </w:p>
        </w:tc>
        <w:tc>
          <w:tcPr>
            <w:tcW w:w="811" w:type="dxa"/>
            <w:tcBorders>
              <w:top w:val="single" w:color="000000" w:sz="4" w:space="0"/>
              <w:left w:val="single" w:color="000000" w:sz="4" w:space="0"/>
              <w:bottom w:val="single" w:color="000000" w:sz="4" w:space="0"/>
              <w:right w:val="single" w:color="000000" w:sz="4" w:space="0"/>
            </w:tcBorders>
            <w:vAlign w:val="center"/>
          </w:tcPr>
          <w:p>
            <w:pPr>
              <w:spacing w:before="156" w:after="156"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100分</w:t>
            </w:r>
          </w:p>
        </w:tc>
      </w:tr>
    </w:tbl>
    <w:p>
      <w:pPr>
        <w:pStyle w:val="3"/>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26" w:name="_Toc20754"/>
      <w:r>
        <w:rPr>
          <w:rFonts w:hint="eastAsia" w:ascii="宋体" w:hAnsi="宋体" w:eastAsia="宋体" w:cs="宋体"/>
          <w:color w:val="auto"/>
          <w:highlight w:val="none"/>
        </w:rPr>
        <w:t>第三章 采购要求</w:t>
      </w:r>
      <w:bookmarkEnd w:id="26"/>
    </w:p>
    <w:p>
      <w:pPr>
        <w:spacing w:line="360" w:lineRule="auto"/>
        <w:ind w:firstLine="48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一、项目概况 </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1、项目编号：</w:t>
      </w:r>
      <w:r>
        <w:rPr>
          <w:rFonts w:hint="eastAsia" w:ascii="宋体" w:hAnsi="宋体" w:eastAsia="宋体" w:cs="宋体"/>
          <w:color w:val="auto"/>
          <w:sz w:val="24"/>
          <w:highlight w:val="none"/>
          <w:lang w:eastAsia="zh-CN"/>
        </w:rPr>
        <w:t>SCTCHN-2023-001</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2、项目名称：</w:t>
      </w:r>
      <w:r>
        <w:rPr>
          <w:rFonts w:hint="eastAsia" w:ascii="宋体" w:hAnsi="宋体" w:eastAsia="宋体" w:cs="宋体"/>
          <w:color w:val="auto"/>
          <w:sz w:val="24"/>
          <w:highlight w:val="none"/>
          <w:lang w:eastAsia="zh-CN"/>
        </w:rPr>
        <w:t>G223海榆东线安全设施精细化提升工程（K276+350-K307+000)</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3、采购方式：竞争性磋商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4、预算金额：¥</w:t>
      </w:r>
      <w:r>
        <w:rPr>
          <w:rFonts w:hint="eastAsia" w:ascii="宋体" w:hAnsi="宋体" w:eastAsia="宋体" w:cs="宋体"/>
          <w:color w:val="auto"/>
          <w:sz w:val="24"/>
          <w:highlight w:val="none"/>
          <w:lang w:eastAsia="zh-CN"/>
        </w:rPr>
        <w:t>3691941.00</w:t>
      </w:r>
      <w:r>
        <w:rPr>
          <w:rFonts w:hint="eastAsia" w:ascii="宋体" w:hAnsi="宋体" w:eastAsia="宋体" w:cs="宋体"/>
          <w:color w:val="auto"/>
          <w:sz w:val="24"/>
          <w:highlight w:val="none"/>
        </w:rPr>
        <w:t>元；最高限价（如有）：¥</w:t>
      </w:r>
      <w:r>
        <w:rPr>
          <w:rFonts w:hint="eastAsia" w:ascii="宋体" w:hAnsi="宋体" w:eastAsia="宋体" w:cs="宋体"/>
          <w:color w:val="auto"/>
          <w:sz w:val="24"/>
          <w:highlight w:val="none"/>
          <w:lang w:eastAsia="zh-CN"/>
        </w:rPr>
        <w:t>3691941.00</w:t>
      </w:r>
      <w:r>
        <w:rPr>
          <w:rFonts w:hint="eastAsia" w:ascii="宋体" w:hAnsi="宋体" w:eastAsia="宋体" w:cs="宋体"/>
          <w:color w:val="auto"/>
          <w:sz w:val="24"/>
          <w:highlight w:val="none"/>
        </w:rPr>
        <w:t>元（超过最高限价按无效投标处理）。</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5、项目建设地址：海南省三亚市吉阳区。</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6、项目建设规模和内容：</w:t>
      </w:r>
      <w:r>
        <w:rPr>
          <w:rFonts w:hint="eastAsia" w:ascii="宋体" w:hAnsi="宋体" w:eastAsia="宋体" w:cs="宋体"/>
          <w:color w:val="auto"/>
          <w:sz w:val="24"/>
          <w:highlight w:val="none"/>
          <w:lang w:eastAsia="zh-CN"/>
        </w:rPr>
        <w:t>本项目位于三亚市G223海榆东线(K276+350~K307+000)道路等级为二级公路，设计速度为60km/h，现状为沥青混凝土路面。路面结构层厚度为4cm细粒式沥青混凝土(AC-13C)上面层+6cm中粒式沥青混凝土(AC-20C)下面层+32cm水泥稳定碎石基层+15cm级配碎石底基层。现状沥青混凝土路面结构完好,道路附属设施均完善，本次项目主要涉及自发光路面标识(自发光钢化玻璃道钉、智能地埋式圆形路面标识)的增设、竹落岭隧道出入口波形护栏的增设及竹落岭隧道蓄能自发光应急诱导系统的增设。</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7、合同履行期限：</w:t>
      </w:r>
      <w:r>
        <w:rPr>
          <w:rFonts w:hint="eastAsia" w:ascii="宋体" w:hAnsi="宋体" w:eastAsia="宋体" w:cs="宋体"/>
          <w:color w:val="auto"/>
          <w:sz w:val="24"/>
          <w:highlight w:val="none"/>
          <w:lang w:eastAsia="zh-CN"/>
        </w:rPr>
        <w:t>720日历天，其中施工期180日历天，交工准备期180日历天，缺陷责任期360日历天</w:t>
      </w:r>
      <w:r>
        <w:rPr>
          <w:rFonts w:hint="eastAsia" w:ascii="宋体" w:hAnsi="宋体" w:eastAsia="宋体" w:cs="宋体"/>
          <w:color w:val="auto"/>
          <w:sz w:val="24"/>
          <w:highlight w:val="none"/>
        </w:rPr>
        <w:t>。</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8、质量标准：合格。</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二、预算金额</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3691941.00</w:t>
      </w:r>
      <w:r>
        <w:rPr>
          <w:rFonts w:hint="eastAsia" w:ascii="宋体" w:hAnsi="宋体" w:eastAsia="宋体" w:cs="宋体"/>
          <w:color w:val="auto"/>
          <w:sz w:val="24"/>
          <w:highlight w:val="none"/>
        </w:rPr>
        <w:t>元；最高限价（如有）：¥</w:t>
      </w:r>
      <w:r>
        <w:rPr>
          <w:rFonts w:hint="eastAsia" w:ascii="宋体" w:hAnsi="宋体" w:eastAsia="宋体" w:cs="宋体"/>
          <w:color w:val="auto"/>
          <w:sz w:val="24"/>
          <w:highlight w:val="none"/>
          <w:lang w:eastAsia="zh-CN"/>
        </w:rPr>
        <w:t>3691941.00</w:t>
      </w:r>
      <w:r>
        <w:rPr>
          <w:rFonts w:hint="eastAsia" w:ascii="宋体" w:hAnsi="宋体" w:eastAsia="宋体" w:cs="宋体"/>
          <w:color w:val="auto"/>
          <w:sz w:val="24"/>
          <w:highlight w:val="none"/>
        </w:rPr>
        <w:t>元</w:t>
      </w:r>
    </w:p>
    <w:p>
      <w:pPr>
        <w:spacing w:line="360" w:lineRule="auto"/>
        <w:ind w:firstLine="48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三、付款方式</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G223海榆东线安全设施精细化提升工程（K276+350-K307+000)</w:t>
      </w:r>
      <w:r>
        <w:rPr>
          <w:rFonts w:hint="eastAsia" w:ascii="宋体" w:hAnsi="宋体" w:eastAsia="宋体" w:cs="宋体"/>
          <w:color w:val="auto"/>
          <w:sz w:val="24"/>
          <w:highlight w:val="none"/>
        </w:rPr>
        <w:t>按计量支付，</w:t>
      </w:r>
      <w:r>
        <w:rPr>
          <w:rFonts w:hint="eastAsia" w:ascii="宋体" w:hAnsi="宋体" w:eastAsia="宋体" w:cs="宋体"/>
          <w:color w:val="auto"/>
          <w:sz w:val="24"/>
          <w:highlight w:val="none"/>
          <w:lang w:eastAsia="zh-CN"/>
        </w:rPr>
        <w:t>采购人根据验收结果拨付给成交人服务费，成交人收款时需开具有效发票</w:t>
      </w:r>
      <w:r>
        <w:rPr>
          <w:rFonts w:hint="eastAsia" w:ascii="宋体" w:hAnsi="宋体" w:eastAsia="宋体" w:cs="宋体"/>
          <w:color w:val="auto"/>
          <w:sz w:val="24"/>
          <w:highlight w:val="none"/>
        </w:rPr>
        <w:t>。</w:t>
      </w:r>
    </w:p>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sz w:val="24"/>
          <w:highlight w:val="none"/>
        </w:rPr>
      </w:pPr>
    </w:p>
    <w:p>
      <w:pPr>
        <w:pStyle w:val="38"/>
        <w:spacing w:line="360" w:lineRule="auto"/>
        <w:jc w:val="center"/>
        <w:rPr>
          <w:rFonts w:hint="eastAsia" w:ascii="宋体" w:hAnsi="宋体" w:eastAsia="宋体" w:cs="宋体"/>
          <w:color w:val="auto"/>
          <w:highlight w:val="none"/>
        </w:rPr>
      </w:pPr>
      <w:r>
        <w:rPr>
          <w:rFonts w:hint="eastAsia" w:ascii="宋体" w:hAnsi="宋体" w:eastAsia="宋体" w:cs="宋体"/>
          <w:b/>
          <w:color w:val="auto"/>
          <w:sz w:val="44"/>
          <w:szCs w:val="44"/>
          <w:highlight w:val="none"/>
        </w:rPr>
        <w:br w:type="page"/>
      </w:r>
      <w:bookmarkStart w:id="27" w:name="_Toc20832"/>
      <w:r>
        <w:rPr>
          <w:rStyle w:val="22"/>
          <w:rFonts w:hint="eastAsia" w:ascii="宋体" w:hAnsi="宋体" w:eastAsia="宋体" w:cs="宋体"/>
          <w:color w:val="auto"/>
          <w:highlight w:val="none"/>
        </w:rPr>
        <w:t>第四章 清单、图纸（另册）</w:t>
      </w:r>
      <w:bookmarkEnd w:id="27"/>
    </w:p>
    <w:p>
      <w:pPr>
        <w:spacing w:line="480" w:lineRule="auto"/>
        <w:rPr>
          <w:rFonts w:hint="eastAsia" w:ascii="宋体" w:hAnsi="宋体" w:eastAsia="宋体" w:cs="宋体"/>
          <w:b/>
          <w:color w:val="auto"/>
          <w:sz w:val="24"/>
          <w:szCs w:val="24"/>
          <w:highlight w:val="none"/>
        </w:rPr>
      </w:pPr>
      <w:bookmarkStart w:id="28" w:name="_Toc11481"/>
      <w:r>
        <w:rPr>
          <w:rFonts w:hint="eastAsia" w:ascii="宋体" w:hAnsi="宋体" w:eastAsia="宋体" w:cs="宋体"/>
          <w:b/>
          <w:color w:val="auto"/>
          <w:sz w:val="24"/>
          <w:szCs w:val="24"/>
          <w:highlight w:val="none"/>
        </w:rPr>
        <w:t>1、工程量清单说明</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 本工程量清单应与招标文件中的投标人须知、通用合同条款、专用合同条款、技术规范及图纸等一起阅读和理解。</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1.3 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的规定，由监理人确定的单价或总额价计算支付额。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 工程量清单中所列工程量的变动，丝毫不会降低或影响合同条款的效力，也不免除承包人按规定的标准进行施工和修复缺陷的责任。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 图纸中所列的工程数量表及数量汇总表仅是提供资料，不是工程量清单的外延。当图纸与工程量清单所列数量不一致时，以工程量清单所列数量作为报价的依据。</w:t>
      </w:r>
    </w:p>
    <w:p>
      <w:pPr>
        <w:spacing w:line="48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2、投标报价说明</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 工程量清单中的每一子目须填入单价或价格，且只允许有一个报价。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 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 符合合同条款规定的全部费用应认为已被计入有标价的工程量清单所列各子目之中，未列子目不予计量的工作，其费用应视为已分摊在本合同工程的有关子目的单价或总额价之中。</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 承包人用于本合同工程的各类装备的提供、运输、维护、拆却、拼装等支付的费用，已包括在工程量清单的单价与总额价之中。</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 工程量清单中各项金额均以人民币（元）结算。</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2.7 </w:t>
      </w:r>
      <w:r>
        <w:rPr>
          <w:rFonts w:hint="eastAsia" w:ascii="宋体" w:hAnsi="宋体" w:eastAsia="宋体" w:cs="宋体"/>
          <w:color w:val="auto"/>
          <w:sz w:val="24"/>
          <w:szCs w:val="24"/>
          <w:highlight w:val="none"/>
        </w:rPr>
        <w:t>暂列金额（不含计日工总额）的数量及拟用子目的说明：暂列金额按本合同工程量清单第100章至第</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00章合计价减去所有暂估价后的3%计列并包含于投标总价。 </w:t>
      </w:r>
    </w:p>
    <w:p>
      <w:pPr>
        <w:spacing w:line="48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3、其他说明</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 工程一切险的投保金额为工程量清单第100章（不含工程一切险和第三者责任险的保险费）至第700章的合计金额，保险费率为</w:t>
      </w:r>
      <w:r>
        <w:rPr>
          <w:rFonts w:hint="eastAsia" w:ascii="宋体" w:hAnsi="宋体" w:eastAsia="宋体" w:cs="宋体"/>
          <w:color w:val="auto"/>
          <w:sz w:val="24"/>
          <w:szCs w:val="24"/>
          <w:highlight w:val="none"/>
          <w:u w:val="single"/>
        </w:rPr>
        <w:t>2.5‰</w:t>
      </w:r>
      <w:r>
        <w:rPr>
          <w:rFonts w:hint="eastAsia" w:ascii="宋体" w:hAnsi="宋体" w:eastAsia="宋体" w:cs="宋体"/>
          <w:color w:val="auto"/>
          <w:sz w:val="24"/>
          <w:szCs w:val="24"/>
          <w:highlight w:val="none"/>
        </w:rPr>
        <w:t>；第三者责任险的最低投保金额为100万元，保险费率为</w:t>
      </w:r>
      <w:r>
        <w:rPr>
          <w:rFonts w:hint="eastAsia" w:ascii="宋体" w:hAnsi="宋体" w:eastAsia="宋体" w:cs="宋体"/>
          <w:color w:val="auto"/>
          <w:sz w:val="24"/>
          <w:szCs w:val="24"/>
          <w:highlight w:val="none"/>
          <w:u w:val="single"/>
        </w:rPr>
        <w:t>2.5‰</w:t>
      </w:r>
      <w:r>
        <w:rPr>
          <w:rFonts w:hint="eastAsia" w:ascii="宋体" w:hAnsi="宋体" w:eastAsia="宋体" w:cs="宋体"/>
          <w:color w:val="auto"/>
          <w:sz w:val="24"/>
          <w:szCs w:val="24"/>
          <w:highlight w:val="none"/>
        </w:rPr>
        <w:t>，事故次数不限(不计免赔额)。</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 安全生产费按</w:t>
      </w:r>
      <w:r>
        <w:rPr>
          <w:rFonts w:hint="eastAsia" w:ascii="宋体" w:hAnsi="宋体" w:eastAsia="宋体" w:cs="宋体"/>
          <w:color w:val="auto"/>
          <w:sz w:val="24"/>
          <w:szCs w:val="24"/>
          <w:highlight w:val="none"/>
          <w:lang w:eastAsia="zh-CN"/>
        </w:rPr>
        <w:t>最高</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lang w:eastAsia="zh-CN"/>
        </w:rPr>
        <w:t>限价</w:t>
      </w:r>
      <w:r>
        <w:rPr>
          <w:rFonts w:hint="eastAsia" w:ascii="宋体" w:hAnsi="宋体" w:eastAsia="宋体" w:cs="宋体"/>
          <w:color w:val="auto"/>
          <w:sz w:val="24"/>
          <w:szCs w:val="24"/>
          <w:highlight w:val="none"/>
        </w:rPr>
        <w:t>的1.5%填报。</w:t>
      </w:r>
    </w:p>
    <w:p>
      <w:p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3.3 投标人报价时，细目102-4信息化系统，按3000元填报，投标人报价时不得调整。</w:t>
      </w:r>
    </w:p>
    <w:p>
      <w:pPr>
        <w:pageBreakBefore w:val="0"/>
        <w:kinsoku/>
        <w:wordWrap/>
        <w:overflowPunct/>
        <w:topLinePunct w:val="0"/>
        <w:bidi w:val="0"/>
        <w:adjustRightInd/>
        <w:snapToGrid/>
        <w:spacing w:line="360" w:lineRule="auto"/>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br w:type="page"/>
      </w:r>
    </w:p>
    <w:tbl>
      <w:tblPr>
        <w:tblW w:w="9165"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48"/>
        <w:gridCol w:w="4041"/>
        <w:gridCol w:w="759"/>
        <w:gridCol w:w="1139"/>
        <w:gridCol w:w="1139"/>
        <w:gridCol w:w="1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9168" w:type="dxa"/>
            <w:gridSpan w:val="6"/>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 xml:space="preserve">  5.1 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9168" w:type="dxa"/>
            <w:gridSpan w:val="6"/>
            <w:tcBorders>
              <w:top w:val="nil"/>
              <w:left w:val="nil"/>
              <w:bottom w:val="nil"/>
              <w:right w:val="nil"/>
            </w:tcBorders>
            <w:shd w:val="clear" w:color="auto" w:fill="FFFFFF"/>
            <w:vAlign w:val="top"/>
          </w:tcPr>
          <w:p>
            <w:pPr>
              <w:keepNext w:val="0"/>
              <w:keepLines w:val="0"/>
              <w:widowControl/>
              <w:suppressLineNumbers w:val="0"/>
              <w:jc w:val="center"/>
              <w:textAlignment w:val="top"/>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trPr>
        <w:tc>
          <w:tcPr>
            <w:tcW w:w="9168"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清单  第100章  总 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子目号</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子目名称</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单位</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数量</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单价</w:t>
            </w:r>
          </w:p>
        </w:tc>
        <w:tc>
          <w:tcPr>
            <w:tcW w:w="1139"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101</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通则</w:t>
            </w:r>
          </w:p>
        </w:tc>
        <w:tc>
          <w:tcPr>
            <w:tcW w:w="7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eastAsia"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101-1</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保险费</w:t>
            </w:r>
          </w:p>
        </w:tc>
        <w:tc>
          <w:tcPr>
            <w:tcW w:w="7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-a</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按合同条款规定，提供建筑工程一切险</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总额</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1</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-b</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按合同条款规定，提供第三者责任险</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总额</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1</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102</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工程管理</w:t>
            </w:r>
          </w:p>
        </w:tc>
        <w:tc>
          <w:tcPr>
            <w:tcW w:w="7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102-1</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竣工文件</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总额</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1</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102-3</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安全生产费</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总额</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1</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102-4</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信息化系统</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总额</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1</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103</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临时工程与设施</w:t>
            </w:r>
          </w:p>
        </w:tc>
        <w:tc>
          <w:tcPr>
            <w:tcW w:w="7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103-6</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临时交通设施</w:t>
            </w:r>
          </w:p>
        </w:tc>
        <w:tc>
          <w:tcPr>
            <w:tcW w:w="7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-a</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施工标志牌（120cm*40cm）</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75</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-b</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施工标志牌（A60cm）</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20</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-c</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锥形反光桶</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75</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-d</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安全带</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m</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2500</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-e</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施工警告灯</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25</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104</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承包人驻地建设</w:t>
            </w:r>
          </w:p>
        </w:tc>
        <w:tc>
          <w:tcPr>
            <w:tcW w:w="7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104-1</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承包人驻地建设</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总额</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1</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043"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168" w:type="dxa"/>
            <w:gridSpan w:val="6"/>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清单  第100章  合计   人民币           元</w:t>
            </w:r>
          </w:p>
        </w:tc>
      </w:tr>
    </w:tbl>
    <w:p>
      <w:pPr>
        <w:pageBreakBefore w:val="0"/>
        <w:kinsoku/>
        <w:wordWrap/>
        <w:overflowPunct/>
        <w:topLinePunct w:val="0"/>
        <w:bidi w:val="0"/>
        <w:adjustRightInd/>
        <w:snapToGrid/>
        <w:spacing w:line="360" w:lineRule="auto"/>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br w:type="page"/>
      </w:r>
    </w:p>
    <w:tbl>
      <w:tblPr>
        <w:tblW w:w="9165"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48"/>
        <w:gridCol w:w="4041"/>
        <w:gridCol w:w="759"/>
        <w:gridCol w:w="1139"/>
        <w:gridCol w:w="1139"/>
        <w:gridCol w:w="1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9168" w:type="dxa"/>
            <w:gridSpan w:val="6"/>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 xml:space="preserve">  5.1 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9168" w:type="dxa"/>
            <w:gridSpan w:val="6"/>
            <w:tcBorders>
              <w:top w:val="nil"/>
              <w:left w:val="nil"/>
              <w:bottom w:val="nil"/>
              <w:right w:val="nil"/>
            </w:tcBorders>
            <w:shd w:val="clear" w:color="auto" w:fill="FFFFFF"/>
            <w:vAlign w:val="top"/>
          </w:tcPr>
          <w:p>
            <w:pPr>
              <w:keepNext w:val="0"/>
              <w:keepLines w:val="0"/>
              <w:widowControl/>
              <w:suppressLineNumbers w:val="0"/>
              <w:jc w:val="center"/>
              <w:textAlignment w:val="top"/>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trPr>
        <w:tc>
          <w:tcPr>
            <w:tcW w:w="9168"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清单  第600章  安全设施及预埋管线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子目号</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子目名称</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单位</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数量</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单价</w:t>
            </w:r>
          </w:p>
        </w:tc>
        <w:tc>
          <w:tcPr>
            <w:tcW w:w="1139"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602</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护栏</w:t>
            </w:r>
          </w:p>
        </w:tc>
        <w:tc>
          <w:tcPr>
            <w:tcW w:w="7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eastAsia"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602-3</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波形梁钢护栏</w:t>
            </w:r>
          </w:p>
        </w:tc>
        <w:tc>
          <w:tcPr>
            <w:tcW w:w="7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-a</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路侧波形梁钢护栏</w:t>
            </w:r>
          </w:p>
        </w:tc>
        <w:tc>
          <w:tcPr>
            <w:tcW w:w="7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-a-1</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Gr-A-2E</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m</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400</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-c</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波形梁钢护栏端头</w:t>
            </w:r>
          </w:p>
        </w:tc>
        <w:tc>
          <w:tcPr>
            <w:tcW w:w="7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-c-1</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地锚式端头</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8</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-c-2</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圆形端头</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8</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604</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道路交通标志</w:t>
            </w:r>
          </w:p>
        </w:tc>
        <w:tc>
          <w:tcPr>
            <w:tcW w:w="7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604-8</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里程碑</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32</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604-10</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百米桩</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276</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609</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蓄能自发光交通标识</w:t>
            </w:r>
          </w:p>
        </w:tc>
        <w:tc>
          <w:tcPr>
            <w:tcW w:w="7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609-1</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智能自发光同步预警标</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108</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609-2</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智能自发光圆形柱帽</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204</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609-3</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750mm弹性警示柱</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216</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609-4</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自发光钢化玻璃道钉</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12050</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609-5</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智能地埋式圆形路面标识</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2110</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609-6</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京式护栏</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m</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200</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610</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隧道自发光诱导与照明系统设置</w:t>
            </w:r>
          </w:p>
        </w:tc>
        <w:tc>
          <w:tcPr>
            <w:tcW w:w="7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610-1</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智能圆形柱帽标识</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320</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610-2</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智能自发光圆形标识</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60</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610-3</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钢化蓄能自发光玻璃道钉</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696</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610-4</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反光U型构件</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环</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58</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610-5</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电光蓄能自发光应急诱导装置</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116</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610-6</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波纹型反光诱导标</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420</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610-7</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侧边诱导标</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420</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043"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168" w:type="dxa"/>
            <w:gridSpan w:val="6"/>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清单  第600章  合计   人民币           元</w:t>
            </w:r>
          </w:p>
        </w:tc>
      </w:tr>
    </w:tbl>
    <w:p>
      <w:pPr>
        <w:pageBreakBefore w:val="0"/>
        <w:kinsoku/>
        <w:wordWrap/>
        <w:overflowPunct/>
        <w:topLinePunct w:val="0"/>
        <w:bidi w:val="0"/>
        <w:adjustRightInd/>
        <w:snapToGrid/>
        <w:spacing w:line="360" w:lineRule="auto"/>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br w:type="page"/>
      </w:r>
    </w:p>
    <w:tbl>
      <w:tblPr>
        <w:tblW w:w="9165"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48"/>
        <w:gridCol w:w="4041"/>
        <w:gridCol w:w="759"/>
        <w:gridCol w:w="1139"/>
        <w:gridCol w:w="1139"/>
        <w:gridCol w:w="1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9168" w:type="dxa"/>
            <w:gridSpan w:val="6"/>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 xml:space="preserve">  5.1 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9168" w:type="dxa"/>
            <w:gridSpan w:val="6"/>
            <w:tcBorders>
              <w:top w:val="nil"/>
              <w:left w:val="nil"/>
              <w:bottom w:val="nil"/>
              <w:right w:val="nil"/>
            </w:tcBorders>
            <w:shd w:val="clear" w:color="auto" w:fill="FFFFFF"/>
            <w:vAlign w:val="top"/>
          </w:tcPr>
          <w:p>
            <w:pPr>
              <w:keepNext w:val="0"/>
              <w:keepLines w:val="0"/>
              <w:widowControl/>
              <w:suppressLineNumbers w:val="0"/>
              <w:jc w:val="center"/>
              <w:textAlignment w:val="top"/>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trPr>
        <w:tc>
          <w:tcPr>
            <w:tcW w:w="9168"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清单  第800章  机电工程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子目号</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子目名称</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单位</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数量</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单价</w:t>
            </w:r>
          </w:p>
        </w:tc>
        <w:tc>
          <w:tcPr>
            <w:tcW w:w="1139"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801</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机电工程</w:t>
            </w:r>
          </w:p>
        </w:tc>
        <w:tc>
          <w:tcPr>
            <w:tcW w:w="7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eastAsia"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801-1</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控制器</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只</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2</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801-2</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主线YJV-2*4mm2</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m</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560</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801-3</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分支电线 YJV-2*2.5</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m</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3674</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801-4</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PE管</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m</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4234</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801-5</w:t>
            </w:r>
          </w:p>
        </w:tc>
        <w:tc>
          <w:tcPr>
            <w:tcW w:w="40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接线盒</w:t>
            </w:r>
          </w:p>
        </w:tc>
        <w:tc>
          <w:tcPr>
            <w:tcW w:w="75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1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536</w:t>
            </w: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60" w:hRule="atLeast"/>
        </w:trPr>
        <w:tc>
          <w:tcPr>
            <w:tcW w:w="949"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043"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139"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168" w:type="dxa"/>
            <w:gridSpan w:val="6"/>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清单  第800章  合计   人民币           元</w:t>
            </w:r>
          </w:p>
        </w:tc>
      </w:tr>
    </w:tbl>
    <w:p>
      <w:pPr>
        <w:pageBreakBefore w:val="0"/>
        <w:kinsoku/>
        <w:wordWrap/>
        <w:overflowPunct/>
        <w:topLinePunct w:val="0"/>
        <w:bidi w:val="0"/>
        <w:adjustRightInd/>
        <w:snapToGrid/>
        <w:spacing w:line="360" w:lineRule="auto"/>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br w:type="page"/>
      </w:r>
    </w:p>
    <w:tbl>
      <w:tblPr>
        <w:tblW w:w="9165"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59"/>
        <w:gridCol w:w="949"/>
        <w:gridCol w:w="1897"/>
        <w:gridCol w:w="1329"/>
        <w:gridCol w:w="2903"/>
        <w:gridCol w:w="721"/>
        <w:gridCol w:w="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9167" w:type="dxa"/>
            <w:gridSpan w:val="7"/>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5.4 投标报价汇总表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3606" w:type="dxa"/>
            <w:gridSpan w:val="3"/>
            <w:tcBorders>
              <w:top w:val="nil"/>
              <w:left w:val="nil"/>
              <w:bottom w:val="single" w:color="000000" w:sz="4" w:space="0"/>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G223海榆东线安全设施精细化提升工程（K276+350~K307+000）</w:t>
            </w:r>
          </w:p>
        </w:tc>
        <w:tc>
          <w:tcPr>
            <w:tcW w:w="1329" w:type="dxa"/>
            <w:tcBorders>
              <w:top w:val="nil"/>
              <w:left w:val="nil"/>
              <w:bottom w:val="nil"/>
              <w:right w:val="nil"/>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（项目名称）</w:t>
            </w:r>
          </w:p>
        </w:tc>
        <w:tc>
          <w:tcPr>
            <w:tcW w:w="3625" w:type="dxa"/>
            <w:gridSpan w:val="2"/>
            <w:tcBorders>
              <w:top w:val="nil"/>
              <w:left w:val="nil"/>
              <w:bottom w:val="single" w:color="000000" w:sz="4" w:space="0"/>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G223海榆东线安全设施精细化提升工程（K276+350~K307+000）</w:t>
            </w:r>
          </w:p>
        </w:tc>
        <w:tc>
          <w:tcPr>
            <w:tcW w:w="607" w:type="dxa"/>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 w:hRule="atLeast"/>
        </w:trPr>
        <w:tc>
          <w:tcPr>
            <w:tcW w:w="759" w:type="dxa"/>
            <w:tcBorders>
              <w:top w:val="nil"/>
              <w:left w:val="nil"/>
              <w:bottom w:val="nil"/>
              <w:right w:val="nil"/>
            </w:tcBorders>
            <w:shd w:val="clear" w:color="auto" w:fill="FFFFFF"/>
            <w:vAlign w:val="top"/>
          </w:tcPr>
          <w:p>
            <w:pPr>
              <w:jc w:val="left"/>
              <w:rPr>
                <w:rFonts w:hint="eastAsia" w:ascii="SansSerif" w:hAnsi="SansSerif" w:eastAsia="SansSerif" w:cs="SansSerif"/>
                <w:i w:val="0"/>
                <w:iCs w:val="0"/>
                <w:color w:val="000000"/>
                <w:sz w:val="20"/>
                <w:szCs w:val="20"/>
                <w:u w:val="none"/>
              </w:rPr>
            </w:pPr>
          </w:p>
        </w:tc>
        <w:tc>
          <w:tcPr>
            <w:tcW w:w="949"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898"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329"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2904"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721"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607"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759" w:type="dxa"/>
            <w:tcBorders>
              <w:top w:val="single" w:color="000000" w:sz="8"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序号</w:t>
            </w:r>
          </w:p>
        </w:tc>
        <w:tc>
          <w:tcPr>
            <w:tcW w:w="949"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章次</w:t>
            </w:r>
          </w:p>
        </w:tc>
        <w:tc>
          <w:tcPr>
            <w:tcW w:w="6131" w:type="dxa"/>
            <w:gridSpan w:val="3"/>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科目名称</w:t>
            </w:r>
          </w:p>
        </w:tc>
        <w:tc>
          <w:tcPr>
            <w:tcW w:w="1328" w:type="dxa"/>
            <w:gridSpan w:val="2"/>
            <w:tcBorders>
              <w:top w:val="single" w:color="000000" w:sz="8" w:space="0"/>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5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w:t>
            </w:r>
          </w:p>
        </w:tc>
        <w:tc>
          <w:tcPr>
            <w:tcW w:w="94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6131"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总 则</w:t>
            </w:r>
          </w:p>
        </w:tc>
        <w:tc>
          <w:tcPr>
            <w:tcW w:w="1328" w:type="dxa"/>
            <w:gridSpan w:val="2"/>
            <w:tcBorders>
              <w:top w:val="nil"/>
              <w:left w:val="nil"/>
              <w:bottom w:val="single" w:color="000000" w:sz="4" w:space="0"/>
              <w:right w:val="single" w:color="000000" w:sz="8" w:space="0"/>
            </w:tcBorders>
            <w:shd w:val="clear" w:color="auto" w:fill="FFFFFF"/>
            <w:vAlign w:val="center"/>
          </w:tcPr>
          <w:p>
            <w:pPr>
              <w:jc w:val="right"/>
              <w:rPr>
                <w:rFonts w:hint="eastAsia"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w:t>
            </w:r>
          </w:p>
        </w:tc>
        <w:tc>
          <w:tcPr>
            <w:tcW w:w="94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600</w:t>
            </w:r>
          </w:p>
        </w:tc>
        <w:tc>
          <w:tcPr>
            <w:tcW w:w="6131"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安全设施及预埋管线</w:t>
            </w:r>
          </w:p>
        </w:tc>
        <w:tc>
          <w:tcPr>
            <w:tcW w:w="1328" w:type="dxa"/>
            <w:gridSpan w:val="2"/>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w:t>
            </w:r>
          </w:p>
        </w:tc>
        <w:tc>
          <w:tcPr>
            <w:tcW w:w="94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800</w:t>
            </w:r>
          </w:p>
        </w:tc>
        <w:tc>
          <w:tcPr>
            <w:tcW w:w="6131"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机电工程</w:t>
            </w:r>
          </w:p>
        </w:tc>
        <w:tc>
          <w:tcPr>
            <w:tcW w:w="1328" w:type="dxa"/>
            <w:gridSpan w:val="2"/>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5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w:t>
            </w:r>
          </w:p>
        </w:tc>
        <w:tc>
          <w:tcPr>
            <w:tcW w:w="7080" w:type="dxa"/>
            <w:gridSpan w:val="4"/>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第100章至第800章合计</w:t>
            </w:r>
          </w:p>
        </w:tc>
        <w:tc>
          <w:tcPr>
            <w:tcW w:w="1328" w:type="dxa"/>
            <w:gridSpan w:val="2"/>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7080" w:type="dxa"/>
            <w:gridSpan w:val="4"/>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已包含在清单合计中的材料、工程设备、专业工程暂估价合计</w:t>
            </w:r>
          </w:p>
        </w:tc>
        <w:tc>
          <w:tcPr>
            <w:tcW w:w="1328" w:type="dxa"/>
            <w:gridSpan w:val="2"/>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w:t>
            </w:r>
          </w:p>
        </w:tc>
        <w:tc>
          <w:tcPr>
            <w:tcW w:w="7080" w:type="dxa"/>
            <w:gridSpan w:val="4"/>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清单合计减去材料、工程设备、专业工程暂估价合计</w:t>
            </w:r>
          </w:p>
        </w:tc>
        <w:tc>
          <w:tcPr>
            <w:tcW w:w="1328" w:type="dxa"/>
            <w:gridSpan w:val="2"/>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w:t>
            </w:r>
          </w:p>
        </w:tc>
        <w:tc>
          <w:tcPr>
            <w:tcW w:w="7080" w:type="dxa"/>
            <w:gridSpan w:val="4"/>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计日工合计</w:t>
            </w:r>
          </w:p>
        </w:tc>
        <w:tc>
          <w:tcPr>
            <w:tcW w:w="1328" w:type="dxa"/>
            <w:gridSpan w:val="2"/>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5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w:t>
            </w:r>
          </w:p>
        </w:tc>
        <w:tc>
          <w:tcPr>
            <w:tcW w:w="7080" w:type="dxa"/>
            <w:gridSpan w:val="4"/>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暂列金额（不含计日工总额）</w:t>
            </w:r>
          </w:p>
        </w:tc>
        <w:tc>
          <w:tcPr>
            <w:tcW w:w="1328" w:type="dxa"/>
            <w:gridSpan w:val="2"/>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9"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w:t>
            </w:r>
          </w:p>
        </w:tc>
        <w:tc>
          <w:tcPr>
            <w:tcW w:w="7080" w:type="dxa"/>
            <w:gridSpan w:val="4"/>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投标报价</w:t>
            </w:r>
          </w:p>
        </w:tc>
        <w:tc>
          <w:tcPr>
            <w:tcW w:w="1328" w:type="dxa"/>
            <w:gridSpan w:val="2"/>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20" w:hRule="atLeast"/>
        </w:trPr>
        <w:tc>
          <w:tcPr>
            <w:tcW w:w="759"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80" w:type="dxa"/>
            <w:gridSpan w:val="4"/>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328" w:type="dxa"/>
            <w:gridSpan w:val="2"/>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bl>
    <w:p>
      <w:pPr>
        <w:pageBreakBefore w:val="0"/>
        <w:kinsoku/>
        <w:wordWrap/>
        <w:overflowPunct/>
        <w:topLinePunct w:val="0"/>
        <w:bidi w:val="0"/>
        <w:adjustRightInd/>
        <w:snapToGrid/>
        <w:spacing w:line="360" w:lineRule="auto"/>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br w:type="page"/>
      </w:r>
    </w:p>
    <w:p>
      <w:pPr>
        <w:ind w:firstLine="480"/>
        <w:jc w:val="center"/>
        <w:rPr>
          <w:rFonts w:hint="eastAsia" w:ascii="宋体" w:hAnsi="宋体" w:eastAsia="宋体" w:cs="宋体"/>
          <w:color w:val="auto"/>
          <w:highlight w:val="none"/>
        </w:rPr>
      </w:pPr>
    </w:p>
    <w:p>
      <w:pPr>
        <w:ind w:firstLine="480"/>
        <w:jc w:val="center"/>
        <w:rPr>
          <w:rFonts w:hint="eastAsia" w:ascii="宋体" w:hAnsi="宋体" w:eastAsia="宋体" w:cs="宋体"/>
          <w:color w:val="auto"/>
          <w:highlight w:val="none"/>
        </w:rPr>
      </w:pPr>
    </w:p>
    <w:p>
      <w:pPr>
        <w:ind w:firstLine="480"/>
        <w:jc w:val="center"/>
        <w:rPr>
          <w:rFonts w:hint="eastAsia" w:ascii="宋体" w:hAnsi="宋体" w:eastAsia="宋体" w:cs="宋体"/>
          <w:color w:val="auto"/>
          <w:highlight w:val="none"/>
        </w:rPr>
      </w:pPr>
    </w:p>
    <w:p>
      <w:pPr>
        <w:ind w:firstLine="480"/>
        <w:jc w:val="center"/>
        <w:rPr>
          <w:rFonts w:hint="eastAsia" w:ascii="宋体" w:hAnsi="宋体" w:eastAsia="宋体" w:cs="宋体"/>
          <w:color w:val="auto"/>
          <w:highlight w:val="none"/>
        </w:rPr>
      </w:pPr>
    </w:p>
    <w:p>
      <w:pPr>
        <w:ind w:firstLine="480"/>
        <w:jc w:val="center"/>
        <w:rPr>
          <w:rFonts w:hint="eastAsia" w:ascii="宋体" w:hAnsi="宋体" w:eastAsia="宋体" w:cs="宋体"/>
          <w:color w:val="auto"/>
          <w:highlight w:val="none"/>
        </w:rPr>
      </w:pPr>
    </w:p>
    <w:p>
      <w:pPr>
        <w:ind w:firstLine="480"/>
        <w:jc w:val="center"/>
        <w:rPr>
          <w:rFonts w:hint="eastAsia" w:ascii="宋体" w:hAnsi="宋体" w:eastAsia="宋体" w:cs="宋体"/>
          <w:color w:val="auto"/>
          <w:highlight w:val="none"/>
        </w:rPr>
      </w:pPr>
    </w:p>
    <w:p>
      <w:pPr>
        <w:ind w:firstLine="480"/>
        <w:jc w:val="center"/>
        <w:rPr>
          <w:rFonts w:hint="eastAsia" w:ascii="宋体" w:hAnsi="宋体" w:eastAsia="宋体" w:cs="宋体"/>
          <w:color w:val="auto"/>
          <w:highlight w:val="none"/>
        </w:rPr>
      </w:pPr>
    </w:p>
    <w:p>
      <w:pPr>
        <w:ind w:firstLine="480"/>
        <w:jc w:val="center"/>
        <w:rPr>
          <w:rFonts w:hint="eastAsia" w:ascii="宋体" w:hAnsi="宋体" w:eastAsia="宋体" w:cs="宋体"/>
          <w:color w:val="auto"/>
          <w:sz w:val="28"/>
          <w:szCs w:val="28"/>
          <w:highlight w:val="none"/>
        </w:rPr>
      </w:pPr>
    </w:p>
    <w:p>
      <w:pPr>
        <w:ind w:firstLine="48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“工程量清单计量规则”采用交通运输部《公路工程标准施工招标文件》(2018年版·第三册)</w:t>
      </w:r>
    </w:p>
    <w:p>
      <w:pPr>
        <w:ind w:firstLine="0" w:firstLineChars="0"/>
        <w:jc w:val="center"/>
        <w:rPr>
          <w:rFonts w:hint="eastAsia" w:ascii="宋体" w:hAnsi="宋体" w:eastAsia="宋体" w:cs="宋体"/>
          <w:color w:val="auto"/>
          <w:highlight w:val="none"/>
          <w:lang w:eastAsia="zh-CN"/>
        </w:rPr>
      </w:pPr>
    </w:p>
    <w:p>
      <w:pPr>
        <w:ind w:firstLine="0" w:firstLineChars="0"/>
        <w:jc w:val="center"/>
        <w:rPr>
          <w:rFonts w:hint="eastAsia" w:ascii="宋体" w:hAnsi="宋体" w:eastAsia="宋体" w:cs="宋体"/>
          <w:color w:val="auto"/>
          <w:highlight w:val="none"/>
          <w:lang w:eastAsia="zh-CN"/>
        </w:rPr>
      </w:pPr>
    </w:p>
    <w:p>
      <w:pPr>
        <w:widowControl/>
        <w:autoSpaceDE/>
        <w:autoSpaceDN/>
        <w:ind w:firstLine="720"/>
        <w:rPr>
          <w:rFonts w:hint="eastAsia" w:ascii="宋体" w:hAnsi="宋体" w:eastAsia="宋体" w:cs="宋体"/>
          <w:color w:val="auto"/>
          <w:sz w:val="24"/>
          <w:szCs w:val="24"/>
          <w:highlight w:val="none"/>
          <w:lang w:eastAsia="zh-CN"/>
        </w:rPr>
      </w:pPr>
      <w:r>
        <w:rPr>
          <w:rFonts w:hint="eastAsia" w:ascii="宋体" w:hAnsi="宋体" w:eastAsia="宋体" w:cs="宋体"/>
          <w:color w:val="auto"/>
          <w:sz w:val="36"/>
          <w:highlight w:val="none"/>
          <w:lang w:eastAsia="zh-CN"/>
        </w:rPr>
        <w:br w:type="page"/>
      </w:r>
    </w:p>
    <w:p>
      <w:pPr>
        <w:spacing w:line="520" w:lineRule="exact"/>
        <w:ind w:firstLine="0" w:firstLineChars="0"/>
        <w:jc w:val="center"/>
        <w:rPr>
          <w:rFonts w:hint="eastAsia" w:ascii="宋体" w:hAnsi="宋体" w:eastAsia="宋体" w:cs="宋体"/>
          <w:b/>
          <w:color w:val="auto"/>
          <w:sz w:val="24"/>
          <w:szCs w:val="24"/>
          <w:highlight w:val="none"/>
        </w:rPr>
      </w:pPr>
      <w:bookmarkStart w:id="29" w:name="_Toc257044700"/>
      <w:r>
        <w:rPr>
          <w:rFonts w:hint="eastAsia" w:ascii="宋体" w:hAnsi="宋体" w:eastAsia="宋体" w:cs="宋体"/>
          <w:b/>
          <w:color w:val="auto"/>
          <w:sz w:val="24"/>
          <w:szCs w:val="24"/>
          <w:highlight w:val="none"/>
        </w:rPr>
        <w:t>说明</w:t>
      </w:r>
      <w:bookmarkEnd w:id="29"/>
    </w:p>
    <w:p>
      <w:pPr>
        <w:spacing w:line="5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1、工程量清单计量规则详见“《公路工程标准施工招标文件》(2018年版·第三册)工程量清单计量规则”及有关工程量清单计算规则。</w:t>
      </w:r>
    </w:p>
    <w:p>
      <w:pPr>
        <w:spacing w:line="5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以下条款</w:t>
      </w:r>
      <w:r>
        <w:rPr>
          <w:rFonts w:hint="eastAsia" w:ascii="宋体" w:hAnsi="宋体" w:eastAsia="宋体" w:cs="宋体"/>
          <w:color w:val="auto"/>
          <w:sz w:val="24"/>
          <w:szCs w:val="24"/>
          <w:highlight w:val="none"/>
        </w:rPr>
        <w:t>是对“《公路工程标准施工招标文件》(2018年版·第三册)工程量清单计量规则”的补充和修改，应对照“《公路工程标准施工招标文件》(2018年版·第三册)工程量清单计量规则”中同一编号的章节条款一起阅读和理解。</w:t>
      </w:r>
      <w:r>
        <w:rPr>
          <w:rFonts w:hint="eastAsia" w:ascii="宋体" w:hAnsi="宋体" w:eastAsia="宋体" w:cs="宋体"/>
          <w:color w:val="auto"/>
          <w:sz w:val="24"/>
          <w:szCs w:val="24"/>
          <w:highlight w:val="none"/>
          <w:lang w:eastAsia="zh-CN"/>
        </w:rPr>
        <w:t>以下条款</w:t>
      </w:r>
      <w:r>
        <w:rPr>
          <w:rFonts w:hint="eastAsia" w:ascii="宋体" w:hAnsi="宋体" w:eastAsia="宋体" w:cs="宋体"/>
          <w:color w:val="auto"/>
          <w:sz w:val="24"/>
          <w:szCs w:val="24"/>
          <w:highlight w:val="none"/>
        </w:rPr>
        <w:t>与“《公路工程标准施工招标文件》(2018年版·第三册)工程量清单计量规则”有矛盾时，以</w:t>
      </w:r>
      <w:r>
        <w:rPr>
          <w:rFonts w:hint="eastAsia" w:ascii="宋体" w:hAnsi="宋体" w:eastAsia="宋体" w:cs="宋体"/>
          <w:color w:val="auto"/>
          <w:sz w:val="24"/>
          <w:szCs w:val="24"/>
          <w:highlight w:val="none"/>
          <w:lang w:eastAsia="zh-CN"/>
        </w:rPr>
        <w:t>以下条款</w:t>
      </w:r>
      <w:r>
        <w:rPr>
          <w:rFonts w:hint="eastAsia" w:ascii="宋体" w:hAnsi="宋体" w:eastAsia="宋体" w:cs="宋体"/>
          <w:color w:val="auto"/>
          <w:sz w:val="24"/>
          <w:szCs w:val="24"/>
          <w:highlight w:val="none"/>
        </w:rPr>
        <w:t>的规定为准。</w:t>
      </w:r>
    </w:p>
    <w:p>
      <w:pPr>
        <w:ind w:firstLine="560"/>
        <w:jc w:val="both"/>
        <w:rPr>
          <w:rFonts w:hint="eastAsia" w:ascii="宋体" w:hAnsi="宋体" w:eastAsia="宋体" w:cs="宋体"/>
          <w:color w:val="auto"/>
          <w:sz w:val="28"/>
          <w:szCs w:val="28"/>
          <w:highlight w:val="none"/>
          <w:lang w:eastAsia="zh-CN"/>
        </w:rPr>
      </w:pPr>
    </w:p>
    <w:p>
      <w:pPr>
        <w:widowControl/>
        <w:autoSpaceDE/>
        <w:autoSpaceDN/>
        <w:spacing w:line="240" w:lineRule="auto"/>
        <w:ind w:firstLine="0" w:firstLineChars="0"/>
        <w:jc w:val="center"/>
        <w:rPr>
          <w:rFonts w:hint="default" w:ascii="仿宋_GB2312" w:hAnsi="Cambria" w:cs="Times New Roman"/>
          <w:b/>
          <w:bCs/>
          <w:color w:val="auto"/>
          <w:sz w:val="32"/>
          <w:szCs w:val="32"/>
          <w:highlight w:val="none"/>
          <w:lang w:val="en-US" w:eastAsia="zh-CN"/>
        </w:rPr>
      </w:pPr>
      <w:r>
        <w:rPr>
          <w:rFonts w:hint="eastAsia" w:ascii="宋体" w:hAnsi="宋体" w:eastAsia="宋体" w:cs="宋体"/>
          <w:b/>
          <w:color w:val="auto"/>
          <w:sz w:val="36"/>
          <w:highlight w:val="none"/>
        </w:rPr>
        <w:br w:type="page"/>
      </w:r>
      <w:bookmarkStart w:id="30" w:name="_Toc21600"/>
      <w:r>
        <w:rPr>
          <w:rFonts w:hint="eastAsia" w:ascii="仿宋_GB2312" w:hAnsi="Cambria" w:cs="Times New Roman"/>
          <w:b/>
          <w:bCs/>
          <w:color w:val="auto"/>
          <w:sz w:val="32"/>
          <w:szCs w:val="32"/>
          <w:highlight w:val="none"/>
          <w:lang w:eastAsia="zh-CN"/>
        </w:rPr>
        <w:t>第</w:t>
      </w:r>
      <w:r>
        <w:rPr>
          <w:rFonts w:hint="eastAsia" w:ascii="仿宋_GB2312" w:hAnsi="Cambria" w:cs="Times New Roman"/>
          <w:b/>
          <w:bCs/>
          <w:color w:val="auto"/>
          <w:sz w:val="32"/>
          <w:szCs w:val="32"/>
          <w:highlight w:val="none"/>
          <w:lang w:val="en-US" w:eastAsia="zh-CN"/>
        </w:rPr>
        <w:t>600章 安全设施及预埋管线</w:t>
      </w:r>
    </w:p>
    <w:p>
      <w:pPr>
        <w:pStyle w:val="2"/>
        <w:rPr>
          <w:rFonts w:ascii="仿宋_GB2312"/>
          <w:color w:val="auto"/>
          <w:highlight w:val="none"/>
          <w:lang w:eastAsia="zh-CN"/>
        </w:rPr>
      </w:pPr>
      <w:bookmarkStart w:id="31" w:name="_Toc26912087"/>
      <w:r>
        <w:rPr>
          <w:rFonts w:hint="eastAsia" w:ascii="仿宋_GB2312"/>
          <w:color w:val="auto"/>
          <w:highlight w:val="none"/>
          <w:lang w:eastAsia="zh-CN"/>
        </w:rPr>
        <w:t>第609节</w:t>
      </w:r>
      <w:r>
        <w:rPr>
          <w:rFonts w:ascii="仿宋_GB2312"/>
          <w:color w:val="auto"/>
          <w:highlight w:val="none"/>
          <w:lang w:eastAsia="zh-CN"/>
        </w:rPr>
        <w:t xml:space="preserve"> </w:t>
      </w:r>
      <w:bookmarkEnd w:id="30"/>
      <w:bookmarkEnd w:id="31"/>
      <w:r>
        <w:rPr>
          <w:rFonts w:hint="eastAsia" w:ascii="仿宋_GB2312"/>
          <w:color w:val="auto"/>
          <w:highlight w:val="none"/>
          <w:lang w:eastAsia="zh-CN"/>
        </w:rPr>
        <w:t>蓄能自发光交通标识</w:t>
      </w:r>
    </w:p>
    <w:p>
      <w:pPr>
        <w:keepNext w:val="0"/>
        <w:keepLines w:val="0"/>
        <w:pageBreakBefore w:val="0"/>
        <w:widowControl w:val="0"/>
        <w:kinsoku/>
        <w:wordWrap/>
        <w:overflowPunct/>
        <w:topLinePunct w:val="0"/>
        <w:autoSpaceDE w:val="0"/>
        <w:autoSpaceDN w:val="0"/>
        <w:bidi w:val="0"/>
        <w:adjustRightInd/>
        <w:snapToGrid/>
        <w:spacing w:line="240" w:lineRule="auto"/>
        <w:ind w:firstLine="560"/>
        <w:textAlignment w:val="auto"/>
        <w:rPr>
          <w:rFonts w:ascii="仿宋_GB2312"/>
          <w:color w:val="auto"/>
          <w:highlight w:val="none"/>
          <w:lang w:eastAsia="zh-CN"/>
        </w:rPr>
      </w:pPr>
      <w:r>
        <w:rPr>
          <w:rFonts w:hint="eastAsia" w:ascii="仿宋_GB2312"/>
          <w:color w:val="auto"/>
          <w:highlight w:val="none"/>
          <w:lang w:eastAsia="zh-CN"/>
        </w:rPr>
        <w:t>本节工程量清单项目分项计量规则应按表</w:t>
      </w:r>
      <w:r>
        <w:rPr>
          <w:rFonts w:ascii="仿宋_GB2312"/>
          <w:color w:val="auto"/>
          <w:highlight w:val="none"/>
          <w:lang w:eastAsia="zh-CN"/>
        </w:rPr>
        <w:t xml:space="preserve"> </w:t>
      </w:r>
      <w:r>
        <w:rPr>
          <w:rFonts w:hint="eastAsia" w:ascii="仿宋_GB2312"/>
          <w:color w:val="auto"/>
          <w:highlight w:val="none"/>
          <w:lang w:eastAsia="zh-CN"/>
        </w:rPr>
        <w:t>609</w:t>
      </w:r>
      <w:r>
        <w:rPr>
          <w:rFonts w:ascii="仿宋_GB2312"/>
          <w:color w:val="auto"/>
          <w:highlight w:val="none"/>
          <w:lang w:eastAsia="zh-CN"/>
        </w:rPr>
        <w:t xml:space="preserve"> </w:t>
      </w:r>
      <w:r>
        <w:rPr>
          <w:rFonts w:hint="eastAsia" w:ascii="仿宋_GB2312"/>
          <w:color w:val="auto"/>
          <w:highlight w:val="none"/>
          <w:lang w:eastAsia="zh-CN"/>
        </w:rPr>
        <w:t>的规定执行</w:t>
      </w:r>
      <w:r>
        <w:rPr>
          <w:rFonts w:ascii="仿宋_GB2312"/>
          <w:color w:val="auto"/>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仿宋_GB2312"/>
          <w:color w:val="auto"/>
          <w:highlight w:val="none"/>
          <w:lang w:eastAsia="zh-CN"/>
        </w:rPr>
      </w:pPr>
      <w:r>
        <w:rPr>
          <w:rFonts w:hint="eastAsia" w:ascii="仿宋_GB2312"/>
          <w:color w:val="auto"/>
          <w:highlight w:val="none"/>
          <w:lang w:eastAsia="zh-CN"/>
        </w:rPr>
        <w:t>表</w:t>
      </w:r>
      <w:r>
        <w:rPr>
          <w:rFonts w:ascii="仿宋_GB2312"/>
          <w:color w:val="auto"/>
          <w:highlight w:val="none"/>
          <w:lang w:eastAsia="zh-CN"/>
        </w:rPr>
        <w:t xml:space="preserve"> </w:t>
      </w:r>
      <w:r>
        <w:rPr>
          <w:rFonts w:hint="eastAsia" w:ascii="仿宋_GB2312"/>
          <w:color w:val="auto"/>
          <w:highlight w:val="none"/>
          <w:lang w:eastAsia="zh-CN"/>
        </w:rPr>
        <w:t>609</w:t>
      </w:r>
      <w:r>
        <w:rPr>
          <w:rFonts w:ascii="仿宋_GB2312"/>
          <w:color w:val="auto"/>
          <w:highlight w:val="none"/>
          <w:lang w:eastAsia="zh-CN"/>
        </w:rPr>
        <w:t xml:space="preserve"> </w:t>
      </w:r>
      <w:r>
        <w:rPr>
          <w:rFonts w:hint="eastAsia" w:ascii="仿宋_GB2312"/>
          <w:color w:val="auto"/>
          <w:highlight w:val="none"/>
          <w:lang w:eastAsia="zh-CN"/>
        </w:rPr>
        <w:t>蓄能自发光交通标识</w:t>
      </w:r>
    </w:p>
    <w:tbl>
      <w:tblPr>
        <w:tblStyle w:val="44"/>
        <w:tblW w:w="10343" w:type="dxa"/>
        <w:jc w:val="center"/>
        <w:tblLayout w:type="fixed"/>
        <w:tblCellMar>
          <w:top w:w="0" w:type="dxa"/>
          <w:left w:w="0" w:type="dxa"/>
          <w:bottom w:w="0" w:type="dxa"/>
          <w:right w:w="0" w:type="dxa"/>
        </w:tblCellMar>
      </w:tblPr>
      <w:tblGrid>
        <w:gridCol w:w="746"/>
        <w:gridCol w:w="1234"/>
        <w:gridCol w:w="584"/>
        <w:gridCol w:w="4377"/>
        <w:gridCol w:w="3402"/>
      </w:tblGrid>
      <w:tr>
        <w:tblPrEx>
          <w:tblCellMar>
            <w:top w:w="0" w:type="dxa"/>
            <w:left w:w="0" w:type="dxa"/>
            <w:bottom w:w="0" w:type="dxa"/>
            <w:right w:w="0" w:type="dxa"/>
          </w:tblCellMar>
        </w:tblPrEx>
        <w:trPr>
          <w:cantSplit/>
          <w:trHeight w:val="502"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r>
              <w:rPr>
                <w:rFonts w:hint="eastAsia" w:ascii="仿宋_GB2312"/>
                <w:color w:val="auto"/>
                <w:szCs w:val="24"/>
                <w:highlight w:val="none"/>
              </w:rPr>
              <w:t>子目号</w:t>
            </w:r>
          </w:p>
        </w:tc>
        <w:tc>
          <w:tcPr>
            <w:tcW w:w="123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r>
              <w:rPr>
                <w:rFonts w:hint="eastAsia" w:ascii="仿宋_GB2312"/>
                <w:color w:val="auto"/>
                <w:szCs w:val="24"/>
                <w:highlight w:val="none"/>
              </w:rPr>
              <w:t>子目名称</w:t>
            </w:r>
          </w:p>
        </w:tc>
        <w:tc>
          <w:tcPr>
            <w:tcW w:w="58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r>
              <w:rPr>
                <w:rFonts w:hint="eastAsia" w:ascii="仿宋_GB2312"/>
                <w:color w:val="auto"/>
                <w:szCs w:val="24"/>
                <w:highlight w:val="none"/>
              </w:rPr>
              <w:t>单位</w:t>
            </w:r>
          </w:p>
        </w:tc>
        <w:tc>
          <w:tcPr>
            <w:tcW w:w="437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r>
              <w:rPr>
                <w:rFonts w:hint="eastAsia" w:ascii="仿宋_GB2312"/>
                <w:color w:val="auto"/>
                <w:szCs w:val="24"/>
                <w:highlight w:val="none"/>
              </w:rPr>
              <w:t>工程量计量</w:t>
            </w:r>
          </w:p>
        </w:tc>
        <w:tc>
          <w:tcPr>
            <w:tcW w:w="3402"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r>
              <w:rPr>
                <w:rFonts w:hint="eastAsia" w:ascii="仿宋_GB2312"/>
                <w:color w:val="auto"/>
                <w:szCs w:val="24"/>
                <w:highlight w:val="none"/>
              </w:rPr>
              <w:t>工程内容</w:t>
            </w:r>
          </w:p>
        </w:tc>
      </w:tr>
      <w:tr>
        <w:tblPrEx>
          <w:tblCellMar>
            <w:top w:w="0" w:type="dxa"/>
            <w:left w:w="0" w:type="dxa"/>
            <w:bottom w:w="0" w:type="dxa"/>
            <w:right w:w="0" w:type="dxa"/>
          </w:tblCellMar>
        </w:tblPrEx>
        <w:trPr>
          <w:cantSplit/>
          <w:trHeight w:val="629"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default" w:ascii="仿宋_GB2312" w:eastAsia="仿宋_GB2312"/>
                <w:color w:val="auto"/>
                <w:szCs w:val="24"/>
                <w:highlight w:val="none"/>
                <w:lang w:val="en-US" w:eastAsia="zh-CN"/>
              </w:rPr>
            </w:pPr>
            <w:r>
              <w:rPr>
                <w:rFonts w:hint="eastAsia" w:ascii="仿宋_GB2312"/>
                <w:color w:val="auto"/>
                <w:szCs w:val="24"/>
                <w:highlight w:val="none"/>
                <w:lang w:eastAsia="zh-CN"/>
              </w:rPr>
              <w:t>609</w:t>
            </w:r>
          </w:p>
        </w:tc>
        <w:tc>
          <w:tcPr>
            <w:tcW w:w="1234" w:type="dxa"/>
            <w:tcBorders>
              <w:top w:val="single" w:color="auto" w:sz="4" w:space="0"/>
              <w:left w:val="single" w:color="auto" w:sz="4" w:space="0"/>
              <w:bottom w:val="single" w:color="auto" w:sz="4" w:space="0"/>
            </w:tcBorders>
            <w:vAlign w:val="center"/>
          </w:tcPr>
          <w:p>
            <w:pPr>
              <w:pStyle w:val="15"/>
              <w:widowControl w:val="0"/>
              <w:autoSpaceDE w:val="0"/>
              <w:autoSpaceDN w:val="0"/>
              <w:rPr>
                <w:rFonts w:hint="eastAsia" w:ascii="仿宋_GB2312" w:eastAsia="仿宋_GB2312"/>
                <w:color w:val="auto"/>
                <w:szCs w:val="24"/>
                <w:highlight w:val="none"/>
                <w:lang w:eastAsia="zh-CN"/>
              </w:rPr>
            </w:pPr>
            <w:r>
              <w:rPr>
                <w:rFonts w:hint="eastAsia" w:ascii="仿宋_GB2312"/>
                <w:color w:val="auto"/>
                <w:szCs w:val="24"/>
                <w:highlight w:val="none"/>
                <w:lang w:eastAsia="zh-CN"/>
              </w:rPr>
              <w:t>蓄能自发光交通标识</w:t>
            </w:r>
          </w:p>
        </w:tc>
        <w:tc>
          <w:tcPr>
            <w:tcW w:w="58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p>
        </w:tc>
        <w:tc>
          <w:tcPr>
            <w:tcW w:w="437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default" w:ascii="仿宋_GB2312" w:eastAsia="仿宋_GB2312"/>
                <w:color w:val="auto"/>
                <w:szCs w:val="24"/>
                <w:highlight w:val="none"/>
                <w:lang w:val="en-US" w:eastAsia="zh-CN"/>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p>
        </w:tc>
      </w:tr>
      <w:tr>
        <w:tblPrEx>
          <w:tblCellMar>
            <w:top w:w="0" w:type="dxa"/>
            <w:left w:w="0" w:type="dxa"/>
            <w:bottom w:w="0" w:type="dxa"/>
            <w:right w:w="0" w:type="dxa"/>
          </w:tblCellMar>
        </w:tblPrEx>
        <w:trPr>
          <w:cantSplit/>
          <w:trHeight w:val="629"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eastAsia" w:ascii="仿宋_GB2312"/>
                <w:color w:val="auto"/>
                <w:szCs w:val="24"/>
                <w:highlight w:val="none"/>
                <w:lang w:eastAsia="zh-CN"/>
              </w:rPr>
            </w:pPr>
            <w:r>
              <w:rPr>
                <w:rFonts w:hint="eastAsia" w:ascii="仿宋_GB2312"/>
                <w:color w:val="auto"/>
                <w:szCs w:val="24"/>
                <w:highlight w:val="none"/>
                <w:lang w:eastAsia="zh-CN"/>
              </w:rPr>
              <w:t>609-1</w:t>
            </w:r>
          </w:p>
        </w:tc>
        <w:tc>
          <w:tcPr>
            <w:tcW w:w="1234" w:type="dxa"/>
            <w:tcBorders>
              <w:top w:val="single" w:color="auto" w:sz="4" w:space="0"/>
              <w:left w:val="single" w:color="auto" w:sz="4" w:space="0"/>
              <w:bottom w:val="single" w:color="auto" w:sz="4" w:space="0"/>
            </w:tcBorders>
            <w:vAlign w:val="center"/>
          </w:tcPr>
          <w:p>
            <w:pPr>
              <w:pStyle w:val="15"/>
              <w:widowControl w:val="0"/>
              <w:autoSpaceDE w:val="0"/>
              <w:autoSpaceDN w:val="0"/>
              <w:rPr>
                <w:rFonts w:hint="eastAsia" w:ascii="仿宋_GB2312"/>
                <w:color w:val="auto"/>
                <w:szCs w:val="24"/>
                <w:highlight w:val="none"/>
                <w:lang w:eastAsia="zh-CN"/>
              </w:rPr>
            </w:pPr>
            <w:r>
              <w:rPr>
                <w:rFonts w:hint="eastAsia" w:ascii="仿宋_GB2312"/>
                <w:color w:val="auto"/>
                <w:szCs w:val="24"/>
                <w:highlight w:val="none"/>
                <w:lang w:eastAsia="zh-CN"/>
              </w:rPr>
              <w:t>智能自发光同步预警标</w:t>
            </w:r>
          </w:p>
        </w:tc>
        <w:tc>
          <w:tcPr>
            <w:tcW w:w="58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eastAsia" w:ascii="仿宋_GB2312" w:eastAsia="仿宋_GB2312"/>
                <w:color w:val="auto"/>
                <w:szCs w:val="24"/>
                <w:highlight w:val="none"/>
                <w:lang w:val="en-US" w:eastAsia="zh-CN"/>
              </w:rPr>
            </w:pPr>
            <w:r>
              <w:rPr>
                <w:rFonts w:hint="eastAsia" w:ascii="仿宋_GB2312"/>
                <w:color w:val="auto"/>
                <w:szCs w:val="24"/>
                <w:highlight w:val="none"/>
                <w:lang w:val="en-US" w:eastAsia="zh-CN"/>
              </w:rPr>
              <w:t>个</w:t>
            </w:r>
          </w:p>
        </w:tc>
        <w:tc>
          <w:tcPr>
            <w:tcW w:w="437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ind w:firstLine="480" w:firstLineChars="200"/>
              <w:jc w:val="left"/>
              <w:rPr>
                <w:rFonts w:hint="default"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1、依据图纸所示位置及尺寸，按照图纸所示以</w:t>
            </w:r>
            <w:r>
              <w:rPr>
                <w:rFonts w:hint="eastAsia" w:ascii="仿宋_GB2312" w:hAnsi="宋体" w:cs="宋体"/>
                <w:bCs w:val="0"/>
                <w:color w:val="auto"/>
                <w:spacing w:val="0"/>
                <w:w w:val="100"/>
                <w:kern w:val="0"/>
                <w:position w:val="0"/>
                <w:sz w:val="24"/>
                <w:szCs w:val="24"/>
                <w:highlight w:val="none"/>
                <w:u w:val="none"/>
                <w:shd w:val="clear" w:color="auto" w:fill="auto"/>
                <w:lang w:val="en-US" w:eastAsia="zh-CN" w:bidi="ar-SA"/>
              </w:rPr>
              <w:t>个</w:t>
            </w: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为单位计量。</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1、测距、放样；</w:t>
            </w:r>
          </w:p>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2、胶水固定；</w:t>
            </w:r>
          </w:p>
          <w:p>
            <w:pPr>
              <w:autoSpaceDE w:val="0"/>
              <w:autoSpaceDN w:val="0"/>
              <w:spacing w:line="240" w:lineRule="auto"/>
              <w:rPr>
                <w:rFonts w:hint="default" w:ascii="Times New Roman" w:hAnsi="Times New Roman" w:cs="Times New Roman"/>
                <w:color w:val="auto"/>
                <w:highlight w:val="none"/>
                <w:lang w:val="en-US" w:eastAsia="zh-CN"/>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3、连接件固定。</w:t>
            </w:r>
          </w:p>
        </w:tc>
      </w:tr>
      <w:tr>
        <w:tblPrEx>
          <w:tblCellMar>
            <w:top w:w="0" w:type="dxa"/>
            <w:left w:w="0" w:type="dxa"/>
            <w:bottom w:w="0" w:type="dxa"/>
            <w:right w:w="0" w:type="dxa"/>
          </w:tblCellMar>
        </w:tblPrEx>
        <w:trPr>
          <w:cantSplit/>
          <w:trHeight w:val="629"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eastAsia" w:ascii="仿宋_GB2312"/>
                <w:color w:val="auto"/>
                <w:szCs w:val="24"/>
                <w:highlight w:val="none"/>
                <w:lang w:eastAsia="zh-CN"/>
              </w:rPr>
            </w:pPr>
            <w:r>
              <w:rPr>
                <w:rStyle w:val="45"/>
                <w:rFonts w:hint="eastAsia" w:ascii="仿宋_GB2312" w:cs="Times New Roman"/>
                <w:color w:val="auto"/>
                <w:sz w:val="24"/>
                <w:szCs w:val="24"/>
                <w:highlight w:val="none"/>
                <w:shd w:val="clear" w:color="auto" w:fill="auto"/>
                <w:lang w:val="en-US" w:eastAsia="zh-CN" w:bidi="ar-SA"/>
              </w:rPr>
              <w:t>609-2</w:t>
            </w:r>
          </w:p>
        </w:tc>
        <w:tc>
          <w:tcPr>
            <w:tcW w:w="1234" w:type="dxa"/>
            <w:tcBorders>
              <w:top w:val="single" w:color="auto" w:sz="4" w:space="0"/>
              <w:left w:val="single" w:color="auto" w:sz="4" w:space="0"/>
              <w:bottom w:val="single" w:color="auto" w:sz="4" w:space="0"/>
            </w:tcBorders>
            <w:vAlign w:val="center"/>
          </w:tcPr>
          <w:p>
            <w:pPr>
              <w:pStyle w:val="15"/>
              <w:widowControl w:val="0"/>
              <w:autoSpaceDE w:val="0"/>
              <w:autoSpaceDN w:val="0"/>
              <w:rPr>
                <w:rFonts w:hint="eastAsia" w:ascii="仿宋_GB2312"/>
                <w:color w:val="auto"/>
                <w:szCs w:val="24"/>
                <w:highlight w:val="none"/>
                <w:lang w:eastAsia="zh-CN"/>
              </w:rPr>
            </w:pPr>
            <w:r>
              <w:rPr>
                <w:rFonts w:hint="eastAsia" w:ascii="仿宋_GB2312"/>
                <w:color w:val="auto"/>
                <w:szCs w:val="24"/>
                <w:highlight w:val="none"/>
                <w:lang w:eastAsia="zh-CN"/>
              </w:rPr>
              <w:t>智能自发光圆形柱帽</w:t>
            </w:r>
          </w:p>
        </w:tc>
        <w:tc>
          <w:tcPr>
            <w:tcW w:w="58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r>
              <w:rPr>
                <w:rFonts w:hint="eastAsia" w:ascii="仿宋_GB2312"/>
                <w:color w:val="auto"/>
                <w:szCs w:val="24"/>
                <w:highlight w:val="none"/>
                <w:lang w:val="en-US" w:eastAsia="zh-CN"/>
              </w:rPr>
              <w:t>个</w:t>
            </w:r>
          </w:p>
        </w:tc>
        <w:tc>
          <w:tcPr>
            <w:tcW w:w="437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ind w:firstLine="480" w:firstLineChars="200"/>
              <w:jc w:val="left"/>
              <w:rPr>
                <w:rFonts w:hint="default"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1、依据图纸所示位置及尺寸，按照图纸所示以</w:t>
            </w:r>
            <w:r>
              <w:rPr>
                <w:rFonts w:hint="eastAsia" w:ascii="仿宋_GB2312" w:hAnsi="宋体" w:cs="宋体"/>
                <w:bCs w:val="0"/>
                <w:color w:val="auto"/>
                <w:spacing w:val="0"/>
                <w:w w:val="100"/>
                <w:kern w:val="0"/>
                <w:position w:val="0"/>
                <w:sz w:val="24"/>
                <w:szCs w:val="24"/>
                <w:highlight w:val="none"/>
                <w:u w:val="none"/>
                <w:shd w:val="clear" w:color="auto" w:fill="auto"/>
                <w:lang w:val="en-US" w:eastAsia="zh-CN" w:bidi="ar-SA"/>
              </w:rPr>
              <w:t>个</w:t>
            </w: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为单位计量。</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1、测距、放样；</w:t>
            </w:r>
          </w:p>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2、胶水固定；</w:t>
            </w:r>
          </w:p>
          <w:p>
            <w:pPr>
              <w:autoSpaceDE w:val="0"/>
              <w:autoSpaceDN w:val="0"/>
              <w:rPr>
                <w:rFonts w:hint="default"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3、连接件固定。</w:t>
            </w:r>
          </w:p>
        </w:tc>
      </w:tr>
      <w:tr>
        <w:tblPrEx>
          <w:tblCellMar>
            <w:top w:w="0" w:type="dxa"/>
            <w:left w:w="0" w:type="dxa"/>
            <w:bottom w:w="0" w:type="dxa"/>
            <w:right w:w="0" w:type="dxa"/>
          </w:tblCellMar>
        </w:tblPrEx>
        <w:trPr>
          <w:cantSplit/>
          <w:trHeight w:val="629"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Style w:val="45"/>
                <w:rFonts w:hint="default" w:ascii="仿宋_GB2312" w:cs="Times New Roman"/>
                <w:color w:val="auto"/>
                <w:sz w:val="24"/>
                <w:szCs w:val="24"/>
                <w:highlight w:val="none"/>
                <w:shd w:val="clear" w:color="auto" w:fill="auto"/>
                <w:lang w:val="en-US" w:eastAsia="zh-CN" w:bidi="ar-SA"/>
              </w:rPr>
            </w:pPr>
            <w:r>
              <w:rPr>
                <w:rStyle w:val="45"/>
                <w:rFonts w:hint="eastAsia" w:ascii="仿宋_GB2312" w:cs="Times New Roman"/>
                <w:color w:val="auto"/>
                <w:sz w:val="24"/>
                <w:szCs w:val="24"/>
                <w:highlight w:val="none"/>
                <w:shd w:val="clear" w:color="auto" w:fill="auto"/>
                <w:lang w:val="en-US" w:eastAsia="zh-CN" w:bidi="ar-SA"/>
              </w:rPr>
              <w:t>609-3</w:t>
            </w:r>
          </w:p>
        </w:tc>
        <w:tc>
          <w:tcPr>
            <w:tcW w:w="1234" w:type="dxa"/>
            <w:tcBorders>
              <w:top w:val="single" w:color="auto" w:sz="4" w:space="0"/>
              <w:left w:val="single" w:color="auto" w:sz="4" w:space="0"/>
              <w:bottom w:val="single" w:color="auto" w:sz="4" w:space="0"/>
            </w:tcBorders>
            <w:vAlign w:val="center"/>
          </w:tcPr>
          <w:p>
            <w:pPr>
              <w:pStyle w:val="15"/>
              <w:widowControl w:val="0"/>
              <w:autoSpaceDE w:val="0"/>
              <w:autoSpaceDN w:val="0"/>
              <w:rPr>
                <w:rFonts w:hint="eastAsia" w:ascii="仿宋_GB2312"/>
                <w:color w:val="auto"/>
                <w:szCs w:val="24"/>
                <w:highlight w:val="none"/>
                <w:lang w:eastAsia="zh-CN"/>
              </w:rPr>
            </w:pPr>
            <w:r>
              <w:rPr>
                <w:rFonts w:hint="eastAsia" w:ascii="仿宋_GB2312"/>
                <w:color w:val="auto"/>
                <w:szCs w:val="24"/>
                <w:highlight w:val="none"/>
                <w:lang w:eastAsia="zh-CN"/>
              </w:rPr>
              <w:t>750mm弹性警示柱</w:t>
            </w:r>
          </w:p>
        </w:tc>
        <w:tc>
          <w:tcPr>
            <w:tcW w:w="58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eastAsia" w:ascii="仿宋_GB2312"/>
                <w:color w:val="auto"/>
                <w:szCs w:val="24"/>
                <w:highlight w:val="none"/>
                <w:lang w:val="en-US" w:eastAsia="zh-CN"/>
              </w:rPr>
            </w:pPr>
            <w:r>
              <w:rPr>
                <w:rFonts w:hint="eastAsia" w:ascii="仿宋_GB2312"/>
                <w:color w:val="auto"/>
                <w:szCs w:val="24"/>
                <w:highlight w:val="none"/>
                <w:lang w:val="en-US" w:eastAsia="zh-CN"/>
              </w:rPr>
              <w:t>个</w:t>
            </w:r>
          </w:p>
        </w:tc>
        <w:tc>
          <w:tcPr>
            <w:tcW w:w="437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ind w:firstLine="480" w:firstLineChars="200"/>
              <w:jc w:val="left"/>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1、依据图纸所示位置及尺寸，按照图纸所示以</w:t>
            </w:r>
            <w:r>
              <w:rPr>
                <w:rFonts w:hint="eastAsia" w:ascii="仿宋_GB2312" w:hAnsi="宋体" w:cs="宋体"/>
                <w:bCs w:val="0"/>
                <w:color w:val="auto"/>
                <w:spacing w:val="0"/>
                <w:w w:val="100"/>
                <w:kern w:val="0"/>
                <w:position w:val="0"/>
                <w:sz w:val="24"/>
                <w:szCs w:val="24"/>
                <w:highlight w:val="none"/>
                <w:u w:val="none"/>
                <w:shd w:val="clear" w:color="auto" w:fill="auto"/>
                <w:lang w:val="en-US" w:eastAsia="zh-CN" w:bidi="ar-SA"/>
              </w:rPr>
              <w:t>个</w:t>
            </w: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为单位计量。</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1、测距、放样；</w:t>
            </w:r>
          </w:p>
          <w:p>
            <w:pPr>
              <w:autoSpaceDE w:val="0"/>
              <w:autoSpaceDN w:val="0"/>
              <w:rPr>
                <w:rFonts w:hint="default"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2、警示柱及其配件安装固定。</w:t>
            </w:r>
          </w:p>
        </w:tc>
      </w:tr>
      <w:tr>
        <w:tblPrEx>
          <w:tblCellMar>
            <w:top w:w="0" w:type="dxa"/>
            <w:left w:w="0" w:type="dxa"/>
            <w:bottom w:w="0" w:type="dxa"/>
            <w:right w:w="0" w:type="dxa"/>
          </w:tblCellMar>
        </w:tblPrEx>
        <w:trPr>
          <w:cantSplit/>
          <w:trHeight w:val="629"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Style w:val="45"/>
                <w:rFonts w:hint="default" w:ascii="仿宋_GB2312" w:cs="Times New Roman"/>
                <w:color w:val="auto"/>
                <w:sz w:val="24"/>
                <w:szCs w:val="24"/>
                <w:highlight w:val="none"/>
                <w:shd w:val="clear" w:color="auto" w:fill="auto"/>
                <w:lang w:val="en-US" w:eastAsia="zh-CN" w:bidi="ar-SA"/>
              </w:rPr>
            </w:pPr>
            <w:r>
              <w:rPr>
                <w:rStyle w:val="45"/>
                <w:rFonts w:hint="eastAsia" w:ascii="仿宋_GB2312" w:cs="Times New Roman"/>
                <w:color w:val="auto"/>
                <w:sz w:val="24"/>
                <w:szCs w:val="24"/>
                <w:highlight w:val="none"/>
                <w:shd w:val="clear" w:color="auto" w:fill="auto"/>
                <w:lang w:val="en-US" w:eastAsia="zh-CN" w:bidi="ar-SA"/>
              </w:rPr>
              <w:t>609-4</w:t>
            </w:r>
          </w:p>
        </w:tc>
        <w:tc>
          <w:tcPr>
            <w:tcW w:w="1234" w:type="dxa"/>
            <w:tcBorders>
              <w:top w:val="single" w:color="auto" w:sz="4" w:space="0"/>
              <w:left w:val="single" w:color="auto" w:sz="4" w:space="0"/>
              <w:bottom w:val="single" w:color="auto" w:sz="4" w:space="0"/>
            </w:tcBorders>
            <w:vAlign w:val="center"/>
          </w:tcPr>
          <w:p>
            <w:pPr>
              <w:pStyle w:val="15"/>
              <w:widowControl w:val="0"/>
              <w:autoSpaceDE w:val="0"/>
              <w:autoSpaceDN w:val="0"/>
              <w:rPr>
                <w:rFonts w:hint="eastAsia" w:ascii="仿宋_GB2312"/>
                <w:color w:val="auto"/>
                <w:szCs w:val="24"/>
                <w:highlight w:val="none"/>
                <w:lang w:eastAsia="zh-CN"/>
              </w:rPr>
            </w:pPr>
            <w:r>
              <w:rPr>
                <w:rFonts w:hint="eastAsia" w:ascii="仿宋_GB2312"/>
                <w:color w:val="auto"/>
                <w:szCs w:val="24"/>
                <w:highlight w:val="none"/>
                <w:lang w:eastAsia="zh-CN"/>
              </w:rPr>
              <w:t>自发光钢化玻璃道钉</w:t>
            </w:r>
          </w:p>
        </w:tc>
        <w:tc>
          <w:tcPr>
            <w:tcW w:w="58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eastAsia" w:ascii="仿宋_GB2312"/>
                <w:color w:val="auto"/>
                <w:szCs w:val="24"/>
                <w:highlight w:val="none"/>
                <w:lang w:val="en-US" w:eastAsia="zh-CN"/>
              </w:rPr>
            </w:pPr>
            <w:r>
              <w:rPr>
                <w:rFonts w:hint="eastAsia" w:ascii="仿宋_GB2312"/>
                <w:color w:val="auto"/>
                <w:szCs w:val="24"/>
                <w:highlight w:val="none"/>
                <w:lang w:val="en-US" w:eastAsia="zh-CN"/>
              </w:rPr>
              <w:t>个</w:t>
            </w:r>
          </w:p>
        </w:tc>
        <w:tc>
          <w:tcPr>
            <w:tcW w:w="437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ind w:firstLine="480" w:firstLineChars="200"/>
              <w:jc w:val="left"/>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1、依据图纸所示位置及尺寸，按照图纸所示以</w:t>
            </w:r>
            <w:r>
              <w:rPr>
                <w:rFonts w:hint="eastAsia" w:ascii="仿宋_GB2312" w:hAnsi="宋体" w:cs="宋体"/>
                <w:bCs w:val="0"/>
                <w:color w:val="auto"/>
                <w:spacing w:val="0"/>
                <w:w w:val="100"/>
                <w:kern w:val="0"/>
                <w:position w:val="0"/>
                <w:sz w:val="24"/>
                <w:szCs w:val="24"/>
                <w:highlight w:val="none"/>
                <w:u w:val="none"/>
                <w:shd w:val="clear" w:color="auto" w:fill="auto"/>
                <w:lang w:val="en-US" w:eastAsia="zh-CN" w:bidi="ar-SA"/>
              </w:rPr>
              <w:t>个</w:t>
            </w: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为单位计量。</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1、测距、放样；</w:t>
            </w:r>
          </w:p>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2、钻孔、注浆；</w:t>
            </w:r>
          </w:p>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3、安装道钉；</w:t>
            </w:r>
          </w:p>
          <w:p>
            <w:pPr>
              <w:autoSpaceDE w:val="0"/>
              <w:autoSpaceDN w:val="0"/>
              <w:rPr>
                <w:rFonts w:hint="default"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4、清理多余粘剂。</w:t>
            </w:r>
          </w:p>
        </w:tc>
      </w:tr>
      <w:tr>
        <w:tblPrEx>
          <w:tblCellMar>
            <w:top w:w="0" w:type="dxa"/>
            <w:left w:w="0" w:type="dxa"/>
            <w:bottom w:w="0" w:type="dxa"/>
            <w:right w:w="0" w:type="dxa"/>
          </w:tblCellMar>
        </w:tblPrEx>
        <w:trPr>
          <w:cantSplit/>
          <w:trHeight w:val="629"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Style w:val="45"/>
                <w:rFonts w:hint="default" w:ascii="仿宋_GB2312" w:cs="Times New Roman"/>
                <w:color w:val="auto"/>
                <w:sz w:val="24"/>
                <w:szCs w:val="24"/>
                <w:highlight w:val="none"/>
                <w:shd w:val="clear" w:color="auto" w:fill="auto"/>
                <w:lang w:val="en-US" w:eastAsia="zh-CN" w:bidi="ar-SA"/>
              </w:rPr>
            </w:pPr>
            <w:r>
              <w:rPr>
                <w:rStyle w:val="45"/>
                <w:rFonts w:hint="eastAsia" w:ascii="仿宋_GB2312" w:cs="Times New Roman"/>
                <w:color w:val="auto"/>
                <w:sz w:val="24"/>
                <w:szCs w:val="24"/>
                <w:highlight w:val="none"/>
                <w:shd w:val="clear" w:color="auto" w:fill="auto"/>
                <w:lang w:val="en-US" w:eastAsia="zh-CN" w:bidi="ar-SA"/>
              </w:rPr>
              <w:t>609-5</w:t>
            </w:r>
          </w:p>
        </w:tc>
        <w:tc>
          <w:tcPr>
            <w:tcW w:w="1234" w:type="dxa"/>
            <w:tcBorders>
              <w:top w:val="single" w:color="auto" w:sz="4" w:space="0"/>
              <w:left w:val="single" w:color="auto" w:sz="4" w:space="0"/>
              <w:bottom w:val="single" w:color="auto" w:sz="4" w:space="0"/>
            </w:tcBorders>
            <w:vAlign w:val="center"/>
          </w:tcPr>
          <w:p>
            <w:pPr>
              <w:pStyle w:val="15"/>
              <w:widowControl w:val="0"/>
              <w:autoSpaceDE w:val="0"/>
              <w:autoSpaceDN w:val="0"/>
              <w:rPr>
                <w:rFonts w:hint="eastAsia" w:ascii="仿宋_GB2312"/>
                <w:color w:val="auto"/>
                <w:szCs w:val="24"/>
                <w:highlight w:val="none"/>
                <w:lang w:eastAsia="zh-CN"/>
              </w:rPr>
            </w:pPr>
            <w:r>
              <w:rPr>
                <w:rFonts w:hint="eastAsia" w:ascii="仿宋_GB2312"/>
                <w:color w:val="auto"/>
                <w:szCs w:val="24"/>
                <w:highlight w:val="none"/>
                <w:lang w:eastAsia="zh-CN"/>
              </w:rPr>
              <w:t>智能地埋式圆形路面标识</w:t>
            </w:r>
          </w:p>
        </w:tc>
        <w:tc>
          <w:tcPr>
            <w:tcW w:w="58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eastAsia" w:ascii="仿宋_GB2312"/>
                <w:color w:val="auto"/>
                <w:szCs w:val="24"/>
                <w:highlight w:val="none"/>
                <w:lang w:val="en-US" w:eastAsia="zh-CN"/>
              </w:rPr>
            </w:pPr>
            <w:r>
              <w:rPr>
                <w:rFonts w:hint="eastAsia" w:ascii="仿宋_GB2312"/>
                <w:color w:val="auto"/>
                <w:szCs w:val="24"/>
                <w:highlight w:val="none"/>
                <w:lang w:val="en-US" w:eastAsia="zh-CN"/>
              </w:rPr>
              <w:t>个</w:t>
            </w:r>
          </w:p>
        </w:tc>
        <w:tc>
          <w:tcPr>
            <w:tcW w:w="437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ind w:firstLine="480" w:firstLineChars="200"/>
              <w:jc w:val="left"/>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1、依据图纸所示位置及尺寸，按照图纸所示以</w:t>
            </w:r>
            <w:r>
              <w:rPr>
                <w:rFonts w:hint="eastAsia" w:ascii="仿宋_GB2312" w:hAnsi="宋体" w:cs="宋体"/>
                <w:bCs w:val="0"/>
                <w:color w:val="auto"/>
                <w:spacing w:val="0"/>
                <w:w w:val="100"/>
                <w:kern w:val="0"/>
                <w:position w:val="0"/>
                <w:sz w:val="24"/>
                <w:szCs w:val="24"/>
                <w:highlight w:val="none"/>
                <w:u w:val="none"/>
                <w:shd w:val="clear" w:color="auto" w:fill="auto"/>
                <w:lang w:val="en-US" w:eastAsia="zh-CN" w:bidi="ar-SA"/>
              </w:rPr>
              <w:t>个</w:t>
            </w: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为单位计量。</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1、测距、放样；</w:t>
            </w:r>
          </w:p>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2、钻孔、安装、固定；</w:t>
            </w:r>
          </w:p>
          <w:p>
            <w:pPr>
              <w:autoSpaceDE w:val="0"/>
              <w:autoSpaceDN w:val="0"/>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3、清理表面。</w:t>
            </w:r>
          </w:p>
        </w:tc>
      </w:tr>
      <w:tr>
        <w:tblPrEx>
          <w:tblCellMar>
            <w:top w:w="0" w:type="dxa"/>
            <w:left w:w="0" w:type="dxa"/>
            <w:bottom w:w="0" w:type="dxa"/>
            <w:right w:w="0" w:type="dxa"/>
          </w:tblCellMar>
        </w:tblPrEx>
        <w:trPr>
          <w:cantSplit/>
          <w:trHeight w:val="629"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Style w:val="45"/>
                <w:rFonts w:hint="default" w:ascii="仿宋_GB2312" w:cs="Times New Roman"/>
                <w:color w:val="auto"/>
                <w:sz w:val="24"/>
                <w:szCs w:val="24"/>
                <w:highlight w:val="none"/>
                <w:shd w:val="clear" w:color="auto" w:fill="auto"/>
                <w:lang w:val="en-US" w:eastAsia="zh-CN" w:bidi="ar-SA"/>
              </w:rPr>
            </w:pPr>
            <w:r>
              <w:rPr>
                <w:rStyle w:val="45"/>
                <w:rFonts w:hint="eastAsia" w:ascii="仿宋_GB2312" w:cs="Times New Roman"/>
                <w:color w:val="auto"/>
                <w:sz w:val="24"/>
                <w:szCs w:val="24"/>
                <w:highlight w:val="none"/>
                <w:shd w:val="clear" w:color="auto" w:fill="auto"/>
                <w:lang w:val="en-US" w:eastAsia="zh-CN" w:bidi="ar-SA"/>
              </w:rPr>
              <w:t>609-6</w:t>
            </w:r>
          </w:p>
        </w:tc>
        <w:tc>
          <w:tcPr>
            <w:tcW w:w="1234" w:type="dxa"/>
            <w:tcBorders>
              <w:top w:val="single" w:color="auto" w:sz="4" w:space="0"/>
              <w:left w:val="single" w:color="auto" w:sz="4" w:space="0"/>
              <w:bottom w:val="single" w:color="auto" w:sz="4" w:space="0"/>
            </w:tcBorders>
            <w:vAlign w:val="center"/>
          </w:tcPr>
          <w:p>
            <w:pPr>
              <w:pStyle w:val="15"/>
              <w:widowControl w:val="0"/>
              <w:autoSpaceDE w:val="0"/>
              <w:autoSpaceDN w:val="0"/>
              <w:rPr>
                <w:rFonts w:hint="eastAsia" w:ascii="仿宋_GB2312"/>
                <w:color w:val="auto"/>
                <w:szCs w:val="24"/>
                <w:highlight w:val="none"/>
                <w:lang w:eastAsia="zh-CN"/>
              </w:rPr>
            </w:pPr>
            <w:r>
              <w:rPr>
                <w:rFonts w:hint="eastAsia" w:ascii="仿宋_GB2312"/>
                <w:color w:val="auto"/>
                <w:szCs w:val="24"/>
                <w:highlight w:val="none"/>
                <w:lang w:eastAsia="zh-CN"/>
              </w:rPr>
              <w:t>京式护栏</w:t>
            </w:r>
          </w:p>
        </w:tc>
        <w:tc>
          <w:tcPr>
            <w:tcW w:w="58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default" w:ascii="仿宋_GB2312"/>
                <w:color w:val="auto"/>
                <w:szCs w:val="24"/>
                <w:highlight w:val="none"/>
                <w:lang w:val="en-US" w:eastAsia="zh-CN"/>
              </w:rPr>
            </w:pPr>
            <w:r>
              <w:rPr>
                <w:rFonts w:hint="eastAsia" w:ascii="仿宋_GB2312"/>
                <w:color w:val="auto"/>
                <w:szCs w:val="24"/>
                <w:highlight w:val="none"/>
                <w:lang w:val="en-US" w:eastAsia="zh-CN"/>
              </w:rPr>
              <w:t>m</w:t>
            </w:r>
          </w:p>
        </w:tc>
        <w:tc>
          <w:tcPr>
            <w:tcW w:w="437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ind w:firstLine="480" w:firstLineChars="200"/>
              <w:jc w:val="left"/>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1、依据图纸所示位置及尺寸，按照图纸所示以</w:t>
            </w:r>
            <w:r>
              <w:rPr>
                <w:rFonts w:hint="eastAsia" w:ascii="仿宋_GB2312" w:hAnsi="宋体" w:cs="宋体"/>
                <w:bCs w:val="0"/>
                <w:color w:val="auto"/>
                <w:spacing w:val="0"/>
                <w:w w:val="100"/>
                <w:kern w:val="0"/>
                <w:position w:val="0"/>
                <w:sz w:val="24"/>
                <w:szCs w:val="24"/>
                <w:highlight w:val="none"/>
                <w:u w:val="none"/>
                <w:shd w:val="clear" w:color="auto" w:fill="auto"/>
                <w:lang w:val="en-US" w:eastAsia="zh-CN" w:bidi="ar-SA"/>
              </w:rPr>
              <w:t>m</w:t>
            </w: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为单位计量。</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1、基础施工；</w:t>
            </w:r>
          </w:p>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2、护栏及其配件安装；</w:t>
            </w:r>
          </w:p>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3、场地清理；</w:t>
            </w:r>
          </w:p>
          <w:p>
            <w:pPr>
              <w:autoSpaceDE w:val="0"/>
              <w:autoSpaceDN w:val="0"/>
              <w:rPr>
                <w:rFonts w:hint="default"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4、防腐涂装。</w:t>
            </w:r>
          </w:p>
        </w:tc>
      </w:tr>
    </w:tbl>
    <w:p>
      <w:pPr>
        <w:ind w:left="0" w:leftChars="0" w:firstLine="0" w:firstLineChars="0"/>
        <w:rPr>
          <w:rFonts w:hint="eastAsia" w:ascii="仿宋_GB2312"/>
          <w:color w:val="auto"/>
          <w:highlight w:val="none"/>
          <w:lang w:eastAsia="zh-CN"/>
        </w:rPr>
      </w:pPr>
    </w:p>
    <w:p>
      <w:pPr>
        <w:pStyle w:val="2"/>
        <w:rPr>
          <w:rFonts w:ascii="仿宋_GB2312"/>
          <w:color w:val="auto"/>
          <w:highlight w:val="none"/>
          <w:lang w:eastAsia="zh-CN"/>
        </w:rPr>
        <w:sectPr>
          <w:footerReference r:id="rId9" w:type="first"/>
          <w:headerReference r:id="rId6" w:type="default"/>
          <w:footerReference r:id="rId7" w:type="default"/>
          <w:footerReference r:id="rId8" w:type="even"/>
          <w:pgSz w:w="11906" w:h="16838"/>
          <w:pgMar w:top="1440" w:right="1800" w:bottom="1440" w:left="1440" w:header="720" w:footer="992" w:gutter="0"/>
          <w:pgNumType w:start="1"/>
          <w:cols w:space="708" w:num="1"/>
          <w:docGrid w:type="lines" w:linePitch="312" w:charSpace="0"/>
        </w:sectPr>
      </w:pPr>
    </w:p>
    <w:p>
      <w:pPr>
        <w:pStyle w:val="2"/>
        <w:rPr>
          <w:rFonts w:ascii="仿宋_GB2312"/>
          <w:color w:val="auto"/>
          <w:highlight w:val="none"/>
          <w:lang w:eastAsia="zh-CN"/>
        </w:rPr>
      </w:pPr>
      <w:r>
        <w:rPr>
          <w:rFonts w:hint="eastAsia" w:ascii="仿宋_GB2312"/>
          <w:color w:val="auto"/>
          <w:highlight w:val="none"/>
          <w:lang w:eastAsia="zh-CN"/>
        </w:rPr>
        <w:t>第6</w:t>
      </w:r>
      <w:r>
        <w:rPr>
          <w:rFonts w:hint="eastAsia" w:ascii="仿宋_GB2312"/>
          <w:color w:val="auto"/>
          <w:highlight w:val="none"/>
          <w:lang w:val="en-US" w:eastAsia="zh-CN"/>
        </w:rPr>
        <w:t>10</w:t>
      </w:r>
      <w:r>
        <w:rPr>
          <w:rFonts w:hint="eastAsia" w:ascii="仿宋_GB2312"/>
          <w:color w:val="auto"/>
          <w:highlight w:val="none"/>
          <w:lang w:eastAsia="zh-CN"/>
        </w:rPr>
        <w:t>节</w:t>
      </w:r>
      <w:r>
        <w:rPr>
          <w:rFonts w:ascii="仿宋_GB2312"/>
          <w:color w:val="auto"/>
          <w:highlight w:val="none"/>
          <w:lang w:eastAsia="zh-CN"/>
        </w:rPr>
        <w:t xml:space="preserve"> </w:t>
      </w:r>
      <w:r>
        <w:rPr>
          <w:rFonts w:hint="eastAsia" w:ascii="仿宋_GB2312"/>
          <w:color w:val="auto"/>
          <w:highlight w:val="none"/>
          <w:lang w:eastAsia="zh-CN"/>
        </w:rPr>
        <w:t>隧道自发光诱导与照明系统设置</w:t>
      </w:r>
    </w:p>
    <w:p>
      <w:pPr>
        <w:ind w:firstLine="560"/>
        <w:rPr>
          <w:rFonts w:ascii="仿宋_GB2312"/>
          <w:color w:val="auto"/>
          <w:highlight w:val="none"/>
          <w:lang w:eastAsia="zh-CN"/>
        </w:rPr>
      </w:pPr>
      <w:r>
        <w:rPr>
          <w:rFonts w:hint="eastAsia" w:ascii="仿宋_GB2312"/>
          <w:color w:val="auto"/>
          <w:highlight w:val="none"/>
          <w:lang w:eastAsia="zh-CN"/>
        </w:rPr>
        <w:t>本节工程量清单项目分项计量规则应按表</w:t>
      </w:r>
      <w:r>
        <w:rPr>
          <w:rFonts w:ascii="仿宋_GB2312"/>
          <w:color w:val="auto"/>
          <w:highlight w:val="none"/>
          <w:lang w:eastAsia="zh-CN"/>
        </w:rPr>
        <w:t xml:space="preserve"> </w:t>
      </w:r>
      <w:r>
        <w:rPr>
          <w:rFonts w:hint="eastAsia" w:ascii="仿宋_GB2312"/>
          <w:color w:val="auto"/>
          <w:highlight w:val="none"/>
          <w:lang w:eastAsia="zh-CN"/>
        </w:rPr>
        <w:t>6</w:t>
      </w:r>
      <w:r>
        <w:rPr>
          <w:rFonts w:hint="eastAsia" w:ascii="仿宋_GB2312"/>
          <w:color w:val="auto"/>
          <w:highlight w:val="none"/>
          <w:lang w:val="en-US" w:eastAsia="zh-CN"/>
        </w:rPr>
        <w:t>10</w:t>
      </w:r>
      <w:r>
        <w:rPr>
          <w:rFonts w:ascii="仿宋_GB2312"/>
          <w:color w:val="auto"/>
          <w:highlight w:val="none"/>
          <w:lang w:eastAsia="zh-CN"/>
        </w:rPr>
        <w:t xml:space="preserve"> </w:t>
      </w:r>
      <w:r>
        <w:rPr>
          <w:rFonts w:hint="eastAsia" w:ascii="仿宋_GB2312"/>
          <w:color w:val="auto"/>
          <w:highlight w:val="none"/>
          <w:lang w:eastAsia="zh-CN"/>
        </w:rPr>
        <w:t>的规定执行</w:t>
      </w:r>
      <w:r>
        <w:rPr>
          <w:rFonts w:ascii="仿宋_GB2312"/>
          <w:color w:val="auto"/>
          <w:highlight w:val="none"/>
          <w:lang w:eastAsia="zh-CN"/>
        </w:rPr>
        <w:t>。</w:t>
      </w:r>
    </w:p>
    <w:p>
      <w:pPr>
        <w:ind w:firstLine="0" w:firstLineChars="0"/>
        <w:jc w:val="center"/>
        <w:rPr>
          <w:rFonts w:ascii="仿宋_GB2312"/>
          <w:color w:val="auto"/>
          <w:highlight w:val="none"/>
          <w:lang w:eastAsia="zh-CN"/>
        </w:rPr>
      </w:pPr>
      <w:r>
        <w:rPr>
          <w:rFonts w:hint="eastAsia" w:ascii="仿宋_GB2312"/>
          <w:color w:val="auto"/>
          <w:highlight w:val="none"/>
          <w:lang w:eastAsia="zh-CN"/>
        </w:rPr>
        <w:t>表</w:t>
      </w:r>
      <w:r>
        <w:rPr>
          <w:rFonts w:ascii="仿宋_GB2312"/>
          <w:color w:val="auto"/>
          <w:highlight w:val="none"/>
          <w:lang w:eastAsia="zh-CN"/>
        </w:rPr>
        <w:t xml:space="preserve"> </w:t>
      </w:r>
      <w:r>
        <w:rPr>
          <w:rFonts w:hint="eastAsia" w:ascii="仿宋_GB2312"/>
          <w:color w:val="auto"/>
          <w:highlight w:val="none"/>
          <w:lang w:eastAsia="zh-CN"/>
        </w:rPr>
        <w:t>6</w:t>
      </w:r>
      <w:r>
        <w:rPr>
          <w:rFonts w:hint="eastAsia" w:ascii="仿宋_GB2312"/>
          <w:color w:val="auto"/>
          <w:highlight w:val="none"/>
          <w:lang w:val="en-US" w:eastAsia="zh-CN"/>
        </w:rPr>
        <w:t>10</w:t>
      </w:r>
      <w:r>
        <w:rPr>
          <w:rFonts w:ascii="仿宋_GB2312"/>
          <w:color w:val="auto"/>
          <w:highlight w:val="none"/>
          <w:lang w:eastAsia="zh-CN"/>
        </w:rPr>
        <w:t xml:space="preserve"> </w:t>
      </w:r>
      <w:r>
        <w:rPr>
          <w:rFonts w:hint="eastAsia" w:ascii="仿宋_GB2312"/>
          <w:color w:val="auto"/>
          <w:highlight w:val="none"/>
          <w:lang w:eastAsia="zh-CN"/>
        </w:rPr>
        <w:t>隧道自发光诱导与照明系统设置</w:t>
      </w:r>
    </w:p>
    <w:tbl>
      <w:tblPr>
        <w:tblStyle w:val="44"/>
        <w:tblW w:w="10343" w:type="dxa"/>
        <w:jc w:val="center"/>
        <w:tblLayout w:type="fixed"/>
        <w:tblCellMar>
          <w:top w:w="0" w:type="dxa"/>
          <w:left w:w="0" w:type="dxa"/>
          <w:bottom w:w="0" w:type="dxa"/>
          <w:right w:w="0" w:type="dxa"/>
        </w:tblCellMar>
      </w:tblPr>
      <w:tblGrid>
        <w:gridCol w:w="830"/>
        <w:gridCol w:w="1400"/>
        <w:gridCol w:w="617"/>
        <w:gridCol w:w="4094"/>
        <w:gridCol w:w="3402"/>
      </w:tblGrid>
      <w:tr>
        <w:tblPrEx>
          <w:tblCellMar>
            <w:top w:w="0" w:type="dxa"/>
            <w:left w:w="0" w:type="dxa"/>
            <w:bottom w:w="0" w:type="dxa"/>
            <w:right w:w="0" w:type="dxa"/>
          </w:tblCellMar>
        </w:tblPrEx>
        <w:trPr>
          <w:cantSplit/>
          <w:trHeight w:val="502"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r>
              <w:rPr>
                <w:rFonts w:hint="eastAsia" w:ascii="仿宋_GB2312"/>
                <w:color w:val="auto"/>
                <w:szCs w:val="24"/>
                <w:highlight w:val="none"/>
              </w:rPr>
              <w:t>子目号</w:t>
            </w:r>
          </w:p>
        </w:tc>
        <w:tc>
          <w:tcPr>
            <w:tcW w:w="1400"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r>
              <w:rPr>
                <w:rFonts w:hint="eastAsia" w:ascii="仿宋_GB2312"/>
                <w:color w:val="auto"/>
                <w:szCs w:val="24"/>
                <w:highlight w:val="none"/>
              </w:rPr>
              <w:t>子目名称</w:t>
            </w:r>
          </w:p>
        </w:tc>
        <w:tc>
          <w:tcPr>
            <w:tcW w:w="61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r>
              <w:rPr>
                <w:rFonts w:hint="eastAsia" w:ascii="仿宋_GB2312"/>
                <w:color w:val="auto"/>
                <w:szCs w:val="24"/>
                <w:highlight w:val="none"/>
              </w:rPr>
              <w:t>单位</w:t>
            </w:r>
          </w:p>
        </w:tc>
        <w:tc>
          <w:tcPr>
            <w:tcW w:w="409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r>
              <w:rPr>
                <w:rFonts w:hint="eastAsia" w:ascii="仿宋_GB2312"/>
                <w:color w:val="auto"/>
                <w:szCs w:val="24"/>
                <w:highlight w:val="none"/>
              </w:rPr>
              <w:t>工程量计量</w:t>
            </w:r>
          </w:p>
        </w:tc>
        <w:tc>
          <w:tcPr>
            <w:tcW w:w="3402"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r>
              <w:rPr>
                <w:rFonts w:hint="eastAsia" w:ascii="仿宋_GB2312"/>
                <w:color w:val="auto"/>
                <w:szCs w:val="24"/>
                <w:highlight w:val="none"/>
              </w:rPr>
              <w:t>工程内容</w:t>
            </w:r>
          </w:p>
        </w:tc>
      </w:tr>
      <w:tr>
        <w:tblPrEx>
          <w:tblCellMar>
            <w:top w:w="0" w:type="dxa"/>
            <w:left w:w="0" w:type="dxa"/>
            <w:bottom w:w="0" w:type="dxa"/>
            <w:right w:w="0" w:type="dxa"/>
          </w:tblCellMar>
        </w:tblPrEx>
        <w:trPr>
          <w:cantSplit/>
          <w:trHeight w:val="629"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default" w:ascii="仿宋_GB2312" w:eastAsia="仿宋_GB2312"/>
                <w:color w:val="auto"/>
                <w:szCs w:val="24"/>
                <w:highlight w:val="none"/>
                <w:lang w:val="en-US" w:eastAsia="zh-CN"/>
              </w:rPr>
            </w:pPr>
            <w:r>
              <w:rPr>
                <w:rFonts w:hint="eastAsia" w:ascii="仿宋_GB2312"/>
                <w:color w:val="auto"/>
                <w:szCs w:val="24"/>
                <w:highlight w:val="none"/>
                <w:lang w:eastAsia="zh-CN"/>
              </w:rPr>
              <w:t>6</w:t>
            </w:r>
            <w:r>
              <w:rPr>
                <w:rFonts w:hint="eastAsia" w:ascii="仿宋_GB2312"/>
                <w:color w:val="auto"/>
                <w:szCs w:val="24"/>
                <w:highlight w:val="none"/>
                <w:lang w:val="en-US" w:eastAsia="zh-CN"/>
              </w:rPr>
              <w:t>10</w:t>
            </w:r>
          </w:p>
        </w:tc>
        <w:tc>
          <w:tcPr>
            <w:tcW w:w="1400" w:type="dxa"/>
            <w:tcBorders>
              <w:top w:val="single" w:color="auto" w:sz="4" w:space="0"/>
              <w:left w:val="single" w:color="auto" w:sz="4" w:space="0"/>
              <w:bottom w:val="single" w:color="auto" w:sz="4" w:space="0"/>
            </w:tcBorders>
            <w:vAlign w:val="center"/>
          </w:tcPr>
          <w:p>
            <w:pPr>
              <w:pStyle w:val="15"/>
              <w:widowControl w:val="0"/>
              <w:autoSpaceDE w:val="0"/>
              <w:autoSpaceDN w:val="0"/>
              <w:rPr>
                <w:rFonts w:hint="eastAsia" w:ascii="仿宋_GB2312" w:eastAsia="仿宋_GB2312"/>
                <w:color w:val="auto"/>
                <w:szCs w:val="24"/>
                <w:highlight w:val="none"/>
                <w:lang w:eastAsia="zh-CN"/>
              </w:rPr>
            </w:pPr>
            <w:r>
              <w:rPr>
                <w:rFonts w:hint="eastAsia" w:ascii="仿宋_GB2312"/>
                <w:color w:val="auto"/>
                <w:szCs w:val="24"/>
                <w:highlight w:val="none"/>
                <w:lang w:eastAsia="zh-CN"/>
              </w:rPr>
              <w:t>隧道自发光诱导与照明系统设置</w:t>
            </w:r>
          </w:p>
        </w:tc>
        <w:tc>
          <w:tcPr>
            <w:tcW w:w="61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p>
        </w:tc>
        <w:tc>
          <w:tcPr>
            <w:tcW w:w="409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default" w:ascii="仿宋_GB2312" w:eastAsia="仿宋_GB2312"/>
                <w:color w:val="auto"/>
                <w:szCs w:val="24"/>
                <w:highlight w:val="none"/>
                <w:lang w:val="en-US" w:eastAsia="zh-CN"/>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p>
        </w:tc>
      </w:tr>
      <w:tr>
        <w:tblPrEx>
          <w:tblCellMar>
            <w:top w:w="0" w:type="dxa"/>
            <w:left w:w="0" w:type="dxa"/>
            <w:bottom w:w="0" w:type="dxa"/>
            <w:right w:w="0" w:type="dxa"/>
          </w:tblCellMar>
        </w:tblPrEx>
        <w:trPr>
          <w:cantSplit/>
          <w:trHeight w:val="629"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default" w:ascii="仿宋_GB2312"/>
                <w:color w:val="auto"/>
                <w:szCs w:val="24"/>
                <w:highlight w:val="none"/>
                <w:lang w:val="en-US" w:eastAsia="zh-CN"/>
              </w:rPr>
            </w:pPr>
            <w:r>
              <w:rPr>
                <w:rFonts w:hint="eastAsia" w:ascii="仿宋_GB2312"/>
                <w:color w:val="auto"/>
                <w:szCs w:val="24"/>
                <w:highlight w:val="none"/>
                <w:lang w:eastAsia="zh-CN"/>
              </w:rPr>
              <w:t>6</w:t>
            </w:r>
            <w:r>
              <w:rPr>
                <w:rFonts w:hint="eastAsia" w:ascii="仿宋_GB2312"/>
                <w:color w:val="auto"/>
                <w:szCs w:val="24"/>
                <w:highlight w:val="none"/>
                <w:lang w:val="en-US" w:eastAsia="zh-CN"/>
              </w:rPr>
              <w:t>10-1</w:t>
            </w:r>
          </w:p>
        </w:tc>
        <w:tc>
          <w:tcPr>
            <w:tcW w:w="1400" w:type="dxa"/>
            <w:tcBorders>
              <w:top w:val="single" w:color="auto" w:sz="4" w:space="0"/>
              <w:left w:val="single" w:color="auto" w:sz="4" w:space="0"/>
              <w:bottom w:val="single" w:color="auto" w:sz="4" w:space="0"/>
            </w:tcBorders>
            <w:vAlign w:val="center"/>
          </w:tcPr>
          <w:p>
            <w:pPr>
              <w:pStyle w:val="15"/>
              <w:widowControl w:val="0"/>
              <w:autoSpaceDE w:val="0"/>
              <w:autoSpaceDN w:val="0"/>
              <w:rPr>
                <w:rFonts w:hint="eastAsia" w:ascii="仿宋_GB2312"/>
                <w:color w:val="auto"/>
                <w:szCs w:val="24"/>
                <w:highlight w:val="none"/>
                <w:lang w:eastAsia="zh-CN"/>
              </w:rPr>
            </w:pPr>
            <w:r>
              <w:rPr>
                <w:rFonts w:hint="eastAsia" w:ascii="仿宋_GB2312"/>
                <w:color w:val="auto"/>
                <w:szCs w:val="24"/>
                <w:highlight w:val="none"/>
                <w:lang w:eastAsia="zh-CN"/>
              </w:rPr>
              <w:t>智能圆形柱帽标识</w:t>
            </w:r>
          </w:p>
        </w:tc>
        <w:tc>
          <w:tcPr>
            <w:tcW w:w="61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r>
              <w:rPr>
                <w:rFonts w:hint="eastAsia" w:ascii="仿宋_GB2312"/>
                <w:color w:val="auto"/>
                <w:szCs w:val="24"/>
                <w:highlight w:val="none"/>
              </w:rPr>
              <w:t>个</w:t>
            </w:r>
          </w:p>
        </w:tc>
        <w:tc>
          <w:tcPr>
            <w:tcW w:w="409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ind w:firstLine="480" w:firstLineChars="200"/>
              <w:jc w:val="left"/>
              <w:rPr>
                <w:rFonts w:hint="default" w:ascii="仿宋_GB2312" w:eastAsia="仿宋_GB2312"/>
                <w:color w:val="auto"/>
                <w:szCs w:val="24"/>
                <w:highlight w:val="none"/>
                <w:lang w:val="en-US" w:eastAsia="zh-CN"/>
              </w:rPr>
            </w:pP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1、依据图纸所示位置及尺寸，按照图纸所示以</w:t>
            </w:r>
            <w:r>
              <w:rPr>
                <w:rFonts w:hint="eastAsia" w:ascii="仿宋_GB2312" w:hAnsi="宋体" w:cs="宋体"/>
                <w:bCs w:val="0"/>
                <w:color w:val="auto"/>
                <w:spacing w:val="0"/>
                <w:w w:val="100"/>
                <w:kern w:val="0"/>
                <w:position w:val="0"/>
                <w:sz w:val="24"/>
                <w:szCs w:val="24"/>
                <w:highlight w:val="none"/>
                <w:u w:val="none"/>
                <w:shd w:val="clear" w:color="auto" w:fill="auto"/>
                <w:lang w:val="en-US" w:eastAsia="zh-CN" w:bidi="ar-SA"/>
              </w:rPr>
              <w:t>个</w:t>
            </w: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为单位计量。</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1、测距、放样；</w:t>
            </w:r>
          </w:p>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2、胶水固定；</w:t>
            </w:r>
          </w:p>
          <w:p>
            <w:pPr>
              <w:autoSpaceDE w:val="0"/>
              <w:autoSpaceDN w:val="0"/>
              <w:rPr>
                <w:rFonts w:ascii="仿宋_GB2312" w:hAnsi="Times New Roman" w:cs="Times New Roman"/>
                <w:color w:val="auto"/>
                <w:szCs w:val="24"/>
                <w:highlight w:val="none"/>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3、连接件固定。</w:t>
            </w:r>
          </w:p>
        </w:tc>
      </w:tr>
      <w:tr>
        <w:tblPrEx>
          <w:tblCellMar>
            <w:top w:w="0" w:type="dxa"/>
            <w:left w:w="0" w:type="dxa"/>
            <w:bottom w:w="0" w:type="dxa"/>
            <w:right w:w="0" w:type="dxa"/>
          </w:tblCellMar>
        </w:tblPrEx>
        <w:trPr>
          <w:cantSplit/>
          <w:trHeight w:val="629"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default" w:ascii="仿宋_GB2312"/>
                <w:color w:val="auto"/>
                <w:szCs w:val="24"/>
                <w:highlight w:val="none"/>
                <w:lang w:val="en-US" w:eastAsia="zh-CN"/>
              </w:rPr>
            </w:pPr>
            <w:r>
              <w:rPr>
                <w:rFonts w:hint="eastAsia" w:ascii="仿宋_GB2312"/>
                <w:color w:val="auto"/>
                <w:szCs w:val="24"/>
                <w:highlight w:val="none"/>
                <w:lang w:eastAsia="zh-CN"/>
              </w:rPr>
              <w:t>6</w:t>
            </w:r>
            <w:r>
              <w:rPr>
                <w:rFonts w:hint="eastAsia" w:ascii="仿宋_GB2312"/>
                <w:color w:val="auto"/>
                <w:szCs w:val="24"/>
                <w:highlight w:val="none"/>
                <w:lang w:val="en-US" w:eastAsia="zh-CN"/>
              </w:rPr>
              <w:t>10-2</w:t>
            </w:r>
          </w:p>
        </w:tc>
        <w:tc>
          <w:tcPr>
            <w:tcW w:w="1400" w:type="dxa"/>
            <w:tcBorders>
              <w:top w:val="single" w:color="auto" w:sz="4" w:space="0"/>
              <w:left w:val="single" w:color="auto" w:sz="4" w:space="0"/>
              <w:bottom w:val="single" w:color="auto" w:sz="4" w:space="0"/>
            </w:tcBorders>
            <w:vAlign w:val="center"/>
          </w:tcPr>
          <w:p>
            <w:pPr>
              <w:pStyle w:val="15"/>
              <w:widowControl w:val="0"/>
              <w:autoSpaceDE w:val="0"/>
              <w:autoSpaceDN w:val="0"/>
              <w:rPr>
                <w:rFonts w:hint="eastAsia" w:ascii="仿宋_GB2312"/>
                <w:color w:val="auto"/>
                <w:szCs w:val="24"/>
                <w:highlight w:val="none"/>
                <w:lang w:eastAsia="zh-CN"/>
              </w:rPr>
            </w:pPr>
            <w:r>
              <w:rPr>
                <w:rFonts w:hint="eastAsia" w:ascii="仿宋_GB2312"/>
                <w:color w:val="auto"/>
                <w:szCs w:val="24"/>
                <w:highlight w:val="none"/>
                <w:lang w:eastAsia="zh-CN"/>
              </w:rPr>
              <w:t>智能自发光圆形标识</w:t>
            </w:r>
          </w:p>
        </w:tc>
        <w:tc>
          <w:tcPr>
            <w:tcW w:w="61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r>
              <w:rPr>
                <w:rFonts w:hint="eastAsia" w:ascii="仿宋_GB2312"/>
                <w:color w:val="auto"/>
                <w:szCs w:val="24"/>
                <w:highlight w:val="none"/>
              </w:rPr>
              <w:t>个</w:t>
            </w:r>
          </w:p>
        </w:tc>
        <w:tc>
          <w:tcPr>
            <w:tcW w:w="409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ind w:firstLine="480" w:firstLineChars="200"/>
              <w:jc w:val="left"/>
              <w:rPr>
                <w:rFonts w:hint="default" w:ascii="仿宋_GB2312" w:eastAsia="仿宋_GB2312"/>
                <w:color w:val="auto"/>
                <w:szCs w:val="24"/>
                <w:highlight w:val="none"/>
                <w:lang w:val="en-US" w:eastAsia="zh-CN"/>
              </w:rPr>
            </w:pP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1、依据图纸所示位置及尺寸，按照图纸所示以</w:t>
            </w:r>
            <w:r>
              <w:rPr>
                <w:rFonts w:hint="eastAsia" w:ascii="仿宋_GB2312" w:hAnsi="宋体" w:cs="宋体"/>
                <w:bCs w:val="0"/>
                <w:color w:val="auto"/>
                <w:spacing w:val="0"/>
                <w:w w:val="100"/>
                <w:kern w:val="0"/>
                <w:position w:val="0"/>
                <w:sz w:val="24"/>
                <w:szCs w:val="24"/>
                <w:highlight w:val="none"/>
                <w:u w:val="none"/>
                <w:shd w:val="clear" w:color="auto" w:fill="auto"/>
                <w:lang w:val="en-US" w:eastAsia="zh-CN" w:bidi="ar-SA"/>
              </w:rPr>
              <w:t>个</w:t>
            </w: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为单位计量。</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1、测距、放样；</w:t>
            </w:r>
          </w:p>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2、钻孔、安装、固定；</w:t>
            </w:r>
          </w:p>
          <w:p>
            <w:pPr>
              <w:autoSpaceDE w:val="0"/>
              <w:autoSpaceDN w:val="0"/>
              <w:rPr>
                <w:rFonts w:hint="default"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3、清理表面。</w:t>
            </w:r>
          </w:p>
        </w:tc>
      </w:tr>
      <w:tr>
        <w:tblPrEx>
          <w:tblCellMar>
            <w:top w:w="0" w:type="dxa"/>
            <w:left w:w="0" w:type="dxa"/>
            <w:bottom w:w="0" w:type="dxa"/>
            <w:right w:w="0" w:type="dxa"/>
          </w:tblCellMar>
        </w:tblPrEx>
        <w:trPr>
          <w:cantSplit/>
          <w:trHeight w:val="629"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default" w:ascii="仿宋_GB2312"/>
                <w:color w:val="auto"/>
                <w:szCs w:val="24"/>
                <w:highlight w:val="none"/>
                <w:lang w:val="en-US" w:eastAsia="zh-CN"/>
              </w:rPr>
            </w:pPr>
            <w:r>
              <w:rPr>
                <w:rFonts w:hint="eastAsia" w:ascii="仿宋_GB2312"/>
                <w:color w:val="auto"/>
                <w:szCs w:val="24"/>
                <w:highlight w:val="none"/>
                <w:lang w:eastAsia="zh-CN"/>
              </w:rPr>
              <w:t>6</w:t>
            </w:r>
            <w:r>
              <w:rPr>
                <w:rFonts w:hint="eastAsia" w:ascii="仿宋_GB2312"/>
                <w:color w:val="auto"/>
                <w:szCs w:val="24"/>
                <w:highlight w:val="none"/>
                <w:lang w:val="en-US" w:eastAsia="zh-CN"/>
              </w:rPr>
              <w:t>10-3</w:t>
            </w:r>
          </w:p>
        </w:tc>
        <w:tc>
          <w:tcPr>
            <w:tcW w:w="1400" w:type="dxa"/>
            <w:tcBorders>
              <w:top w:val="single" w:color="auto" w:sz="4" w:space="0"/>
              <w:left w:val="single" w:color="auto" w:sz="4" w:space="0"/>
              <w:bottom w:val="single" w:color="auto" w:sz="4" w:space="0"/>
            </w:tcBorders>
            <w:vAlign w:val="center"/>
          </w:tcPr>
          <w:p>
            <w:pPr>
              <w:pStyle w:val="15"/>
              <w:widowControl w:val="0"/>
              <w:autoSpaceDE w:val="0"/>
              <w:autoSpaceDN w:val="0"/>
              <w:rPr>
                <w:rFonts w:hint="eastAsia" w:ascii="仿宋_GB2312"/>
                <w:color w:val="auto"/>
                <w:szCs w:val="24"/>
                <w:highlight w:val="none"/>
                <w:lang w:eastAsia="zh-CN"/>
              </w:rPr>
            </w:pPr>
            <w:r>
              <w:rPr>
                <w:rFonts w:hint="eastAsia" w:ascii="仿宋_GB2312"/>
                <w:color w:val="auto"/>
                <w:szCs w:val="24"/>
                <w:highlight w:val="none"/>
                <w:lang w:eastAsia="zh-CN"/>
              </w:rPr>
              <w:t>钢化蓄能自发光玻璃道钉</w:t>
            </w:r>
          </w:p>
        </w:tc>
        <w:tc>
          <w:tcPr>
            <w:tcW w:w="61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r>
              <w:rPr>
                <w:rFonts w:hint="eastAsia" w:ascii="仿宋_GB2312"/>
                <w:color w:val="auto"/>
                <w:szCs w:val="24"/>
                <w:highlight w:val="none"/>
              </w:rPr>
              <w:t>个</w:t>
            </w:r>
          </w:p>
        </w:tc>
        <w:tc>
          <w:tcPr>
            <w:tcW w:w="409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ind w:firstLine="480" w:firstLineChars="200"/>
              <w:jc w:val="left"/>
              <w:rPr>
                <w:rFonts w:hint="default" w:ascii="仿宋_GB2312" w:eastAsia="仿宋_GB2312"/>
                <w:color w:val="auto"/>
                <w:szCs w:val="24"/>
                <w:highlight w:val="none"/>
                <w:lang w:val="en-US" w:eastAsia="zh-CN"/>
              </w:rPr>
            </w:pP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1、依据图纸所示位置及尺寸，按照图纸所示以</w:t>
            </w:r>
            <w:r>
              <w:rPr>
                <w:rFonts w:hint="eastAsia" w:ascii="仿宋_GB2312" w:hAnsi="宋体" w:cs="宋体"/>
                <w:bCs w:val="0"/>
                <w:color w:val="auto"/>
                <w:spacing w:val="0"/>
                <w:w w:val="100"/>
                <w:kern w:val="0"/>
                <w:position w:val="0"/>
                <w:sz w:val="24"/>
                <w:szCs w:val="24"/>
                <w:highlight w:val="none"/>
                <w:u w:val="none"/>
                <w:shd w:val="clear" w:color="auto" w:fill="auto"/>
                <w:lang w:val="en-US" w:eastAsia="zh-CN" w:bidi="ar-SA"/>
              </w:rPr>
              <w:t>个</w:t>
            </w: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为单位计量。</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1、测距、放样；</w:t>
            </w:r>
          </w:p>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2、钻孔、注浆；</w:t>
            </w:r>
          </w:p>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3、安装道钉；</w:t>
            </w:r>
          </w:p>
          <w:p>
            <w:pPr>
              <w:autoSpaceDE w:val="0"/>
              <w:autoSpaceDN w:val="0"/>
              <w:rPr>
                <w:rFonts w:ascii="仿宋_GB2312" w:hAnsi="Times New Roman" w:cs="Times New Roman"/>
                <w:color w:val="auto"/>
                <w:szCs w:val="24"/>
                <w:highlight w:val="none"/>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4、清理多余粘剂。</w:t>
            </w:r>
          </w:p>
        </w:tc>
      </w:tr>
      <w:tr>
        <w:tblPrEx>
          <w:tblCellMar>
            <w:top w:w="0" w:type="dxa"/>
            <w:left w:w="0" w:type="dxa"/>
            <w:bottom w:w="0" w:type="dxa"/>
            <w:right w:w="0" w:type="dxa"/>
          </w:tblCellMar>
        </w:tblPrEx>
        <w:trPr>
          <w:cantSplit/>
          <w:trHeight w:val="629"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default" w:ascii="仿宋_GB2312"/>
                <w:color w:val="auto"/>
                <w:szCs w:val="24"/>
                <w:highlight w:val="none"/>
                <w:lang w:val="en-US" w:eastAsia="zh-CN"/>
              </w:rPr>
            </w:pPr>
            <w:r>
              <w:rPr>
                <w:rFonts w:hint="eastAsia" w:ascii="仿宋_GB2312"/>
                <w:color w:val="auto"/>
                <w:szCs w:val="24"/>
                <w:highlight w:val="none"/>
                <w:lang w:eastAsia="zh-CN"/>
              </w:rPr>
              <w:t>6</w:t>
            </w:r>
            <w:r>
              <w:rPr>
                <w:rFonts w:hint="eastAsia" w:ascii="仿宋_GB2312"/>
                <w:color w:val="auto"/>
                <w:szCs w:val="24"/>
                <w:highlight w:val="none"/>
                <w:lang w:val="en-US" w:eastAsia="zh-CN"/>
              </w:rPr>
              <w:t>10-4</w:t>
            </w:r>
          </w:p>
        </w:tc>
        <w:tc>
          <w:tcPr>
            <w:tcW w:w="1400" w:type="dxa"/>
            <w:tcBorders>
              <w:top w:val="single" w:color="auto" w:sz="4" w:space="0"/>
              <w:left w:val="single" w:color="auto" w:sz="4" w:space="0"/>
              <w:bottom w:val="single" w:color="auto" w:sz="4" w:space="0"/>
            </w:tcBorders>
            <w:vAlign w:val="center"/>
          </w:tcPr>
          <w:p>
            <w:pPr>
              <w:pStyle w:val="15"/>
              <w:widowControl w:val="0"/>
              <w:autoSpaceDE w:val="0"/>
              <w:autoSpaceDN w:val="0"/>
              <w:rPr>
                <w:rFonts w:hint="eastAsia" w:ascii="仿宋_GB2312"/>
                <w:color w:val="auto"/>
                <w:szCs w:val="24"/>
                <w:highlight w:val="none"/>
                <w:lang w:eastAsia="zh-CN"/>
              </w:rPr>
            </w:pPr>
            <w:r>
              <w:rPr>
                <w:rFonts w:hint="eastAsia" w:ascii="仿宋_GB2312"/>
                <w:color w:val="auto"/>
                <w:szCs w:val="24"/>
                <w:highlight w:val="none"/>
                <w:lang w:eastAsia="zh-CN"/>
              </w:rPr>
              <w:t>反光U型构件</w:t>
            </w:r>
          </w:p>
        </w:tc>
        <w:tc>
          <w:tcPr>
            <w:tcW w:w="61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eastAsia" w:ascii="仿宋_GB2312" w:eastAsia="仿宋_GB2312"/>
                <w:color w:val="auto"/>
                <w:szCs w:val="24"/>
                <w:highlight w:val="none"/>
                <w:lang w:val="en-US" w:eastAsia="zh-CN"/>
              </w:rPr>
            </w:pPr>
            <w:r>
              <w:rPr>
                <w:rFonts w:hint="eastAsia" w:ascii="仿宋_GB2312"/>
                <w:color w:val="auto"/>
                <w:szCs w:val="24"/>
                <w:highlight w:val="none"/>
                <w:lang w:val="en-US" w:eastAsia="zh-CN"/>
              </w:rPr>
              <w:t>环</w:t>
            </w:r>
          </w:p>
        </w:tc>
        <w:tc>
          <w:tcPr>
            <w:tcW w:w="409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ind w:firstLine="480" w:firstLineChars="200"/>
              <w:jc w:val="left"/>
              <w:rPr>
                <w:rFonts w:hint="default" w:ascii="仿宋_GB2312" w:eastAsia="仿宋_GB2312"/>
                <w:color w:val="auto"/>
                <w:szCs w:val="24"/>
                <w:highlight w:val="none"/>
                <w:lang w:val="en-US" w:eastAsia="zh-CN"/>
              </w:rPr>
            </w:pP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1、依据图纸所示位置及尺寸，按照图纸所示以</w:t>
            </w:r>
            <w:r>
              <w:rPr>
                <w:rFonts w:hint="eastAsia" w:ascii="仿宋_GB2312" w:hAnsi="宋体" w:cs="宋体"/>
                <w:bCs w:val="0"/>
                <w:color w:val="auto"/>
                <w:spacing w:val="0"/>
                <w:w w:val="100"/>
                <w:kern w:val="0"/>
                <w:position w:val="0"/>
                <w:sz w:val="24"/>
                <w:szCs w:val="24"/>
                <w:highlight w:val="none"/>
                <w:u w:val="none"/>
                <w:shd w:val="clear" w:color="auto" w:fill="auto"/>
                <w:lang w:val="en-US" w:eastAsia="zh-CN" w:bidi="ar-SA"/>
              </w:rPr>
              <w:t>环</w:t>
            </w: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为单位计量。</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1、测距、放样、环距定位；</w:t>
            </w:r>
          </w:p>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2、钻孔、安装、固定；</w:t>
            </w:r>
          </w:p>
          <w:p>
            <w:pPr>
              <w:autoSpaceDE w:val="0"/>
              <w:autoSpaceDN w:val="0"/>
              <w:rPr>
                <w:rFonts w:ascii="仿宋_GB2312" w:hAnsi="Times New Roman" w:cs="Times New Roman"/>
                <w:color w:val="auto"/>
                <w:szCs w:val="24"/>
                <w:highlight w:val="none"/>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3、清理表面。</w:t>
            </w:r>
          </w:p>
        </w:tc>
      </w:tr>
      <w:tr>
        <w:tblPrEx>
          <w:tblCellMar>
            <w:top w:w="0" w:type="dxa"/>
            <w:left w:w="0" w:type="dxa"/>
            <w:bottom w:w="0" w:type="dxa"/>
            <w:right w:w="0" w:type="dxa"/>
          </w:tblCellMar>
        </w:tblPrEx>
        <w:trPr>
          <w:cantSplit/>
          <w:trHeight w:val="629"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default" w:ascii="仿宋_GB2312"/>
                <w:color w:val="auto"/>
                <w:szCs w:val="24"/>
                <w:highlight w:val="none"/>
                <w:lang w:val="en-US" w:eastAsia="zh-CN"/>
              </w:rPr>
            </w:pPr>
            <w:r>
              <w:rPr>
                <w:rFonts w:hint="eastAsia" w:ascii="仿宋_GB2312"/>
                <w:color w:val="auto"/>
                <w:szCs w:val="24"/>
                <w:highlight w:val="none"/>
                <w:lang w:eastAsia="zh-CN"/>
              </w:rPr>
              <w:t>6</w:t>
            </w:r>
            <w:r>
              <w:rPr>
                <w:rFonts w:hint="eastAsia" w:ascii="仿宋_GB2312"/>
                <w:color w:val="auto"/>
                <w:szCs w:val="24"/>
                <w:highlight w:val="none"/>
                <w:lang w:val="en-US" w:eastAsia="zh-CN"/>
              </w:rPr>
              <w:t>10-5</w:t>
            </w:r>
          </w:p>
        </w:tc>
        <w:tc>
          <w:tcPr>
            <w:tcW w:w="1400" w:type="dxa"/>
            <w:tcBorders>
              <w:top w:val="single" w:color="auto" w:sz="4" w:space="0"/>
              <w:left w:val="single" w:color="auto" w:sz="4" w:space="0"/>
              <w:bottom w:val="single" w:color="auto" w:sz="4" w:space="0"/>
            </w:tcBorders>
            <w:vAlign w:val="center"/>
          </w:tcPr>
          <w:p>
            <w:pPr>
              <w:pStyle w:val="15"/>
              <w:widowControl w:val="0"/>
              <w:autoSpaceDE w:val="0"/>
              <w:autoSpaceDN w:val="0"/>
              <w:rPr>
                <w:rFonts w:hint="eastAsia" w:ascii="仿宋_GB2312"/>
                <w:color w:val="auto"/>
                <w:szCs w:val="24"/>
                <w:highlight w:val="none"/>
                <w:lang w:eastAsia="zh-CN"/>
              </w:rPr>
            </w:pPr>
            <w:r>
              <w:rPr>
                <w:rFonts w:hint="eastAsia" w:ascii="仿宋_GB2312"/>
                <w:color w:val="auto"/>
                <w:szCs w:val="24"/>
                <w:highlight w:val="none"/>
                <w:lang w:eastAsia="zh-CN"/>
              </w:rPr>
              <w:t>电光蓄能自发光应急诱导装置</w:t>
            </w:r>
          </w:p>
        </w:tc>
        <w:tc>
          <w:tcPr>
            <w:tcW w:w="61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r>
              <w:rPr>
                <w:rFonts w:hint="eastAsia" w:ascii="仿宋_GB2312"/>
                <w:color w:val="auto"/>
                <w:szCs w:val="24"/>
                <w:highlight w:val="none"/>
              </w:rPr>
              <w:t>个</w:t>
            </w:r>
          </w:p>
        </w:tc>
        <w:tc>
          <w:tcPr>
            <w:tcW w:w="409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ind w:firstLine="480" w:firstLineChars="200"/>
              <w:jc w:val="left"/>
              <w:rPr>
                <w:rFonts w:hint="default" w:ascii="仿宋_GB2312" w:eastAsia="仿宋_GB2312"/>
                <w:color w:val="auto"/>
                <w:szCs w:val="24"/>
                <w:highlight w:val="none"/>
                <w:lang w:val="en-US" w:eastAsia="zh-CN"/>
              </w:rPr>
            </w:pP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1、依据图纸所示位置及尺寸，按照图纸所示以</w:t>
            </w:r>
            <w:r>
              <w:rPr>
                <w:rFonts w:hint="eastAsia" w:ascii="仿宋_GB2312" w:hAnsi="宋体" w:cs="宋体"/>
                <w:bCs w:val="0"/>
                <w:color w:val="auto"/>
                <w:spacing w:val="0"/>
                <w:w w:val="100"/>
                <w:kern w:val="0"/>
                <w:position w:val="0"/>
                <w:sz w:val="24"/>
                <w:szCs w:val="24"/>
                <w:highlight w:val="none"/>
                <w:u w:val="none"/>
                <w:shd w:val="clear" w:color="auto" w:fill="auto"/>
                <w:lang w:val="en-US" w:eastAsia="zh-CN" w:bidi="ar-SA"/>
              </w:rPr>
              <w:t>个</w:t>
            </w: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为单位计量。</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1、测距、放样、定位；</w:t>
            </w:r>
          </w:p>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2、钻孔、安装、固定；</w:t>
            </w:r>
          </w:p>
          <w:p>
            <w:pPr>
              <w:autoSpaceDE w:val="0"/>
              <w:autoSpaceDN w:val="0"/>
              <w:rPr>
                <w:rFonts w:ascii="仿宋_GB2312" w:hAnsi="Times New Roman" w:cs="Times New Roman"/>
                <w:color w:val="auto"/>
                <w:szCs w:val="24"/>
                <w:highlight w:val="none"/>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3、清理表面。</w:t>
            </w:r>
          </w:p>
        </w:tc>
      </w:tr>
      <w:tr>
        <w:tblPrEx>
          <w:tblCellMar>
            <w:top w:w="0" w:type="dxa"/>
            <w:left w:w="0" w:type="dxa"/>
            <w:bottom w:w="0" w:type="dxa"/>
            <w:right w:w="0" w:type="dxa"/>
          </w:tblCellMar>
        </w:tblPrEx>
        <w:trPr>
          <w:cantSplit/>
          <w:trHeight w:val="629"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default" w:ascii="仿宋_GB2312"/>
                <w:color w:val="auto"/>
                <w:szCs w:val="24"/>
                <w:highlight w:val="none"/>
                <w:lang w:val="en-US" w:eastAsia="zh-CN"/>
              </w:rPr>
            </w:pPr>
            <w:r>
              <w:rPr>
                <w:rFonts w:hint="eastAsia" w:ascii="仿宋_GB2312"/>
                <w:color w:val="auto"/>
                <w:szCs w:val="24"/>
                <w:highlight w:val="none"/>
                <w:lang w:eastAsia="zh-CN"/>
              </w:rPr>
              <w:t>6</w:t>
            </w:r>
            <w:r>
              <w:rPr>
                <w:rFonts w:hint="eastAsia" w:ascii="仿宋_GB2312"/>
                <w:color w:val="auto"/>
                <w:szCs w:val="24"/>
                <w:highlight w:val="none"/>
                <w:lang w:val="en-US" w:eastAsia="zh-CN"/>
              </w:rPr>
              <w:t>10-6</w:t>
            </w:r>
          </w:p>
        </w:tc>
        <w:tc>
          <w:tcPr>
            <w:tcW w:w="1400" w:type="dxa"/>
            <w:tcBorders>
              <w:top w:val="single" w:color="auto" w:sz="4" w:space="0"/>
              <w:left w:val="single" w:color="auto" w:sz="4" w:space="0"/>
              <w:bottom w:val="single" w:color="auto" w:sz="4" w:space="0"/>
            </w:tcBorders>
            <w:vAlign w:val="center"/>
          </w:tcPr>
          <w:p>
            <w:pPr>
              <w:pStyle w:val="15"/>
              <w:widowControl w:val="0"/>
              <w:autoSpaceDE w:val="0"/>
              <w:autoSpaceDN w:val="0"/>
              <w:rPr>
                <w:rFonts w:hint="eastAsia" w:ascii="仿宋_GB2312"/>
                <w:color w:val="auto"/>
                <w:szCs w:val="24"/>
                <w:highlight w:val="none"/>
                <w:lang w:eastAsia="zh-CN"/>
              </w:rPr>
            </w:pPr>
            <w:r>
              <w:rPr>
                <w:rFonts w:hint="eastAsia" w:ascii="仿宋_GB2312"/>
                <w:color w:val="auto"/>
                <w:szCs w:val="24"/>
                <w:highlight w:val="none"/>
                <w:lang w:eastAsia="zh-CN"/>
              </w:rPr>
              <w:t>波纹型反光诱导标</w:t>
            </w:r>
          </w:p>
        </w:tc>
        <w:tc>
          <w:tcPr>
            <w:tcW w:w="61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r>
              <w:rPr>
                <w:rFonts w:hint="eastAsia" w:ascii="仿宋_GB2312"/>
                <w:color w:val="auto"/>
                <w:szCs w:val="24"/>
                <w:highlight w:val="none"/>
              </w:rPr>
              <w:t>个</w:t>
            </w:r>
          </w:p>
        </w:tc>
        <w:tc>
          <w:tcPr>
            <w:tcW w:w="409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ind w:firstLine="480" w:firstLineChars="200"/>
              <w:jc w:val="left"/>
              <w:rPr>
                <w:rFonts w:hint="default" w:ascii="仿宋_GB2312" w:eastAsia="仿宋_GB2312"/>
                <w:color w:val="auto"/>
                <w:szCs w:val="24"/>
                <w:highlight w:val="none"/>
                <w:lang w:val="en-US" w:eastAsia="zh-CN"/>
              </w:rPr>
            </w:pP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1、依据图纸所示位置及尺寸，按照图纸所示以</w:t>
            </w:r>
            <w:r>
              <w:rPr>
                <w:rFonts w:hint="eastAsia" w:ascii="仿宋_GB2312" w:hAnsi="宋体" w:cs="宋体"/>
                <w:bCs w:val="0"/>
                <w:color w:val="auto"/>
                <w:spacing w:val="0"/>
                <w:w w:val="100"/>
                <w:kern w:val="0"/>
                <w:position w:val="0"/>
                <w:sz w:val="24"/>
                <w:szCs w:val="24"/>
                <w:highlight w:val="none"/>
                <w:u w:val="none"/>
                <w:shd w:val="clear" w:color="auto" w:fill="auto"/>
                <w:lang w:val="en-US" w:eastAsia="zh-CN" w:bidi="ar-SA"/>
              </w:rPr>
              <w:t>个</w:t>
            </w: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为单位计量。</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1、测距、放样、定位；</w:t>
            </w:r>
          </w:p>
          <w:p>
            <w:pPr>
              <w:autoSpaceDE w:val="0"/>
              <w:autoSpaceDN w:val="0"/>
              <w:rPr>
                <w:rFonts w:hint="default"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2、立柱、波形梁及其配件安装。</w:t>
            </w:r>
          </w:p>
        </w:tc>
      </w:tr>
      <w:tr>
        <w:tblPrEx>
          <w:tblCellMar>
            <w:top w:w="0" w:type="dxa"/>
            <w:left w:w="0" w:type="dxa"/>
            <w:bottom w:w="0" w:type="dxa"/>
            <w:right w:w="0" w:type="dxa"/>
          </w:tblCellMar>
        </w:tblPrEx>
        <w:trPr>
          <w:cantSplit/>
          <w:trHeight w:val="127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default" w:ascii="仿宋_GB2312"/>
                <w:color w:val="auto"/>
                <w:szCs w:val="24"/>
                <w:highlight w:val="none"/>
                <w:lang w:val="en-US" w:eastAsia="zh-CN"/>
              </w:rPr>
            </w:pPr>
            <w:r>
              <w:rPr>
                <w:rFonts w:hint="eastAsia" w:ascii="仿宋_GB2312"/>
                <w:color w:val="auto"/>
                <w:szCs w:val="24"/>
                <w:highlight w:val="none"/>
                <w:lang w:eastAsia="zh-CN"/>
              </w:rPr>
              <w:t>6</w:t>
            </w:r>
            <w:r>
              <w:rPr>
                <w:rFonts w:hint="eastAsia" w:ascii="仿宋_GB2312"/>
                <w:color w:val="auto"/>
                <w:szCs w:val="24"/>
                <w:highlight w:val="none"/>
                <w:lang w:val="en-US" w:eastAsia="zh-CN"/>
              </w:rPr>
              <w:t>10-7</w:t>
            </w:r>
          </w:p>
        </w:tc>
        <w:tc>
          <w:tcPr>
            <w:tcW w:w="1400" w:type="dxa"/>
            <w:tcBorders>
              <w:top w:val="single" w:color="auto" w:sz="4" w:space="0"/>
              <w:left w:val="single" w:color="auto" w:sz="4" w:space="0"/>
              <w:bottom w:val="single" w:color="auto" w:sz="4" w:space="0"/>
            </w:tcBorders>
            <w:vAlign w:val="center"/>
          </w:tcPr>
          <w:p>
            <w:pPr>
              <w:pStyle w:val="15"/>
              <w:widowControl w:val="0"/>
              <w:autoSpaceDE w:val="0"/>
              <w:autoSpaceDN w:val="0"/>
              <w:rPr>
                <w:rFonts w:hint="eastAsia" w:ascii="仿宋_GB2312"/>
                <w:color w:val="auto"/>
                <w:szCs w:val="24"/>
                <w:highlight w:val="none"/>
                <w:lang w:eastAsia="zh-CN"/>
              </w:rPr>
            </w:pPr>
            <w:r>
              <w:rPr>
                <w:rFonts w:hint="eastAsia" w:ascii="仿宋_GB2312"/>
                <w:color w:val="auto"/>
                <w:szCs w:val="24"/>
                <w:highlight w:val="none"/>
                <w:lang w:eastAsia="zh-CN"/>
              </w:rPr>
              <w:t>侧边诱导标</w:t>
            </w:r>
          </w:p>
        </w:tc>
        <w:tc>
          <w:tcPr>
            <w:tcW w:w="61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r>
              <w:rPr>
                <w:rFonts w:hint="eastAsia" w:ascii="仿宋_GB2312"/>
                <w:color w:val="auto"/>
                <w:szCs w:val="24"/>
                <w:highlight w:val="none"/>
              </w:rPr>
              <w:t>个</w:t>
            </w:r>
          </w:p>
        </w:tc>
        <w:tc>
          <w:tcPr>
            <w:tcW w:w="409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ind w:firstLine="480" w:firstLineChars="200"/>
              <w:jc w:val="left"/>
              <w:rPr>
                <w:rFonts w:hint="default" w:ascii="仿宋_GB2312" w:eastAsia="仿宋_GB2312"/>
                <w:color w:val="auto"/>
                <w:szCs w:val="24"/>
                <w:highlight w:val="none"/>
                <w:lang w:val="en-US" w:eastAsia="zh-CN"/>
              </w:rPr>
            </w:pP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1、依据图纸所示位置及尺寸，按照图纸所示以</w:t>
            </w:r>
            <w:r>
              <w:rPr>
                <w:rFonts w:hint="eastAsia" w:ascii="仿宋_GB2312" w:hAnsi="宋体" w:cs="宋体"/>
                <w:bCs w:val="0"/>
                <w:color w:val="auto"/>
                <w:spacing w:val="0"/>
                <w:w w:val="100"/>
                <w:kern w:val="0"/>
                <w:position w:val="0"/>
                <w:sz w:val="24"/>
                <w:szCs w:val="24"/>
                <w:highlight w:val="none"/>
                <w:u w:val="none"/>
                <w:shd w:val="clear" w:color="auto" w:fill="auto"/>
                <w:lang w:val="en-US" w:eastAsia="zh-CN" w:bidi="ar-SA"/>
              </w:rPr>
              <w:t>个</w:t>
            </w: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为单位计量。</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1、测距、放样、定位；</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2、钻孔、固定、安装；</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3、接线；</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ascii="仿宋_GB2312" w:hAnsi="Times New Roman" w:cs="Times New Roman"/>
                <w:color w:val="auto"/>
                <w:szCs w:val="24"/>
                <w:highlight w:val="none"/>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4、清理表面。</w:t>
            </w:r>
          </w:p>
        </w:tc>
      </w:tr>
    </w:tbl>
    <w:p>
      <w:pPr>
        <w:rPr>
          <w:rFonts w:hint="eastAsia" w:ascii="仿宋_GB2312" w:hAnsi="Cambria" w:cs="Times New Roman"/>
          <w:b/>
          <w:bCs/>
          <w:color w:val="auto"/>
          <w:sz w:val="32"/>
          <w:szCs w:val="32"/>
          <w:highlight w:val="none"/>
          <w:lang w:eastAsia="zh-CN"/>
        </w:rPr>
      </w:pPr>
      <w:r>
        <w:rPr>
          <w:rFonts w:hint="eastAsia" w:ascii="仿宋_GB2312" w:hAnsi="Cambria" w:cs="Times New Roman"/>
          <w:b/>
          <w:bCs/>
          <w:color w:val="auto"/>
          <w:sz w:val="32"/>
          <w:szCs w:val="32"/>
          <w:highlight w:val="none"/>
          <w:lang w:eastAsia="zh-CN"/>
        </w:rPr>
        <w:br w:type="page"/>
      </w:r>
    </w:p>
    <w:p>
      <w:pPr>
        <w:widowControl/>
        <w:autoSpaceDE/>
        <w:autoSpaceDN/>
        <w:spacing w:line="240" w:lineRule="auto"/>
        <w:ind w:firstLine="0" w:firstLineChars="0"/>
        <w:jc w:val="center"/>
        <w:rPr>
          <w:rFonts w:hint="default" w:ascii="仿宋_GB2312" w:hAnsi="Cambria" w:cs="Times New Roman"/>
          <w:b/>
          <w:bCs/>
          <w:color w:val="auto"/>
          <w:sz w:val="32"/>
          <w:szCs w:val="32"/>
          <w:highlight w:val="none"/>
          <w:lang w:val="en-US" w:eastAsia="zh-CN"/>
        </w:rPr>
      </w:pPr>
      <w:r>
        <w:rPr>
          <w:rFonts w:hint="eastAsia" w:ascii="仿宋_GB2312" w:hAnsi="Cambria" w:cs="Times New Roman"/>
          <w:b/>
          <w:bCs/>
          <w:color w:val="auto"/>
          <w:sz w:val="32"/>
          <w:szCs w:val="32"/>
          <w:highlight w:val="none"/>
          <w:lang w:eastAsia="zh-CN"/>
        </w:rPr>
        <w:t>第</w:t>
      </w:r>
      <w:r>
        <w:rPr>
          <w:rFonts w:hint="eastAsia" w:ascii="仿宋_GB2312" w:hAnsi="Cambria" w:cs="Times New Roman"/>
          <w:b/>
          <w:bCs/>
          <w:color w:val="auto"/>
          <w:sz w:val="32"/>
          <w:szCs w:val="32"/>
          <w:highlight w:val="none"/>
          <w:lang w:val="en-US" w:eastAsia="zh-CN"/>
        </w:rPr>
        <w:t>800章 机电工程</w:t>
      </w:r>
    </w:p>
    <w:p>
      <w:pPr>
        <w:pStyle w:val="2"/>
        <w:rPr>
          <w:rFonts w:hint="default" w:ascii="仿宋_GB2312"/>
          <w:color w:val="auto"/>
          <w:highlight w:val="none"/>
          <w:lang w:val="en-US" w:eastAsia="zh-CN"/>
        </w:rPr>
      </w:pPr>
      <w:r>
        <w:rPr>
          <w:rFonts w:hint="eastAsia" w:ascii="仿宋_GB2312"/>
          <w:color w:val="auto"/>
          <w:highlight w:val="none"/>
          <w:lang w:eastAsia="zh-CN"/>
        </w:rPr>
        <w:t>第</w:t>
      </w:r>
      <w:r>
        <w:rPr>
          <w:rFonts w:hint="eastAsia" w:ascii="仿宋_GB2312"/>
          <w:color w:val="auto"/>
          <w:highlight w:val="none"/>
          <w:lang w:val="en-US" w:eastAsia="zh-CN"/>
        </w:rPr>
        <w:t>801</w:t>
      </w:r>
      <w:r>
        <w:rPr>
          <w:rFonts w:hint="eastAsia" w:ascii="仿宋_GB2312"/>
          <w:color w:val="auto"/>
          <w:highlight w:val="none"/>
          <w:lang w:eastAsia="zh-CN"/>
        </w:rPr>
        <w:t>节</w:t>
      </w:r>
      <w:r>
        <w:rPr>
          <w:rFonts w:ascii="仿宋_GB2312"/>
          <w:color w:val="auto"/>
          <w:highlight w:val="none"/>
          <w:lang w:eastAsia="zh-CN"/>
        </w:rPr>
        <w:t xml:space="preserve"> </w:t>
      </w:r>
      <w:r>
        <w:rPr>
          <w:rFonts w:hint="eastAsia" w:ascii="仿宋_GB2312"/>
          <w:color w:val="auto"/>
          <w:highlight w:val="none"/>
          <w:lang w:val="en-US" w:eastAsia="zh-CN"/>
        </w:rPr>
        <w:t>机电工程</w:t>
      </w:r>
    </w:p>
    <w:p>
      <w:pPr>
        <w:ind w:firstLine="560"/>
        <w:rPr>
          <w:rFonts w:ascii="仿宋_GB2312"/>
          <w:color w:val="auto"/>
          <w:highlight w:val="none"/>
          <w:lang w:eastAsia="zh-CN"/>
        </w:rPr>
      </w:pPr>
      <w:r>
        <w:rPr>
          <w:rFonts w:hint="eastAsia" w:ascii="仿宋_GB2312"/>
          <w:color w:val="auto"/>
          <w:highlight w:val="none"/>
          <w:lang w:eastAsia="zh-CN"/>
        </w:rPr>
        <w:t>本节工程量清单项目分项计量规则应按表</w:t>
      </w:r>
      <w:r>
        <w:rPr>
          <w:rFonts w:ascii="仿宋_GB2312"/>
          <w:color w:val="auto"/>
          <w:highlight w:val="none"/>
          <w:lang w:eastAsia="zh-CN"/>
        </w:rPr>
        <w:t xml:space="preserve"> </w:t>
      </w:r>
      <w:r>
        <w:rPr>
          <w:rFonts w:hint="eastAsia" w:ascii="仿宋_GB2312"/>
          <w:color w:val="auto"/>
          <w:highlight w:val="none"/>
          <w:lang w:val="en-US" w:eastAsia="zh-CN"/>
        </w:rPr>
        <w:t>801</w:t>
      </w:r>
      <w:r>
        <w:rPr>
          <w:rFonts w:ascii="仿宋_GB2312"/>
          <w:color w:val="auto"/>
          <w:highlight w:val="none"/>
          <w:lang w:eastAsia="zh-CN"/>
        </w:rPr>
        <w:t xml:space="preserve"> </w:t>
      </w:r>
      <w:r>
        <w:rPr>
          <w:rFonts w:hint="eastAsia" w:ascii="仿宋_GB2312"/>
          <w:color w:val="auto"/>
          <w:highlight w:val="none"/>
          <w:lang w:eastAsia="zh-CN"/>
        </w:rPr>
        <w:t>的规定执行</w:t>
      </w:r>
      <w:r>
        <w:rPr>
          <w:rFonts w:ascii="仿宋_GB2312"/>
          <w:color w:val="auto"/>
          <w:highlight w:val="none"/>
          <w:lang w:eastAsia="zh-CN"/>
        </w:rPr>
        <w:t>。</w:t>
      </w:r>
    </w:p>
    <w:p>
      <w:pPr>
        <w:ind w:firstLine="0" w:firstLineChars="0"/>
        <w:jc w:val="center"/>
        <w:rPr>
          <w:rFonts w:hint="default" w:ascii="仿宋_GB2312"/>
          <w:color w:val="auto"/>
          <w:highlight w:val="none"/>
          <w:lang w:val="en-US" w:eastAsia="zh-CN"/>
        </w:rPr>
      </w:pPr>
      <w:r>
        <w:rPr>
          <w:rFonts w:hint="eastAsia" w:ascii="仿宋_GB2312"/>
          <w:color w:val="auto"/>
          <w:highlight w:val="none"/>
          <w:lang w:eastAsia="zh-CN"/>
        </w:rPr>
        <w:t>表</w:t>
      </w:r>
      <w:r>
        <w:rPr>
          <w:rFonts w:ascii="仿宋_GB2312"/>
          <w:color w:val="auto"/>
          <w:highlight w:val="none"/>
          <w:lang w:eastAsia="zh-CN"/>
        </w:rPr>
        <w:t xml:space="preserve"> </w:t>
      </w:r>
      <w:r>
        <w:rPr>
          <w:rFonts w:hint="eastAsia" w:ascii="仿宋_GB2312"/>
          <w:color w:val="auto"/>
          <w:highlight w:val="none"/>
          <w:lang w:val="en-US" w:eastAsia="zh-CN"/>
        </w:rPr>
        <w:t>801</w:t>
      </w:r>
      <w:r>
        <w:rPr>
          <w:rFonts w:ascii="仿宋_GB2312"/>
          <w:color w:val="auto"/>
          <w:highlight w:val="none"/>
          <w:lang w:eastAsia="zh-CN"/>
        </w:rPr>
        <w:t xml:space="preserve"> </w:t>
      </w:r>
      <w:r>
        <w:rPr>
          <w:rFonts w:hint="eastAsia" w:ascii="仿宋_GB2312"/>
          <w:color w:val="auto"/>
          <w:highlight w:val="none"/>
          <w:lang w:val="en-US" w:eastAsia="zh-CN"/>
        </w:rPr>
        <w:t>机电工程</w:t>
      </w:r>
    </w:p>
    <w:tbl>
      <w:tblPr>
        <w:tblStyle w:val="44"/>
        <w:tblW w:w="10343" w:type="dxa"/>
        <w:jc w:val="center"/>
        <w:tblLayout w:type="fixed"/>
        <w:tblCellMar>
          <w:top w:w="0" w:type="dxa"/>
          <w:left w:w="0" w:type="dxa"/>
          <w:bottom w:w="0" w:type="dxa"/>
          <w:right w:w="0" w:type="dxa"/>
        </w:tblCellMar>
      </w:tblPr>
      <w:tblGrid>
        <w:gridCol w:w="746"/>
        <w:gridCol w:w="1234"/>
        <w:gridCol w:w="584"/>
        <w:gridCol w:w="4377"/>
        <w:gridCol w:w="3402"/>
      </w:tblGrid>
      <w:tr>
        <w:tblPrEx>
          <w:tblCellMar>
            <w:top w:w="0" w:type="dxa"/>
            <w:left w:w="0" w:type="dxa"/>
            <w:bottom w:w="0" w:type="dxa"/>
            <w:right w:w="0" w:type="dxa"/>
          </w:tblCellMar>
        </w:tblPrEx>
        <w:trPr>
          <w:cantSplit/>
          <w:trHeight w:val="502"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r>
              <w:rPr>
                <w:rFonts w:hint="eastAsia" w:ascii="仿宋_GB2312"/>
                <w:color w:val="auto"/>
                <w:szCs w:val="24"/>
                <w:highlight w:val="none"/>
              </w:rPr>
              <w:t>子目号</w:t>
            </w:r>
          </w:p>
        </w:tc>
        <w:tc>
          <w:tcPr>
            <w:tcW w:w="123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r>
              <w:rPr>
                <w:rFonts w:hint="eastAsia" w:ascii="仿宋_GB2312"/>
                <w:color w:val="auto"/>
                <w:szCs w:val="24"/>
                <w:highlight w:val="none"/>
              </w:rPr>
              <w:t>子目名称</w:t>
            </w:r>
          </w:p>
        </w:tc>
        <w:tc>
          <w:tcPr>
            <w:tcW w:w="58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r>
              <w:rPr>
                <w:rFonts w:hint="eastAsia" w:ascii="仿宋_GB2312"/>
                <w:color w:val="auto"/>
                <w:szCs w:val="24"/>
                <w:highlight w:val="none"/>
              </w:rPr>
              <w:t>单位</w:t>
            </w:r>
          </w:p>
        </w:tc>
        <w:tc>
          <w:tcPr>
            <w:tcW w:w="437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r>
              <w:rPr>
                <w:rFonts w:hint="eastAsia" w:ascii="仿宋_GB2312"/>
                <w:color w:val="auto"/>
                <w:szCs w:val="24"/>
                <w:highlight w:val="none"/>
              </w:rPr>
              <w:t>工程量计量</w:t>
            </w:r>
          </w:p>
        </w:tc>
        <w:tc>
          <w:tcPr>
            <w:tcW w:w="3402"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ascii="仿宋_GB2312"/>
                <w:color w:val="auto"/>
                <w:szCs w:val="24"/>
                <w:highlight w:val="none"/>
              </w:rPr>
            </w:pPr>
            <w:r>
              <w:rPr>
                <w:rFonts w:hint="eastAsia" w:ascii="仿宋_GB2312"/>
                <w:color w:val="auto"/>
                <w:szCs w:val="24"/>
                <w:highlight w:val="none"/>
              </w:rPr>
              <w:t>工程内容</w:t>
            </w:r>
          </w:p>
        </w:tc>
      </w:tr>
      <w:tr>
        <w:tblPrEx>
          <w:tblCellMar>
            <w:top w:w="0" w:type="dxa"/>
            <w:left w:w="0" w:type="dxa"/>
            <w:bottom w:w="0" w:type="dxa"/>
            <w:right w:w="0" w:type="dxa"/>
          </w:tblCellMar>
        </w:tblPrEx>
        <w:trPr>
          <w:cantSplit/>
          <w:trHeight w:val="502"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default" w:ascii="仿宋_GB2312" w:eastAsia="仿宋_GB2312"/>
                <w:color w:val="auto"/>
                <w:szCs w:val="24"/>
                <w:highlight w:val="none"/>
                <w:lang w:val="en-US" w:eastAsia="zh-CN"/>
              </w:rPr>
            </w:pPr>
            <w:r>
              <w:rPr>
                <w:rFonts w:hint="eastAsia" w:ascii="仿宋_GB2312"/>
                <w:color w:val="auto"/>
                <w:szCs w:val="24"/>
                <w:highlight w:val="none"/>
                <w:lang w:val="en-US" w:eastAsia="zh-CN"/>
              </w:rPr>
              <w:t>801</w:t>
            </w:r>
          </w:p>
        </w:tc>
        <w:tc>
          <w:tcPr>
            <w:tcW w:w="123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default" w:ascii="仿宋_GB2312" w:eastAsia="仿宋_GB2312"/>
                <w:color w:val="auto"/>
                <w:szCs w:val="24"/>
                <w:highlight w:val="none"/>
                <w:lang w:val="en-US" w:eastAsia="zh-CN"/>
              </w:rPr>
            </w:pPr>
            <w:r>
              <w:rPr>
                <w:rFonts w:hint="eastAsia" w:ascii="仿宋_GB2312"/>
                <w:color w:val="auto"/>
                <w:szCs w:val="24"/>
                <w:highlight w:val="none"/>
                <w:lang w:val="en-US" w:eastAsia="zh-CN"/>
              </w:rPr>
              <w:t>机电工程</w:t>
            </w:r>
          </w:p>
        </w:tc>
        <w:tc>
          <w:tcPr>
            <w:tcW w:w="58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eastAsia" w:ascii="仿宋_GB2312"/>
                <w:color w:val="auto"/>
                <w:szCs w:val="24"/>
                <w:highlight w:val="none"/>
              </w:rPr>
            </w:pPr>
          </w:p>
        </w:tc>
        <w:tc>
          <w:tcPr>
            <w:tcW w:w="437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eastAsia" w:ascii="仿宋_GB2312"/>
                <w:color w:val="auto"/>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eastAsia" w:ascii="仿宋_GB2312"/>
                <w:color w:val="auto"/>
                <w:szCs w:val="24"/>
                <w:highlight w:val="none"/>
              </w:rPr>
            </w:pPr>
          </w:p>
        </w:tc>
      </w:tr>
      <w:tr>
        <w:tblPrEx>
          <w:tblCellMar>
            <w:top w:w="0" w:type="dxa"/>
            <w:left w:w="0" w:type="dxa"/>
            <w:bottom w:w="0" w:type="dxa"/>
            <w:right w:w="0" w:type="dxa"/>
          </w:tblCellMar>
        </w:tblPrEx>
        <w:trPr>
          <w:cantSplit/>
          <w:trHeight w:val="502"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default" w:ascii="仿宋_GB2312"/>
                <w:color w:val="auto"/>
                <w:szCs w:val="24"/>
                <w:highlight w:val="none"/>
                <w:lang w:val="en-US"/>
              </w:rPr>
            </w:pPr>
            <w:r>
              <w:rPr>
                <w:rFonts w:hint="eastAsia" w:ascii="仿宋_GB2312"/>
                <w:color w:val="auto"/>
                <w:szCs w:val="24"/>
                <w:highlight w:val="none"/>
                <w:lang w:val="en-US" w:eastAsia="zh-CN"/>
              </w:rPr>
              <w:t>801-1</w:t>
            </w:r>
          </w:p>
        </w:tc>
        <w:tc>
          <w:tcPr>
            <w:tcW w:w="123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eastAsia" w:ascii="仿宋_GB2312"/>
                <w:color w:val="auto"/>
                <w:szCs w:val="24"/>
                <w:highlight w:val="none"/>
              </w:rPr>
            </w:pPr>
            <w:r>
              <w:rPr>
                <w:rFonts w:hint="eastAsia" w:ascii="仿宋_GB2312"/>
                <w:color w:val="auto"/>
                <w:szCs w:val="24"/>
                <w:highlight w:val="none"/>
                <w:lang w:eastAsia="zh-CN"/>
              </w:rPr>
              <w:t>控制器</w:t>
            </w:r>
          </w:p>
        </w:tc>
        <w:tc>
          <w:tcPr>
            <w:tcW w:w="58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eastAsia" w:ascii="仿宋_GB2312"/>
                <w:color w:val="auto"/>
                <w:szCs w:val="24"/>
                <w:highlight w:val="none"/>
              </w:rPr>
            </w:pPr>
            <w:r>
              <w:rPr>
                <w:rFonts w:hint="eastAsia" w:ascii="仿宋_GB2312"/>
                <w:color w:val="auto"/>
                <w:szCs w:val="24"/>
                <w:highlight w:val="none"/>
              </w:rPr>
              <w:t>只</w:t>
            </w:r>
          </w:p>
        </w:tc>
        <w:tc>
          <w:tcPr>
            <w:tcW w:w="437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ind w:firstLine="480" w:firstLineChars="200"/>
              <w:jc w:val="left"/>
              <w:rPr>
                <w:rFonts w:hint="eastAsia" w:ascii="仿宋_GB2312"/>
                <w:color w:val="auto"/>
                <w:szCs w:val="24"/>
                <w:highlight w:val="none"/>
              </w:rPr>
            </w:pP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1、依据图纸所示位置及尺寸，按照图纸所示以</w:t>
            </w:r>
            <w:r>
              <w:rPr>
                <w:rFonts w:hint="eastAsia" w:ascii="仿宋_GB2312" w:hAnsi="宋体" w:cs="宋体"/>
                <w:bCs w:val="0"/>
                <w:color w:val="auto"/>
                <w:spacing w:val="0"/>
                <w:w w:val="100"/>
                <w:kern w:val="0"/>
                <w:position w:val="0"/>
                <w:sz w:val="24"/>
                <w:szCs w:val="24"/>
                <w:highlight w:val="none"/>
                <w:u w:val="none"/>
                <w:shd w:val="clear" w:color="auto" w:fill="auto"/>
                <w:lang w:val="en-US" w:eastAsia="zh-CN" w:bidi="ar-SA"/>
              </w:rPr>
              <w:t>只</w:t>
            </w: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为单位计量。</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jc w:val="both"/>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1、测距、放样、定位；</w:t>
            </w:r>
          </w:p>
          <w:p>
            <w:pPr>
              <w:autoSpaceDE w:val="0"/>
              <w:autoSpaceDN w:val="0"/>
              <w:jc w:val="both"/>
              <w:rPr>
                <w:rFonts w:hint="eastAsia" w:ascii="仿宋_GB2312" w:hAnsi="Times New Roman" w:cs="Times New Roman"/>
                <w:color w:val="auto"/>
                <w:szCs w:val="24"/>
                <w:highlight w:val="none"/>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2、安装、固定。</w:t>
            </w:r>
          </w:p>
        </w:tc>
      </w:tr>
      <w:tr>
        <w:tblPrEx>
          <w:tblCellMar>
            <w:top w:w="0" w:type="dxa"/>
            <w:left w:w="0" w:type="dxa"/>
            <w:bottom w:w="0" w:type="dxa"/>
            <w:right w:w="0" w:type="dxa"/>
          </w:tblCellMar>
        </w:tblPrEx>
        <w:trPr>
          <w:cantSplit/>
          <w:trHeight w:val="502"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default" w:ascii="仿宋_GB2312"/>
                <w:color w:val="auto"/>
                <w:szCs w:val="24"/>
                <w:highlight w:val="none"/>
                <w:lang w:val="en-US"/>
              </w:rPr>
            </w:pPr>
            <w:r>
              <w:rPr>
                <w:rFonts w:hint="eastAsia" w:ascii="仿宋_GB2312"/>
                <w:color w:val="auto"/>
                <w:szCs w:val="24"/>
                <w:highlight w:val="none"/>
                <w:lang w:val="en-US" w:eastAsia="zh-CN"/>
              </w:rPr>
              <w:t>801-2</w:t>
            </w:r>
          </w:p>
        </w:tc>
        <w:tc>
          <w:tcPr>
            <w:tcW w:w="123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eastAsia" w:ascii="仿宋_GB2312"/>
                <w:color w:val="auto"/>
                <w:szCs w:val="24"/>
                <w:highlight w:val="none"/>
              </w:rPr>
            </w:pPr>
            <w:r>
              <w:rPr>
                <w:rFonts w:hint="eastAsia" w:ascii="仿宋_GB2312"/>
                <w:color w:val="auto"/>
                <w:szCs w:val="24"/>
                <w:highlight w:val="none"/>
                <w:lang w:eastAsia="zh-CN"/>
              </w:rPr>
              <w:t>主线YJV-2*4mm2</w:t>
            </w:r>
          </w:p>
        </w:tc>
        <w:tc>
          <w:tcPr>
            <w:tcW w:w="58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eastAsia" w:ascii="仿宋_GB2312"/>
                <w:color w:val="auto"/>
                <w:szCs w:val="24"/>
                <w:highlight w:val="none"/>
              </w:rPr>
            </w:pPr>
            <w:r>
              <w:rPr>
                <w:rFonts w:hint="eastAsia" w:ascii="仿宋_GB2312"/>
                <w:color w:val="auto"/>
                <w:szCs w:val="24"/>
                <w:highlight w:val="none"/>
              </w:rPr>
              <w:t>m</w:t>
            </w:r>
          </w:p>
        </w:tc>
        <w:tc>
          <w:tcPr>
            <w:tcW w:w="437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ind w:firstLine="480" w:firstLineChars="200"/>
              <w:jc w:val="left"/>
              <w:rPr>
                <w:rFonts w:hint="eastAsia" w:ascii="仿宋_GB2312"/>
                <w:color w:val="auto"/>
                <w:szCs w:val="24"/>
                <w:highlight w:val="none"/>
              </w:rPr>
            </w:pP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1、依据图纸所示位置及尺寸，按照图纸所示以</w:t>
            </w:r>
            <w:r>
              <w:rPr>
                <w:rFonts w:hint="eastAsia" w:ascii="仿宋_GB2312" w:hAnsi="宋体" w:cs="宋体"/>
                <w:bCs w:val="0"/>
                <w:color w:val="auto"/>
                <w:spacing w:val="0"/>
                <w:w w:val="100"/>
                <w:kern w:val="0"/>
                <w:position w:val="0"/>
                <w:sz w:val="24"/>
                <w:szCs w:val="24"/>
                <w:highlight w:val="none"/>
                <w:u w:val="none"/>
                <w:shd w:val="clear" w:color="auto" w:fill="auto"/>
                <w:lang w:val="en-US" w:eastAsia="zh-CN" w:bidi="ar-SA"/>
              </w:rPr>
              <w:t>m</w:t>
            </w: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为单位计量。</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jc w:val="both"/>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1、备线、运输；</w:t>
            </w:r>
          </w:p>
          <w:p>
            <w:pPr>
              <w:autoSpaceDE w:val="0"/>
              <w:autoSpaceDN w:val="0"/>
              <w:jc w:val="both"/>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2、线缆检查、安装；</w:t>
            </w:r>
          </w:p>
          <w:p>
            <w:pPr>
              <w:autoSpaceDE w:val="0"/>
              <w:autoSpaceDN w:val="0"/>
              <w:jc w:val="both"/>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3、断线、固定、封头；</w:t>
            </w:r>
          </w:p>
          <w:p>
            <w:pPr>
              <w:autoSpaceDE w:val="0"/>
              <w:autoSpaceDN w:val="0"/>
              <w:jc w:val="both"/>
              <w:rPr>
                <w:rFonts w:hint="eastAsia" w:ascii="仿宋_GB2312" w:hAnsi="Times New Roman" w:cs="Times New Roman"/>
                <w:color w:val="auto"/>
                <w:szCs w:val="24"/>
                <w:highlight w:val="none"/>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4、清理场地。</w:t>
            </w:r>
          </w:p>
        </w:tc>
      </w:tr>
      <w:tr>
        <w:tblPrEx>
          <w:tblCellMar>
            <w:top w:w="0" w:type="dxa"/>
            <w:left w:w="0" w:type="dxa"/>
            <w:bottom w:w="0" w:type="dxa"/>
            <w:right w:w="0" w:type="dxa"/>
          </w:tblCellMar>
        </w:tblPrEx>
        <w:trPr>
          <w:cantSplit/>
          <w:trHeight w:val="502"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default" w:ascii="仿宋_GB2312"/>
                <w:color w:val="auto"/>
                <w:szCs w:val="24"/>
                <w:highlight w:val="none"/>
                <w:lang w:val="en-US"/>
              </w:rPr>
            </w:pPr>
            <w:r>
              <w:rPr>
                <w:rFonts w:hint="eastAsia" w:ascii="仿宋_GB2312"/>
                <w:color w:val="auto"/>
                <w:szCs w:val="24"/>
                <w:highlight w:val="none"/>
                <w:lang w:val="en-US" w:eastAsia="zh-CN"/>
              </w:rPr>
              <w:t>801-3</w:t>
            </w:r>
          </w:p>
        </w:tc>
        <w:tc>
          <w:tcPr>
            <w:tcW w:w="123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eastAsia" w:ascii="仿宋_GB2312"/>
                <w:color w:val="auto"/>
                <w:szCs w:val="24"/>
                <w:highlight w:val="none"/>
              </w:rPr>
            </w:pPr>
            <w:r>
              <w:rPr>
                <w:rFonts w:hint="eastAsia" w:ascii="仿宋_GB2312"/>
                <w:color w:val="auto"/>
                <w:szCs w:val="24"/>
                <w:highlight w:val="none"/>
                <w:lang w:eastAsia="zh-CN"/>
              </w:rPr>
              <w:t>分支电线 YJV-2*2.5</w:t>
            </w:r>
          </w:p>
        </w:tc>
        <w:tc>
          <w:tcPr>
            <w:tcW w:w="58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eastAsia" w:ascii="仿宋_GB2312"/>
                <w:color w:val="auto"/>
                <w:szCs w:val="24"/>
                <w:highlight w:val="none"/>
              </w:rPr>
            </w:pPr>
            <w:r>
              <w:rPr>
                <w:rFonts w:hint="eastAsia" w:ascii="仿宋_GB2312"/>
                <w:color w:val="auto"/>
                <w:szCs w:val="24"/>
                <w:highlight w:val="none"/>
              </w:rPr>
              <w:t>m</w:t>
            </w:r>
          </w:p>
        </w:tc>
        <w:tc>
          <w:tcPr>
            <w:tcW w:w="437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ind w:firstLine="480" w:firstLineChars="200"/>
              <w:jc w:val="left"/>
              <w:rPr>
                <w:rFonts w:hint="eastAsia" w:ascii="仿宋_GB2312"/>
                <w:color w:val="auto"/>
                <w:szCs w:val="24"/>
                <w:highlight w:val="none"/>
              </w:rPr>
            </w:pP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1、依据图纸所示位置及尺寸，按照图纸所示以</w:t>
            </w:r>
            <w:r>
              <w:rPr>
                <w:rFonts w:hint="eastAsia" w:ascii="仿宋_GB2312" w:hAnsi="宋体" w:cs="宋体"/>
                <w:bCs w:val="0"/>
                <w:color w:val="auto"/>
                <w:spacing w:val="0"/>
                <w:w w:val="100"/>
                <w:kern w:val="0"/>
                <w:position w:val="0"/>
                <w:sz w:val="24"/>
                <w:szCs w:val="24"/>
                <w:highlight w:val="none"/>
                <w:u w:val="none"/>
                <w:shd w:val="clear" w:color="auto" w:fill="auto"/>
                <w:lang w:val="en-US" w:eastAsia="zh-CN" w:bidi="ar-SA"/>
              </w:rPr>
              <w:t>m</w:t>
            </w: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为单位计量。</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jc w:val="both"/>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1、备线、运输；</w:t>
            </w:r>
          </w:p>
          <w:p>
            <w:pPr>
              <w:autoSpaceDE w:val="0"/>
              <w:autoSpaceDN w:val="0"/>
              <w:jc w:val="both"/>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2、线缆检查、安装；</w:t>
            </w:r>
          </w:p>
          <w:p>
            <w:pPr>
              <w:autoSpaceDE w:val="0"/>
              <w:autoSpaceDN w:val="0"/>
              <w:jc w:val="both"/>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3、断线、固定、封头；</w:t>
            </w:r>
          </w:p>
          <w:p>
            <w:pPr>
              <w:autoSpaceDE w:val="0"/>
              <w:autoSpaceDN w:val="0"/>
              <w:jc w:val="both"/>
              <w:rPr>
                <w:rFonts w:hint="eastAsia" w:ascii="仿宋_GB2312" w:hAnsi="Times New Roman" w:cs="Times New Roman"/>
                <w:color w:val="auto"/>
                <w:szCs w:val="24"/>
                <w:highlight w:val="none"/>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4、清理场地。</w:t>
            </w:r>
          </w:p>
        </w:tc>
      </w:tr>
      <w:tr>
        <w:tblPrEx>
          <w:tblCellMar>
            <w:top w:w="0" w:type="dxa"/>
            <w:left w:w="0" w:type="dxa"/>
            <w:bottom w:w="0" w:type="dxa"/>
            <w:right w:w="0" w:type="dxa"/>
          </w:tblCellMar>
        </w:tblPrEx>
        <w:trPr>
          <w:cantSplit/>
          <w:trHeight w:val="502"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default" w:ascii="仿宋_GB2312"/>
                <w:color w:val="auto"/>
                <w:szCs w:val="24"/>
                <w:highlight w:val="none"/>
                <w:lang w:val="en-US"/>
              </w:rPr>
            </w:pPr>
            <w:r>
              <w:rPr>
                <w:rFonts w:hint="eastAsia" w:ascii="仿宋_GB2312"/>
                <w:color w:val="auto"/>
                <w:szCs w:val="24"/>
                <w:highlight w:val="none"/>
                <w:lang w:val="en-US" w:eastAsia="zh-CN"/>
              </w:rPr>
              <w:t>801-4</w:t>
            </w:r>
          </w:p>
        </w:tc>
        <w:tc>
          <w:tcPr>
            <w:tcW w:w="123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eastAsia" w:ascii="仿宋_GB2312"/>
                <w:color w:val="auto"/>
                <w:szCs w:val="24"/>
                <w:highlight w:val="none"/>
              </w:rPr>
            </w:pPr>
            <w:r>
              <w:rPr>
                <w:rFonts w:hint="eastAsia" w:ascii="仿宋_GB2312"/>
                <w:color w:val="auto"/>
                <w:szCs w:val="24"/>
                <w:highlight w:val="none"/>
                <w:lang w:eastAsia="zh-CN"/>
              </w:rPr>
              <w:t>PE管</w:t>
            </w:r>
          </w:p>
        </w:tc>
        <w:tc>
          <w:tcPr>
            <w:tcW w:w="58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eastAsia" w:ascii="仿宋_GB2312"/>
                <w:color w:val="auto"/>
                <w:szCs w:val="24"/>
                <w:highlight w:val="none"/>
              </w:rPr>
            </w:pPr>
            <w:r>
              <w:rPr>
                <w:rFonts w:hint="eastAsia" w:ascii="仿宋_GB2312"/>
                <w:color w:val="auto"/>
                <w:szCs w:val="24"/>
                <w:highlight w:val="none"/>
              </w:rPr>
              <w:t>m</w:t>
            </w:r>
          </w:p>
        </w:tc>
        <w:tc>
          <w:tcPr>
            <w:tcW w:w="437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ind w:firstLine="480" w:firstLineChars="200"/>
              <w:jc w:val="left"/>
              <w:rPr>
                <w:rFonts w:hint="eastAsia" w:ascii="仿宋_GB2312"/>
                <w:color w:val="auto"/>
                <w:szCs w:val="24"/>
                <w:highlight w:val="none"/>
              </w:rPr>
            </w:pP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1、依据图纸所示位置及尺寸，按照图纸所示以</w:t>
            </w:r>
            <w:r>
              <w:rPr>
                <w:rFonts w:hint="eastAsia" w:ascii="仿宋_GB2312" w:hAnsi="宋体" w:cs="宋体"/>
                <w:bCs w:val="0"/>
                <w:color w:val="auto"/>
                <w:spacing w:val="0"/>
                <w:w w:val="100"/>
                <w:kern w:val="0"/>
                <w:position w:val="0"/>
                <w:sz w:val="24"/>
                <w:szCs w:val="24"/>
                <w:highlight w:val="none"/>
                <w:u w:val="none"/>
                <w:shd w:val="clear" w:color="auto" w:fill="auto"/>
                <w:lang w:val="en-US" w:eastAsia="zh-CN" w:bidi="ar-SA"/>
              </w:rPr>
              <w:t>m</w:t>
            </w: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为单位计量。</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jc w:val="both"/>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1、备管、运输；</w:t>
            </w:r>
          </w:p>
          <w:p>
            <w:pPr>
              <w:autoSpaceDE w:val="0"/>
              <w:autoSpaceDN w:val="0"/>
              <w:jc w:val="both"/>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2、检查、安装；</w:t>
            </w:r>
          </w:p>
          <w:p>
            <w:pPr>
              <w:autoSpaceDE w:val="0"/>
              <w:autoSpaceDN w:val="0"/>
              <w:jc w:val="both"/>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3、固定、封头；</w:t>
            </w:r>
          </w:p>
          <w:p>
            <w:pPr>
              <w:autoSpaceDE w:val="0"/>
              <w:autoSpaceDN w:val="0"/>
              <w:jc w:val="both"/>
              <w:rPr>
                <w:rFonts w:hint="eastAsia" w:ascii="仿宋_GB2312" w:hAnsi="Times New Roman" w:cs="Times New Roman"/>
                <w:color w:val="auto"/>
                <w:szCs w:val="24"/>
                <w:highlight w:val="none"/>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4、清理场地。</w:t>
            </w:r>
          </w:p>
        </w:tc>
      </w:tr>
      <w:tr>
        <w:tblPrEx>
          <w:tblCellMar>
            <w:top w:w="0" w:type="dxa"/>
            <w:left w:w="0" w:type="dxa"/>
            <w:bottom w:w="0" w:type="dxa"/>
            <w:right w:w="0" w:type="dxa"/>
          </w:tblCellMar>
        </w:tblPrEx>
        <w:trPr>
          <w:cantSplit/>
          <w:trHeight w:val="502"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default" w:ascii="仿宋_GB2312"/>
                <w:color w:val="auto"/>
                <w:szCs w:val="24"/>
                <w:highlight w:val="none"/>
                <w:lang w:val="en-US"/>
              </w:rPr>
            </w:pPr>
            <w:r>
              <w:rPr>
                <w:rFonts w:hint="eastAsia" w:ascii="仿宋_GB2312"/>
                <w:color w:val="auto"/>
                <w:szCs w:val="24"/>
                <w:highlight w:val="none"/>
                <w:lang w:val="en-US" w:eastAsia="zh-CN"/>
              </w:rPr>
              <w:t>801-5</w:t>
            </w:r>
          </w:p>
        </w:tc>
        <w:tc>
          <w:tcPr>
            <w:tcW w:w="123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eastAsia" w:ascii="仿宋_GB2312"/>
                <w:color w:val="auto"/>
                <w:szCs w:val="24"/>
                <w:highlight w:val="none"/>
              </w:rPr>
            </w:pPr>
            <w:r>
              <w:rPr>
                <w:rFonts w:hint="eastAsia" w:ascii="仿宋_GB2312"/>
                <w:color w:val="auto"/>
                <w:szCs w:val="24"/>
                <w:highlight w:val="none"/>
                <w:lang w:eastAsia="zh-CN"/>
              </w:rPr>
              <w:t>接线盒</w:t>
            </w:r>
          </w:p>
        </w:tc>
        <w:tc>
          <w:tcPr>
            <w:tcW w:w="584"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rPr>
                <w:rFonts w:hint="eastAsia" w:ascii="仿宋_GB2312"/>
                <w:color w:val="auto"/>
                <w:szCs w:val="24"/>
                <w:highlight w:val="none"/>
              </w:rPr>
            </w:pPr>
            <w:r>
              <w:rPr>
                <w:rFonts w:hint="eastAsia" w:ascii="仿宋_GB2312"/>
                <w:color w:val="auto"/>
                <w:szCs w:val="24"/>
                <w:highlight w:val="none"/>
              </w:rPr>
              <w:t>个</w:t>
            </w:r>
          </w:p>
        </w:tc>
        <w:tc>
          <w:tcPr>
            <w:tcW w:w="4377"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val="0"/>
              <w:autoSpaceDN w:val="0"/>
              <w:ind w:firstLine="480" w:firstLineChars="200"/>
              <w:jc w:val="left"/>
              <w:rPr>
                <w:rFonts w:hint="eastAsia" w:ascii="仿宋_GB2312"/>
                <w:color w:val="auto"/>
                <w:szCs w:val="24"/>
                <w:highlight w:val="none"/>
              </w:rPr>
            </w:pP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1、依据图纸所示位置及尺寸，按照图纸所示以</w:t>
            </w:r>
            <w:r>
              <w:rPr>
                <w:rFonts w:hint="eastAsia" w:ascii="仿宋_GB2312" w:hAnsi="宋体" w:cs="宋体"/>
                <w:bCs w:val="0"/>
                <w:color w:val="auto"/>
                <w:spacing w:val="0"/>
                <w:w w:val="100"/>
                <w:kern w:val="0"/>
                <w:position w:val="0"/>
                <w:sz w:val="24"/>
                <w:szCs w:val="24"/>
                <w:highlight w:val="none"/>
                <w:u w:val="none"/>
                <w:shd w:val="clear" w:color="auto" w:fill="auto"/>
                <w:lang w:val="en-US" w:eastAsia="zh-CN" w:bidi="ar-SA"/>
              </w:rPr>
              <w:t>个</w:t>
            </w:r>
            <w:r>
              <w:rPr>
                <w:rFonts w:hint="eastAsia" w:ascii="仿宋_GB2312" w:hAnsi="宋体" w:eastAsia="仿宋_GB2312" w:cs="宋体"/>
                <w:bCs w:val="0"/>
                <w:color w:val="auto"/>
                <w:spacing w:val="0"/>
                <w:w w:val="100"/>
                <w:kern w:val="0"/>
                <w:position w:val="0"/>
                <w:sz w:val="24"/>
                <w:szCs w:val="24"/>
                <w:highlight w:val="none"/>
                <w:u w:val="none"/>
                <w:shd w:val="clear" w:color="auto" w:fill="auto"/>
                <w:lang w:val="en-US" w:eastAsia="zh-CN" w:bidi="ar-SA"/>
              </w:rPr>
              <w:t>为单位计量。</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jc w:val="both"/>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1、测距、放样、定位；</w:t>
            </w:r>
          </w:p>
          <w:p>
            <w:pPr>
              <w:autoSpaceDE w:val="0"/>
              <w:autoSpaceDN w:val="0"/>
              <w:jc w:val="both"/>
              <w:rPr>
                <w:rFonts w:hint="eastAsia" w:ascii="仿宋_GB2312" w:hAnsi="Times New Roman" w:cs="Times New Roman"/>
                <w:color w:val="auto"/>
                <w:szCs w:val="24"/>
                <w:highlight w:val="none"/>
              </w:rPr>
            </w:pPr>
            <w:r>
              <w:rPr>
                <w:rFonts w:hint="eastAsia" w:ascii="仿宋_GB2312" w:hAnsi="Times New Roman" w:cs="宋体"/>
                <w:bCs w:val="0"/>
                <w:color w:val="auto"/>
                <w:spacing w:val="0"/>
                <w:w w:val="100"/>
                <w:kern w:val="0"/>
                <w:position w:val="0"/>
                <w:sz w:val="24"/>
                <w:szCs w:val="24"/>
                <w:highlight w:val="none"/>
                <w:u w:val="none"/>
                <w:shd w:val="clear" w:color="auto" w:fill="auto"/>
                <w:lang w:val="en-US" w:eastAsia="zh-CN" w:bidi="ar-SA"/>
              </w:rPr>
              <w:t>2、安装、固定。</w:t>
            </w:r>
          </w:p>
        </w:tc>
      </w:tr>
    </w:tbl>
    <w:p>
      <w:pPr>
        <w:pStyle w:val="38"/>
        <w:spacing w:line="360" w:lineRule="auto"/>
        <w:jc w:val="center"/>
        <w:rPr>
          <w:rFonts w:hint="eastAsia" w:ascii="宋体" w:hAnsi="宋体" w:eastAsia="宋体" w:cs="宋体"/>
          <w:color w:val="auto"/>
          <w:highlight w:val="none"/>
        </w:rPr>
      </w:pPr>
      <w:r>
        <w:rPr>
          <w:rStyle w:val="22"/>
          <w:rFonts w:hint="eastAsia" w:ascii="宋体" w:hAnsi="宋体" w:eastAsia="宋体" w:cs="宋体"/>
          <w:color w:val="auto"/>
          <w:highlight w:val="none"/>
        </w:rPr>
        <w:br w:type="page"/>
      </w:r>
      <w:r>
        <w:rPr>
          <w:rStyle w:val="22"/>
          <w:rFonts w:hint="eastAsia" w:ascii="宋体" w:hAnsi="宋体" w:eastAsia="宋体" w:cs="宋体"/>
          <w:color w:val="auto"/>
          <w:highlight w:val="none"/>
        </w:rPr>
        <w:t>第五章 合同条款及格式（仅供参考）</w:t>
      </w:r>
      <w:bookmarkEnd w:id="28"/>
    </w:p>
    <w:p>
      <w:pPr>
        <w:pStyle w:val="3"/>
        <w:spacing w:before="240" w:after="240" w:line="360" w:lineRule="auto"/>
        <w:jc w:val="center"/>
        <w:rPr>
          <w:rFonts w:hint="eastAsia" w:ascii="宋体" w:hAnsi="宋体" w:eastAsia="宋体" w:cs="宋体"/>
          <w:color w:val="auto"/>
          <w:highlight w:val="none"/>
        </w:rPr>
      </w:pPr>
      <w:bookmarkStart w:id="32" w:name="_Toc28848"/>
      <w:r>
        <w:rPr>
          <w:rFonts w:hint="eastAsia" w:ascii="宋体" w:hAnsi="宋体" w:eastAsia="宋体" w:cs="宋体"/>
          <w:b w:val="0"/>
          <w:color w:val="auto"/>
          <w:sz w:val="42"/>
          <w:szCs w:val="42"/>
          <w:highlight w:val="none"/>
        </w:rPr>
        <w:t>第一节 通用合同条款</w:t>
      </w:r>
      <w:bookmarkEnd w:id="32"/>
    </w:p>
    <w:p>
      <w:pPr>
        <w:pStyle w:val="3"/>
        <w:spacing w:before="240" w:after="240" w:line="360" w:lineRule="auto"/>
        <w:jc w:val="center"/>
        <w:rPr>
          <w:rFonts w:hint="eastAsia" w:ascii="宋体" w:hAnsi="宋体" w:eastAsia="宋体" w:cs="宋体"/>
          <w:b w:val="0"/>
          <w:i/>
          <w:iCs/>
          <w:color w:val="auto"/>
          <w:sz w:val="42"/>
          <w:szCs w:val="32"/>
          <w:highlight w:val="none"/>
        </w:rPr>
      </w:pPr>
    </w:p>
    <w:p>
      <w:pPr>
        <w:pStyle w:val="3"/>
        <w:pageBreakBefore/>
        <w:spacing w:before="240" w:after="240" w:line="360" w:lineRule="auto"/>
        <w:jc w:val="center"/>
        <w:rPr>
          <w:rFonts w:hint="eastAsia" w:ascii="宋体" w:hAnsi="宋体" w:eastAsia="宋体" w:cs="宋体"/>
          <w:color w:val="auto"/>
          <w:highlight w:val="none"/>
        </w:rPr>
      </w:pPr>
      <w:bookmarkStart w:id="33" w:name="_Toc26674"/>
      <w:r>
        <w:rPr>
          <w:rFonts w:hint="eastAsia" w:ascii="宋体" w:hAnsi="宋体" w:eastAsia="宋体" w:cs="宋体"/>
          <w:b w:val="0"/>
          <w:color w:val="auto"/>
          <w:szCs w:val="32"/>
          <w:highlight w:val="none"/>
        </w:rPr>
        <w:t>通用合同条款</w:t>
      </w:r>
      <w:bookmarkEnd w:id="33"/>
    </w:p>
    <w:p>
      <w:pPr>
        <w:pStyle w:val="3"/>
        <w:spacing w:before="360" w:after="240" w:line="360" w:lineRule="auto"/>
        <w:rPr>
          <w:rFonts w:hint="eastAsia" w:ascii="宋体" w:hAnsi="宋体" w:eastAsia="宋体" w:cs="宋体"/>
          <w:color w:val="auto"/>
          <w:highlight w:val="none"/>
        </w:rPr>
      </w:pPr>
      <w:bookmarkStart w:id="34" w:name="_Toc30777"/>
      <w:r>
        <w:rPr>
          <w:rFonts w:hint="eastAsia" w:ascii="宋体" w:hAnsi="宋体" w:eastAsia="宋体" w:cs="宋体"/>
          <w:b w:val="0"/>
          <w:color w:val="auto"/>
          <w:sz w:val="28"/>
          <w:szCs w:val="28"/>
          <w:highlight w:val="none"/>
        </w:rPr>
        <w:t>1. 一般约定</w:t>
      </w:r>
      <w:bookmarkEnd w:id="34"/>
      <w:r>
        <w:rPr>
          <w:rFonts w:hint="eastAsia" w:ascii="宋体" w:hAnsi="宋体" w:eastAsia="宋体" w:cs="宋体"/>
          <w:b w:val="0"/>
          <w:color w:val="auto"/>
          <w:sz w:val="28"/>
          <w:szCs w:val="28"/>
          <w:highlight w:val="none"/>
        </w:rPr>
        <w:tab/>
      </w:r>
    </w:p>
    <w:p>
      <w:pPr>
        <w:pStyle w:val="3"/>
        <w:spacing w:before="240" w:after="240" w:line="360" w:lineRule="auto"/>
        <w:rPr>
          <w:rFonts w:hint="eastAsia" w:ascii="宋体" w:hAnsi="宋体" w:eastAsia="宋体" w:cs="宋体"/>
          <w:color w:val="auto"/>
          <w:highlight w:val="none"/>
        </w:rPr>
      </w:pPr>
      <w:bookmarkStart w:id="35" w:name="_Toc3407"/>
      <w:r>
        <w:rPr>
          <w:rFonts w:hint="eastAsia" w:ascii="宋体" w:hAnsi="宋体" w:eastAsia="宋体" w:cs="宋体"/>
          <w:b w:val="0"/>
          <w:color w:val="auto"/>
          <w:sz w:val="24"/>
          <w:szCs w:val="24"/>
          <w:highlight w:val="none"/>
        </w:rPr>
        <w:t>1.1</w:t>
      </w:r>
      <w:r>
        <w:rPr>
          <w:rFonts w:hint="eastAsia" w:ascii="宋体" w:hAnsi="宋体" w:eastAsia="宋体" w:cs="宋体"/>
          <w:b w:val="0"/>
          <w:color w:val="auto"/>
          <w:sz w:val="24"/>
          <w:szCs w:val="24"/>
          <w:highlight w:val="none"/>
        </w:rPr>
        <w:tab/>
      </w:r>
      <w:r>
        <w:rPr>
          <w:rFonts w:hint="eastAsia" w:ascii="宋体" w:hAnsi="宋体" w:eastAsia="宋体" w:cs="宋体"/>
          <w:b w:val="0"/>
          <w:color w:val="auto"/>
          <w:sz w:val="24"/>
          <w:szCs w:val="24"/>
          <w:highlight w:val="none"/>
        </w:rPr>
        <w:t>词语定义</w:t>
      </w:r>
      <w:bookmarkEnd w:id="35"/>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通用合同条款、专用合同条款中的下列词语应具有本款所赋予的含义。</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1.1.1 合同</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1.1.1.1 合同文件（或称合同）：指合同协议书、中标通知书、投标函及投标函附录、专用合同条款、通用合同条款、技术标准和要求、图纸、已标价工程量清单，以及其他合同文件。</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1.1.1.2 合同协议书：指第1.5款所指的合同协议书。</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1.1.1.3 中标通知书：指发包人通知承包人中标的函件。</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1.1.1.4 投标函：指构成合同文件组成部分的由承包人填写并签署的投标函。</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1.1.1.5 投标函附录：指附在投标函后构成合同文件的投标函附录。</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1.1.1.6 技术标准和要求：指构成合同文件组成部分的名为技术标准和要求的文件，包括合同双方当事人约定对其所作的修改或补充。</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1.1.1.7 图纸：指包含在合同中的工程图纸，以及由发包人按合同约定提供的任何补充和修改的图纸，包括配套的说明。</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1.1.1.8 已标价工程量清单：指构成合同文件组成部分的由承包人按照规定的格式和要求填写并标明价格的工程量清单。</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1.1.1.9 其他合同文件：指经合同双方当事人确认构成合同文件的其他文件。</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1.1.2 合同当事人和人员</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1.1.2.1 合同当事人：指发包人和（或）承包人。</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1.1.2.2 发包人：指专用合同条款中指明并与承包人在合同协议书中签字的当事人。</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1.1.2.3承包人：指与发包人签订合同协议书的当事人。</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1.1.2.4承包人项目经理：指承包人派驻施工场地的全权负责人。</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1.1.2.5分包人：指从承包人处分包合同中某一部分工程，并与其签订分包合同的分包人。</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1.1.2.6监理人：指在专用合同条款中指明的，受发包人委托对合同履行实施管理的法人或其他组织。</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1.1.2.7总监理工程师（总监）：指由监理人委派常驻施工场地对合同履行实施管理的全权负责人。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1.1.3 工程和设备</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1.1.3.1 工程：指永久工程和（或）临时工程。</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1.1.3.2 永久工程：指按合同约定建造并移交给发包人的工程，包括工程设备。</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1.1.3.3 临时工程：指为完成合同约定的永久工程所修建的各类临时性工程，不包括施工设备。</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1.1.3.4 单位工程：指专用合同条款中指明特定范围的永久工程。</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1.1.3.5 工程设备：指构成或计划构成永久工程一部分的机电设备、金属结构设备、仪器装置及其他类似的设备和装置。</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1.1.3.6 施工设备：指为完成合同约定的各项工作所需的设备、器具和其他物品，不包括临时工程和材料。</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1.1.3.7临时设施：指为完成合同约定的各项工作所服务的临时性生产和生活设施。</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1.1.3.8 承包人设备：指承包人自带的施工设备。</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1.1.3.9 施工场地（或称工地、现场）：指用于合同工程施工的场所，以及在合同中指定作为施工场地组成部分的其他场所，包括永久占地和临时占地。</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1.1.3.10 永久占地：指专用合同条款中指明为实施合同工程需永久占用的土地。</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1.1.3.11 临时占地：指专用合同条款中指明为实施合同工程需临时占用的土地。</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1.1.4 日期</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1.1.4.1 开工通知：指监理人按第11.1款通知承包人开工的函件。</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1.1.4.2 开工日期：指监理人按第11.1款发出的开工通知中写明的开工日期。</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1.1.4.3 工期：指承包人在投标函中承诺的完成合同工程所需的期限，包括按第11.3款、第11.4款和第11.6款约定所作的变更。</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1.1.4.4 竣工日期：指第1.1.4.3目约定工期届满时的日期。实际竣工日期以工程接收证书中写明的日期为准。</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1.1.4.5 缺陷责任期：指履行第19.2款约定的缺陷责任的期限，具体期限由专用合同条款约定，包括根据第19.3款约定所作的延长。</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1.1.4.6 基准日期：指投标截止时间前28天的日期。</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1.1.4.7 天：除特别指明外，指日历天。合同中按天计算时间的，开始当天不计入，从次日开始计算。期限最后一天的截止时间为当天24:00。</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1.1.5 合同价格和费用</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1.1.5.1 签约合同价：指签订合同时合同协议书中写明的，包括了暂列金额、暂估价的合同总金额。</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1.1.5.2 合同价格：指承包人按合同约定完成了包括缺陷责任期内的全部承包工作后，发包人应付给承包人的金额，包括在履行合同过程中按合同约定进行的变更和调整。</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1.1.5.3 费用：指为履行合同所发生的或将要发生的所有合理开支，包括管理费和应分摊的其他费用，但不包括利润。</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1.1.5.4 暂列金额：指已标价工程量清单中所列的暂列金额，用于在签订协议书时尚未确定或不可预见变更的施工及其所需材料、工程设备、服务等的金额，包括以计日工方式支付的金额。</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1.1.5.5暂估价：指发包人在工程量清单中给定的用于支付必然发生但暂时不能确定价格的材料、工程设备以及专业工程的金额。</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1.1.5.6 计日工：指对零星工作采取的一种计价方式，按合同中的计日工子目及其单价计价付款。</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1.1.5.7 质量保证金（或称保留金）：指按第17.4.1项约定用于保证在缺陷责任期内履行缺陷修复义务的金额。</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1.1.6 其他</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1.1.6.1 书面形式：指合同文件、信函、电报、传真等可以有形地表现所载内容的形式。</w:t>
      </w:r>
    </w:p>
    <w:p>
      <w:pPr>
        <w:pStyle w:val="3"/>
        <w:spacing w:before="240" w:after="240" w:line="360" w:lineRule="auto"/>
        <w:rPr>
          <w:rFonts w:hint="eastAsia" w:ascii="宋体" w:hAnsi="宋体" w:eastAsia="宋体" w:cs="宋体"/>
          <w:color w:val="auto"/>
          <w:highlight w:val="none"/>
        </w:rPr>
      </w:pPr>
      <w:bookmarkStart w:id="36" w:name="_Toc17217"/>
      <w:r>
        <w:rPr>
          <w:rFonts w:hint="eastAsia" w:ascii="宋体" w:hAnsi="宋体" w:eastAsia="宋体" w:cs="宋体"/>
          <w:b w:val="0"/>
          <w:color w:val="auto"/>
          <w:sz w:val="24"/>
          <w:szCs w:val="24"/>
          <w:highlight w:val="none"/>
        </w:rPr>
        <w:t>1.2 语言文字</w:t>
      </w:r>
      <w:bookmarkEnd w:id="36"/>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除专用术语外，合同使用的语言文字为中文。必要时专用术语应附有中文注释。</w:t>
      </w:r>
    </w:p>
    <w:p>
      <w:pPr>
        <w:pStyle w:val="3"/>
        <w:spacing w:before="240" w:after="240" w:line="360" w:lineRule="auto"/>
        <w:rPr>
          <w:rFonts w:hint="eastAsia" w:ascii="宋体" w:hAnsi="宋体" w:eastAsia="宋体" w:cs="宋体"/>
          <w:color w:val="auto"/>
          <w:highlight w:val="none"/>
        </w:rPr>
      </w:pPr>
      <w:bookmarkStart w:id="37" w:name="_Toc13247"/>
      <w:r>
        <w:rPr>
          <w:rFonts w:hint="eastAsia" w:ascii="宋体" w:hAnsi="宋体" w:eastAsia="宋体" w:cs="宋体"/>
          <w:b w:val="0"/>
          <w:color w:val="auto"/>
          <w:sz w:val="24"/>
          <w:szCs w:val="24"/>
          <w:highlight w:val="none"/>
        </w:rPr>
        <w:t>1.3 法律</w:t>
      </w:r>
      <w:bookmarkEnd w:id="37"/>
    </w:p>
    <w:p>
      <w:pPr>
        <w:tabs>
          <w:tab w:val="left" w:pos="7020"/>
        </w:tabs>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适用于合同的法律包括中华人民共和国法律、行政法规、部门规章，以及工程所在地的地方法规、自治条例、单行条例和地方政府规章。</w:t>
      </w:r>
    </w:p>
    <w:p>
      <w:pPr>
        <w:pStyle w:val="3"/>
        <w:spacing w:before="240" w:after="240" w:line="360" w:lineRule="auto"/>
        <w:rPr>
          <w:rFonts w:hint="eastAsia" w:ascii="宋体" w:hAnsi="宋体" w:eastAsia="宋体" w:cs="宋体"/>
          <w:color w:val="auto"/>
          <w:highlight w:val="none"/>
        </w:rPr>
      </w:pPr>
      <w:bookmarkStart w:id="38" w:name="_Toc5493"/>
      <w:r>
        <w:rPr>
          <w:rFonts w:hint="eastAsia" w:ascii="宋体" w:hAnsi="宋体" w:eastAsia="宋体" w:cs="宋体"/>
          <w:b w:val="0"/>
          <w:color w:val="auto"/>
          <w:sz w:val="24"/>
          <w:szCs w:val="24"/>
          <w:highlight w:val="none"/>
        </w:rPr>
        <w:t>1.4 合同文件的优先顺序</w:t>
      </w:r>
      <w:bookmarkEnd w:id="38"/>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组成合同的各项文件应互相解释，互为说明。除专用合同条款另有约定外，解释合同文件的优先顺序如下：</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（1）合同协议书；</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（2）中标通知书；</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（3）投标函及投标函附录；</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（4）专用合同条款；</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（5）通用合同条款；</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（6）技术标准和要求；</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（7）图纸；</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（8）已标价工程量清单；</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（9）其他合同文件。     </w:t>
      </w:r>
    </w:p>
    <w:p>
      <w:pPr>
        <w:pStyle w:val="3"/>
        <w:spacing w:before="240" w:after="240" w:line="360" w:lineRule="auto"/>
        <w:rPr>
          <w:rFonts w:hint="eastAsia" w:ascii="宋体" w:hAnsi="宋体" w:eastAsia="宋体" w:cs="宋体"/>
          <w:color w:val="auto"/>
          <w:highlight w:val="none"/>
        </w:rPr>
      </w:pPr>
      <w:bookmarkStart w:id="39" w:name="_Toc22574"/>
      <w:r>
        <w:rPr>
          <w:rFonts w:hint="eastAsia" w:ascii="宋体" w:hAnsi="宋体" w:eastAsia="宋体" w:cs="宋体"/>
          <w:b w:val="0"/>
          <w:color w:val="auto"/>
          <w:sz w:val="24"/>
          <w:szCs w:val="24"/>
          <w:highlight w:val="none"/>
        </w:rPr>
        <w:t>1.5 合同协议书</w:t>
      </w:r>
      <w:bookmarkEnd w:id="39"/>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承包人按中标通知书规定的时间与发包人签订合同协议书。除法律另有规定或合同另有约定外，发包人和承包人的法定代表人或其委托代理人在合同协议书上签字并盖单位章后，合同生效。</w:t>
      </w:r>
    </w:p>
    <w:p>
      <w:pPr>
        <w:pStyle w:val="3"/>
        <w:spacing w:before="240" w:after="240" w:line="360" w:lineRule="auto"/>
        <w:rPr>
          <w:rFonts w:hint="eastAsia" w:ascii="宋体" w:hAnsi="宋体" w:eastAsia="宋体" w:cs="宋体"/>
          <w:color w:val="auto"/>
          <w:highlight w:val="none"/>
        </w:rPr>
      </w:pPr>
      <w:bookmarkStart w:id="40" w:name="_Toc5154"/>
      <w:r>
        <w:rPr>
          <w:rFonts w:hint="eastAsia" w:ascii="宋体" w:hAnsi="宋体" w:eastAsia="宋体" w:cs="宋体"/>
          <w:b w:val="0"/>
          <w:color w:val="auto"/>
          <w:sz w:val="24"/>
          <w:szCs w:val="24"/>
          <w:highlight w:val="none"/>
        </w:rPr>
        <w:t>1.6 图纸和承包人文件</w:t>
      </w:r>
      <w:bookmarkEnd w:id="40"/>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1.6.1 图纸的提供</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除专用合同条款另有约定外，图纸应在合理的期限内按照合同约定的数量提供给承包人。由于发包人未按时提供图纸造成工期延误的，按第11.3款的约定办理。</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1.6.2 承包人提供的文件</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按专用合同条款约定由承包人提供的文件，包括部分工程的大样图、加工图等，承包人应按约定的数量和期限报送监理人。监理人应在专用合同条款约定的期限内批复。</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1.6.3 图纸的修改</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图纸需要修改和补充的，应由监理人取得发包人同意后，在该工程或工程相应部位施工前的合理期限内签发图纸修改图给承包人，具体签发期限在专用合同条款中约定。承包人应按修改后的图纸施工。</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1.6.4 图纸的错误</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承包人发现发包人提供的图纸存在明显错误或疏忽，应及时通知监理人。</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1.6.5 图纸和承包人文件的保管</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监理人和承包人均应在施工场地各保存一套完整的包含第1.6.1项、第1.6.2项、第1.6.3项约定内容的图纸和承包人文件。</w:t>
      </w:r>
    </w:p>
    <w:p>
      <w:pPr>
        <w:pStyle w:val="3"/>
        <w:spacing w:before="240" w:after="240" w:line="360" w:lineRule="auto"/>
        <w:rPr>
          <w:rFonts w:hint="eastAsia" w:ascii="宋体" w:hAnsi="宋体" w:eastAsia="宋体" w:cs="宋体"/>
          <w:color w:val="auto"/>
          <w:highlight w:val="none"/>
        </w:rPr>
      </w:pPr>
      <w:bookmarkStart w:id="41" w:name="_Toc24797"/>
      <w:r>
        <w:rPr>
          <w:rFonts w:hint="eastAsia" w:ascii="宋体" w:hAnsi="宋体" w:eastAsia="宋体" w:cs="宋体"/>
          <w:b w:val="0"/>
          <w:color w:val="auto"/>
          <w:sz w:val="24"/>
          <w:szCs w:val="24"/>
          <w:highlight w:val="none"/>
        </w:rPr>
        <w:t>1.7 联络</w:t>
      </w:r>
      <w:bookmarkEnd w:id="41"/>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1.7.1 与合同有关的通知、批准、证明、证书、指示、要求、请求、同意、意见、确定和决定等，均应采用书面形式。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1.7.2 第1.7.1项中的通知、批准、证明、证书、指示、要求、请求、同意、意见、确定和决定等来往函件，均应在合同约定的期限内送达指定地点和接收人，并办理签收手续。</w:t>
      </w:r>
    </w:p>
    <w:p>
      <w:pPr>
        <w:pStyle w:val="3"/>
        <w:spacing w:before="240" w:after="240" w:line="360" w:lineRule="auto"/>
        <w:rPr>
          <w:rFonts w:hint="eastAsia" w:ascii="宋体" w:hAnsi="宋体" w:eastAsia="宋体" w:cs="宋体"/>
          <w:color w:val="auto"/>
          <w:highlight w:val="none"/>
        </w:rPr>
      </w:pPr>
      <w:bookmarkStart w:id="42" w:name="_Toc4638"/>
      <w:r>
        <w:rPr>
          <w:rFonts w:hint="eastAsia" w:ascii="宋体" w:hAnsi="宋体" w:eastAsia="宋体" w:cs="宋体"/>
          <w:b w:val="0"/>
          <w:color w:val="auto"/>
          <w:sz w:val="24"/>
          <w:szCs w:val="24"/>
          <w:highlight w:val="none"/>
        </w:rPr>
        <w:t>1.8 转让</w:t>
      </w:r>
      <w:bookmarkEnd w:id="42"/>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除合同另有约定外，未经对方当事人同意，一方当事人不得将合同权利全部或部分转让给第三人，也不得全部或部分转移合同义务。</w:t>
      </w:r>
    </w:p>
    <w:p>
      <w:pPr>
        <w:pStyle w:val="3"/>
        <w:spacing w:before="240" w:after="240" w:line="360" w:lineRule="auto"/>
        <w:rPr>
          <w:rFonts w:hint="eastAsia" w:ascii="宋体" w:hAnsi="宋体" w:eastAsia="宋体" w:cs="宋体"/>
          <w:color w:val="auto"/>
          <w:highlight w:val="none"/>
        </w:rPr>
      </w:pPr>
      <w:bookmarkStart w:id="43" w:name="_Toc11380"/>
      <w:r>
        <w:rPr>
          <w:rFonts w:hint="eastAsia" w:ascii="宋体" w:hAnsi="宋体" w:eastAsia="宋体" w:cs="宋体"/>
          <w:b w:val="0"/>
          <w:color w:val="auto"/>
          <w:sz w:val="24"/>
          <w:szCs w:val="24"/>
          <w:highlight w:val="none"/>
        </w:rPr>
        <w:t>1.9 严禁贿赂</w:t>
      </w:r>
      <w:bookmarkEnd w:id="43"/>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合同双方当事人不得以贿赂或变相贿赂的方式，谋取不当利益或损害对方权益。因贿赂造成对方损失的，行为人应赔偿损失，并承担相应的法律责任。</w:t>
      </w:r>
    </w:p>
    <w:p>
      <w:pPr>
        <w:pStyle w:val="3"/>
        <w:spacing w:before="240" w:after="240" w:line="360" w:lineRule="auto"/>
        <w:rPr>
          <w:rFonts w:hint="eastAsia" w:ascii="宋体" w:hAnsi="宋体" w:eastAsia="宋体" w:cs="宋体"/>
          <w:color w:val="auto"/>
          <w:highlight w:val="none"/>
        </w:rPr>
      </w:pPr>
      <w:bookmarkStart w:id="44" w:name="_Toc13783"/>
      <w:r>
        <w:rPr>
          <w:rFonts w:hint="eastAsia" w:ascii="宋体" w:hAnsi="宋体" w:eastAsia="宋体" w:cs="宋体"/>
          <w:b w:val="0"/>
          <w:color w:val="auto"/>
          <w:sz w:val="24"/>
          <w:szCs w:val="24"/>
          <w:highlight w:val="none"/>
        </w:rPr>
        <w:t>1.10 化石、文物</w:t>
      </w:r>
      <w:bookmarkEnd w:id="44"/>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1.10.2 承包人发现文物后不及时报告或隐瞒不报，致使文物丢失或损坏的，应赔偿损失，并承担相应的法律责任。</w:t>
      </w:r>
    </w:p>
    <w:p>
      <w:pPr>
        <w:pStyle w:val="3"/>
        <w:spacing w:before="240" w:after="240" w:line="360" w:lineRule="auto"/>
        <w:rPr>
          <w:rFonts w:hint="eastAsia" w:ascii="宋体" w:hAnsi="宋体" w:eastAsia="宋体" w:cs="宋体"/>
          <w:color w:val="auto"/>
          <w:highlight w:val="none"/>
        </w:rPr>
      </w:pPr>
      <w:bookmarkStart w:id="45" w:name="_Toc10349"/>
      <w:r>
        <w:rPr>
          <w:rFonts w:hint="eastAsia" w:ascii="宋体" w:hAnsi="宋体" w:eastAsia="宋体" w:cs="宋体"/>
          <w:b w:val="0"/>
          <w:color w:val="auto"/>
          <w:sz w:val="24"/>
          <w:szCs w:val="24"/>
          <w:highlight w:val="none"/>
        </w:rPr>
        <w:t>1.11 专利技术</w:t>
      </w:r>
      <w:bookmarkEnd w:id="45"/>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1.11.1 承包人在使用任何材料、承包人设备、工程设备或采用施工工艺时，因侵犯专利权或其他知识产权所引起的责任，由承包人承担，但由于遵照发包人提供的设计或技术标准和要求引起的除外。</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1.11.2 承包人在响应文件中采用专利技术的，专利技术的使用费包含在投标报价内。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1.11.3 承包人的技术秘密和声明需要保密的资料和信息，发包人和监理人不得为合同以外的目的泄露给他人。</w:t>
      </w:r>
    </w:p>
    <w:p>
      <w:pPr>
        <w:pStyle w:val="3"/>
        <w:spacing w:before="240" w:after="240" w:line="360" w:lineRule="auto"/>
        <w:rPr>
          <w:rFonts w:hint="eastAsia" w:ascii="宋体" w:hAnsi="宋体" w:eastAsia="宋体" w:cs="宋体"/>
          <w:color w:val="auto"/>
          <w:highlight w:val="none"/>
        </w:rPr>
      </w:pPr>
      <w:bookmarkStart w:id="46" w:name="_Toc7321"/>
      <w:r>
        <w:rPr>
          <w:rFonts w:hint="eastAsia" w:ascii="宋体" w:hAnsi="宋体" w:eastAsia="宋体" w:cs="宋体"/>
          <w:b w:val="0"/>
          <w:color w:val="auto"/>
          <w:sz w:val="24"/>
          <w:szCs w:val="24"/>
          <w:highlight w:val="none"/>
        </w:rPr>
        <w:t>1.12 图纸和文件的保密</w:t>
      </w:r>
      <w:bookmarkEnd w:id="46"/>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1.12.1 发包人提供的图纸和文件，未经发包人同意，承包人不得为合同以外的目的泄露给他人或公开发表与引用。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1.12.2 承包人提供的文件，未经承包人同意，发包人和监理人不得为合同以外的目的泄露给他人或公开发表与引用。</w:t>
      </w:r>
    </w:p>
    <w:p>
      <w:pPr>
        <w:pStyle w:val="3"/>
        <w:spacing w:before="480" w:after="240" w:line="360" w:lineRule="auto"/>
        <w:rPr>
          <w:rFonts w:hint="eastAsia" w:ascii="宋体" w:hAnsi="宋体" w:eastAsia="宋体" w:cs="宋体"/>
          <w:color w:val="auto"/>
          <w:highlight w:val="none"/>
        </w:rPr>
      </w:pPr>
      <w:bookmarkStart w:id="47" w:name="_Toc13242"/>
      <w:r>
        <w:rPr>
          <w:rFonts w:hint="eastAsia" w:ascii="宋体" w:hAnsi="宋体" w:eastAsia="宋体" w:cs="宋体"/>
          <w:b w:val="0"/>
          <w:color w:val="auto"/>
          <w:sz w:val="28"/>
          <w:szCs w:val="28"/>
          <w:highlight w:val="none"/>
        </w:rPr>
        <w:t>2. 发包人义务</w:t>
      </w:r>
      <w:bookmarkEnd w:id="47"/>
    </w:p>
    <w:p>
      <w:pPr>
        <w:pStyle w:val="3"/>
        <w:spacing w:before="240" w:after="240" w:line="360" w:lineRule="auto"/>
        <w:rPr>
          <w:rFonts w:hint="eastAsia" w:ascii="宋体" w:hAnsi="宋体" w:eastAsia="宋体" w:cs="宋体"/>
          <w:color w:val="auto"/>
          <w:highlight w:val="none"/>
        </w:rPr>
      </w:pPr>
      <w:bookmarkStart w:id="48" w:name="_Toc19743"/>
      <w:r>
        <w:rPr>
          <w:rFonts w:hint="eastAsia" w:ascii="宋体" w:hAnsi="宋体" w:eastAsia="宋体" w:cs="宋体"/>
          <w:b w:val="0"/>
          <w:color w:val="auto"/>
          <w:sz w:val="24"/>
          <w:szCs w:val="24"/>
          <w:highlight w:val="none"/>
        </w:rPr>
        <w:t>2.1 遵守法律</w:t>
      </w:r>
      <w:bookmarkEnd w:id="48"/>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发包人在履行合同过程中应遵守法律，并保证承包人免于承担因发包人违反法律而引起的任何责任。</w:t>
      </w:r>
    </w:p>
    <w:p>
      <w:pPr>
        <w:pStyle w:val="3"/>
        <w:spacing w:before="240" w:after="240" w:line="360" w:lineRule="auto"/>
        <w:rPr>
          <w:rFonts w:hint="eastAsia" w:ascii="宋体" w:hAnsi="宋体" w:eastAsia="宋体" w:cs="宋体"/>
          <w:color w:val="auto"/>
          <w:highlight w:val="none"/>
        </w:rPr>
      </w:pPr>
      <w:bookmarkStart w:id="49" w:name="_Toc30598"/>
      <w:r>
        <w:rPr>
          <w:rFonts w:hint="eastAsia" w:ascii="宋体" w:hAnsi="宋体" w:eastAsia="宋体" w:cs="宋体"/>
          <w:b w:val="0"/>
          <w:color w:val="auto"/>
          <w:sz w:val="24"/>
          <w:szCs w:val="24"/>
          <w:highlight w:val="none"/>
        </w:rPr>
        <w:t>2.2 发出开工通知</w:t>
      </w:r>
      <w:bookmarkEnd w:id="49"/>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发包人应委托监理人按第11.1款的约定向承包人发出开工通知。</w:t>
      </w:r>
    </w:p>
    <w:p>
      <w:pPr>
        <w:pStyle w:val="3"/>
        <w:spacing w:before="240" w:after="240" w:line="360" w:lineRule="auto"/>
        <w:rPr>
          <w:rFonts w:hint="eastAsia" w:ascii="宋体" w:hAnsi="宋体" w:eastAsia="宋体" w:cs="宋体"/>
          <w:color w:val="auto"/>
          <w:highlight w:val="none"/>
        </w:rPr>
      </w:pPr>
      <w:bookmarkStart w:id="50" w:name="_Toc7098"/>
      <w:r>
        <w:rPr>
          <w:rFonts w:hint="eastAsia" w:ascii="宋体" w:hAnsi="宋体" w:eastAsia="宋体" w:cs="宋体"/>
          <w:b w:val="0"/>
          <w:color w:val="auto"/>
          <w:sz w:val="24"/>
          <w:szCs w:val="24"/>
          <w:highlight w:val="none"/>
        </w:rPr>
        <w:t>2.3 提供施工场地</w:t>
      </w:r>
      <w:bookmarkEnd w:id="50"/>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发包人应按专用合同条款约定向承包人提供施工场地，以及施工场地内地下管线和地下设施等有关资料，并保证资料的真实、准确、完整。</w:t>
      </w:r>
    </w:p>
    <w:p>
      <w:pPr>
        <w:pStyle w:val="3"/>
        <w:spacing w:before="240" w:after="240" w:line="360" w:lineRule="auto"/>
        <w:rPr>
          <w:rFonts w:hint="eastAsia" w:ascii="宋体" w:hAnsi="宋体" w:eastAsia="宋体" w:cs="宋体"/>
          <w:color w:val="auto"/>
          <w:highlight w:val="none"/>
        </w:rPr>
      </w:pPr>
      <w:bookmarkStart w:id="51" w:name="_Toc28502"/>
      <w:r>
        <w:rPr>
          <w:rFonts w:hint="eastAsia" w:ascii="宋体" w:hAnsi="宋体" w:eastAsia="宋体" w:cs="宋体"/>
          <w:b w:val="0"/>
          <w:color w:val="auto"/>
          <w:sz w:val="24"/>
          <w:szCs w:val="24"/>
          <w:highlight w:val="none"/>
        </w:rPr>
        <w:t>2.4 协助承包人办理证件和批件</w:t>
      </w:r>
      <w:bookmarkEnd w:id="51"/>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发包人应协助承包人办理法律规定的有关施工证件和批件。</w:t>
      </w:r>
    </w:p>
    <w:p>
      <w:pPr>
        <w:pStyle w:val="3"/>
        <w:spacing w:before="240" w:after="240" w:line="360" w:lineRule="auto"/>
        <w:rPr>
          <w:rFonts w:hint="eastAsia" w:ascii="宋体" w:hAnsi="宋体" w:eastAsia="宋体" w:cs="宋体"/>
          <w:color w:val="auto"/>
          <w:highlight w:val="none"/>
        </w:rPr>
      </w:pPr>
      <w:bookmarkStart w:id="52" w:name="_Toc29832"/>
      <w:r>
        <w:rPr>
          <w:rFonts w:hint="eastAsia" w:ascii="宋体" w:hAnsi="宋体" w:eastAsia="宋体" w:cs="宋体"/>
          <w:b w:val="0"/>
          <w:color w:val="auto"/>
          <w:sz w:val="24"/>
          <w:szCs w:val="24"/>
          <w:highlight w:val="none"/>
        </w:rPr>
        <w:t>2.5 组织设计交底</w:t>
      </w:r>
      <w:bookmarkEnd w:id="52"/>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发包人应根据合同进度计划，组织设计单位向承包人进行设计交底。</w:t>
      </w:r>
    </w:p>
    <w:p>
      <w:pPr>
        <w:pStyle w:val="3"/>
        <w:spacing w:before="240" w:after="240" w:line="360" w:lineRule="auto"/>
        <w:rPr>
          <w:rFonts w:hint="eastAsia" w:ascii="宋体" w:hAnsi="宋体" w:eastAsia="宋体" w:cs="宋体"/>
          <w:color w:val="auto"/>
          <w:highlight w:val="none"/>
        </w:rPr>
      </w:pPr>
      <w:bookmarkStart w:id="53" w:name="_Toc25296"/>
      <w:r>
        <w:rPr>
          <w:rFonts w:hint="eastAsia" w:ascii="宋体" w:hAnsi="宋体" w:eastAsia="宋体" w:cs="宋体"/>
          <w:b w:val="0"/>
          <w:color w:val="auto"/>
          <w:sz w:val="24"/>
          <w:szCs w:val="24"/>
          <w:highlight w:val="none"/>
        </w:rPr>
        <w:t>2.6 支付合同价款</w:t>
      </w:r>
      <w:bookmarkEnd w:id="53"/>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发包人应按合同约定向承包人及时支付合同价款。</w:t>
      </w:r>
    </w:p>
    <w:p>
      <w:pPr>
        <w:pStyle w:val="3"/>
        <w:spacing w:before="240" w:after="240" w:line="360" w:lineRule="auto"/>
        <w:rPr>
          <w:rFonts w:hint="eastAsia" w:ascii="宋体" w:hAnsi="宋体" w:eastAsia="宋体" w:cs="宋体"/>
          <w:color w:val="auto"/>
          <w:highlight w:val="none"/>
        </w:rPr>
      </w:pPr>
      <w:bookmarkStart w:id="54" w:name="_Toc25749"/>
      <w:r>
        <w:rPr>
          <w:rFonts w:hint="eastAsia" w:ascii="宋体" w:hAnsi="宋体" w:eastAsia="宋体" w:cs="宋体"/>
          <w:b w:val="0"/>
          <w:color w:val="auto"/>
          <w:sz w:val="24"/>
          <w:szCs w:val="24"/>
          <w:highlight w:val="none"/>
        </w:rPr>
        <w:t>2.7 组织竣工验收</w:t>
      </w:r>
      <w:bookmarkEnd w:id="54"/>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发包人应按合同约定及时组织竣工验收。</w:t>
      </w:r>
    </w:p>
    <w:p>
      <w:pPr>
        <w:pStyle w:val="3"/>
        <w:spacing w:before="240" w:after="240" w:line="360" w:lineRule="auto"/>
        <w:rPr>
          <w:rFonts w:hint="eastAsia" w:ascii="宋体" w:hAnsi="宋体" w:eastAsia="宋体" w:cs="宋体"/>
          <w:color w:val="auto"/>
          <w:highlight w:val="none"/>
        </w:rPr>
      </w:pPr>
      <w:bookmarkStart w:id="55" w:name="_Toc26336"/>
      <w:r>
        <w:rPr>
          <w:rFonts w:hint="eastAsia" w:ascii="宋体" w:hAnsi="宋体" w:eastAsia="宋体" w:cs="宋体"/>
          <w:b w:val="0"/>
          <w:color w:val="auto"/>
          <w:sz w:val="24"/>
          <w:szCs w:val="24"/>
          <w:highlight w:val="none"/>
        </w:rPr>
        <w:t>2.8 其他义务</w:t>
      </w:r>
      <w:bookmarkEnd w:id="55"/>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发包人应履行合同约定的其他义务。</w:t>
      </w:r>
    </w:p>
    <w:p>
      <w:pPr>
        <w:pStyle w:val="3"/>
        <w:spacing w:before="480" w:after="240" w:line="360" w:lineRule="auto"/>
        <w:rPr>
          <w:rFonts w:hint="eastAsia" w:ascii="宋体" w:hAnsi="宋体" w:eastAsia="宋体" w:cs="宋体"/>
          <w:color w:val="auto"/>
          <w:highlight w:val="none"/>
        </w:rPr>
      </w:pPr>
      <w:bookmarkStart w:id="56" w:name="_Toc16607"/>
      <w:r>
        <w:rPr>
          <w:rFonts w:hint="eastAsia" w:ascii="宋体" w:hAnsi="宋体" w:eastAsia="宋体" w:cs="宋体"/>
          <w:b w:val="0"/>
          <w:color w:val="auto"/>
          <w:sz w:val="28"/>
          <w:szCs w:val="28"/>
          <w:highlight w:val="none"/>
        </w:rPr>
        <w:t>3. 监理人</w:t>
      </w:r>
      <w:bookmarkEnd w:id="56"/>
    </w:p>
    <w:p>
      <w:pPr>
        <w:pStyle w:val="3"/>
        <w:spacing w:before="240" w:after="240" w:line="360" w:lineRule="auto"/>
        <w:rPr>
          <w:rFonts w:hint="eastAsia" w:ascii="宋体" w:hAnsi="宋体" w:eastAsia="宋体" w:cs="宋体"/>
          <w:color w:val="auto"/>
          <w:highlight w:val="none"/>
        </w:rPr>
      </w:pPr>
      <w:bookmarkStart w:id="57" w:name="_Toc26925"/>
      <w:r>
        <w:rPr>
          <w:rFonts w:hint="eastAsia" w:ascii="宋体" w:hAnsi="宋体" w:eastAsia="宋体" w:cs="宋体"/>
          <w:b w:val="0"/>
          <w:color w:val="auto"/>
          <w:sz w:val="24"/>
          <w:szCs w:val="24"/>
          <w:highlight w:val="none"/>
        </w:rPr>
        <w:t>3.1 监理人的职责和权力</w:t>
      </w:r>
      <w:bookmarkEnd w:id="57"/>
      <w:r>
        <w:rPr>
          <w:rFonts w:hint="eastAsia" w:ascii="宋体" w:hAnsi="宋体" w:eastAsia="宋体" w:cs="宋体"/>
          <w:b w:val="0"/>
          <w:color w:val="auto"/>
          <w:sz w:val="24"/>
          <w:szCs w:val="24"/>
          <w:highlight w:val="none"/>
        </w:rPr>
        <w:t xml:space="preserve">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3.1.1 监理人受发包人委托，享有合同约定的权力。监理人在行使某项权力前需要经发包人事先批准而通用合同条款没有指明的，应在专用合同条款中指明。</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3.1.2 监理人发出的任何指示应视为已得到发包人的批准，但监理人无权免除或变更合同约定的发包人和承包人的权利、义务和责任。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3.1.3 合同约定应由承包人承担的义务和责任，不因监理人对承包人提交文件的审查或批准，对工程、材料和设备的检查和检验，以及为实施监理作出的指示等职务行为而减轻或解除。</w:t>
      </w:r>
    </w:p>
    <w:p>
      <w:pPr>
        <w:pStyle w:val="3"/>
        <w:spacing w:before="240" w:after="240" w:line="360" w:lineRule="auto"/>
        <w:rPr>
          <w:rFonts w:hint="eastAsia" w:ascii="宋体" w:hAnsi="宋体" w:eastAsia="宋体" w:cs="宋体"/>
          <w:color w:val="auto"/>
          <w:highlight w:val="none"/>
        </w:rPr>
      </w:pPr>
      <w:bookmarkStart w:id="58" w:name="_Toc656"/>
      <w:r>
        <w:rPr>
          <w:rFonts w:hint="eastAsia" w:ascii="宋体" w:hAnsi="宋体" w:eastAsia="宋体" w:cs="宋体"/>
          <w:b w:val="0"/>
          <w:color w:val="auto"/>
          <w:sz w:val="24"/>
          <w:szCs w:val="24"/>
          <w:highlight w:val="none"/>
        </w:rPr>
        <w:t>3.2 总监理工程师</w:t>
      </w:r>
      <w:bookmarkEnd w:id="58"/>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发包人应在发出开工通知前将总监理工程师的任命通知承包人。总监理工程师更换时，应在调离14天前通知承包人。总监理工程师短期离开施工场地的，应委派代表代行其职责，并通知承包人。</w:t>
      </w:r>
    </w:p>
    <w:p>
      <w:pPr>
        <w:pStyle w:val="3"/>
        <w:spacing w:before="240" w:after="240" w:line="360" w:lineRule="auto"/>
        <w:rPr>
          <w:rFonts w:hint="eastAsia" w:ascii="宋体" w:hAnsi="宋体" w:eastAsia="宋体" w:cs="宋体"/>
          <w:color w:val="auto"/>
          <w:highlight w:val="none"/>
        </w:rPr>
      </w:pPr>
      <w:bookmarkStart w:id="59" w:name="_Toc8175"/>
      <w:r>
        <w:rPr>
          <w:rFonts w:hint="eastAsia" w:ascii="宋体" w:hAnsi="宋体" w:eastAsia="宋体" w:cs="宋体"/>
          <w:b w:val="0"/>
          <w:color w:val="auto"/>
          <w:sz w:val="24"/>
          <w:szCs w:val="24"/>
          <w:highlight w:val="none"/>
        </w:rPr>
        <w:t>3.3 监理人员</w:t>
      </w:r>
      <w:bookmarkEnd w:id="59"/>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3.3.2 监理人员对承包人的任何工作、工程或其采用的材料和工程设备未在约定的或合理的期限内提出否定意见的，视为已获批准，但不影响监理人在以后拒绝该项工作、工程、材料或工程设备的权利。</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3.3.3 承包人对总监理工程师授权的监理人员发出的指示有疑问的，可向总监理工程师提出书面异议，总监理工程师应在48小时内对该指示予以确认、更改或撤销。</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3.3.4 除专用合同条款另有约定外，总监理工程师不应将第3.5款约定应由总监理工程师作出确定的权力授权或委托给其他监理人员。</w:t>
      </w:r>
    </w:p>
    <w:p>
      <w:pPr>
        <w:pStyle w:val="3"/>
        <w:spacing w:before="240" w:after="240" w:line="360" w:lineRule="auto"/>
        <w:rPr>
          <w:rFonts w:hint="eastAsia" w:ascii="宋体" w:hAnsi="宋体" w:eastAsia="宋体" w:cs="宋体"/>
          <w:color w:val="auto"/>
          <w:highlight w:val="none"/>
        </w:rPr>
      </w:pPr>
      <w:bookmarkStart w:id="60" w:name="_Toc27115"/>
      <w:r>
        <w:rPr>
          <w:rFonts w:hint="eastAsia" w:ascii="宋体" w:hAnsi="宋体" w:eastAsia="宋体" w:cs="宋体"/>
          <w:b w:val="0"/>
          <w:color w:val="auto"/>
          <w:sz w:val="24"/>
          <w:szCs w:val="24"/>
          <w:highlight w:val="none"/>
        </w:rPr>
        <w:t>3.4 监理人的指示</w:t>
      </w:r>
      <w:bookmarkEnd w:id="60"/>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3.4.1 监理人应按第3.1款的约定向承包人发出指示，监理人的指示应盖有监理人授权的施工场地机构章，并由总监理工程师或总监理工程师按第3.3.1项约定授权的监理人员签字。</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3.4.2 承包人收到监理人按第3.4.1项作出的指示后应遵照执行。指示构成变更的，应按第15条处理。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3.4.4 除合同另有约定外，承包人只从总监理工程师或按第3.3.1项被授权的监理人员处取得指示。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3.4.5 由于监理人未能按合同约定发出指示、指示延误或指示错误而导致承包人费用增加和（或）工期延误的，由发包人承担赔偿责任。 </w:t>
      </w:r>
    </w:p>
    <w:p>
      <w:pPr>
        <w:pStyle w:val="3"/>
        <w:spacing w:before="240" w:after="240" w:line="360" w:lineRule="auto"/>
        <w:rPr>
          <w:rFonts w:hint="eastAsia" w:ascii="宋体" w:hAnsi="宋体" w:eastAsia="宋体" w:cs="宋体"/>
          <w:color w:val="auto"/>
          <w:highlight w:val="none"/>
        </w:rPr>
      </w:pPr>
      <w:bookmarkStart w:id="61" w:name="_Toc18847"/>
      <w:r>
        <w:rPr>
          <w:rFonts w:hint="eastAsia" w:ascii="宋体" w:hAnsi="宋体" w:eastAsia="宋体" w:cs="宋体"/>
          <w:b w:val="0"/>
          <w:color w:val="auto"/>
          <w:sz w:val="24"/>
          <w:szCs w:val="24"/>
          <w:highlight w:val="none"/>
        </w:rPr>
        <w:t>3.5</w:t>
      </w:r>
      <w:r>
        <w:rPr>
          <w:rFonts w:hint="eastAsia" w:ascii="宋体" w:hAnsi="宋体" w:eastAsia="宋体" w:cs="宋体"/>
          <w:b w:val="0"/>
          <w:color w:val="auto"/>
          <w:sz w:val="24"/>
          <w:szCs w:val="24"/>
          <w:highlight w:val="none"/>
        </w:rPr>
        <w:tab/>
      </w:r>
      <w:r>
        <w:rPr>
          <w:rFonts w:hint="eastAsia" w:ascii="宋体" w:hAnsi="宋体" w:eastAsia="宋体" w:cs="宋体"/>
          <w:b w:val="0"/>
          <w:color w:val="auto"/>
          <w:sz w:val="24"/>
          <w:szCs w:val="24"/>
          <w:highlight w:val="none"/>
        </w:rPr>
        <w:t>商定或确定</w:t>
      </w:r>
      <w:bookmarkEnd w:id="61"/>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3.5.1合同约定总监理工程师应按照本款对任何事项进行商定或确定时，总监理工程师应与合同当事人协商，尽量达成一致。不能达成一致的，总监理工程师应认真研究后审慎确定。</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3.5.2 总监理工程师应将商定或确定的事项通知合同当事人，并附详细依据。对总监理工程师的确定有异议的，</w:t>
      </w:r>
      <w:r>
        <w:rPr>
          <w:rFonts w:hint="eastAsia" w:ascii="宋体" w:hAnsi="宋体" w:eastAsia="宋体" w:cs="宋体"/>
          <w:iCs/>
          <w:color w:val="auto"/>
          <w:sz w:val="24"/>
          <w:highlight w:val="none"/>
        </w:rPr>
        <w:t>构成争议，</w:t>
      </w:r>
      <w:r>
        <w:rPr>
          <w:rFonts w:hint="eastAsia" w:ascii="宋体" w:hAnsi="宋体" w:eastAsia="宋体" w:cs="宋体"/>
          <w:color w:val="auto"/>
          <w:sz w:val="24"/>
          <w:highlight w:val="none"/>
        </w:rPr>
        <w:t>按照第24条的约定处理。在争议解决前，双方应暂按总监理工程师的确定执行，按照第24条的约定对总监理工程师的确定作出修改的，按修改后的结果执行。</w:t>
      </w:r>
    </w:p>
    <w:p>
      <w:pPr>
        <w:pStyle w:val="3"/>
        <w:spacing w:before="480" w:after="240" w:line="360" w:lineRule="auto"/>
        <w:rPr>
          <w:rFonts w:hint="eastAsia" w:ascii="宋体" w:hAnsi="宋体" w:eastAsia="宋体" w:cs="宋体"/>
          <w:color w:val="auto"/>
          <w:highlight w:val="none"/>
        </w:rPr>
      </w:pPr>
      <w:bookmarkStart w:id="62" w:name="_Toc17853"/>
      <w:r>
        <w:rPr>
          <w:rFonts w:hint="eastAsia" w:ascii="宋体" w:hAnsi="宋体" w:eastAsia="宋体" w:cs="宋体"/>
          <w:b w:val="0"/>
          <w:color w:val="auto"/>
          <w:sz w:val="28"/>
          <w:szCs w:val="28"/>
          <w:highlight w:val="none"/>
        </w:rPr>
        <w:t>4. 承包人</w:t>
      </w:r>
      <w:bookmarkEnd w:id="62"/>
    </w:p>
    <w:p>
      <w:pPr>
        <w:pStyle w:val="3"/>
        <w:spacing w:before="240" w:after="240" w:line="360" w:lineRule="auto"/>
        <w:rPr>
          <w:rFonts w:hint="eastAsia" w:ascii="宋体" w:hAnsi="宋体" w:eastAsia="宋体" w:cs="宋体"/>
          <w:color w:val="auto"/>
          <w:highlight w:val="none"/>
        </w:rPr>
      </w:pPr>
      <w:bookmarkStart w:id="63" w:name="_Toc17188"/>
      <w:r>
        <w:rPr>
          <w:rFonts w:hint="eastAsia" w:ascii="宋体" w:hAnsi="宋体" w:eastAsia="宋体" w:cs="宋体"/>
          <w:b w:val="0"/>
          <w:color w:val="auto"/>
          <w:sz w:val="24"/>
          <w:szCs w:val="24"/>
          <w:highlight w:val="none"/>
        </w:rPr>
        <w:t>4.1 承包人的一般义务</w:t>
      </w:r>
      <w:bookmarkEnd w:id="63"/>
    </w:p>
    <w:p>
      <w:pPr>
        <w:spacing w:line="360" w:lineRule="auto"/>
        <w:ind w:firstLine="468"/>
        <w:rPr>
          <w:rFonts w:hint="eastAsia" w:ascii="宋体" w:hAnsi="宋体" w:eastAsia="宋体" w:cs="宋体"/>
          <w:color w:val="auto"/>
          <w:highlight w:val="none"/>
        </w:rPr>
      </w:pPr>
      <w:r>
        <w:rPr>
          <w:rFonts w:hint="eastAsia" w:ascii="宋体" w:hAnsi="宋体" w:eastAsia="宋体" w:cs="宋体"/>
          <w:color w:val="auto"/>
          <w:sz w:val="24"/>
          <w:highlight w:val="none"/>
        </w:rPr>
        <w:t>4.1.1 遵守法律</w:t>
      </w:r>
    </w:p>
    <w:p>
      <w:pPr>
        <w:spacing w:line="360" w:lineRule="auto"/>
        <w:ind w:firstLine="468"/>
        <w:rPr>
          <w:rFonts w:hint="eastAsia" w:ascii="宋体" w:hAnsi="宋体" w:eastAsia="宋体" w:cs="宋体"/>
          <w:color w:val="auto"/>
          <w:highlight w:val="none"/>
        </w:rPr>
      </w:pPr>
      <w:r>
        <w:rPr>
          <w:rFonts w:hint="eastAsia" w:ascii="宋体" w:hAnsi="宋体" w:eastAsia="宋体" w:cs="宋体"/>
          <w:color w:val="auto"/>
          <w:sz w:val="24"/>
          <w:highlight w:val="none"/>
        </w:rPr>
        <w:t>承包人在履行合同过程中应遵守法律，并保证发包人免于承担因承包人违反法律而引起的任何责任。</w:t>
      </w:r>
    </w:p>
    <w:p>
      <w:pPr>
        <w:spacing w:line="360" w:lineRule="auto"/>
        <w:ind w:firstLine="468"/>
        <w:rPr>
          <w:rFonts w:hint="eastAsia" w:ascii="宋体" w:hAnsi="宋体" w:eastAsia="宋体" w:cs="宋体"/>
          <w:color w:val="auto"/>
          <w:highlight w:val="none"/>
        </w:rPr>
      </w:pPr>
      <w:r>
        <w:rPr>
          <w:rFonts w:hint="eastAsia" w:ascii="宋体" w:hAnsi="宋体" w:eastAsia="宋体" w:cs="宋体"/>
          <w:color w:val="auto"/>
          <w:sz w:val="24"/>
          <w:highlight w:val="none"/>
        </w:rPr>
        <w:t>4.1.2 依法纳税</w:t>
      </w:r>
    </w:p>
    <w:p>
      <w:pPr>
        <w:spacing w:line="360" w:lineRule="auto"/>
        <w:ind w:firstLine="468"/>
        <w:rPr>
          <w:rFonts w:hint="eastAsia" w:ascii="宋体" w:hAnsi="宋体" w:eastAsia="宋体" w:cs="宋体"/>
          <w:color w:val="auto"/>
          <w:highlight w:val="none"/>
        </w:rPr>
      </w:pPr>
      <w:r>
        <w:rPr>
          <w:rFonts w:hint="eastAsia" w:ascii="宋体" w:hAnsi="宋体" w:eastAsia="宋体" w:cs="宋体"/>
          <w:color w:val="auto"/>
          <w:sz w:val="24"/>
          <w:highlight w:val="none"/>
        </w:rPr>
        <w:t>承包人应按有关法律规定纳税，应缴纳的税金包括在合同价格内。</w:t>
      </w:r>
    </w:p>
    <w:p>
      <w:pPr>
        <w:spacing w:line="360" w:lineRule="auto"/>
        <w:ind w:firstLine="468"/>
        <w:rPr>
          <w:rFonts w:hint="eastAsia" w:ascii="宋体" w:hAnsi="宋体" w:eastAsia="宋体" w:cs="宋体"/>
          <w:color w:val="auto"/>
          <w:highlight w:val="none"/>
        </w:rPr>
      </w:pPr>
      <w:r>
        <w:rPr>
          <w:rFonts w:hint="eastAsia" w:ascii="宋体" w:hAnsi="宋体" w:eastAsia="宋体" w:cs="宋体"/>
          <w:color w:val="auto"/>
          <w:sz w:val="24"/>
          <w:highlight w:val="none"/>
        </w:rPr>
        <w:t>4.1.3 完成各项承包工作</w:t>
      </w:r>
    </w:p>
    <w:p>
      <w:pPr>
        <w:spacing w:line="360" w:lineRule="auto"/>
        <w:ind w:firstLine="468"/>
        <w:rPr>
          <w:rFonts w:hint="eastAsia" w:ascii="宋体" w:hAnsi="宋体" w:eastAsia="宋体" w:cs="宋体"/>
          <w:color w:val="auto"/>
          <w:highlight w:val="none"/>
        </w:rPr>
      </w:pPr>
      <w:r>
        <w:rPr>
          <w:rFonts w:hint="eastAsia" w:ascii="宋体" w:hAnsi="宋体" w:eastAsia="宋体" w:cs="宋体"/>
          <w:color w:val="auto"/>
          <w:sz w:val="24"/>
          <w:highlight w:val="none"/>
        </w:rPr>
        <w:t>承包人应按合同约定以及监理人根据第3.4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pPr>
        <w:spacing w:line="360" w:lineRule="auto"/>
        <w:ind w:firstLine="468"/>
        <w:rPr>
          <w:rFonts w:hint="eastAsia" w:ascii="宋体" w:hAnsi="宋体" w:eastAsia="宋体" w:cs="宋体"/>
          <w:color w:val="auto"/>
          <w:highlight w:val="none"/>
        </w:rPr>
      </w:pPr>
      <w:r>
        <w:rPr>
          <w:rFonts w:hint="eastAsia" w:ascii="宋体" w:hAnsi="宋体" w:eastAsia="宋体" w:cs="宋体"/>
          <w:color w:val="auto"/>
          <w:sz w:val="24"/>
          <w:highlight w:val="none"/>
        </w:rPr>
        <w:t>4.1.4 对施工作业和施工方法的完备性负责</w:t>
      </w:r>
    </w:p>
    <w:p>
      <w:pPr>
        <w:spacing w:line="360" w:lineRule="auto"/>
        <w:ind w:firstLine="468"/>
        <w:rPr>
          <w:rFonts w:hint="eastAsia" w:ascii="宋体" w:hAnsi="宋体" w:eastAsia="宋体" w:cs="宋体"/>
          <w:color w:val="auto"/>
          <w:highlight w:val="none"/>
        </w:rPr>
      </w:pPr>
      <w:r>
        <w:rPr>
          <w:rFonts w:hint="eastAsia" w:ascii="宋体" w:hAnsi="宋体" w:eastAsia="宋体" w:cs="宋体"/>
          <w:color w:val="auto"/>
          <w:sz w:val="24"/>
          <w:highlight w:val="none"/>
        </w:rPr>
        <w:t>承包人应按合同约定的工作内容和施工进度要求，编制施工组织设计和施工措施计划，并对所有施工作业和施工方法的完备性和安全可靠性负责。</w:t>
      </w:r>
    </w:p>
    <w:p>
      <w:pPr>
        <w:spacing w:line="360" w:lineRule="auto"/>
        <w:ind w:firstLine="468"/>
        <w:rPr>
          <w:rFonts w:hint="eastAsia" w:ascii="宋体" w:hAnsi="宋体" w:eastAsia="宋体" w:cs="宋体"/>
          <w:color w:val="auto"/>
          <w:highlight w:val="none"/>
        </w:rPr>
      </w:pPr>
      <w:r>
        <w:rPr>
          <w:rFonts w:hint="eastAsia" w:ascii="宋体" w:hAnsi="宋体" w:eastAsia="宋体" w:cs="宋体"/>
          <w:color w:val="auto"/>
          <w:sz w:val="24"/>
          <w:highlight w:val="none"/>
        </w:rPr>
        <w:t>4.1.5 保证工程施工和人员的安全</w:t>
      </w:r>
    </w:p>
    <w:p>
      <w:pPr>
        <w:spacing w:line="360" w:lineRule="auto"/>
        <w:ind w:firstLine="468"/>
        <w:rPr>
          <w:rFonts w:hint="eastAsia" w:ascii="宋体" w:hAnsi="宋体" w:eastAsia="宋体" w:cs="宋体"/>
          <w:color w:val="auto"/>
          <w:highlight w:val="none"/>
        </w:rPr>
      </w:pPr>
      <w:r>
        <w:rPr>
          <w:rFonts w:hint="eastAsia" w:ascii="宋体" w:hAnsi="宋体" w:eastAsia="宋体" w:cs="宋体"/>
          <w:color w:val="auto"/>
          <w:sz w:val="24"/>
          <w:highlight w:val="none"/>
        </w:rPr>
        <w:t>承包人应按第9.2款约定采取施工安全措施，确保工程及其人员、材料、设备和设施的安全，防止因工程施工造成的人身伤害和财产损失。</w:t>
      </w:r>
    </w:p>
    <w:p>
      <w:pPr>
        <w:spacing w:line="360" w:lineRule="auto"/>
        <w:ind w:firstLine="468"/>
        <w:rPr>
          <w:rFonts w:hint="eastAsia" w:ascii="宋体" w:hAnsi="宋体" w:eastAsia="宋体" w:cs="宋体"/>
          <w:color w:val="auto"/>
          <w:highlight w:val="none"/>
        </w:rPr>
      </w:pPr>
      <w:r>
        <w:rPr>
          <w:rFonts w:hint="eastAsia" w:ascii="宋体" w:hAnsi="宋体" w:eastAsia="宋体" w:cs="宋体"/>
          <w:color w:val="auto"/>
          <w:sz w:val="24"/>
          <w:highlight w:val="none"/>
        </w:rPr>
        <w:t>4.1.6 负责施工场地及其周边环境与生态的保护工作</w:t>
      </w:r>
    </w:p>
    <w:p>
      <w:pPr>
        <w:spacing w:line="360" w:lineRule="auto"/>
        <w:ind w:firstLine="468"/>
        <w:rPr>
          <w:rFonts w:hint="eastAsia" w:ascii="宋体" w:hAnsi="宋体" w:eastAsia="宋体" w:cs="宋体"/>
          <w:color w:val="auto"/>
          <w:highlight w:val="none"/>
        </w:rPr>
      </w:pPr>
      <w:r>
        <w:rPr>
          <w:rFonts w:hint="eastAsia" w:ascii="宋体" w:hAnsi="宋体" w:eastAsia="宋体" w:cs="宋体"/>
          <w:color w:val="auto"/>
          <w:sz w:val="24"/>
          <w:highlight w:val="none"/>
        </w:rPr>
        <w:t>承包人应按照第9.4款约定负责施工场地及其周边环境与生态的保护工作。</w:t>
      </w:r>
    </w:p>
    <w:p>
      <w:pPr>
        <w:spacing w:line="360" w:lineRule="auto"/>
        <w:ind w:firstLine="468"/>
        <w:rPr>
          <w:rFonts w:hint="eastAsia" w:ascii="宋体" w:hAnsi="宋体" w:eastAsia="宋体" w:cs="宋体"/>
          <w:color w:val="auto"/>
          <w:highlight w:val="none"/>
        </w:rPr>
      </w:pPr>
      <w:r>
        <w:rPr>
          <w:rFonts w:hint="eastAsia" w:ascii="宋体" w:hAnsi="宋体" w:eastAsia="宋体" w:cs="宋体"/>
          <w:color w:val="auto"/>
          <w:sz w:val="24"/>
          <w:highlight w:val="none"/>
        </w:rPr>
        <w:t>4.1.7 避免施工对公众与他人的利益造成损害</w:t>
      </w:r>
    </w:p>
    <w:p>
      <w:pPr>
        <w:spacing w:line="360" w:lineRule="auto"/>
        <w:ind w:firstLine="468"/>
        <w:rPr>
          <w:rFonts w:hint="eastAsia" w:ascii="宋体" w:hAnsi="宋体" w:eastAsia="宋体" w:cs="宋体"/>
          <w:color w:val="auto"/>
          <w:highlight w:val="none"/>
        </w:rPr>
      </w:pPr>
      <w:r>
        <w:rPr>
          <w:rFonts w:hint="eastAsia" w:ascii="宋体" w:hAnsi="宋体" w:eastAsia="宋体" w:cs="宋体"/>
          <w:color w:val="auto"/>
          <w:sz w:val="24"/>
          <w:highlight w:val="none"/>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360" w:lineRule="auto"/>
        <w:ind w:firstLine="468"/>
        <w:rPr>
          <w:rFonts w:hint="eastAsia" w:ascii="宋体" w:hAnsi="宋体" w:eastAsia="宋体" w:cs="宋体"/>
          <w:color w:val="auto"/>
          <w:highlight w:val="none"/>
        </w:rPr>
      </w:pPr>
      <w:r>
        <w:rPr>
          <w:rFonts w:hint="eastAsia" w:ascii="宋体" w:hAnsi="宋体" w:eastAsia="宋体" w:cs="宋体"/>
          <w:color w:val="auto"/>
          <w:sz w:val="24"/>
          <w:highlight w:val="none"/>
        </w:rPr>
        <w:t>4.1.8 为他人提供方便</w:t>
      </w:r>
    </w:p>
    <w:p>
      <w:pPr>
        <w:spacing w:line="360" w:lineRule="auto"/>
        <w:ind w:firstLine="468"/>
        <w:rPr>
          <w:rFonts w:hint="eastAsia" w:ascii="宋体" w:hAnsi="宋体" w:eastAsia="宋体" w:cs="宋体"/>
          <w:color w:val="auto"/>
          <w:highlight w:val="none"/>
        </w:rPr>
      </w:pPr>
      <w:r>
        <w:rPr>
          <w:rFonts w:hint="eastAsia" w:ascii="宋体" w:hAnsi="宋体" w:eastAsia="宋体" w:cs="宋体"/>
          <w:color w:val="auto"/>
          <w:sz w:val="24"/>
          <w:highlight w:val="none"/>
        </w:rPr>
        <w:t>承包人应按监理人的指示为他人在施工场地或附近实施与工程有关的其他各项工作提供可能的条件。除合同另有约定外，提供有关条件的内容和可能发生的费用，由监理人按第3.5款商定或确定。</w:t>
      </w:r>
    </w:p>
    <w:p>
      <w:pPr>
        <w:spacing w:line="360" w:lineRule="auto"/>
        <w:ind w:firstLine="468"/>
        <w:rPr>
          <w:rFonts w:hint="eastAsia" w:ascii="宋体" w:hAnsi="宋体" w:eastAsia="宋体" w:cs="宋体"/>
          <w:color w:val="auto"/>
          <w:highlight w:val="none"/>
        </w:rPr>
      </w:pPr>
      <w:r>
        <w:rPr>
          <w:rFonts w:hint="eastAsia" w:ascii="宋体" w:hAnsi="宋体" w:eastAsia="宋体" w:cs="宋体"/>
          <w:color w:val="auto"/>
          <w:sz w:val="24"/>
          <w:highlight w:val="none"/>
        </w:rPr>
        <w:t>4.1.9 工程的维护和照管</w:t>
      </w:r>
    </w:p>
    <w:p>
      <w:pPr>
        <w:spacing w:line="360" w:lineRule="auto"/>
        <w:ind w:firstLine="468"/>
        <w:rPr>
          <w:rFonts w:hint="eastAsia" w:ascii="宋体" w:hAnsi="宋体" w:eastAsia="宋体" w:cs="宋体"/>
          <w:color w:val="auto"/>
          <w:highlight w:val="none"/>
        </w:rPr>
      </w:pPr>
      <w:r>
        <w:rPr>
          <w:rFonts w:hint="eastAsia" w:ascii="宋体" w:hAnsi="宋体" w:eastAsia="宋体" w:cs="宋体"/>
          <w:color w:val="auto"/>
          <w:sz w:val="24"/>
          <w:highlight w:val="none"/>
        </w:rPr>
        <w:t>工程接收证书颁发前，承包人应负责照管和维护工程。工程接收证书颁发时尚有部分未竣工工程的，承包人还应负责该未竣工工程的照管和维护工作，直至竣工后移交给发包人为止。</w:t>
      </w:r>
    </w:p>
    <w:p>
      <w:pPr>
        <w:spacing w:line="360" w:lineRule="auto"/>
        <w:ind w:firstLine="468"/>
        <w:rPr>
          <w:rFonts w:hint="eastAsia" w:ascii="宋体" w:hAnsi="宋体" w:eastAsia="宋体" w:cs="宋体"/>
          <w:color w:val="auto"/>
          <w:highlight w:val="none"/>
        </w:rPr>
      </w:pPr>
      <w:r>
        <w:rPr>
          <w:rFonts w:hint="eastAsia" w:ascii="宋体" w:hAnsi="宋体" w:eastAsia="宋体" w:cs="宋体"/>
          <w:color w:val="auto"/>
          <w:sz w:val="24"/>
          <w:highlight w:val="none"/>
        </w:rPr>
        <w:t>4.1.10 其他义务</w:t>
      </w:r>
    </w:p>
    <w:p>
      <w:pPr>
        <w:spacing w:line="360" w:lineRule="auto"/>
        <w:ind w:firstLine="468"/>
        <w:rPr>
          <w:rFonts w:hint="eastAsia" w:ascii="宋体" w:hAnsi="宋体" w:eastAsia="宋体" w:cs="宋体"/>
          <w:color w:val="auto"/>
          <w:highlight w:val="none"/>
        </w:rPr>
      </w:pPr>
      <w:r>
        <w:rPr>
          <w:rFonts w:hint="eastAsia" w:ascii="宋体" w:hAnsi="宋体" w:eastAsia="宋体" w:cs="宋体"/>
          <w:color w:val="auto"/>
          <w:sz w:val="24"/>
          <w:highlight w:val="none"/>
        </w:rPr>
        <w:t>承包人应履行合同约定的其他义务。</w:t>
      </w:r>
    </w:p>
    <w:p>
      <w:pPr>
        <w:pStyle w:val="3"/>
        <w:spacing w:before="240" w:after="240" w:line="360" w:lineRule="auto"/>
        <w:rPr>
          <w:rFonts w:hint="eastAsia" w:ascii="宋体" w:hAnsi="宋体" w:eastAsia="宋体" w:cs="宋体"/>
          <w:color w:val="auto"/>
          <w:highlight w:val="none"/>
        </w:rPr>
      </w:pPr>
      <w:bookmarkStart w:id="64" w:name="_Toc27483"/>
      <w:r>
        <w:rPr>
          <w:rFonts w:hint="eastAsia" w:ascii="宋体" w:hAnsi="宋体" w:eastAsia="宋体" w:cs="宋体"/>
          <w:b w:val="0"/>
          <w:color w:val="auto"/>
          <w:sz w:val="24"/>
          <w:szCs w:val="24"/>
          <w:highlight w:val="none"/>
        </w:rPr>
        <w:t>4.2 履约担保</w:t>
      </w:r>
      <w:bookmarkEnd w:id="64"/>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承包人应保证其履约担保在发包人颁发工程接收证书前一直有效。发包人应在工程接收证书颁发后28天内把履约担保退还给承包人。</w:t>
      </w:r>
    </w:p>
    <w:p>
      <w:pPr>
        <w:pStyle w:val="3"/>
        <w:spacing w:before="240" w:after="240" w:line="360" w:lineRule="auto"/>
        <w:rPr>
          <w:rFonts w:hint="eastAsia" w:ascii="宋体" w:hAnsi="宋体" w:eastAsia="宋体" w:cs="宋体"/>
          <w:color w:val="auto"/>
          <w:highlight w:val="none"/>
        </w:rPr>
      </w:pPr>
      <w:bookmarkStart w:id="65" w:name="_Toc28774"/>
      <w:r>
        <w:rPr>
          <w:rFonts w:hint="eastAsia" w:ascii="宋体" w:hAnsi="宋体" w:eastAsia="宋体" w:cs="宋体"/>
          <w:b w:val="0"/>
          <w:color w:val="auto"/>
          <w:sz w:val="24"/>
          <w:szCs w:val="24"/>
          <w:highlight w:val="none"/>
        </w:rPr>
        <w:t>4.3 分包</w:t>
      </w:r>
      <w:bookmarkEnd w:id="65"/>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4.3.1 承包人不得将其承包的全部工程转包给第三人，或将其承包的全部工程肢解后以分包的名义转包给第三人。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4.3.2 承包人不得将工程主体、关键性工作分包给第三人。除专用合同条款另有约定外，未经发包人同意，承包人不得将工程的其他部分或工作分包给第三人。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4.3.3分包人的资格能力应与其分包工程的标准和规模相适应。</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4.3.4按投标函附录约定分包工程的，承包人应向发包人和监理人提交分包合同副本。</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4.3.5承包人应与分包人就分包工程向发包人承担连带责任。</w:t>
      </w:r>
    </w:p>
    <w:p>
      <w:pPr>
        <w:pStyle w:val="3"/>
        <w:spacing w:before="240" w:after="240" w:line="360" w:lineRule="auto"/>
        <w:rPr>
          <w:rFonts w:hint="eastAsia" w:ascii="宋体" w:hAnsi="宋体" w:eastAsia="宋体" w:cs="宋体"/>
          <w:color w:val="auto"/>
          <w:highlight w:val="none"/>
        </w:rPr>
      </w:pPr>
      <w:bookmarkStart w:id="66" w:name="_Toc2919"/>
      <w:r>
        <w:rPr>
          <w:rFonts w:hint="eastAsia" w:ascii="宋体" w:hAnsi="宋体" w:eastAsia="宋体" w:cs="宋体"/>
          <w:b w:val="0"/>
          <w:color w:val="auto"/>
          <w:sz w:val="24"/>
          <w:szCs w:val="24"/>
          <w:highlight w:val="none"/>
        </w:rPr>
        <w:t>4.4</w:t>
      </w:r>
      <w:r>
        <w:rPr>
          <w:rFonts w:hint="eastAsia" w:ascii="宋体" w:hAnsi="宋体" w:eastAsia="宋体" w:cs="宋体"/>
          <w:b w:val="0"/>
          <w:color w:val="auto"/>
          <w:sz w:val="24"/>
          <w:szCs w:val="24"/>
          <w:highlight w:val="none"/>
        </w:rPr>
        <w:tab/>
      </w:r>
      <w:r>
        <w:rPr>
          <w:rFonts w:hint="eastAsia" w:ascii="宋体" w:hAnsi="宋体" w:eastAsia="宋体" w:cs="宋体"/>
          <w:b w:val="0"/>
          <w:color w:val="auto"/>
          <w:sz w:val="24"/>
          <w:szCs w:val="24"/>
          <w:highlight w:val="none"/>
        </w:rPr>
        <w:t>联合体</w:t>
      </w:r>
      <w:bookmarkEnd w:id="66"/>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4.4.1 联合体各方应共同与发包人签订合同协议书。联合体各方应为履行合同承担连带责任。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4.4.2 </w:t>
      </w:r>
      <w:r>
        <w:rPr>
          <w:rFonts w:hint="eastAsia" w:ascii="宋体" w:hAnsi="宋体" w:eastAsia="宋体" w:cs="宋体"/>
          <w:iCs/>
          <w:color w:val="auto"/>
          <w:sz w:val="24"/>
          <w:highlight w:val="none"/>
        </w:rPr>
        <w:t>联合体协议经发包人确认后作为合同附件。</w:t>
      </w:r>
      <w:r>
        <w:rPr>
          <w:rFonts w:hint="eastAsia" w:ascii="宋体" w:hAnsi="宋体" w:eastAsia="宋体" w:cs="宋体"/>
          <w:color w:val="auto"/>
          <w:sz w:val="24"/>
          <w:highlight w:val="none"/>
        </w:rPr>
        <w:t>在履行合同过程中，未经发包人同意，不得修改联合体协议。</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4.4.3 联合体牵头人负责与发包人和监理人联系，并接受指示，负责组织联合体各成员全面履行合同。</w:t>
      </w:r>
    </w:p>
    <w:p>
      <w:pPr>
        <w:pStyle w:val="3"/>
        <w:spacing w:before="240" w:after="240" w:line="360" w:lineRule="auto"/>
        <w:rPr>
          <w:rFonts w:hint="eastAsia" w:ascii="宋体" w:hAnsi="宋体" w:eastAsia="宋体" w:cs="宋体"/>
          <w:color w:val="auto"/>
          <w:highlight w:val="none"/>
        </w:rPr>
      </w:pPr>
      <w:bookmarkStart w:id="67" w:name="_Toc4714"/>
      <w:r>
        <w:rPr>
          <w:rFonts w:hint="eastAsia" w:ascii="宋体" w:hAnsi="宋体" w:eastAsia="宋体" w:cs="宋体"/>
          <w:b w:val="0"/>
          <w:color w:val="auto"/>
          <w:sz w:val="24"/>
          <w:szCs w:val="24"/>
          <w:highlight w:val="none"/>
        </w:rPr>
        <w:t>4.5 承包人项目经理</w:t>
      </w:r>
      <w:bookmarkEnd w:id="67"/>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4.5.1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4.5.2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4.5.3承包人为履行合同发出的一切函件均应盖有承包人授权的施工场地管理机构章，并由承包人项目经理或其授权代表签字。</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4.5.4 承包人项目经理可以授权其下属人员履行其某项职责，但事先应将这些人员的姓名和授权范围通知监理人。</w:t>
      </w:r>
    </w:p>
    <w:p>
      <w:pPr>
        <w:pStyle w:val="3"/>
        <w:spacing w:before="240" w:after="240" w:line="360" w:lineRule="auto"/>
        <w:rPr>
          <w:rFonts w:hint="eastAsia" w:ascii="宋体" w:hAnsi="宋体" w:eastAsia="宋体" w:cs="宋体"/>
          <w:color w:val="auto"/>
          <w:highlight w:val="none"/>
        </w:rPr>
      </w:pPr>
      <w:bookmarkStart w:id="68" w:name="_Toc12796"/>
      <w:r>
        <w:rPr>
          <w:rFonts w:hint="eastAsia" w:ascii="宋体" w:hAnsi="宋体" w:eastAsia="宋体" w:cs="宋体"/>
          <w:b w:val="0"/>
          <w:color w:val="auto"/>
          <w:sz w:val="24"/>
          <w:szCs w:val="24"/>
          <w:highlight w:val="none"/>
        </w:rPr>
        <w:t>4.6 承包人人员的管理</w:t>
      </w:r>
      <w:bookmarkEnd w:id="68"/>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4.6.2 为完成合同约定的各项工作，承包人应向施工场地派遣或雇佣足够数量的下列人员：</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（1）具有相应资格的专业技工和合格的普工；</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（2）具有相应施工经验的技术人员；</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（3）具有相应岗位资格的各级管理人员。</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4.6.3 承包人安排在施工场地的主要管理人员和技术骨干应相对稳定。承包人更换主要管理人员和技术骨干时，应取得监理人的同意。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4.6.4 特殊岗位的工作人员均应持有相应的资格证明，监理人有权随时检查。监理人认为有必要时，可进行现场考核。</w:t>
      </w:r>
    </w:p>
    <w:p>
      <w:pPr>
        <w:pStyle w:val="3"/>
        <w:spacing w:before="240" w:after="240" w:line="360" w:lineRule="auto"/>
        <w:rPr>
          <w:rFonts w:hint="eastAsia" w:ascii="宋体" w:hAnsi="宋体" w:eastAsia="宋体" w:cs="宋体"/>
          <w:color w:val="auto"/>
          <w:highlight w:val="none"/>
        </w:rPr>
      </w:pPr>
      <w:bookmarkStart w:id="69" w:name="_Toc16232"/>
      <w:r>
        <w:rPr>
          <w:rFonts w:hint="eastAsia" w:ascii="宋体" w:hAnsi="宋体" w:eastAsia="宋体" w:cs="宋体"/>
          <w:b w:val="0"/>
          <w:color w:val="auto"/>
          <w:sz w:val="24"/>
          <w:szCs w:val="24"/>
          <w:highlight w:val="none"/>
        </w:rPr>
        <w:t>4.7 撤换承包人项目经理和其他人员</w:t>
      </w:r>
      <w:bookmarkEnd w:id="69"/>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承包人应对其项目经理和其他人员进行有效管理。监理人要求撤换不能胜任本职工作、行为不端或玩忽职守的承包人项目经理和其他人员的，承包人应予以撤换。</w:t>
      </w:r>
    </w:p>
    <w:p>
      <w:pPr>
        <w:pStyle w:val="3"/>
        <w:spacing w:before="240" w:after="240" w:line="360" w:lineRule="auto"/>
        <w:rPr>
          <w:rFonts w:hint="eastAsia" w:ascii="宋体" w:hAnsi="宋体" w:eastAsia="宋体" w:cs="宋体"/>
          <w:color w:val="auto"/>
          <w:highlight w:val="none"/>
        </w:rPr>
      </w:pPr>
      <w:bookmarkStart w:id="70" w:name="_Toc29931"/>
      <w:r>
        <w:rPr>
          <w:rFonts w:hint="eastAsia" w:ascii="宋体" w:hAnsi="宋体" w:eastAsia="宋体" w:cs="宋体"/>
          <w:b w:val="0"/>
          <w:color w:val="auto"/>
          <w:sz w:val="24"/>
          <w:szCs w:val="24"/>
          <w:highlight w:val="none"/>
        </w:rPr>
        <w:t>4.8 保障承包人人员的合法权益</w:t>
      </w:r>
      <w:bookmarkEnd w:id="70"/>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4.8.1 承包人应与其雇佣的人员签订劳动合同，并按时发放工资。</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4.8.2 承包人应按劳动法的规定安排工作时间，保证其雇佣人员享有休息和休假的权利。因工程施工的特殊需要占用休假日或延长工作时间的，应不超过法律规定的限度，并按法律规定给予补休或付酬。</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4.8.3 承包人应为其雇佣人员提供必要的食宿条件，以及符合环境保护和卫生要求的生活环境，在远离城镇的施工场地，还应配备必要的伤病防治和急救的医务人员与医疗设施。</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4.8.5 承包人应按有关法律规定和合同约定，为其雇佣人员办理保险。</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4.8.6 承包人应负责处理其雇佣人员因工伤亡事故的善后事宜。</w:t>
      </w:r>
    </w:p>
    <w:p>
      <w:pPr>
        <w:pStyle w:val="3"/>
        <w:spacing w:before="240" w:after="240" w:line="360" w:lineRule="auto"/>
        <w:rPr>
          <w:rFonts w:hint="eastAsia" w:ascii="宋体" w:hAnsi="宋体" w:eastAsia="宋体" w:cs="宋体"/>
          <w:color w:val="auto"/>
          <w:highlight w:val="none"/>
        </w:rPr>
      </w:pPr>
      <w:bookmarkStart w:id="71" w:name="_Toc5243"/>
      <w:r>
        <w:rPr>
          <w:rFonts w:hint="eastAsia" w:ascii="宋体" w:hAnsi="宋体" w:eastAsia="宋体" w:cs="宋体"/>
          <w:b w:val="0"/>
          <w:color w:val="auto"/>
          <w:sz w:val="24"/>
          <w:szCs w:val="24"/>
          <w:highlight w:val="none"/>
        </w:rPr>
        <w:t>4.9 工程价款应专款专用</w:t>
      </w:r>
      <w:bookmarkEnd w:id="71"/>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发包人按合同约定支付给承包人的各项价款应专用于合同工程。</w:t>
      </w:r>
    </w:p>
    <w:p>
      <w:pPr>
        <w:pStyle w:val="3"/>
        <w:spacing w:before="240" w:after="240" w:line="360" w:lineRule="auto"/>
        <w:rPr>
          <w:rFonts w:hint="eastAsia" w:ascii="宋体" w:hAnsi="宋体" w:eastAsia="宋体" w:cs="宋体"/>
          <w:color w:val="auto"/>
          <w:highlight w:val="none"/>
        </w:rPr>
      </w:pPr>
      <w:bookmarkStart w:id="72" w:name="_Toc10543"/>
      <w:r>
        <w:rPr>
          <w:rFonts w:hint="eastAsia" w:ascii="宋体" w:hAnsi="宋体" w:eastAsia="宋体" w:cs="宋体"/>
          <w:b w:val="0"/>
          <w:color w:val="auto"/>
          <w:sz w:val="24"/>
          <w:szCs w:val="24"/>
          <w:highlight w:val="none"/>
        </w:rPr>
        <w:t>4.10 承包人现场查勘</w:t>
      </w:r>
      <w:bookmarkEnd w:id="72"/>
      <w:r>
        <w:rPr>
          <w:rFonts w:hint="eastAsia" w:ascii="宋体" w:hAnsi="宋体" w:eastAsia="宋体" w:cs="宋体"/>
          <w:b w:val="0"/>
          <w:color w:val="auto"/>
          <w:sz w:val="24"/>
          <w:szCs w:val="24"/>
          <w:highlight w:val="none"/>
        </w:rPr>
        <w:t xml:space="preserve">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4.10.1 发包人应将其持有的现场地质勘探资料、水文气象资料提供给承包人，并对其准确性负责。但承包人应对其阅读上述有关资料后所作出的解释和推断负责。</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4.10.2 承包人应对施工场地和周围环境进行查勘，并收集有关地质、水文、气象条件、交通条件、风俗习惯以及其他为完成合同工作有关的当地资料。在全部合同工作中，应视为承包人已充分估计了应承担的责任和风险。</w:t>
      </w:r>
    </w:p>
    <w:p>
      <w:pPr>
        <w:pStyle w:val="3"/>
        <w:spacing w:before="240" w:after="240" w:line="360" w:lineRule="auto"/>
        <w:rPr>
          <w:rFonts w:hint="eastAsia" w:ascii="宋体" w:hAnsi="宋体" w:eastAsia="宋体" w:cs="宋体"/>
          <w:color w:val="auto"/>
          <w:highlight w:val="none"/>
        </w:rPr>
      </w:pPr>
      <w:bookmarkStart w:id="73" w:name="_Toc13782"/>
      <w:r>
        <w:rPr>
          <w:rFonts w:hint="eastAsia" w:ascii="宋体" w:hAnsi="宋体" w:eastAsia="宋体" w:cs="宋体"/>
          <w:b w:val="0"/>
          <w:color w:val="auto"/>
          <w:sz w:val="24"/>
          <w:szCs w:val="24"/>
          <w:highlight w:val="none"/>
        </w:rPr>
        <w:t>4.11 不利物质条件</w:t>
      </w:r>
      <w:bookmarkEnd w:id="73"/>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 w:val="24"/>
          <w:highlight w:val="none"/>
        </w:rPr>
        <w:t>4.11.1不利物质条件，除专用合同条款另有约定外，是指承包人在施工场地遇到的不可预见的自然物质条件、非自然的物质障碍和污染物，包括地下和水文条件，但不包括气候条件。</w:t>
      </w:r>
    </w:p>
    <w:p>
      <w:pPr>
        <w:spacing w:line="360" w:lineRule="auto"/>
        <w:ind w:firstLine="420"/>
        <w:rPr>
          <w:rFonts w:hint="eastAsia" w:ascii="宋体" w:hAnsi="宋体" w:eastAsia="宋体" w:cs="宋体"/>
          <w:color w:val="auto"/>
          <w:highlight w:val="none"/>
        </w:rPr>
      </w:pPr>
      <w:r>
        <w:rPr>
          <w:rFonts w:hint="eastAsia" w:ascii="宋体" w:hAnsi="宋体" w:eastAsia="宋体" w:cs="宋体"/>
          <w:iCs/>
          <w:color w:val="auto"/>
          <w:sz w:val="24"/>
          <w:highlight w:val="none"/>
        </w:rPr>
        <w:t>4.11.2承包人遇到不利物质条件时，应采取适应不利物质条件的合理措施继续施工，并及时通知监理人。监理人应当及时发出指示，指示构成变更的，按第15条约定办理。监理人没有发出指示的，承包人因采取合理措施而增加的费用和（或）工期延误，由发包人承担。</w:t>
      </w:r>
    </w:p>
    <w:p>
      <w:pPr>
        <w:pStyle w:val="3"/>
        <w:spacing w:before="480" w:after="240" w:line="360" w:lineRule="auto"/>
        <w:rPr>
          <w:rFonts w:hint="eastAsia" w:ascii="宋体" w:hAnsi="宋体" w:eastAsia="宋体" w:cs="宋体"/>
          <w:color w:val="auto"/>
          <w:highlight w:val="none"/>
        </w:rPr>
      </w:pPr>
      <w:bookmarkStart w:id="74" w:name="_Toc201"/>
      <w:r>
        <w:rPr>
          <w:rFonts w:hint="eastAsia" w:ascii="宋体" w:hAnsi="宋体" w:eastAsia="宋体" w:cs="宋体"/>
          <w:b w:val="0"/>
          <w:color w:val="auto"/>
          <w:sz w:val="28"/>
          <w:szCs w:val="28"/>
          <w:highlight w:val="none"/>
        </w:rPr>
        <w:t>5. 材料和工程设备</w:t>
      </w:r>
      <w:bookmarkEnd w:id="74"/>
    </w:p>
    <w:p>
      <w:pPr>
        <w:pStyle w:val="3"/>
        <w:spacing w:before="240" w:after="240" w:line="360" w:lineRule="auto"/>
        <w:rPr>
          <w:rFonts w:hint="eastAsia" w:ascii="宋体" w:hAnsi="宋体" w:eastAsia="宋体" w:cs="宋体"/>
          <w:color w:val="auto"/>
          <w:highlight w:val="none"/>
        </w:rPr>
      </w:pPr>
      <w:bookmarkStart w:id="75" w:name="_Toc15515"/>
      <w:r>
        <w:rPr>
          <w:rFonts w:hint="eastAsia" w:ascii="宋体" w:hAnsi="宋体" w:eastAsia="宋体" w:cs="宋体"/>
          <w:b w:val="0"/>
          <w:color w:val="auto"/>
          <w:sz w:val="24"/>
          <w:szCs w:val="24"/>
          <w:highlight w:val="none"/>
        </w:rPr>
        <w:t>5.1 承包人提供的材料和工程设备</w:t>
      </w:r>
      <w:bookmarkEnd w:id="75"/>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5.1.1 除专用合同条款另有约定外，承包人提供的材料和工程设备均由承包人负责采购、运输和保管。承包人应对其采购的材料和工程设备负责。</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5.1.2 承包人应按专用合同条款的约定，将各项材料和工程设备的供货人及品种、规格、数量和供货时间等报送监理人审批。承包人应向监理</w:t>
      </w:r>
      <w:r>
        <w:rPr>
          <w:rFonts w:hint="eastAsia" w:ascii="宋体" w:hAnsi="宋体" w:eastAsia="宋体" w:cs="宋体"/>
          <w:iCs/>
          <w:color w:val="auto"/>
          <w:sz w:val="24"/>
          <w:highlight w:val="none"/>
        </w:rPr>
        <w:t>人</w:t>
      </w:r>
      <w:r>
        <w:rPr>
          <w:rFonts w:hint="eastAsia" w:ascii="宋体" w:hAnsi="宋体" w:eastAsia="宋体" w:cs="宋体"/>
          <w:color w:val="auto"/>
          <w:sz w:val="24"/>
          <w:highlight w:val="none"/>
        </w:rPr>
        <w:t>提交其负责提供的材料和工程设备的质量证明文件，并满足合同约定的质量标准。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5.1.3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3"/>
        <w:spacing w:before="240" w:after="240" w:line="360" w:lineRule="auto"/>
        <w:rPr>
          <w:rFonts w:hint="eastAsia" w:ascii="宋体" w:hAnsi="宋体" w:eastAsia="宋体" w:cs="宋体"/>
          <w:color w:val="auto"/>
          <w:highlight w:val="none"/>
        </w:rPr>
      </w:pPr>
      <w:bookmarkStart w:id="76" w:name="_Toc15117"/>
      <w:r>
        <w:rPr>
          <w:rFonts w:hint="eastAsia" w:ascii="宋体" w:hAnsi="宋体" w:eastAsia="宋体" w:cs="宋体"/>
          <w:b w:val="0"/>
          <w:color w:val="auto"/>
          <w:sz w:val="24"/>
          <w:szCs w:val="24"/>
          <w:highlight w:val="none"/>
        </w:rPr>
        <w:t>5.2 发包人提供的材料和工程设备</w:t>
      </w:r>
      <w:bookmarkEnd w:id="76"/>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5.2.1 发包人提供的材料和工程设备，应在专用合同条款中写明材料和工程设备的名称、规格、数量、价格、交货方式、交货地点和计划交货日期等。</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5.2.2 承包人应根据合同进度计划的安排，向监理人报送要求发包人交货的日期计划。发包人应按照监理人与合同双方当事人</w:t>
      </w:r>
      <w:r>
        <w:rPr>
          <w:rFonts w:hint="eastAsia" w:ascii="宋体" w:hAnsi="宋体" w:eastAsia="宋体" w:cs="宋体"/>
          <w:iCs/>
          <w:color w:val="auto"/>
          <w:sz w:val="24"/>
          <w:highlight w:val="none"/>
        </w:rPr>
        <w:t>商定</w:t>
      </w:r>
      <w:r>
        <w:rPr>
          <w:rFonts w:hint="eastAsia" w:ascii="宋体" w:hAnsi="宋体" w:eastAsia="宋体" w:cs="宋体"/>
          <w:color w:val="auto"/>
          <w:sz w:val="24"/>
          <w:highlight w:val="none"/>
        </w:rPr>
        <w:t>的交货日期，向承包人提交材料和工程设备。</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5.2.3 发包人应在材料和工程设备到货7天前通知承包人，承包人应会同监理人在约定的时间内，赴交货地点共同进行验收。除专用合同条款另有约定外，发包人提供的材料和工程设备验收后，由承包人负责接收、运输和保管。</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5.2.4 发包人要求向承包人提前交货的，承包人不得拒绝，但发包人应承担承包人由此增加的费用。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5.2.5 承包人要求更改交货日期或地点的，应事先报请监理人批准。由于承包人要求更改交货时间或地点所增加的费用和（或）工期延误由承包人承担。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3"/>
        <w:spacing w:before="240" w:after="240" w:line="360" w:lineRule="auto"/>
        <w:rPr>
          <w:rFonts w:hint="eastAsia" w:ascii="宋体" w:hAnsi="宋体" w:eastAsia="宋体" w:cs="宋体"/>
          <w:color w:val="auto"/>
          <w:highlight w:val="none"/>
        </w:rPr>
      </w:pPr>
      <w:bookmarkStart w:id="77" w:name="_Toc14843"/>
      <w:r>
        <w:rPr>
          <w:rFonts w:hint="eastAsia" w:ascii="宋体" w:hAnsi="宋体" w:eastAsia="宋体" w:cs="宋体"/>
          <w:b w:val="0"/>
          <w:color w:val="auto"/>
          <w:sz w:val="24"/>
          <w:szCs w:val="24"/>
          <w:highlight w:val="none"/>
        </w:rPr>
        <w:t>5.3 材料和工程设备专用于合同工程</w:t>
      </w:r>
      <w:bookmarkEnd w:id="77"/>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5.3.1运入施工场地的材料、工程设备，包括备品备件、安装专用工器具与随机资料，必须专用于合同工程，未经监理人同意，承包人不得运出施工场地或挪作他用。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3"/>
        <w:spacing w:before="240" w:after="240" w:line="360" w:lineRule="auto"/>
        <w:rPr>
          <w:rFonts w:hint="eastAsia" w:ascii="宋体" w:hAnsi="宋体" w:eastAsia="宋体" w:cs="宋体"/>
          <w:color w:val="auto"/>
          <w:highlight w:val="none"/>
        </w:rPr>
      </w:pPr>
      <w:bookmarkStart w:id="78" w:name="_Toc32209"/>
      <w:r>
        <w:rPr>
          <w:rFonts w:hint="eastAsia" w:ascii="宋体" w:hAnsi="宋体" w:eastAsia="宋体" w:cs="宋体"/>
          <w:b w:val="0"/>
          <w:color w:val="auto"/>
          <w:sz w:val="24"/>
          <w:szCs w:val="24"/>
          <w:highlight w:val="none"/>
        </w:rPr>
        <w:t>5.4 禁止使用不合格的材料和工程设备</w:t>
      </w:r>
      <w:bookmarkEnd w:id="78"/>
      <w:r>
        <w:rPr>
          <w:rFonts w:hint="eastAsia" w:ascii="宋体" w:hAnsi="宋体" w:eastAsia="宋体" w:cs="宋体"/>
          <w:b w:val="0"/>
          <w:color w:val="auto"/>
          <w:sz w:val="24"/>
          <w:szCs w:val="24"/>
          <w:highlight w:val="none"/>
        </w:rPr>
        <w:t xml:space="preserve">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5.4.1 监理人有权拒绝承包人提供的不合格材料或工程设备，并要求承包人立即进行更换。监理人应在更换后再次进行检查和检验，由此增加的费用和（或）工期延误由承包人承担。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5.4.2 监理人发现承包人使用了不合格的材料和工程设备，应即时发出指示要求承包人立即改正，并禁止在工程中继续使用不合格的材料和工程设备。</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5.4.3 发包人提供的材料或工程设备不符合合同要求的，承包人有权拒绝，并可要求发包人更换，由此增加的费用和（或）工期延误由发包人承担。</w:t>
      </w:r>
    </w:p>
    <w:p>
      <w:pPr>
        <w:pStyle w:val="3"/>
        <w:spacing w:before="480" w:after="240" w:line="360" w:lineRule="auto"/>
        <w:rPr>
          <w:rFonts w:hint="eastAsia" w:ascii="宋体" w:hAnsi="宋体" w:eastAsia="宋体" w:cs="宋体"/>
          <w:color w:val="auto"/>
          <w:highlight w:val="none"/>
        </w:rPr>
      </w:pPr>
      <w:bookmarkStart w:id="79" w:name="_Toc8735"/>
      <w:r>
        <w:rPr>
          <w:rFonts w:hint="eastAsia" w:ascii="宋体" w:hAnsi="宋体" w:eastAsia="宋体" w:cs="宋体"/>
          <w:b w:val="0"/>
          <w:color w:val="auto"/>
          <w:sz w:val="28"/>
          <w:szCs w:val="28"/>
          <w:highlight w:val="none"/>
        </w:rPr>
        <w:t>6. 施工设备和临时设施</w:t>
      </w:r>
      <w:bookmarkEnd w:id="79"/>
      <w:r>
        <w:rPr>
          <w:rFonts w:hint="eastAsia" w:ascii="宋体" w:hAnsi="宋体" w:eastAsia="宋体" w:cs="宋体"/>
          <w:b w:val="0"/>
          <w:color w:val="auto"/>
          <w:sz w:val="28"/>
          <w:szCs w:val="28"/>
          <w:highlight w:val="none"/>
        </w:rPr>
        <w:t xml:space="preserve"> </w:t>
      </w:r>
    </w:p>
    <w:p>
      <w:pPr>
        <w:pStyle w:val="3"/>
        <w:spacing w:before="240" w:after="240" w:line="360" w:lineRule="auto"/>
        <w:rPr>
          <w:rFonts w:hint="eastAsia" w:ascii="宋体" w:hAnsi="宋体" w:eastAsia="宋体" w:cs="宋体"/>
          <w:color w:val="auto"/>
          <w:highlight w:val="none"/>
        </w:rPr>
      </w:pPr>
      <w:bookmarkStart w:id="80" w:name="_Toc4282"/>
      <w:r>
        <w:rPr>
          <w:rFonts w:hint="eastAsia" w:ascii="宋体" w:hAnsi="宋体" w:eastAsia="宋体" w:cs="宋体"/>
          <w:b w:val="0"/>
          <w:color w:val="auto"/>
          <w:sz w:val="24"/>
          <w:szCs w:val="24"/>
          <w:highlight w:val="none"/>
        </w:rPr>
        <w:t>6.1 承包人提供的施工设备和临时设施</w:t>
      </w:r>
      <w:bookmarkEnd w:id="80"/>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6.1.1 承包人应按合同进度计划的要求，及时配置施工设备和修建临时设施。进入施工场地的承包人设备需经监理人核查后才能投入使用。承包人更换合同约定的承包人设备的，应报监理人批准。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6.1.2 除专用合同条款另有约定外，承包人应自行承担修建临时设施的费用，需要临时占地的，应由发包人办理申请手续并承担相应费用。</w:t>
      </w:r>
    </w:p>
    <w:p>
      <w:pPr>
        <w:pStyle w:val="3"/>
        <w:spacing w:before="240" w:after="240" w:line="360" w:lineRule="auto"/>
        <w:rPr>
          <w:rFonts w:hint="eastAsia" w:ascii="宋体" w:hAnsi="宋体" w:eastAsia="宋体" w:cs="宋体"/>
          <w:color w:val="auto"/>
          <w:highlight w:val="none"/>
        </w:rPr>
      </w:pPr>
      <w:bookmarkStart w:id="81" w:name="_Toc29062"/>
      <w:r>
        <w:rPr>
          <w:rFonts w:hint="eastAsia" w:ascii="宋体" w:hAnsi="宋体" w:eastAsia="宋体" w:cs="宋体"/>
          <w:b w:val="0"/>
          <w:color w:val="auto"/>
          <w:sz w:val="24"/>
          <w:szCs w:val="24"/>
          <w:highlight w:val="none"/>
        </w:rPr>
        <w:t>6.2 发包人提供的施工设备和临时设施</w:t>
      </w:r>
      <w:bookmarkEnd w:id="81"/>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发包人提供的施工设备或临时设施在专用合同条款中约定。</w:t>
      </w:r>
    </w:p>
    <w:p>
      <w:pPr>
        <w:pStyle w:val="3"/>
        <w:spacing w:before="240" w:after="240" w:line="360" w:lineRule="auto"/>
        <w:rPr>
          <w:rFonts w:hint="eastAsia" w:ascii="宋体" w:hAnsi="宋体" w:eastAsia="宋体" w:cs="宋体"/>
          <w:color w:val="auto"/>
          <w:highlight w:val="none"/>
        </w:rPr>
      </w:pPr>
      <w:bookmarkStart w:id="82" w:name="_Toc19386"/>
      <w:r>
        <w:rPr>
          <w:rFonts w:hint="eastAsia" w:ascii="宋体" w:hAnsi="宋体" w:eastAsia="宋体" w:cs="宋体"/>
          <w:b w:val="0"/>
          <w:color w:val="auto"/>
          <w:sz w:val="24"/>
          <w:szCs w:val="24"/>
          <w:highlight w:val="none"/>
        </w:rPr>
        <w:t>6.3 要求承包人增加或更换施工设备</w:t>
      </w:r>
      <w:bookmarkEnd w:id="82"/>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承包人使用的施工设备不能满足合同进度计划和（或）质量要求时，监理人有权要求承包人增加或更换施工设备，承包人应及时增加或更换，由此增加的费用和（或）工期延误由承包人承担。</w:t>
      </w:r>
    </w:p>
    <w:p>
      <w:pPr>
        <w:pStyle w:val="3"/>
        <w:spacing w:before="240" w:after="240" w:line="360" w:lineRule="auto"/>
        <w:rPr>
          <w:rFonts w:hint="eastAsia" w:ascii="宋体" w:hAnsi="宋体" w:eastAsia="宋体" w:cs="宋体"/>
          <w:color w:val="auto"/>
          <w:highlight w:val="none"/>
        </w:rPr>
      </w:pPr>
      <w:bookmarkStart w:id="83" w:name="_Toc10"/>
      <w:r>
        <w:rPr>
          <w:rFonts w:hint="eastAsia" w:ascii="宋体" w:hAnsi="宋体" w:eastAsia="宋体" w:cs="宋体"/>
          <w:b w:val="0"/>
          <w:color w:val="auto"/>
          <w:sz w:val="24"/>
          <w:szCs w:val="24"/>
          <w:highlight w:val="none"/>
        </w:rPr>
        <w:t>6.4 施工设备和临时设施专用于合同工程</w:t>
      </w:r>
      <w:bookmarkEnd w:id="83"/>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6.4.1除合同另有约定外，运入施工场地的所有施工设备以及在施工场地建设的临时设施应专用于合同工程。未经监理人同意，不得将上述施工设备和临时设施中的任何部分运出施工场地或挪作他用。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6.4.2 经监理人同意，承包人可根据合同进度计划撤走闲置的施工设备。</w:t>
      </w:r>
    </w:p>
    <w:p>
      <w:pPr>
        <w:pStyle w:val="3"/>
        <w:spacing w:before="480" w:after="240" w:line="360" w:lineRule="auto"/>
        <w:rPr>
          <w:rFonts w:hint="eastAsia" w:ascii="宋体" w:hAnsi="宋体" w:eastAsia="宋体" w:cs="宋体"/>
          <w:color w:val="auto"/>
          <w:highlight w:val="none"/>
        </w:rPr>
      </w:pPr>
      <w:bookmarkStart w:id="84" w:name="_Toc12354"/>
      <w:r>
        <w:rPr>
          <w:rFonts w:hint="eastAsia" w:ascii="宋体" w:hAnsi="宋体" w:eastAsia="宋体" w:cs="宋体"/>
          <w:b w:val="0"/>
          <w:color w:val="auto"/>
          <w:sz w:val="28"/>
          <w:szCs w:val="28"/>
          <w:highlight w:val="none"/>
        </w:rPr>
        <w:t>7. 交通运输</w:t>
      </w:r>
      <w:bookmarkEnd w:id="84"/>
      <w:r>
        <w:rPr>
          <w:rFonts w:hint="eastAsia" w:ascii="宋体" w:hAnsi="宋体" w:eastAsia="宋体" w:cs="宋体"/>
          <w:b w:val="0"/>
          <w:color w:val="auto"/>
          <w:sz w:val="28"/>
          <w:szCs w:val="28"/>
          <w:highlight w:val="none"/>
        </w:rPr>
        <w:t xml:space="preserve"> </w:t>
      </w:r>
    </w:p>
    <w:p>
      <w:pPr>
        <w:pStyle w:val="3"/>
        <w:spacing w:before="240" w:after="240" w:line="360" w:lineRule="auto"/>
        <w:rPr>
          <w:rFonts w:hint="eastAsia" w:ascii="宋体" w:hAnsi="宋体" w:eastAsia="宋体" w:cs="宋体"/>
          <w:color w:val="auto"/>
          <w:highlight w:val="none"/>
        </w:rPr>
      </w:pPr>
      <w:bookmarkStart w:id="85" w:name="_Toc13902"/>
      <w:r>
        <w:rPr>
          <w:rFonts w:hint="eastAsia" w:ascii="宋体" w:hAnsi="宋体" w:eastAsia="宋体" w:cs="宋体"/>
          <w:b w:val="0"/>
          <w:color w:val="auto"/>
          <w:sz w:val="24"/>
          <w:szCs w:val="24"/>
          <w:highlight w:val="none"/>
        </w:rPr>
        <w:t>7.1 道路通行权和场外设施</w:t>
      </w:r>
      <w:bookmarkEnd w:id="85"/>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 w:val="24"/>
          <w:highlight w:val="none"/>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pPr>
        <w:pStyle w:val="3"/>
        <w:spacing w:before="240" w:after="240" w:line="360" w:lineRule="auto"/>
        <w:rPr>
          <w:rFonts w:hint="eastAsia" w:ascii="宋体" w:hAnsi="宋体" w:eastAsia="宋体" w:cs="宋体"/>
          <w:color w:val="auto"/>
          <w:highlight w:val="none"/>
        </w:rPr>
      </w:pPr>
      <w:bookmarkStart w:id="86" w:name="_Toc9602"/>
      <w:r>
        <w:rPr>
          <w:rFonts w:hint="eastAsia" w:ascii="宋体" w:hAnsi="宋体" w:eastAsia="宋体" w:cs="宋体"/>
          <w:b w:val="0"/>
          <w:color w:val="auto"/>
          <w:sz w:val="24"/>
          <w:szCs w:val="24"/>
          <w:highlight w:val="none"/>
        </w:rPr>
        <w:t>7.2 场内施工道路</w:t>
      </w:r>
      <w:bookmarkEnd w:id="86"/>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7.2.1 除专用合同条款另有约定外，承包人应负责修建、维修、养护和管理施工所需的临时道路和交通设施，包括维修、养护和管理发包人提供的道路和交通设施，并承担相应费用。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7.2.2 除专用合同条款另有约定外，承包人修建的临时道路和交通设施应免费提供发包人和监理人使用。</w:t>
      </w:r>
    </w:p>
    <w:p>
      <w:pPr>
        <w:pStyle w:val="3"/>
        <w:spacing w:before="240" w:after="240" w:line="360" w:lineRule="auto"/>
        <w:rPr>
          <w:rFonts w:hint="eastAsia" w:ascii="宋体" w:hAnsi="宋体" w:eastAsia="宋体" w:cs="宋体"/>
          <w:color w:val="auto"/>
          <w:highlight w:val="none"/>
        </w:rPr>
      </w:pPr>
      <w:bookmarkStart w:id="87" w:name="_Toc17295"/>
      <w:r>
        <w:rPr>
          <w:rFonts w:hint="eastAsia" w:ascii="宋体" w:hAnsi="宋体" w:eastAsia="宋体" w:cs="宋体"/>
          <w:b w:val="0"/>
          <w:color w:val="auto"/>
          <w:sz w:val="24"/>
          <w:szCs w:val="24"/>
          <w:highlight w:val="none"/>
        </w:rPr>
        <w:t>7.3 场外交通</w:t>
      </w:r>
      <w:bookmarkEnd w:id="87"/>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7.3.1 承包人车辆外出行驶所需的场外公共道路的通行费、养路费和税款等由承包人承担。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7.3.2 承包人应遵守有关交通法规，严格按照道路和桥梁的限制荷重安全行驶，并服从交通管理部门的检查和监督。</w:t>
      </w:r>
    </w:p>
    <w:p>
      <w:pPr>
        <w:pStyle w:val="3"/>
        <w:spacing w:before="240" w:after="240" w:line="360" w:lineRule="auto"/>
        <w:rPr>
          <w:rFonts w:hint="eastAsia" w:ascii="宋体" w:hAnsi="宋体" w:eastAsia="宋体" w:cs="宋体"/>
          <w:color w:val="auto"/>
          <w:highlight w:val="none"/>
        </w:rPr>
      </w:pPr>
      <w:bookmarkStart w:id="88" w:name="_Toc5985"/>
      <w:r>
        <w:rPr>
          <w:rFonts w:hint="eastAsia" w:ascii="宋体" w:hAnsi="宋体" w:eastAsia="宋体" w:cs="宋体"/>
          <w:b w:val="0"/>
          <w:color w:val="auto"/>
          <w:sz w:val="24"/>
          <w:szCs w:val="24"/>
          <w:highlight w:val="none"/>
        </w:rPr>
        <w:t>7.4 超大件和超重件的运输</w:t>
      </w:r>
      <w:bookmarkEnd w:id="88"/>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auto"/>
        <w:rPr>
          <w:rFonts w:hint="eastAsia" w:ascii="宋体" w:hAnsi="宋体" w:eastAsia="宋体" w:cs="宋体"/>
          <w:color w:val="auto"/>
          <w:sz w:val="24"/>
          <w:highlight w:val="none"/>
        </w:rPr>
      </w:pPr>
    </w:p>
    <w:p>
      <w:pPr>
        <w:pStyle w:val="3"/>
        <w:spacing w:before="240" w:after="240" w:line="360" w:lineRule="auto"/>
        <w:rPr>
          <w:rFonts w:hint="eastAsia" w:ascii="宋体" w:hAnsi="宋体" w:eastAsia="宋体" w:cs="宋体"/>
          <w:color w:val="auto"/>
          <w:highlight w:val="none"/>
        </w:rPr>
      </w:pPr>
      <w:bookmarkStart w:id="89" w:name="_Toc32558"/>
      <w:r>
        <w:rPr>
          <w:rFonts w:hint="eastAsia" w:ascii="宋体" w:hAnsi="宋体" w:eastAsia="宋体" w:cs="宋体"/>
          <w:b w:val="0"/>
          <w:color w:val="auto"/>
          <w:sz w:val="24"/>
          <w:szCs w:val="24"/>
          <w:highlight w:val="none"/>
        </w:rPr>
        <w:t>7.5 道路和桥梁的损坏责任</w:t>
      </w:r>
      <w:bookmarkEnd w:id="89"/>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因承包人运输造成施工场地内外公共道路和桥梁损坏的，由承包人承担修复损坏的全部费用和可能引起的赔偿。</w:t>
      </w:r>
    </w:p>
    <w:p>
      <w:pPr>
        <w:pStyle w:val="3"/>
        <w:spacing w:before="240" w:after="240" w:line="360" w:lineRule="auto"/>
        <w:rPr>
          <w:rFonts w:hint="eastAsia" w:ascii="宋体" w:hAnsi="宋体" w:eastAsia="宋体" w:cs="宋体"/>
          <w:color w:val="auto"/>
          <w:highlight w:val="none"/>
        </w:rPr>
      </w:pPr>
      <w:bookmarkStart w:id="90" w:name="_Toc5739"/>
      <w:r>
        <w:rPr>
          <w:rFonts w:hint="eastAsia" w:ascii="宋体" w:hAnsi="宋体" w:eastAsia="宋体" w:cs="宋体"/>
          <w:b w:val="0"/>
          <w:color w:val="auto"/>
          <w:sz w:val="24"/>
          <w:szCs w:val="24"/>
          <w:highlight w:val="none"/>
        </w:rPr>
        <w:t>7.6 水路和航空运输</w:t>
      </w:r>
      <w:bookmarkEnd w:id="90"/>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本条上述各款的内容适用于水路运输和航空运输，其中“道路”一词的涵义包括河道、航线、船闸、机场、码头、堤防以及水路或航空运输中其他相似结构物；“车辆”一词的涵义包括船舶和飞机等。 </w:t>
      </w:r>
    </w:p>
    <w:p>
      <w:pPr>
        <w:pStyle w:val="3"/>
        <w:spacing w:before="480" w:after="240" w:line="360" w:lineRule="auto"/>
        <w:rPr>
          <w:rFonts w:hint="eastAsia" w:ascii="宋体" w:hAnsi="宋体" w:eastAsia="宋体" w:cs="宋体"/>
          <w:color w:val="auto"/>
          <w:highlight w:val="none"/>
        </w:rPr>
      </w:pPr>
      <w:bookmarkStart w:id="91" w:name="_Toc15219"/>
      <w:r>
        <w:rPr>
          <w:rFonts w:hint="eastAsia" w:ascii="宋体" w:hAnsi="宋体" w:eastAsia="宋体" w:cs="宋体"/>
          <w:b w:val="0"/>
          <w:color w:val="auto"/>
          <w:sz w:val="28"/>
          <w:szCs w:val="28"/>
          <w:highlight w:val="none"/>
        </w:rPr>
        <w:t>8. 测量放线</w:t>
      </w:r>
      <w:bookmarkEnd w:id="91"/>
    </w:p>
    <w:p>
      <w:pPr>
        <w:pStyle w:val="3"/>
        <w:spacing w:before="240" w:after="240" w:line="360" w:lineRule="auto"/>
        <w:rPr>
          <w:rFonts w:hint="eastAsia" w:ascii="宋体" w:hAnsi="宋体" w:eastAsia="宋体" w:cs="宋体"/>
          <w:color w:val="auto"/>
          <w:highlight w:val="none"/>
        </w:rPr>
      </w:pPr>
      <w:bookmarkStart w:id="92" w:name="_Toc18449"/>
      <w:r>
        <w:rPr>
          <w:rFonts w:hint="eastAsia" w:ascii="宋体" w:hAnsi="宋体" w:eastAsia="宋体" w:cs="宋体"/>
          <w:b w:val="0"/>
          <w:color w:val="auto"/>
          <w:sz w:val="24"/>
          <w:szCs w:val="24"/>
          <w:highlight w:val="none"/>
        </w:rPr>
        <w:t>8.1 施工控制网</w:t>
      </w:r>
      <w:bookmarkEnd w:id="92"/>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8.1.1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8.1.2承包人应负责管理施工控制网点。施工控制网点丢失或损坏的，承包人应及时修复。承包人应承担施工控制网点的管理与修复费用，并在工程竣工后将施工控制网点移交发包人。</w:t>
      </w:r>
    </w:p>
    <w:p>
      <w:pPr>
        <w:pStyle w:val="3"/>
        <w:spacing w:before="240" w:after="240" w:line="360" w:lineRule="auto"/>
        <w:rPr>
          <w:rFonts w:hint="eastAsia" w:ascii="宋体" w:hAnsi="宋体" w:eastAsia="宋体" w:cs="宋体"/>
          <w:color w:val="auto"/>
          <w:highlight w:val="none"/>
        </w:rPr>
      </w:pPr>
      <w:bookmarkStart w:id="93" w:name="_Toc15176"/>
      <w:r>
        <w:rPr>
          <w:rFonts w:hint="eastAsia" w:ascii="宋体" w:hAnsi="宋体" w:eastAsia="宋体" w:cs="宋体"/>
          <w:b w:val="0"/>
          <w:color w:val="auto"/>
          <w:sz w:val="24"/>
          <w:szCs w:val="24"/>
          <w:highlight w:val="none"/>
        </w:rPr>
        <w:t>8.2 施工测量</w:t>
      </w:r>
      <w:bookmarkEnd w:id="93"/>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8.2.1承包人应负责施工过程中的全部施工测量放线工作，并配置合格的人员、仪器、设备和其他物品。</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8.2.2监理人可以指示承包人进行抽样复测，当复测中发现错误或出现超过合同约定的误差时，承包人应按监理人指示进行修正或补测，并承担相应的复测费用。</w:t>
      </w:r>
    </w:p>
    <w:p>
      <w:pPr>
        <w:pStyle w:val="3"/>
        <w:spacing w:before="240" w:after="240" w:line="360" w:lineRule="auto"/>
        <w:rPr>
          <w:rFonts w:hint="eastAsia" w:ascii="宋体" w:hAnsi="宋体" w:eastAsia="宋体" w:cs="宋体"/>
          <w:color w:val="auto"/>
          <w:highlight w:val="none"/>
        </w:rPr>
      </w:pPr>
      <w:bookmarkStart w:id="94" w:name="_Toc12769"/>
      <w:r>
        <w:rPr>
          <w:rFonts w:hint="eastAsia" w:ascii="宋体" w:hAnsi="宋体" w:eastAsia="宋体" w:cs="宋体"/>
          <w:b w:val="0"/>
          <w:color w:val="auto"/>
          <w:sz w:val="24"/>
          <w:szCs w:val="24"/>
          <w:highlight w:val="none"/>
        </w:rPr>
        <w:t>8.3 基准资料错误的责任</w:t>
      </w:r>
      <w:bookmarkEnd w:id="94"/>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3"/>
        <w:spacing w:before="240" w:after="240" w:line="360" w:lineRule="auto"/>
        <w:rPr>
          <w:rFonts w:hint="eastAsia" w:ascii="宋体" w:hAnsi="宋体" w:eastAsia="宋体" w:cs="宋体"/>
          <w:color w:val="auto"/>
          <w:highlight w:val="none"/>
        </w:rPr>
      </w:pPr>
      <w:bookmarkStart w:id="95" w:name="_Toc19209"/>
      <w:r>
        <w:rPr>
          <w:rFonts w:hint="eastAsia" w:ascii="宋体" w:hAnsi="宋体" w:eastAsia="宋体" w:cs="宋体"/>
          <w:b w:val="0"/>
          <w:color w:val="auto"/>
          <w:sz w:val="24"/>
          <w:szCs w:val="24"/>
          <w:highlight w:val="none"/>
        </w:rPr>
        <w:t>8.4 监理人使用施工控制网</w:t>
      </w:r>
      <w:bookmarkEnd w:id="95"/>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监理人需要使用施工控制网的，承包人应提供必要的协助，发包人不再为此支付费用。</w:t>
      </w:r>
    </w:p>
    <w:p>
      <w:pPr>
        <w:pStyle w:val="3"/>
        <w:spacing w:before="480" w:after="240" w:line="360" w:lineRule="auto"/>
        <w:rPr>
          <w:rFonts w:hint="eastAsia" w:ascii="宋体" w:hAnsi="宋体" w:eastAsia="宋体" w:cs="宋体"/>
          <w:color w:val="auto"/>
          <w:highlight w:val="none"/>
        </w:rPr>
      </w:pPr>
      <w:bookmarkStart w:id="96" w:name="_Toc32685"/>
      <w:r>
        <w:rPr>
          <w:rFonts w:hint="eastAsia" w:ascii="宋体" w:hAnsi="宋体" w:eastAsia="宋体" w:cs="宋体"/>
          <w:b w:val="0"/>
          <w:color w:val="auto"/>
          <w:sz w:val="28"/>
          <w:szCs w:val="28"/>
          <w:highlight w:val="none"/>
        </w:rPr>
        <w:t>9. 施工安全、治安保卫和环境保护</w:t>
      </w:r>
      <w:bookmarkEnd w:id="96"/>
    </w:p>
    <w:p>
      <w:pPr>
        <w:pStyle w:val="3"/>
        <w:spacing w:before="240" w:after="240" w:line="360" w:lineRule="auto"/>
        <w:rPr>
          <w:rFonts w:hint="eastAsia" w:ascii="宋体" w:hAnsi="宋体" w:eastAsia="宋体" w:cs="宋体"/>
          <w:color w:val="auto"/>
          <w:highlight w:val="none"/>
        </w:rPr>
      </w:pPr>
      <w:bookmarkStart w:id="97" w:name="_Toc15514"/>
      <w:r>
        <w:rPr>
          <w:rFonts w:hint="eastAsia" w:ascii="宋体" w:hAnsi="宋体" w:eastAsia="宋体" w:cs="宋体"/>
          <w:b w:val="0"/>
          <w:color w:val="auto"/>
          <w:sz w:val="24"/>
          <w:szCs w:val="24"/>
          <w:highlight w:val="none"/>
        </w:rPr>
        <w:t>9.1 发包人的施工安全责任</w:t>
      </w:r>
      <w:bookmarkEnd w:id="97"/>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9.1.1发包人应按合同约定履行安全职责，授权监理人按合同约定的安全工作内容监督、检查承包人安全工作的实施，组织承包人和有关单位进行安全检查。</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9.1.2发包人应对其现场机构雇佣的全部人员的工伤事故承担责任，但由于承包人原因造成发包人人员工伤的，应由承包人承担责任。</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9.1.3发包人应负责赔偿以下各种情况造成的第三者人身伤亡和财产损失：</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（1）工程或工程的任何部分对土地的占用所造成的第三者财产损失；</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（2）由于发包人原因在施工场地及其毗邻地带造成的第三者人身伤亡和财产损失。</w:t>
      </w:r>
    </w:p>
    <w:p>
      <w:pPr>
        <w:pStyle w:val="3"/>
        <w:spacing w:before="240" w:after="240" w:line="360" w:lineRule="auto"/>
        <w:rPr>
          <w:rFonts w:hint="eastAsia" w:ascii="宋体" w:hAnsi="宋体" w:eastAsia="宋体" w:cs="宋体"/>
          <w:color w:val="auto"/>
          <w:highlight w:val="none"/>
        </w:rPr>
      </w:pPr>
      <w:bookmarkStart w:id="98" w:name="_Toc9143"/>
      <w:r>
        <w:rPr>
          <w:rFonts w:hint="eastAsia" w:ascii="宋体" w:hAnsi="宋体" w:eastAsia="宋体" w:cs="宋体"/>
          <w:b w:val="0"/>
          <w:color w:val="auto"/>
          <w:sz w:val="24"/>
          <w:szCs w:val="24"/>
          <w:highlight w:val="none"/>
        </w:rPr>
        <w:t>9.2 承包人的施工安全责任</w:t>
      </w:r>
      <w:bookmarkEnd w:id="98"/>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9.2.1 承包人应按合同约定履行安全职责,执行监理人有关安全工作的指示,并在专用合同条款约定的期限内，按合同约定的安全工作内容，编制施工安全措施计划报送监理人审批。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9.2.2 承包人应加强施工作业安全管理，特别应加强易燃、易爆材料、火工器材、有毒与腐蚀性材料和其他危险品的管理，以及对爆破作业和地下工程施工等危险作业的管理。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9.2.3 承包人应严格按照国家安全标准制定施工安全操作规程，配备必要的安全生产和劳动保护设施，加强对承包人人员的安全教育，并发放安全工作手册和劳动保护用具。</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9.2.4 承包人应按监理人的指示制定应对灾害的紧急预案，报送监理人审批。承包人还应按预案做好安全检查，配置必要的救助物资和器材，切实保护好有关人员的人身和财产安全。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9.2.5 合同约定的安全作业环境及安全施工措施所需费用应遵守有关规定，并包括在相关工作的合同价格中。因采取合同未约定的安全作业环境及安全施工措施增加的费用，由监理人按第3.5款商定或确定。</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9.2.6 承包人应对其履行合同所雇佣的全部人员，包括分包人人员的工伤事故承担责任，但由于发包人原因造成承包人人员工伤事故的，应由发包人承担责任。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9.2.7 由于承包人原因在施工场地内及其毗邻地带造成的第三者人员伤亡和财产损失，由承包人负责赔偿。</w:t>
      </w:r>
    </w:p>
    <w:p>
      <w:pPr>
        <w:pStyle w:val="3"/>
        <w:spacing w:before="240" w:after="240" w:line="360" w:lineRule="auto"/>
        <w:rPr>
          <w:rFonts w:hint="eastAsia" w:ascii="宋体" w:hAnsi="宋体" w:eastAsia="宋体" w:cs="宋体"/>
          <w:color w:val="auto"/>
          <w:highlight w:val="none"/>
        </w:rPr>
      </w:pPr>
      <w:bookmarkStart w:id="99" w:name="_Toc18784"/>
      <w:r>
        <w:rPr>
          <w:rFonts w:hint="eastAsia" w:ascii="宋体" w:hAnsi="宋体" w:eastAsia="宋体" w:cs="宋体"/>
          <w:b w:val="0"/>
          <w:color w:val="auto"/>
          <w:sz w:val="24"/>
          <w:szCs w:val="24"/>
          <w:highlight w:val="none"/>
        </w:rPr>
        <w:t>9.3 治安保卫</w:t>
      </w:r>
      <w:bookmarkEnd w:id="99"/>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9.3.1 除合同另有约定外，发包人应与当地公安部门协商，在现场建立治安管理机构或联防组织，统一管理施工场地的治安保卫事项，履行合同工程的治安保卫职责。</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9.3.2 发包人和承包人除应协助现场治安管理机构或联防组织维护施工场地的社会治安外，还应做好包括生活区在内的各自管辖区的治安保卫工作。</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3"/>
        <w:spacing w:before="240" w:after="240" w:line="360" w:lineRule="auto"/>
        <w:rPr>
          <w:rFonts w:hint="eastAsia" w:ascii="宋体" w:hAnsi="宋体" w:eastAsia="宋体" w:cs="宋体"/>
          <w:color w:val="auto"/>
          <w:highlight w:val="none"/>
        </w:rPr>
      </w:pPr>
      <w:bookmarkStart w:id="100" w:name="_Toc26966"/>
      <w:r>
        <w:rPr>
          <w:rFonts w:hint="eastAsia" w:ascii="宋体" w:hAnsi="宋体" w:eastAsia="宋体" w:cs="宋体"/>
          <w:b w:val="0"/>
          <w:color w:val="auto"/>
          <w:sz w:val="24"/>
          <w:szCs w:val="24"/>
          <w:highlight w:val="none"/>
        </w:rPr>
        <w:t>9.4 环境保护</w:t>
      </w:r>
      <w:bookmarkEnd w:id="100"/>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9.4.1 承包人在施工过程中，应遵守有关环境保护的法律，履行合同约定的环境保护义务，并对违反法律和合同约定义务所造成的环境破坏、人身伤害和财产损失负责。</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9.4.2 承包人应按合同约定的环保工作内容，编制施工环保措施计划，报送监理人审批。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9.4.4 承包人应按合同约定采取有效措施，对施工开挖的边坡及时进行支护,维护排水设施，并进行水土保护，避免因施工造成的地质灾害。</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9.4.5 承包人应按国家饮用水管理标准定期对饮用水源进行监测，防止施工活动污染饮用水源。</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9.4.6 承包人应按合同约定，加强对噪声、粉尘、废气、废水和废油的控制，努力降低噪声，控制粉尘和废气浓度，做好废水和废油的治理和排放。</w:t>
      </w:r>
    </w:p>
    <w:p>
      <w:pPr>
        <w:pStyle w:val="3"/>
        <w:spacing w:before="240" w:after="240" w:line="360" w:lineRule="auto"/>
        <w:rPr>
          <w:rFonts w:hint="eastAsia" w:ascii="宋体" w:hAnsi="宋体" w:eastAsia="宋体" w:cs="宋体"/>
          <w:color w:val="auto"/>
          <w:highlight w:val="none"/>
        </w:rPr>
      </w:pPr>
      <w:bookmarkStart w:id="101" w:name="_Toc12499"/>
      <w:r>
        <w:rPr>
          <w:rFonts w:hint="eastAsia" w:ascii="宋体" w:hAnsi="宋体" w:eastAsia="宋体" w:cs="宋体"/>
          <w:b w:val="0"/>
          <w:color w:val="auto"/>
          <w:sz w:val="24"/>
          <w:szCs w:val="24"/>
          <w:highlight w:val="none"/>
        </w:rPr>
        <w:t>9.5 事故处理</w:t>
      </w:r>
      <w:bookmarkEnd w:id="101"/>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3"/>
        <w:spacing w:before="480" w:after="240" w:line="360" w:lineRule="auto"/>
        <w:rPr>
          <w:rFonts w:hint="eastAsia" w:ascii="宋体" w:hAnsi="宋体" w:eastAsia="宋体" w:cs="宋体"/>
          <w:color w:val="auto"/>
          <w:highlight w:val="none"/>
        </w:rPr>
      </w:pPr>
      <w:bookmarkStart w:id="102" w:name="_Toc5556"/>
      <w:r>
        <w:rPr>
          <w:rFonts w:hint="eastAsia" w:ascii="宋体" w:hAnsi="宋体" w:eastAsia="宋体" w:cs="宋体"/>
          <w:b w:val="0"/>
          <w:color w:val="auto"/>
          <w:sz w:val="28"/>
          <w:szCs w:val="28"/>
          <w:highlight w:val="none"/>
        </w:rPr>
        <w:t>10. 进度计划</w:t>
      </w:r>
      <w:bookmarkEnd w:id="102"/>
    </w:p>
    <w:p>
      <w:pPr>
        <w:pStyle w:val="3"/>
        <w:spacing w:before="240" w:after="240" w:line="360" w:lineRule="auto"/>
        <w:rPr>
          <w:rFonts w:hint="eastAsia" w:ascii="宋体" w:hAnsi="宋体" w:eastAsia="宋体" w:cs="宋体"/>
          <w:color w:val="auto"/>
          <w:highlight w:val="none"/>
        </w:rPr>
      </w:pPr>
      <w:bookmarkStart w:id="103" w:name="_Toc24763"/>
      <w:r>
        <w:rPr>
          <w:rFonts w:hint="eastAsia" w:ascii="宋体" w:hAnsi="宋体" w:eastAsia="宋体" w:cs="宋体"/>
          <w:b w:val="0"/>
          <w:color w:val="auto"/>
          <w:sz w:val="24"/>
          <w:szCs w:val="24"/>
          <w:highlight w:val="none"/>
        </w:rPr>
        <w:t>10.1 合同进度计划</w:t>
      </w:r>
      <w:bookmarkEnd w:id="103"/>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pPr>
        <w:pStyle w:val="3"/>
        <w:spacing w:before="240" w:after="240" w:line="360" w:lineRule="auto"/>
        <w:rPr>
          <w:rFonts w:hint="eastAsia" w:ascii="宋体" w:hAnsi="宋体" w:eastAsia="宋体" w:cs="宋体"/>
          <w:color w:val="auto"/>
          <w:highlight w:val="none"/>
        </w:rPr>
      </w:pPr>
      <w:bookmarkStart w:id="104" w:name="_Toc20374"/>
      <w:r>
        <w:rPr>
          <w:rFonts w:hint="eastAsia" w:ascii="宋体" w:hAnsi="宋体" w:eastAsia="宋体" w:cs="宋体"/>
          <w:b w:val="0"/>
          <w:color w:val="auto"/>
          <w:sz w:val="24"/>
          <w:szCs w:val="24"/>
          <w:highlight w:val="none"/>
        </w:rPr>
        <w:t>10.2 合同进度计划的修订</w:t>
      </w:r>
      <w:bookmarkEnd w:id="104"/>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不论何种原因造成工程的实际进度与第10.1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pPr>
        <w:pStyle w:val="3"/>
        <w:spacing w:before="480" w:after="240" w:line="360" w:lineRule="auto"/>
        <w:rPr>
          <w:rFonts w:hint="eastAsia" w:ascii="宋体" w:hAnsi="宋体" w:eastAsia="宋体" w:cs="宋体"/>
          <w:color w:val="auto"/>
          <w:highlight w:val="none"/>
        </w:rPr>
      </w:pPr>
      <w:bookmarkStart w:id="105" w:name="_Toc7268"/>
      <w:r>
        <w:rPr>
          <w:rFonts w:hint="eastAsia" w:ascii="宋体" w:hAnsi="宋体" w:eastAsia="宋体" w:cs="宋体"/>
          <w:b w:val="0"/>
          <w:color w:val="auto"/>
          <w:sz w:val="28"/>
          <w:szCs w:val="28"/>
          <w:highlight w:val="none"/>
        </w:rPr>
        <w:t>11. 开工和竣工</w:t>
      </w:r>
      <w:bookmarkEnd w:id="105"/>
    </w:p>
    <w:p>
      <w:pPr>
        <w:pStyle w:val="3"/>
        <w:spacing w:before="240" w:after="240" w:line="360" w:lineRule="auto"/>
        <w:rPr>
          <w:rFonts w:hint="eastAsia" w:ascii="宋体" w:hAnsi="宋体" w:eastAsia="宋体" w:cs="宋体"/>
          <w:color w:val="auto"/>
          <w:highlight w:val="none"/>
        </w:rPr>
      </w:pPr>
      <w:bookmarkStart w:id="106" w:name="_Toc3662"/>
      <w:r>
        <w:rPr>
          <w:rFonts w:hint="eastAsia" w:ascii="宋体" w:hAnsi="宋体" w:eastAsia="宋体" w:cs="宋体"/>
          <w:b w:val="0"/>
          <w:color w:val="auto"/>
          <w:sz w:val="24"/>
          <w:szCs w:val="24"/>
          <w:highlight w:val="none"/>
        </w:rPr>
        <w:t>11.1 开工</w:t>
      </w:r>
      <w:bookmarkEnd w:id="106"/>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11.1.1 监理人应在开工日期7天前向承包人发出开工通知。监理人在发出开工通知前应获得发包人同意。工期自监理人发出的开工通知中载明的开工日期起计算。承包人应在开工日期后尽快施工。</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pStyle w:val="3"/>
        <w:spacing w:before="240" w:after="240" w:line="360" w:lineRule="auto"/>
        <w:rPr>
          <w:rFonts w:hint="eastAsia" w:ascii="宋体" w:hAnsi="宋体" w:eastAsia="宋体" w:cs="宋体"/>
          <w:color w:val="auto"/>
          <w:highlight w:val="none"/>
        </w:rPr>
      </w:pPr>
      <w:bookmarkStart w:id="107" w:name="_Toc577"/>
      <w:r>
        <w:rPr>
          <w:rFonts w:hint="eastAsia" w:ascii="宋体" w:hAnsi="宋体" w:eastAsia="宋体" w:cs="宋体"/>
          <w:b w:val="0"/>
          <w:color w:val="auto"/>
          <w:sz w:val="24"/>
          <w:szCs w:val="24"/>
          <w:highlight w:val="none"/>
        </w:rPr>
        <w:t>11.2</w:t>
      </w:r>
      <w:r>
        <w:rPr>
          <w:rFonts w:hint="eastAsia" w:ascii="宋体" w:hAnsi="宋体" w:eastAsia="宋体" w:cs="宋体"/>
          <w:b w:val="0"/>
          <w:color w:val="auto"/>
          <w:sz w:val="24"/>
          <w:szCs w:val="24"/>
          <w:highlight w:val="none"/>
        </w:rPr>
        <w:tab/>
      </w:r>
      <w:r>
        <w:rPr>
          <w:rFonts w:hint="eastAsia" w:ascii="宋体" w:hAnsi="宋体" w:eastAsia="宋体" w:cs="宋体"/>
          <w:b w:val="0"/>
          <w:color w:val="auto"/>
          <w:sz w:val="24"/>
          <w:szCs w:val="24"/>
          <w:highlight w:val="none"/>
        </w:rPr>
        <w:t xml:space="preserve"> 竣工</w:t>
      </w:r>
      <w:bookmarkEnd w:id="107"/>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承包人应在第1.1.4.3目约定的期限内完成合同工程。实际竣工日期在接收证书中写明。</w:t>
      </w:r>
    </w:p>
    <w:p>
      <w:pPr>
        <w:pStyle w:val="3"/>
        <w:spacing w:before="240" w:after="240" w:line="360" w:lineRule="auto"/>
        <w:rPr>
          <w:rFonts w:hint="eastAsia" w:ascii="宋体" w:hAnsi="宋体" w:eastAsia="宋体" w:cs="宋体"/>
          <w:color w:val="auto"/>
          <w:highlight w:val="none"/>
        </w:rPr>
      </w:pPr>
      <w:bookmarkStart w:id="108" w:name="_Toc4419"/>
      <w:r>
        <w:rPr>
          <w:rFonts w:hint="eastAsia" w:ascii="宋体" w:hAnsi="宋体" w:eastAsia="宋体" w:cs="宋体"/>
          <w:b w:val="0"/>
          <w:color w:val="auto"/>
          <w:sz w:val="24"/>
          <w:szCs w:val="24"/>
          <w:highlight w:val="none"/>
        </w:rPr>
        <w:t>11.3 发包人的工期延误</w:t>
      </w:r>
      <w:bookmarkEnd w:id="108"/>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在履行合同过程中，由于发包人的下列原因造成工期延误的，承包人有权要求发包人延长工期和（或）增加费用，并支付合理利润。需要修订合同进度计划的，按照第10.2款的约定办理。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（1）增加合同工作内容;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（2）改变合同中任何一项工作的质量要求或其他特性；</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（3）发包人迟延提供材料、工程设备或变更交货地点的；</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（4）因发包人原因导致的暂停施工；</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（5）提供图纸延误；</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（6）未按合同约定及时支付预付款、进度款；</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（7）发包人造成工期延误的其他原因。</w:t>
      </w:r>
    </w:p>
    <w:p>
      <w:pPr>
        <w:pStyle w:val="3"/>
        <w:spacing w:before="240" w:after="240" w:line="360" w:lineRule="auto"/>
        <w:rPr>
          <w:rFonts w:hint="eastAsia" w:ascii="宋体" w:hAnsi="宋体" w:eastAsia="宋体" w:cs="宋体"/>
          <w:color w:val="auto"/>
          <w:highlight w:val="none"/>
        </w:rPr>
      </w:pPr>
      <w:bookmarkStart w:id="109" w:name="_Toc3033"/>
      <w:r>
        <w:rPr>
          <w:rFonts w:hint="eastAsia" w:ascii="宋体" w:hAnsi="宋体" w:eastAsia="宋体" w:cs="宋体"/>
          <w:b w:val="0"/>
          <w:color w:val="auto"/>
          <w:sz w:val="24"/>
          <w:szCs w:val="24"/>
          <w:highlight w:val="none"/>
        </w:rPr>
        <w:t>11.4异常恶劣的气候条件</w:t>
      </w:r>
      <w:bookmarkEnd w:id="109"/>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由于出现专用合同条款约定的异常恶劣气候的条件导致工期延误的，承包人有权要求发包人延长工期。</w:t>
      </w:r>
    </w:p>
    <w:p>
      <w:pPr>
        <w:pStyle w:val="3"/>
        <w:spacing w:before="240" w:after="240" w:line="360" w:lineRule="auto"/>
        <w:rPr>
          <w:rFonts w:hint="eastAsia" w:ascii="宋体" w:hAnsi="宋体" w:eastAsia="宋体" w:cs="宋体"/>
          <w:color w:val="auto"/>
          <w:highlight w:val="none"/>
        </w:rPr>
      </w:pPr>
      <w:bookmarkStart w:id="110" w:name="_Toc11445"/>
      <w:r>
        <w:rPr>
          <w:rFonts w:hint="eastAsia" w:ascii="宋体" w:hAnsi="宋体" w:eastAsia="宋体" w:cs="宋体"/>
          <w:b w:val="0"/>
          <w:color w:val="auto"/>
          <w:sz w:val="24"/>
          <w:szCs w:val="24"/>
          <w:highlight w:val="none"/>
        </w:rPr>
        <w:t>11.5 承包人的工期延误</w:t>
      </w:r>
      <w:bookmarkEnd w:id="110"/>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pStyle w:val="3"/>
        <w:spacing w:before="240" w:after="240" w:line="360" w:lineRule="auto"/>
        <w:rPr>
          <w:rFonts w:hint="eastAsia" w:ascii="宋体" w:hAnsi="宋体" w:eastAsia="宋体" w:cs="宋体"/>
          <w:color w:val="auto"/>
          <w:highlight w:val="none"/>
        </w:rPr>
      </w:pPr>
      <w:bookmarkStart w:id="111" w:name="_Toc16886"/>
      <w:r>
        <w:rPr>
          <w:rFonts w:hint="eastAsia" w:ascii="宋体" w:hAnsi="宋体" w:eastAsia="宋体" w:cs="宋体"/>
          <w:b w:val="0"/>
          <w:color w:val="auto"/>
          <w:sz w:val="24"/>
          <w:szCs w:val="24"/>
          <w:highlight w:val="none"/>
        </w:rPr>
        <w:t>11.6 工期提前</w:t>
      </w:r>
      <w:bookmarkEnd w:id="111"/>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 </w:t>
      </w:r>
    </w:p>
    <w:p>
      <w:pPr>
        <w:pStyle w:val="3"/>
        <w:spacing w:before="480" w:after="240" w:line="360" w:lineRule="auto"/>
        <w:rPr>
          <w:rFonts w:hint="eastAsia" w:ascii="宋体" w:hAnsi="宋体" w:eastAsia="宋体" w:cs="宋体"/>
          <w:color w:val="auto"/>
          <w:highlight w:val="none"/>
        </w:rPr>
      </w:pPr>
      <w:bookmarkStart w:id="112" w:name="_Toc23974"/>
      <w:r>
        <w:rPr>
          <w:rFonts w:hint="eastAsia" w:ascii="宋体" w:hAnsi="宋体" w:eastAsia="宋体" w:cs="宋体"/>
          <w:b w:val="0"/>
          <w:color w:val="auto"/>
          <w:sz w:val="28"/>
          <w:szCs w:val="28"/>
          <w:highlight w:val="none"/>
        </w:rPr>
        <w:t>12. 暂停施工</w:t>
      </w:r>
      <w:bookmarkEnd w:id="112"/>
    </w:p>
    <w:p>
      <w:pPr>
        <w:pStyle w:val="3"/>
        <w:spacing w:before="240" w:after="240" w:line="360" w:lineRule="auto"/>
        <w:rPr>
          <w:rFonts w:hint="eastAsia" w:ascii="宋体" w:hAnsi="宋体" w:eastAsia="宋体" w:cs="宋体"/>
          <w:color w:val="auto"/>
          <w:highlight w:val="none"/>
        </w:rPr>
      </w:pPr>
      <w:bookmarkStart w:id="113" w:name="_Toc28522"/>
      <w:r>
        <w:rPr>
          <w:rFonts w:hint="eastAsia" w:ascii="宋体" w:hAnsi="宋体" w:eastAsia="宋体" w:cs="宋体"/>
          <w:b w:val="0"/>
          <w:color w:val="auto"/>
          <w:sz w:val="24"/>
          <w:szCs w:val="24"/>
          <w:highlight w:val="none"/>
        </w:rPr>
        <w:t>12.1 承包人暂停施工的责任</w:t>
      </w:r>
      <w:bookmarkEnd w:id="113"/>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因下列暂停施工增加的费用和（或）工期延误由承包人承担：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（1）承包人违约引起的暂停施工；</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（2）由于承包人原因为工程合理施工和安全保障所必需的暂停施工；</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（3）承包人擅自暂停施工；</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（4）承包人其他原因引起的暂停施工；</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（5）专用合同条款约定由承包人承担的其他暂停施工。</w:t>
      </w:r>
    </w:p>
    <w:p>
      <w:pPr>
        <w:pStyle w:val="3"/>
        <w:spacing w:before="240" w:after="240" w:line="360" w:lineRule="auto"/>
        <w:rPr>
          <w:rFonts w:hint="eastAsia" w:ascii="宋体" w:hAnsi="宋体" w:eastAsia="宋体" w:cs="宋体"/>
          <w:color w:val="auto"/>
          <w:highlight w:val="none"/>
        </w:rPr>
      </w:pPr>
      <w:bookmarkStart w:id="114" w:name="_Toc26131"/>
      <w:r>
        <w:rPr>
          <w:rFonts w:hint="eastAsia" w:ascii="宋体" w:hAnsi="宋体" w:eastAsia="宋体" w:cs="宋体"/>
          <w:b w:val="0"/>
          <w:color w:val="auto"/>
          <w:sz w:val="24"/>
          <w:szCs w:val="24"/>
          <w:highlight w:val="none"/>
        </w:rPr>
        <w:t>12.2 发包人暂停施工的责任</w:t>
      </w:r>
      <w:bookmarkEnd w:id="114"/>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由于发包人原因引起的暂停施工造成工期延误的，承包人有权要求发包人延长工期和（或）增加费用，并支付合理利润。</w:t>
      </w:r>
    </w:p>
    <w:p>
      <w:pPr>
        <w:pStyle w:val="3"/>
        <w:spacing w:before="240" w:after="240" w:line="360" w:lineRule="auto"/>
        <w:rPr>
          <w:rFonts w:hint="eastAsia" w:ascii="宋体" w:hAnsi="宋体" w:eastAsia="宋体" w:cs="宋体"/>
          <w:color w:val="auto"/>
          <w:highlight w:val="none"/>
        </w:rPr>
      </w:pPr>
      <w:bookmarkStart w:id="115" w:name="_Toc12010"/>
      <w:r>
        <w:rPr>
          <w:rFonts w:hint="eastAsia" w:ascii="宋体" w:hAnsi="宋体" w:eastAsia="宋体" w:cs="宋体"/>
          <w:b w:val="0"/>
          <w:color w:val="auto"/>
          <w:sz w:val="24"/>
          <w:szCs w:val="24"/>
          <w:highlight w:val="none"/>
        </w:rPr>
        <w:t>12.3 监理人暂停施工指示</w:t>
      </w:r>
      <w:bookmarkEnd w:id="115"/>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12.3.1 监理人认为有必要时，可向承包人作出暂停施工的指示，承包人应按监理人指示暂停施工。不论由于何种原因引起的暂停施工，暂停施工期间承包人应负责妥善保护工程并提供安全保障。</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pStyle w:val="3"/>
        <w:spacing w:before="240" w:after="240" w:line="360" w:lineRule="auto"/>
        <w:rPr>
          <w:rFonts w:hint="eastAsia" w:ascii="宋体" w:hAnsi="宋体" w:eastAsia="宋体" w:cs="宋体"/>
          <w:color w:val="auto"/>
          <w:highlight w:val="none"/>
        </w:rPr>
      </w:pPr>
      <w:bookmarkStart w:id="116" w:name="_Toc31709"/>
      <w:r>
        <w:rPr>
          <w:rFonts w:hint="eastAsia" w:ascii="宋体" w:hAnsi="宋体" w:eastAsia="宋体" w:cs="宋体"/>
          <w:b w:val="0"/>
          <w:color w:val="auto"/>
          <w:sz w:val="24"/>
          <w:szCs w:val="24"/>
          <w:highlight w:val="none"/>
        </w:rPr>
        <w:t>12.4 暂停施工后的复工</w:t>
      </w:r>
      <w:bookmarkEnd w:id="116"/>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12.4.1暂停施工后，监理人应与发包人和承包人协商，采取有效措施积极消除暂停施工的影响。当工程具备复工条件时，监理人应立即向承包人发出复工通知。承包人收到复工通知后，应在监理人指定的期限内复工。</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12.4.2承包人无故拖延和拒绝复工的，由此增加的费用和工期延误由承包人承担；因发包人原因无法按时复工的，承包人有权要求发包人延长工期和（或）增加费用，并支付合理利润。</w:t>
      </w:r>
    </w:p>
    <w:p>
      <w:pPr>
        <w:pStyle w:val="3"/>
        <w:spacing w:before="240" w:after="240" w:line="360" w:lineRule="auto"/>
        <w:rPr>
          <w:rFonts w:hint="eastAsia" w:ascii="宋体" w:hAnsi="宋体" w:eastAsia="宋体" w:cs="宋体"/>
          <w:color w:val="auto"/>
          <w:highlight w:val="none"/>
        </w:rPr>
      </w:pPr>
      <w:bookmarkStart w:id="117" w:name="_Toc21709"/>
      <w:r>
        <w:rPr>
          <w:rFonts w:hint="eastAsia" w:ascii="宋体" w:hAnsi="宋体" w:eastAsia="宋体" w:cs="宋体"/>
          <w:b w:val="0"/>
          <w:color w:val="auto"/>
          <w:sz w:val="24"/>
          <w:szCs w:val="24"/>
          <w:highlight w:val="none"/>
        </w:rPr>
        <w:t>12.5 暂停施工持续56天以上</w:t>
      </w:r>
      <w:bookmarkEnd w:id="117"/>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12.5.1监理人发出暂停施工指示后56天内未向承包人发出复工通知，除了该项停工属于第12.1款的情况外，承包人可向监理人提交书面通知，要求监理人在收到书面通知后28天内准许已暂停施工的工程或其中一部分工程继续施工。如监理人逾期不予批准，则承包人可以通知监理人，将工程受影响的部分视为按第15.1（1）项的可取消工作。如暂停施工影响到整个工程，可视为发包人违约，应按第22.2款的约定办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12.5.2由于承包人责任引起的暂停施工，如承包人在收到监理人暂停施工指示后56天内不认真采取有效的复工措施，造成工期延误，可视为承包人违约，应按第22.1款的约定办理。</w:t>
      </w:r>
    </w:p>
    <w:p>
      <w:pPr>
        <w:pStyle w:val="3"/>
        <w:spacing w:before="480" w:after="240" w:line="360" w:lineRule="auto"/>
        <w:rPr>
          <w:rFonts w:hint="eastAsia" w:ascii="宋体" w:hAnsi="宋体" w:eastAsia="宋体" w:cs="宋体"/>
          <w:color w:val="auto"/>
          <w:highlight w:val="none"/>
        </w:rPr>
      </w:pPr>
      <w:bookmarkStart w:id="118" w:name="_Toc10258"/>
      <w:r>
        <w:rPr>
          <w:rFonts w:hint="eastAsia" w:ascii="宋体" w:hAnsi="宋体" w:eastAsia="宋体" w:cs="宋体"/>
          <w:b w:val="0"/>
          <w:color w:val="auto"/>
          <w:sz w:val="28"/>
          <w:szCs w:val="28"/>
          <w:highlight w:val="none"/>
        </w:rPr>
        <w:t>13. 工程质量</w:t>
      </w:r>
      <w:bookmarkEnd w:id="118"/>
    </w:p>
    <w:p>
      <w:pPr>
        <w:pStyle w:val="3"/>
        <w:spacing w:before="240" w:after="240" w:line="360" w:lineRule="auto"/>
        <w:rPr>
          <w:rFonts w:hint="eastAsia" w:ascii="宋体" w:hAnsi="宋体" w:eastAsia="宋体" w:cs="宋体"/>
          <w:color w:val="auto"/>
          <w:highlight w:val="none"/>
        </w:rPr>
      </w:pPr>
      <w:bookmarkStart w:id="119" w:name="_Toc31665"/>
      <w:r>
        <w:rPr>
          <w:rFonts w:hint="eastAsia" w:ascii="宋体" w:hAnsi="宋体" w:eastAsia="宋体" w:cs="宋体"/>
          <w:b w:val="0"/>
          <w:color w:val="auto"/>
          <w:sz w:val="24"/>
          <w:szCs w:val="24"/>
          <w:highlight w:val="none"/>
        </w:rPr>
        <w:t>13.1 工程质量要求</w:t>
      </w:r>
      <w:bookmarkEnd w:id="119"/>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13.1.1 工程质量验收按合同约定验收标准执行。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13.1.2 因承包人原因造成工程质量达不到合同约定验收标准的，监理人有权要求承包人返工直至符合合同要求为止，由此造成的费用增加和（或）工期延误由承包人承担。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13.1.3 因发包人原因造成工程质量达不到合同约定验收标准的，发包人应承担由于承包人返工造成的费用增加和（或）工期延误，并支付承包人合理利润。</w:t>
      </w:r>
    </w:p>
    <w:p>
      <w:pPr>
        <w:pStyle w:val="3"/>
        <w:spacing w:before="240" w:after="240" w:line="360" w:lineRule="auto"/>
        <w:rPr>
          <w:rFonts w:hint="eastAsia" w:ascii="宋体" w:hAnsi="宋体" w:eastAsia="宋体" w:cs="宋体"/>
          <w:color w:val="auto"/>
          <w:highlight w:val="none"/>
        </w:rPr>
      </w:pPr>
      <w:bookmarkStart w:id="120" w:name="_Toc8574"/>
      <w:r>
        <w:rPr>
          <w:rFonts w:hint="eastAsia" w:ascii="宋体" w:hAnsi="宋体" w:eastAsia="宋体" w:cs="宋体"/>
          <w:b w:val="0"/>
          <w:color w:val="auto"/>
          <w:sz w:val="24"/>
          <w:szCs w:val="24"/>
          <w:highlight w:val="none"/>
        </w:rPr>
        <w:t>13.2 承包人的质量管理</w:t>
      </w:r>
      <w:bookmarkEnd w:id="120"/>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13.2.1 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13.2.2 承包人应加强对施工人员的质量教育和技术培训，定期考核施工人员的劳动技能，严格执行规范和操作规程。</w:t>
      </w:r>
    </w:p>
    <w:p>
      <w:pPr>
        <w:pStyle w:val="3"/>
        <w:spacing w:before="240" w:after="240" w:line="360" w:lineRule="auto"/>
        <w:rPr>
          <w:rFonts w:hint="eastAsia" w:ascii="宋体" w:hAnsi="宋体" w:eastAsia="宋体" w:cs="宋体"/>
          <w:color w:val="auto"/>
          <w:highlight w:val="none"/>
        </w:rPr>
      </w:pPr>
      <w:bookmarkStart w:id="121" w:name="_Toc29519"/>
      <w:r>
        <w:rPr>
          <w:rFonts w:hint="eastAsia" w:ascii="宋体" w:hAnsi="宋体" w:eastAsia="宋体" w:cs="宋体"/>
          <w:b w:val="0"/>
          <w:color w:val="auto"/>
          <w:sz w:val="24"/>
          <w:szCs w:val="24"/>
          <w:highlight w:val="none"/>
        </w:rPr>
        <w:t>13.3 承包人的质量检查</w:t>
      </w:r>
      <w:bookmarkEnd w:id="121"/>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承包人应按合同约定对材料、工程设备以及工程的所有部位及其施工工艺进行全过程的质量检查和检验，并作详细记录，编制工程质量报表，报送监理人审查。</w:t>
      </w:r>
    </w:p>
    <w:p>
      <w:pPr>
        <w:pStyle w:val="3"/>
        <w:spacing w:before="240" w:after="240" w:line="360" w:lineRule="auto"/>
        <w:rPr>
          <w:rFonts w:hint="eastAsia" w:ascii="宋体" w:hAnsi="宋体" w:eastAsia="宋体" w:cs="宋体"/>
          <w:color w:val="auto"/>
          <w:highlight w:val="none"/>
        </w:rPr>
      </w:pPr>
      <w:bookmarkStart w:id="122" w:name="_Toc1184"/>
      <w:r>
        <w:rPr>
          <w:rFonts w:hint="eastAsia" w:ascii="宋体" w:hAnsi="宋体" w:eastAsia="宋体" w:cs="宋体"/>
          <w:b w:val="0"/>
          <w:color w:val="auto"/>
          <w:sz w:val="24"/>
          <w:szCs w:val="24"/>
          <w:highlight w:val="none"/>
        </w:rPr>
        <w:t>13.4 监理人的质量检查</w:t>
      </w:r>
      <w:bookmarkEnd w:id="122"/>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3"/>
        <w:spacing w:before="240" w:after="240" w:line="360" w:lineRule="auto"/>
        <w:rPr>
          <w:rFonts w:hint="eastAsia" w:ascii="宋体" w:hAnsi="宋体" w:eastAsia="宋体" w:cs="宋体"/>
          <w:color w:val="auto"/>
          <w:highlight w:val="none"/>
        </w:rPr>
      </w:pPr>
      <w:bookmarkStart w:id="123" w:name="_Toc2834"/>
      <w:r>
        <w:rPr>
          <w:rFonts w:hint="eastAsia" w:ascii="宋体" w:hAnsi="宋体" w:eastAsia="宋体" w:cs="宋体"/>
          <w:b w:val="0"/>
          <w:color w:val="auto"/>
          <w:sz w:val="24"/>
          <w:szCs w:val="24"/>
          <w:highlight w:val="none"/>
        </w:rPr>
        <w:t>13.5 工程隐蔽部位覆盖前的检查</w:t>
      </w:r>
      <w:bookmarkEnd w:id="123"/>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13.5.1 通知监理人检查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13.5.2 监理人未到场检查</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监理人未按第13.5.1项约定的时间进行检查的，除监理人另有指示外，承包人可自行完成覆盖工作，并作相应记录报送监理人，监理人应签字确认。监理人事后对检查记录有疑问的，可按第13.5.3项的约定重新检查。</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13.5.3 监理人重新检查</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按第13.5.1项或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13.5.4 承包人私自覆盖</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承包人未通知监理人到场检查，私自将工程隐蔽部位覆盖的，监理人有权指示承包人钻孔探测或揭开检查，由此增加的费用和（或）工期延误由承包人承担。</w:t>
      </w:r>
    </w:p>
    <w:p>
      <w:pPr>
        <w:pStyle w:val="3"/>
        <w:spacing w:before="240" w:after="240" w:line="360" w:lineRule="auto"/>
        <w:rPr>
          <w:rFonts w:hint="eastAsia" w:ascii="宋体" w:hAnsi="宋体" w:eastAsia="宋体" w:cs="宋体"/>
          <w:color w:val="auto"/>
          <w:highlight w:val="none"/>
        </w:rPr>
      </w:pPr>
      <w:bookmarkStart w:id="124" w:name="_Toc7293"/>
      <w:r>
        <w:rPr>
          <w:rFonts w:hint="eastAsia" w:ascii="宋体" w:hAnsi="宋体" w:eastAsia="宋体" w:cs="宋体"/>
          <w:b w:val="0"/>
          <w:color w:val="auto"/>
          <w:sz w:val="24"/>
          <w:szCs w:val="24"/>
          <w:highlight w:val="none"/>
        </w:rPr>
        <w:t>13.6 清除不合格工程</w:t>
      </w:r>
      <w:bookmarkEnd w:id="124"/>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13.6.1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13.6.2由于发包人提供的材料或工程设备不合格造成的工程不合格，需要承包人采取措施补救的，发包人应承担由此增加的费用和（或）工期延误，并支付承包人合理利润。</w:t>
      </w:r>
    </w:p>
    <w:p>
      <w:pPr>
        <w:pStyle w:val="3"/>
        <w:spacing w:before="480" w:after="240" w:line="360" w:lineRule="auto"/>
        <w:rPr>
          <w:rFonts w:hint="eastAsia" w:ascii="宋体" w:hAnsi="宋体" w:eastAsia="宋体" w:cs="宋体"/>
          <w:color w:val="auto"/>
          <w:highlight w:val="none"/>
        </w:rPr>
      </w:pPr>
      <w:bookmarkStart w:id="125" w:name="_Toc15907"/>
      <w:r>
        <w:rPr>
          <w:rFonts w:hint="eastAsia" w:ascii="宋体" w:hAnsi="宋体" w:eastAsia="宋体" w:cs="宋体"/>
          <w:b w:val="0"/>
          <w:color w:val="auto"/>
          <w:sz w:val="28"/>
          <w:szCs w:val="28"/>
          <w:highlight w:val="none"/>
        </w:rPr>
        <w:t>14. 试验和检验</w:t>
      </w:r>
      <w:bookmarkEnd w:id="125"/>
    </w:p>
    <w:p>
      <w:pPr>
        <w:pStyle w:val="3"/>
        <w:spacing w:before="240" w:after="240" w:line="360" w:lineRule="auto"/>
        <w:rPr>
          <w:rFonts w:hint="eastAsia" w:ascii="宋体" w:hAnsi="宋体" w:eastAsia="宋体" w:cs="宋体"/>
          <w:color w:val="auto"/>
          <w:highlight w:val="none"/>
        </w:rPr>
      </w:pPr>
      <w:bookmarkStart w:id="126" w:name="_Toc19183"/>
      <w:r>
        <w:rPr>
          <w:rFonts w:hint="eastAsia" w:ascii="宋体" w:hAnsi="宋体" w:eastAsia="宋体" w:cs="宋体"/>
          <w:b w:val="0"/>
          <w:color w:val="auto"/>
          <w:sz w:val="24"/>
          <w:szCs w:val="24"/>
          <w:highlight w:val="none"/>
        </w:rPr>
        <w:t>14.1 材料、工程设备和工程的试验和检验</w:t>
      </w:r>
      <w:bookmarkEnd w:id="126"/>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14.1.2 监理人未按合同约定派员参加试验和检验的，除监理人另有指示外，承包人可自行试验和检验，并应立即将试验和检验结果报送监理人，监理人应签字确认。</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3"/>
        <w:spacing w:before="240" w:after="240" w:line="360" w:lineRule="auto"/>
        <w:rPr>
          <w:rFonts w:hint="eastAsia" w:ascii="宋体" w:hAnsi="宋体" w:eastAsia="宋体" w:cs="宋体"/>
          <w:color w:val="auto"/>
          <w:highlight w:val="none"/>
        </w:rPr>
      </w:pPr>
      <w:bookmarkStart w:id="127" w:name="_Toc13571"/>
      <w:r>
        <w:rPr>
          <w:rFonts w:hint="eastAsia" w:ascii="宋体" w:hAnsi="宋体" w:eastAsia="宋体" w:cs="宋体"/>
          <w:b w:val="0"/>
          <w:color w:val="auto"/>
          <w:sz w:val="24"/>
          <w:szCs w:val="24"/>
          <w:highlight w:val="none"/>
        </w:rPr>
        <w:t>14.2 现场材料试验</w:t>
      </w:r>
      <w:bookmarkEnd w:id="127"/>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14.2.1 承包人根据合同约定或监理人指示进行的现场材料试验，应由承包人提供试验场所、试验人员、试验设备器材以及其他必要的试验条件。</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14.2.2 监理人在必要时可以使用承包人的试验场所、试验设备器材以及其他试验条件，进行以工程质量检查为目的的复核性材料试验，承包人应予以协助。</w:t>
      </w:r>
    </w:p>
    <w:p>
      <w:pPr>
        <w:pStyle w:val="3"/>
        <w:spacing w:before="240" w:after="240" w:line="360" w:lineRule="auto"/>
        <w:rPr>
          <w:rFonts w:hint="eastAsia" w:ascii="宋体" w:hAnsi="宋体" w:eastAsia="宋体" w:cs="宋体"/>
          <w:color w:val="auto"/>
          <w:highlight w:val="none"/>
        </w:rPr>
      </w:pPr>
      <w:bookmarkStart w:id="128" w:name="_Toc21584"/>
      <w:r>
        <w:rPr>
          <w:rFonts w:hint="eastAsia" w:ascii="宋体" w:hAnsi="宋体" w:eastAsia="宋体" w:cs="宋体"/>
          <w:b w:val="0"/>
          <w:color w:val="auto"/>
          <w:sz w:val="24"/>
          <w:szCs w:val="24"/>
          <w:highlight w:val="none"/>
        </w:rPr>
        <w:t>14.3 现场工艺试验</w:t>
      </w:r>
      <w:bookmarkEnd w:id="128"/>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承包人应按合同约定或监理人指示进行现场工艺试验。对大型的现场工艺试验，监理人认为必要时，应由承包人根据监理人提出的工艺试验要求，编制工艺试验措施计划，报送监理人审批。</w:t>
      </w:r>
    </w:p>
    <w:p>
      <w:pPr>
        <w:pStyle w:val="3"/>
        <w:spacing w:before="480" w:after="240" w:line="360" w:lineRule="auto"/>
        <w:rPr>
          <w:rFonts w:hint="eastAsia" w:ascii="宋体" w:hAnsi="宋体" w:eastAsia="宋体" w:cs="宋体"/>
          <w:color w:val="auto"/>
          <w:highlight w:val="none"/>
        </w:rPr>
      </w:pPr>
      <w:bookmarkStart w:id="129" w:name="_Toc28922"/>
      <w:r>
        <w:rPr>
          <w:rFonts w:hint="eastAsia" w:ascii="宋体" w:hAnsi="宋体" w:eastAsia="宋体" w:cs="宋体"/>
          <w:b w:val="0"/>
          <w:color w:val="auto"/>
          <w:sz w:val="28"/>
          <w:szCs w:val="28"/>
          <w:highlight w:val="none"/>
        </w:rPr>
        <w:t>15. 变更</w:t>
      </w:r>
      <w:bookmarkEnd w:id="129"/>
    </w:p>
    <w:p>
      <w:pPr>
        <w:pStyle w:val="3"/>
        <w:spacing w:before="240" w:after="240" w:line="360" w:lineRule="auto"/>
        <w:rPr>
          <w:rFonts w:hint="eastAsia" w:ascii="宋体" w:hAnsi="宋体" w:eastAsia="宋体" w:cs="宋体"/>
          <w:color w:val="auto"/>
          <w:highlight w:val="none"/>
        </w:rPr>
      </w:pPr>
      <w:bookmarkStart w:id="130" w:name="_Toc12735"/>
      <w:r>
        <w:rPr>
          <w:rFonts w:hint="eastAsia" w:ascii="宋体" w:hAnsi="宋体" w:eastAsia="宋体" w:cs="宋体"/>
          <w:b w:val="0"/>
          <w:color w:val="auto"/>
          <w:sz w:val="24"/>
          <w:szCs w:val="24"/>
          <w:highlight w:val="none"/>
        </w:rPr>
        <w:t>15.1 变更的范围和内容</w:t>
      </w:r>
      <w:bookmarkEnd w:id="130"/>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除专用合同条款另有约定外，在履行合同中发生以下情形之一，应按照本条规定进行变更。</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（1）取消合同中任何一项工作，但被取消的工作不能转由发包人或其他人实施；</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（2）改变合同中任何一项工作的质量或其他特性；</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（3）改变合同工程的基线、标高、位置或尺寸；</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（4）改变合同中任何一项工作的施工时间或改变已批准的施工工艺或顺序；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（5）为完成工程需要追加的额外工作。</w:t>
      </w:r>
    </w:p>
    <w:p>
      <w:pPr>
        <w:pStyle w:val="3"/>
        <w:spacing w:before="240" w:after="240" w:line="360" w:lineRule="auto"/>
        <w:rPr>
          <w:rFonts w:hint="eastAsia" w:ascii="宋体" w:hAnsi="宋体" w:eastAsia="宋体" w:cs="宋体"/>
          <w:color w:val="auto"/>
          <w:highlight w:val="none"/>
        </w:rPr>
      </w:pPr>
      <w:bookmarkStart w:id="131" w:name="_Toc22486"/>
      <w:r>
        <w:rPr>
          <w:rFonts w:hint="eastAsia" w:ascii="宋体" w:hAnsi="宋体" w:eastAsia="宋体" w:cs="宋体"/>
          <w:b w:val="0"/>
          <w:color w:val="auto"/>
          <w:sz w:val="24"/>
          <w:szCs w:val="24"/>
          <w:highlight w:val="none"/>
        </w:rPr>
        <w:t>15.2 变更权</w:t>
      </w:r>
      <w:bookmarkEnd w:id="131"/>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在履行合同过程中，经发包人同意，监理人可按第15.3款约定的变更程序向承包人作出变更指示，承包人应遵照执行。没有监理人的变更指示，承包人不得擅自变更。</w:t>
      </w:r>
    </w:p>
    <w:p>
      <w:pPr>
        <w:pStyle w:val="3"/>
        <w:spacing w:before="240" w:after="240" w:line="360" w:lineRule="auto"/>
        <w:rPr>
          <w:rFonts w:hint="eastAsia" w:ascii="宋体" w:hAnsi="宋体" w:eastAsia="宋体" w:cs="宋体"/>
          <w:color w:val="auto"/>
          <w:highlight w:val="none"/>
        </w:rPr>
      </w:pPr>
      <w:bookmarkStart w:id="132" w:name="_Toc26192"/>
      <w:r>
        <w:rPr>
          <w:rFonts w:hint="eastAsia" w:ascii="宋体" w:hAnsi="宋体" w:eastAsia="宋体" w:cs="宋体"/>
          <w:b w:val="0"/>
          <w:color w:val="auto"/>
          <w:sz w:val="24"/>
          <w:szCs w:val="24"/>
          <w:highlight w:val="none"/>
        </w:rPr>
        <w:t>15.3 变更程序</w:t>
      </w:r>
      <w:bookmarkEnd w:id="132"/>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15.3.1 变更的提出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（2）在合同履行过程中，发生第15.1款约定情形的，监理人应按照第15.3.3项约定向承包人发出变更指示。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（4）若承包人收到监理人的变更意向书后认为难以实施此项变更，应立即通知监理人，说明原因并附详细依据。监理人与承包人和发包人协商后确定撤销、改变或不改变原变更意向书。</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15.3.2 变更估价</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（2）变更工作影响工期的，承包人应提出调整工期的具体细节。监理人认为有必要时，可要求承包人提交要求提前或延长工期的施工进度计划及相应施工措施等详细资料。</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（3）除专用合同条款对期限另有约定外，监理人收到承包人变更报价书后的14天内，根据第15.4款约定的估价原则，按照第3.5款商定或确定变更价格。</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15.3.3 变更指示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（1）变更指示只能由监理人发出。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（2）变更指示应说明变更的目的、范围、变更内容以及变更的工程量及其进度和技术要求，并附有关图纸和文件。承包人收到变更指示后，应按变更指示进行变更工作。</w:t>
      </w:r>
    </w:p>
    <w:p>
      <w:pPr>
        <w:pStyle w:val="3"/>
        <w:spacing w:before="240" w:after="240" w:line="360" w:lineRule="auto"/>
        <w:rPr>
          <w:rFonts w:hint="eastAsia" w:ascii="宋体" w:hAnsi="宋体" w:eastAsia="宋体" w:cs="宋体"/>
          <w:color w:val="auto"/>
          <w:highlight w:val="none"/>
        </w:rPr>
      </w:pPr>
      <w:bookmarkStart w:id="133" w:name="_Toc19156"/>
      <w:r>
        <w:rPr>
          <w:rFonts w:hint="eastAsia" w:ascii="宋体" w:hAnsi="宋体" w:eastAsia="宋体" w:cs="宋体"/>
          <w:b w:val="0"/>
          <w:color w:val="auto"/>
          <w:sz w:val="24"/>
          <w:szCs w:val="24"/>
          <w:highlight w:val="none"/>
        </w:rPr>
        <w:t>15.4 变更的估价原则</w:t>
      </w:r>
      <w:bookmarkEnd w:id="133"/>
      <w:r>
        <w:rPr>
          <w:rFonts w:hint="eastAsia" w:ascii="宋体" w:hAnsi="宋体" w:eastAsia="宋体" w:cs="宋体"/>
          <w:b w:val="0"/>
          <w:color w:val="auto"/>
          <w:sz w:val="24"/>
          <w:szCs w:val="24"/>
          <w:highlight w:val="none"/>
        </w:rPr>
        <w:t xml:space="preserve"> </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除专用合同条款另有约定外，因变更引起的价格调整按照本款约定处理。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15.4.1 已标价工程量清单中有适用于变更工作的子目的，采用该子目的单价。</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15.4.2 已标价工程量清单中无适用于变更工作的子目，但有类似子目的，可在合理范围内参照类似子目的单价，由监理人按第3.5款商定或确定变更工作的单价。</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15.4.3 已标价工程量清单中无适用或类似子目的单价，可按照成本加利润的原则，由监理人按第3.5款商定或确定变更工作的单价。</w:t>
      </w:r>
    </w:p>
    <w:p>
      <w:pPr>
        <w:pStyle w:val="3"/>
        <w:spacing w:before="240" w:after="240" w:line="360" w:lineRule="auto"/>
        <w:rPr>
          <w:rFonts w:hint="eastAsia" w:ascii="宋体" w:hAnsi="宋体" w:eastAsia="宋体" w:cs="宋体"/>
          <w:color w:val="auto"/>
          <w:highlight w:val="none"/>
        </w:rPr>
      </w:pPr>
      <w:bookmarkStart w:id="134" w:name="_Toc30431"/>
      <w:r>
        <w:rPr>
          <w:rFonts w:hint="eastAsia" w:ascii="宋体" w:hAnsi="宋体" w:eastAsia="宋体" w:cs="宋体"/>
          <w:b w:val="0"/>
          <w:color w:val="auto"/>
          <w:sz w:val="24"/>
          <w:szCs w:val="24"/>
          <w:highlight w:val="none"/>
        </w:rPr>
        <w:t>15.5 承包人的合理化建议</w:t>
      </w:r>
      <w:bookmarkEnd w:id="134"/>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15.5.2 承包人提出的合理化建议降低了合同价格、缩短了工期或者提高了工程经济效益的，发包人可按国家有关规定在专用合同条款中约定给予奖励。</w:t>
      </w:r>
    </w:p>
    <w:p>
      <w:pPr>
        <w:pStyle w:val="3"/>
        <w:spacing w:before="240" w:after="240" w:line="360" w:lineRule="auto"/>
        <w:rPr>
          <w:rFonts w:hint="eastAsia" w:ascii="宋体" w:hAnsi="宋体" w:eastAsia="宋体" w:cs="宋体"/>
          <w:color w:val="auto"/>
          <w:highlight w:val="none"/>
        </w:rPr>
      </w:pPr>
      <w:bookmarkStart w:id="135" w:name="_Toc2477"/>
      <w:r>
        <w:rPr>
          <w:rFonts w:hint="eastAsia" w:ascii="宋体" w:hAnsi="宋体" w:eastAsia="宋体" w:cs="宋体"/>
          <w:b w:val="0"/>
          <w:color w:val="auto"/>
          <w:sz w:val="24"/>
          <w:szCs w:val="24"/>
          <w:highlight w:val="none"/>
        </w:rPr>
        <w:t>15.6 暂列金额</w:t>
      </w:r>
      <w:bookmarkEnd w:id="135"/>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暂列金额只能按照监理人的指示使用，并对合同价格进行相应调整。</w:t>
      </w:r>
    </w:p>
    <w:p>
      <w:pPr>
        <w:pStyle w:val="3"/>
        <w:spacing w:before="240" w:after="240" w:line="360" w:lineRule="auto"/>
        <w:rPr>
          <w:rFonts w:hint="eastAsia" w:ascii="宋体" w:hAnsi="宋体" w:eastAsia="宋体" w:cs="宋体"/>
          <w:color w:val="auto"/>
          <w:highlight w:val="none"/>
        </w:rPr>
      </w:pPr>
      <w:bookmarkStart w:id="136" w:name="_Toc24931"/>
      <w:r>
        <w:rPr>
          <w:rFonts w:hint="eastAsia" w:ascii="宋体" w:hAnsi="宋体" w:eastAsia="宋体" w:cs="宋体"/>
          <w:b w:val="0"/>
          <w:color w:val="auto"/>
          <w:sz w:val="24"/>
          <w:szCs w:val="24"/>
          <w:highlight w:val="none"/>
        </w:rPr>
        <w:t>15.7 计日工</w:t>
      </w:r>
      <w:bookmarkEnd w:id="136"/>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15.7.1 发包人认为有必要时，由监理人通知承包人以计日工方式实施变更的零星工作。其价款按列入已标价工程量清单中的计日工计价子目及其单价进行计算。</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15.7.2 采用计日工计价的任何一项变更工作，应从暂列金额中支付，承包人应在该项变更的实施过程中，每天提交以下报表和有关凭证报送监理人审批：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（1）工作名称、内容和数量；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（2）投入该工作所有人员的姓名、工种、级别和耗用工时；</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（3）投入该工作的材料类别和数量；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（4）投入该工作的施工设备型号、台数和耗用台时；</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（5）监理人要求提交的其他资料和凭证。</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15.7.3 计日工由承包人汇总后，按第17.3.2项的约定列入进度付款申请单，由监理人复核并经发包人同意后列入进度付款。</w:t>
      </w:r>
    </w:p>
    <w:p>
      <w:pPr>
        <w:pStyle w:val="3"/>
        <w:spacing w:before="240" w:after="240" w:line="360" w:lineRule="auto"/>
        <w:rPr>
          <w:rFonts w:hint="eastAsia" w:ascii="宋体" w:hAnsi="宋体" w:eastAsia="宋体" w:cs="宋体"/>
          <w:color w:val="auto"/>
          <w:highlight w:val="none"/>
        </w:rPr>
      </w:pPr>
      <w:bookmarkStart w:id="137" w:name="_Toc27413"/>
      <w:r>
        <w:rPr>
          <w:rFonts w:hint="eastAsia" w:ascii="宋体" w:hAnsi="宋体" w:eastAsia="宋体" w:cs="宋体"/>
          <w:b w:val="0"/>
          <w:color w:val="auto"/>
          <w:sz w:val="24"/>
          <w:szCs w:val="24"/>
          <w:highlight w:val="none"/>
        </w:rPr>
        <w:t>15.8暂估价</w:t>
      </w:r>
      <w:bookmarkEnd w:id="137"/>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15.8.1 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15.8.2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15.8.3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pPr>
        <w:pStyle w:val="3"/>
        <w:spacing w:before="480" w:after="240" w:line="360" w:lineRule="auto"/>
        <w:rPr>
          <w:rFonts w:hint="eastAsia" w:ascii="宋体" w:hAnsi="宋体" w:eastAsia="宋体" w:cs="宋体"/>
          <w:color w:val="auto"/>
          <w:highlight w:val="none"/>
        </w:rPr>
      </w:pPr>
      <w:bookmarkStart w:id="138" w:name="_Toc6129"/>
      <w:r>
        <w:rPr>
          <w:rFonts w:hint="eastAsia" w:ascii="宋体" w:hAnsi="宋体" w:eastAsia="宋体" w:cs="宋体"/>
          <w:b w:val="0"/>
          <w:color w:val="auto"/>
          <w:sz w:val="28"/>
          <w:szCs w:val="28"/>
          <w:highlight w:val="none"/>
        </w:rPr>
        <w:t>16. 价格调整</w:t>
      </w:r>
      <w:bookmarkEnd w:id="138"/>
    </w:p>
    <w:p>
      <w:pPr>
        <w:pStyle w:val="3"/>
        <w:spacing w:before="240" w:after="240" w:line="360" w:lineRule="auto"/>
        <w:rPr>
          <w:rFonts w:hint="eastAsia" w:ascii="宋体" w:hAnsi="宋体" w:eastAsia="宋体" w:cs="宋体"/>
          <w:color w:val="auto"/>
          <w:highlight w:val="none"/>
        </w:rPr>
      </w:pPr>
      <w:bookmarkStart w:id="139" w:name="_Toc32307"/>
      <w:r>
        <w:rPr>
          <w:rFonts w:hint="eastAsia" w:ascii="宋体" w:hAnsi="宋体" w:eastAsia="宋体" w:cs="宋体"/>
          <w:b w:val="0"/>
          <w:color w:val="auto"/>
          <w:sz w:val="24"/>
          <w:szCs w:val="24"/>
          <w:highlight w:val="none"/>
        </w:rPr>
        <w:t>16.1 物价波动引起的价格调整</w:t>
      </w:r>
      <w:bookmarkEnd w:id="139"/>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除专用合同条款另有约定外，因物价波动引起的价格调整按照本款约定处理。</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16.1.1 采用价格指数调整价格差额</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16.1.1.1 价格调整公式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因人工、材料和设备等价格波动影响合同价格时，根据投标函附录中的价格指数和权重表约定的数据，按以下公式计算差额并调整合同价格：</w:t>
      </w:r>
    </w:p>
    <w:p>
      <w:pPr>
        <w:autoSpaceDE w:val="0"/>
        <w:spacing w:line="360" w:lineRule="auto"/>
        <w:ind w:right="249"/>
        <w:jc w:val="center"/>
        <w:rPr>
          <w:rFonts w:hint="eastAsia" w:ascii="宋体" w:hAnsi="宋体" w:eastAsia="宋体" w:cs="宋体"/>
          <w:color w:val="auto"/>
          <w:sz w:val="24"/>
          <w:highlight w:val="none"/>
        </w:rPr>
      </w:pPr>
      <w:r>
        <w:rPr>
          <w:rFonts w:hint="eastAsia" w:ascii="宋体" w:hAnsi="宋体" w:eastAsia="宋体" w:cs="宋体"/>
          <w:color w:val="auto"/>
          <w:position w:val="-28"/>
          <w:highlight w:val="none"/>
        </w:rPr>
        <w:object>
          <v:shape id="_x0000_i1025" o:spt="75" type="#_x0000_t75" style="height:40.8pt;width:312.5pt;" o:ole="t" fillcolor="#FFFFFF" filled="t" o:preferrelative="t" stroked="f" coordsize="21600,21600">
            <v:path/>
            <v:fill on="t" color2="#000000" focussize="0,0"/>
            <v:stroke on="f"/>
            <v:imagedata r:id="rId12" cropleft="-10f" croptop="-80f" cropright="-10f" cropbottom="-80f" o:title=""/>
            <o:lock v:ext="edit" aspectratio="t"/>
            <w10:wrap type="none"/>
            <w10:anchorlock/>
          </v:shape>
          <o:OLEObject Type="Embed" ProgID="Equation.3" ShapeID="_x0000_i1025" DrawAspect="Content" ObjectID="_1468075725" r:id="rId11">
            <o:LockedField>false</o:LockedField>
          </o:OLEObject>
        </w:objec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式中： </w:t>
      </w:r>
      <w:r>
        <w:rPr>
          <w:rFonts w:hint="eastAsia" w:ascii="宋体" w:hAnsi="宋体" w:eastAsia="宋体" w:cs="宋体"/>
          <w:b/>
          <w:color w:val="auto"/>
          <w:sz w:val="24"/>
          <w:highlight w:val="none"/>
        </w:rPr>
        <w:t>△P</w:t>
      </w:r>
      <w:r>
        <w:rPr>
          <w:rFonts w:hint="eastAsia" w:ascii="宋体" w:hAnsi="宋体" w:eastAsia="宋体" w:cs="宋体"/>
          <w:color w:val="auto"/>
          <w:sz w:val="24"/>
          <w:highlight w:val="none"/>
        </w:rPr>
        <w:t>-- 需调整的价格差额；</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w:t>
      </w:r>
      <w:r>
        <w:rPr>
          <w:rFonts w:hint="eastAsia" w:ascii="宋体" w:hAnsi="宋体" w:eastAsia="宋体" w:cs="宋体"/>
          <w:b/>
          <w:bCs/>
          <w:color w:val="auto"/>
          <w:sz w:val="24"/>
          <w:highlight w:val="none"/>
          <w:lang w:val="zh-CN"/>
        </w:rPr>
        <w:t xml:space="preserve"> P</w:t>
      </w:r>
      <w:r>
        <w:rPr>
          <w:rFonts w:hint="eastAsia" w:ascii="宋体" w:hAnsi="宋体" w:eastAsia="宋体" w:cs="宋体"/>
          <w:b/>
          <w:bCs/>
          <w:color w:val="auto"/>
          <w:sz w:val="24"/>
          <w:highlight w:val="none"/>
          <w:vertAlign w:val="subscript"/>
          <w:lang w:val="zh-CN"/>
        </w:rPr>
        <w:t xml:space="preserve">0 </w:t>
      </w:r>
      <w:r>
        <w:rPr>
          <w:rFonts w:hint="eastAsia" w:ascii="宋体" w:hAnsi="宋体" w:eastAsia="宋体" w:cs="宋体"/>
          <w:color w:val="auto"/>
          <w:sz w:val="24"/>
          <w:highlight w:val="none"/>
        </w:rPr>
        <w:t xml:space="preserve">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w:t>
      </w:r>
      <w:r>
        <w:rPr>
          <w:rFonts w:hint="eastAsia" w:ascii="宋体" w:hAnsi="宋体" w:eastAsia="宋体" w:cs="宋体"/>
          <w:b/>
          <w:bCs/>
          <w:color w:val="auto"/>
          <w:sz w:val="24"/>
          <w:highlight w:val="none"/>
          <w:lang w:val="zh-CN"/>
        </w:rPr>
        <w:t xml:space="preserve"> A</w:t>
      </w:r>
      <w:r>
        <w:rPr>
          <w:rFonts w:hint="eastAsia" w:ascii="宋体" w:hAnsi="宋体" w:eastAsia="宋体" w:cs="宋体"/>
          <w:color w:val="auto"/>
          <w:sz w:val="24"/>
          <w:highlight w:val="none"/>
        </w:rPr>
        <w:t xml:space="preserve"> -- 定值权重（即不调部分的权重）；</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w:t>
      </w:r>
      <w:r>
        <w:rPr>
          <w:rFonts w:hint="eastAsia" w:ascii="宋体" w:hAnsi="宋体" w:eastAsia="宋体" w:cs="宋体"/>
          <w:b/>
          <w:bCs/>
          <w:color w:val="auto"/>
          <w:sz w:val="24"/>
          <w:highlight w:val="none"/>
        </w:rPr>
        <w:t xml:space="preserve"> B</w:t>
      </w:r>
      <w:r>
        <w:rPr>
          <w:rFonts w:hint="eastAsia" w:ascii="宋体" w:hAnsi="宋体" w:eastAsia="宋体" w:cs="宋体"/>
          <w:b/>
          <w:bCs/>
          <w:color w:val="auto"/>
          <w:sz w:val="24"/>
          <w:highlight w:val="none"/>
          <w:vertAlign w:val="subscript"/>
        </w:rPr>
        <w:t>1</w:t>
      </w:r>
      <w:r>
        <w:rPr>
          <w:rFonts w:hint="eastAsia" w:ascii="宋体" w:hAnsi="宋体" w:eastAsia="宋体" w:cs="宋体"/>
          <w:b/>
          <w:bCs/>
          <w:color w:val="auto"/>
          <w:sz w:val="24"/>
          <w:highlight w:val="none"/>
          <w:vertAlign w:val="subscript"/>
          <w:lang w:val="zh-CN"/>
        </w:rPr>
        <w:t xml:space="preserve">; </w:t>
      </w:r>
      <w:r>
        <w:rPr>
          <w:rFonts w:hint="eastAsia" w:ascii="宋体" w:hAnsi="宋体" w:eastAsia="宋体" w:cs="宋体"/>
          <w:b/>
          <w:bCs/>
          <w:color w:val="auto"/>
          <w:sz w:val="24"/>
          <w:highlight w:val="none"/>
        </w:rPr>
        <w:t>B</w:t>
      </w:r>
      <w:r>
        <w:rPr>
          <w:rFonts w:hint="eastAsia" w:ascii="宋体" w:hAnsi="宋体" w:eastAsia="宋体" w:cs="宋体"/>
          <w:b/>
          <w:bCs/>
          <w:color w:val="auto"/>
          <w:sz w:val="24"/>
          <w:highlight w:val="none"/>
          <w:vertAlign w:val="subscript"/>
        </w:rPr>
        <w:t>2</w:t>
      </w:r>
      <w:r>
        <w:rPr>
          <w:rFonts w:hint="eastAsia" w:ascii="宋体" w:hAnsi="宋体" w:eastAsia="宋体" w:cs="宋体"/>
          <w:b/>
          <w:bCs/>
          <w:color w:val="auto"/>
          <w:sz w:val="24"/>
          <w:highlight w:val="none"/>
          <w:vertAlign w:val="subscript"/>
          <w:lang w:val="zh-CN"/>
        </w:rPr>
        <w:t xml:space="preserve">; </w:t>
      </w:r>
      <w:r>
        <w:rPr>
          <w:rFonts w:hint="eastAsia" w:ascii="宋体" w:hAnsi="宋体" w:eastAsia="宋体" w:cs="宋体"/>
          <w:b/>
          <w:bCs/>
          <w:color w:val="auto"/>
          <w:sz w:val="24"/>
          <w:highlight w:val="none"/>
        </w:rPr>
        <w:t>B</w:t>
      </w:r>
      <w:r>
        <w:rPr>
          <w:rFonts w:hint="eastAsia" w:ascii="宋体" w:hAnsi="宋体" w:eastAsia="宋体" w:cs="宋体"/>
          <w:b/>
          <w:bCs/>
          <w:color w:val="auto"/>
          <w:sz w:val="24"/>
          <w:highlight w:val="none"/>
          <w:vertAlign w:val="subscript"/>
        </w:rPr>
        <w:t>3……</w:t>
      </w:r>
      <w:r>
        <w:rPr>
          <w:rFonts w:hint="eastAsia" w:ascii="宋体" w:hAnsi="宋体" w:eastAsia="宋体" w:cs="宋体"/>
          <w:b/>
          <w:bCs/>
          <w:color w:val="auto"/>
          <w:sz w:val="24"/>
          <w:highlight w:val="none"/>
          <w:lang w:val="zh-CN"/>
        </w:rPr>
        <w:t>B</w:t>
      </w:r>
      <w:r>
        <w:rPr>
          <w:rFonts w:hint="eastAsia" w:ascii="宋体" w:hAnsi="宋体" w:eastAsia="宋体" w:cs="宋体"/>
          <w:b/>
          <w:bCs/>
          <w:color w:val="auto"/>
          <w:sz w:val="24"/>
          <w:highlight w:val="none"/>
          <w:vertAlign w:val="subscript"/>
          <w:lang w:val="zh-CN"/>
        </w:rPr>
        <w:t>n</w:t>
      </w:r>
      <w:r>
        <w:rPr>
          <w:rFonts w:hint="eastAsia" w:ascii="宋体" w:hAnsi="宋体" w:eastAsia="宋体" w:cs="宋体"/>
          <w:color w:val="auto"/>
          <w:sz w:val="24"/>
          <w:highlight w:val="none"/>
          <w:vertAlign w:val="subscript"/>
        </w:rPr>
        <w:t xml:space="preserve"> </w:t>
      </w:r>
      <w:r>
        <w:rPr>
          <w:rFonts w:hint="eastAsia" w:ascii="宋体" w:hAnsi="宋体" w:eastAsia="宋体" w:cs="宋体"/>
          <w:color w:val="auto"/>
          <w:sz w:val="24"/>
          <w:highlight w:val="none"/>
        </w:rPr>
        <w:t xml:space="preserve"> -- 各可调因子的变值权重（即可调部分的权重）为各可调因子在投标函投标总报价中所占的比例；</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w:t>
      </w:r>
      <w:r>
        <w:rPr>
          <w:rFonts w:hint="eastAsia" w:ascii="宋体" w:hAnsi="宋体" w:eastAsia="宋体" w:cs="宋体"/>
          <w:b/>
          <w:bCs/>
          <w:color w:val="auto"/>
          <w:sz w:val="24"/>
          <w:highlight w:val="none"/>
          <w:lang w:val="zh-CN"/>
        </w:rPr>
        <w:t xml:space="preserve"> F</w:t>
      </w:r>
      <w:r>
        <w:rPr>
          <w:rFonts w:hint="eastAsia" w:ascii="宋体" w:hAnsi="宋体" w:eastAsia="宋体" w:cs="宋体"/>
          <w:b/>
          <w:bCs/>
          <w:color w:val="auto"/>
          <w:sz w:val="24"/>
          <w:highlight w:val="none"/>
          <w:vertAlign w:val="subscript"/>
          <w:lang w:val="zh-CN"/>
        </w:rPr>
        <w:t>t1;</w:t>
      </w:r>
      <w:r>
        <w:rPr>
          <w:rFonts w:hint="eastAsia" w:ascii="宋体" w:hAnsi="宋体" w:eastAsia="宋体" w:cs="宋体"/>
          <w:b/>
          <w:bCs/>
          <w:color w:val="auto"/>
          <w:sz w:val="24"/>
          <w:highlight w:val="none"/>
          <w:lang w:val="zh-CN"/>
        </w:rPr>
        <w:t xml:space="preserve"> F</w:t>
      </w:r>
      <w:r>
        <w:rPr>
          <w:rFonts w:hint="eastAsia" w:ascii="宋体" w:hAnsi="宋体" w:eastAsia="宋体" w:cs="宋体"/>
          <w:b/>
          <w:bCs/>
          <w:color w:val="auto"/>
          <w:sz w:val="24"/>
          <w:highlight w:val="none"/>
          <w:vertAlign w:val="subscript"/>
          <w:lang w:val="zh-CN"/>
        </w:rPr>
        <w:t>t2;</w:t>
      </w:r>
      <w:r>
        <w:rPr>
          <w:rFonts w:hint="eastAsia" w:ascii="宋体" w:hAnsi="宋体" w:eastAsia="宋体" w:cs="宋体"/>
          <w:b/>
          <w:bCs/>
          <w:color w:val="auto"/>
          <w:sz w:val="24"/>
          <w:highlight w:val="none"/>
          <w:lang w:val="zh-CN"/>
        </w:rPr>
        <w:t xml:space="preserve"> F</w:t>
      </w:r>
      <w:r>
        <w:rPr>
          <w:rFonts w:hint="eastAsia" w:ascii="宋体" w:hAnsi="宋体" w:eastAsia="宋体" w:cs="宋体"/>
          <w:b/>
          <w:bCs/>
          <w:color w:val="auto"/>
          <w:sz w:val="24"/>
          <w:highlight w:val="none"/>
          <w:vertAlign w:val="subscript"/>
          <w:lang w:val="zh-CN"/>
        </w:rPr>
        <w:t>t3</w:t>
      </w:r>
      <w:r>
        <w:rPr>
          <w:rFonts w:hint="eastAsia" w:ascii="宋体" w:hAnsi="宋体" w:eastAsia="宋体" w:cs="宋体"/>
          <w:b/>
          <w:bCs/>
          <w:color w:val="auto"/>
          <w:sz w:val="24"/>
          <w:highlight w:val="none"/>
          <w:lang w:val="zh-CN"/>
        </w:rPr>
        <w:t>……F</w:t>
      </w:r>
      <w:r>
        <w:rPr>
          <w:rFonts w:hint="eastAsia" w:ascii="宋体" w:hAnsi="宋体" w:eastAsia="宋体" w:cs="宋体"/>
          <w:b/>
          <w:bCs/>
          <w:color w:val="auto"/>
          <w:sz w:val="24"/>
          <w:highlight w:val="none"/>
          <w:vertAlign w:val="subscript"/>
          <w:lang w:val="zh-CN"/>
        </w:rPr>
        <w:t>tn</w:t>
      </w:r>
      <w:r>
        <w:rPr>
          <w:rFonts w:hint="eastAsia" w:ascii="宋体" w:hAnsi="宋体" w:eastAsia="宋体" w:cs="宋体"/>
          <w:color w:val="auto"/>
          <w:sz w:val="24"/>
          <w:highlight w:val="none"/>
        </w:rPr>
        <w:t xml:space="preserve"> -- 各可调因子的现行价格指数，指第17.3.3项、第17.5.2项和第17.6.2项约定的付款证书相关周期最后一天的前42天的各可调因子的价格指数；</w:t>
      </w:r>
    </w:p>
    <w:p>
      <w:pPr>
        <w:spacing w:line="360" w:lineRule="auto"/>
        <w:ind w:firstLine="716"/>
        <w:rPr>
          <w:rFonts w:hint="eastAsia" w:ascii="宋体" w:hAnsi="宋体" w:eastAsia="宋体" w:cs="宋体"/>
          <w:color w:val="auto"/>
          <w:highlight w:val="none"/>
        </w:rPr>
      </w:pPr>
      <w:r>
        <w:rPr>
          <w:rFonts w:hint="eastAsia" w:ascii="宋体" w:hAnsi="宋体" w:eastAsia="宋体" w:cs="宋体"/>
          <w:b/>
          <w:bCs/>
          <w:color w:val="auto"/>
          <w:sz w:val="24"/>
          <w:highlight w:val="none"/>
        </w:rPr>
        <w:t>F</w:t>
      </w:r>
      <w:r>
        <w:rPr>
          <w:rFonts w:hint="eastAsia" w:ascii="宋体" w:hAnsi="宋体" w:eastAsia="宋体" w:cs="宋体"/>
          <w:b/>
          <w:bCs/>
          <w:color w:val="auto"/>
          <w:sz w:val="24"/>
          <w:highlight w:val="none"/>
          <w:vertAlign w:val="subscript"/>
        </w:rPr>
        <w:t>o1;</w:t>
      </w:r>
      <w:r>
        <w:rPr>
          <w:rFonts w:hint="eastAsia" w:ascii="宋体" w:hAnsi="宋体" w:eastAsia="宋体" w:cs="宋体"/>
          <w:b/>
          <w:bCs/>
          <w:color w:val="auto"/>
          <w:sz w:val="24"/>
          <w:highlight w:val="none"/>
        </w:rPr>
        <w:t xml:space="preserve"> F</w:t>
      </w:r>
      <w:r>
        <w:rPr>
          <w:rFonts w:hint="eastAsia" w:ascii="宋体" w:hAnsi="宋体" w:eastAsia="宋体" w:cs="宋体"/>
          <w:b/>
          <w:bCs/>
          <w:color w:val="auto"/>
          <w:sz w:val="24"/>
          <w:highlight w:val="none"/>
          <w:vertAlign w:val="subscript"/>
        </w:rPr>
        <w:t>o2;</w:t>
      </w:r>
      <w:r>
        <w:rPr>
          <w:rFonts w:hint="eastAsia" w:ascii="宋体" w:hAnsi="宋体" w:eastAsia="宋体" w:cs="宋体"/>
          <w:b/>
          <w:bCs/>
          <w:color w:val="auto"/>
          <w:sz w:val="24"/>
          <w:highlight w:val="none"/>
        </w:rPr>
        <w:t xml:space="preserve"> F</w:t>
      </w:r>
      <w:r>
        <w:rPr>
          <w:rFonts w:hint="eastAsia" w:ascii="宋体" w:hAnsi="宋体" w:eastAsia="宋体" w:cs="宋体"/>
          <w:b/>
          <w:bCs/>
          <w:color w:val="auto"/>
          <w:sz w:val="24"/>
          <w:highlight w:val="none"/>
          <w:vertAlign w:val="subscript"/>
        </w:rPr>
        <w:t>o3</w:t>
      </w:r>
      <w:r>
        <w:rPr>
          <w:rFonts w:hint="eastAsia" w:ascii="宋体" w:hAnsi="宋体" w:eastAsia="宋体" w:cs="宋体"/>
          <w:b/>
          <w:bCs/>
          <w:color w:val="auto"/>
          <w:sz w:val="24"/>
          <w:highlight w:val="none"/>
        </w:rPr>
        <w:t>……F</w:t>
      </w:r>
      <w:r>
        <w:rPr>
          <w:rFonts w:hint="eastAsia" w:ascii="宋体" w:hAnsi="宋体" w:eastAsia="宋体" w:cs="宋体"/>
          <w:b/>
          <w:bCs/>
          <w:color w:val="auto"/>
          <w:sz w:val="24"/>
          <w:highlight w:val="none"/>
          <w:vertAlign w:val="subscript"/>
        </w:rPr>
        <w:t>on</w:t>
      </w:r>
      <w:r>
        <w:rPr>
          <w:rFonts w:hint="eastAsia" w:ascii="宋体" w:hAnsi="宋体" w:eastAsia="宋体" w:cs="宋体"/>
          <w:color w:val="auto"/>
          <w:sz w:val="24"/>
          <w:highlight w:val="none"/>
        </w:rPr>
        <w:t xml:space="preserve"> --各可调因子的基本价格指数，指基准日期的各可调因子的价格指数。</w:t>
      </w:r>
    </w:p>
    <w:p>
      <w:pPr>
        <w:spacing w:line="360" w:lineRule="auto"/>
        <w:ind w:firstLine="477"/>
        <w:rPr>
          <w:rFonts w:hint="eastAsia" w:ascii="宋体" w:hAnsi="宋体" w:eastAsia="宋体" w:cs="宋体"/>
          <w:color w:val="auto"/>
          <w:highlight w:val="none"/>
        </w:rPr>
      </w:pPr>
      <w:r>
        <w:rPr>
          <w:rFonts w:hint="eastAsia" w:ascii="宋体" w:hAnsi="宋体" w:eastAsia="宋体" w:cs="宋体"/>
          <w:color w:val="auto"/>
          <w:sz w:val="24"/>
          <w:highlight w:val="none"/>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16.1.1.2 暂时确定调整差额</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在计算调整差额时得不到现行价格指数的，可暂用上一次价格指数计算，并在以后的付款中再按实际价格指数进行调整。</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16.1.1.3 权重的调整</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按第15.1款约定的变更导致原定合同中的权重不合理时，由监理人与承包人和发包人协商后进行调整。</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16.1.1.4 承包人工期延误后的价格调整</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16.1.2 采用造价信息调整价格差额</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pStyle w:val="3"/>
        <w:spacing w:before="240" w:after="240" w:line="360" w:lineRule="auto"/>
        <w:rPr>
          <w:rFonts w:hint="eastAsia" w:ascii="宋体" w:hAnsi="宋体" w:eastAsia="宋体" w:cs="宋体"/>
          <w:color w:val="auto"/>
          <w:highlight w:val="none"/>
        </w:rPr>
      </w:pPr>
      <w:bookmarkStart w:id="140" w:name="_Toc25816"/>
      <w:r>
        <w:rPr>
          <w:rFonts w:hint="eastAsia" w:ascii="宋体" w:hAnsi="宋体" w:eastAsia="宋体" w:cs="宋体"/>
          <w:b w:val="0"/>
          <w:color w:val="auto"/>
          <w:sz w:val="24"/>
          <w:szCs w:val="24"/>
          <w:highlight w:val="none"/>
        </w:rPr>
        <w:t>16.2 法律变化引起的价格调整</w:t>
      </w:r>
      <w:bookmarkEnd w:id="140"/>
    </w:p>
    <w:p>
      <w:pPr>
        <w:spacing w:line="360" w:lineRule="auto"/>
        <w:ind w:firstLine="435"/>
        <w:rPr>
          <w:rFonts w:hint="eastAsia" w:ascii="宋体" w:hAnsi="宋体" w:eastAsia="宋体" w:cs="宋体"/>
          <w:color w:val="auto"/>
          <w:highlight w:val="none"/>
        </w:rPr>
      </w:pPr>
      <w:r>
        <w:rPr>
          <w:rFonts w:hint="eastAsia" w:ascii="宋体" w:hAnsi="宋体" w:eastAsia="宋体" w:cs="宋体"/>
          <w:color w:val="auto"/>
          <w:sz w:val="24"/>
          <w:highlight w:val="none"/>
        </w:rPr>
        <w:t>在基准日后，因法律变化导致承包人在合同履行中所需要的工程费用发生除第16.1款约定以外的增减时，监理人应根据法律、国家或省、自治区、直辖市有关部门的规定，按第3.5款商定或确定需调整的合同价款。</w:t>
      </w:r>
    </w:p>
    <w:p>
      <w:pPr>
        <w:pStyle w:val="3"/>
        <w:spacing w:before="480" w:after="240" w:line="360" w:lineRule="auto"/>
        <w:rPr>
          <w:rFonts w:hint="eastAsia" w:ascii="宋体" w:hAnsi="宋体" w:eastAsia="宋体" w:cs="宋体"/>
          <w:color w:val="auto"/>
          <w:highlight w:val="none"/>
        </w:rPr>
      </w:pPr>
      <w:bookmarkStart w:id="141" w:name="_Toc1243"/>
      <w:r>
        <w:rPr>
          <w:rFonts w:hint="eastAsia" w:ascii="宋体" w:hAnsi="宋体" w:eastAsia="宋体" w:cs="宋体"/>
          <w:b w:val="0"/>
          <w:color w:val="auto"/>
          <w:sz w:val="28"/>
          <w:szCs w:val="28"/>
          <w:highlight w:val="none"/>
        </w:rPr>
        <w:t>17. 计量与支付</w:t>
      </w:r>
      <w:bookmarkEnd w:id="141"/>
    </w:p>
    <w:p>
      <w:pPr>
        <w:pStyle w:val="3"/>
        <w:spacing w:before="240" w:after="240" w:line="360" w:lineRule="auto"/>
        <w:rPr>
          <w:rFonts w:hint="eastAsia" w:ascii="宋体" w:hAnsi="宋体" w:eastAsia="宋体" w:cs="宋体"/>
          <w:color w:val="auto"/>
          <w:highlight w:val="none"/>
        </w:rPr>
      </w:pPr>
      <w:bookmarkStart w:id="142" w:name="_Toc2159"/>
      <w:r>
        <w:rPr>
          <w:rFonts w:hint="eastAsia" w:ascii="宋体" w:hAnsi="宋体" w:eastAsia="宋体" w:cs="宋体"/>
          <w:b w:val="0"/>
          <w:color w:val="auto"/>
          <w:sz w:val="24"/>
          <w:szCs w:val="24"/>
          <w:highlight w:val="none"/>
        </w:rPr>
        <w:t>17.1 计量</w:t>
      </w:r>
      <w:bookmarkEnd w:id="142"/>
      <w:r>
        <w:rPr>
          <w:rFonts w:hint="eastAsia" w:ascii="宋体" w:hAnsi="宋体" w:eastAsia="宋体" w:cs="宋体"/>
          <w:b w:val="0"/>
          <w:color w:val="auto"/>
          <w:sz w:val="24"/>
          <w:szCs w:val="24"/>
          <w:highlight w:val="none"/>
        </w:rPr>
        <w:t xml:space="preserve"> </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17.1.1 计量单位</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计量采用国家法定的计量单位。</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17.1.2 计量方法</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工程量清单中的工程量计算规则应按有关国家标准、行业标准的规定，并在合同中约定执行。</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17.1.3 计量周期</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除专用合同条款另有约定外，单价子目已完成工程量按月计量，总价子目的计量周期按批准的支付分解报告确定。 </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17.1.4 单价子目的计量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（1）已标价工程量清单中的单价子目工程量为估算工程量。结算工程量是承包人实际完成的，并按合同约定的计量方法进行计量的工程量。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（2）承包人对已完成的工程进行计量，向监理人提交进度付款申请单、已完成工程量报表和有关计量资料。</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（4）监理人认为有必要时，可通知承包人共同进行联合测量、计量，承包人应遵照执行。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（6）监理人应在收到承包人提交的工程量报表后的7天内进行复核，监理人未在约定时间内复核的，承包人提交的工程量报表中的工程量视为承包人实际完成的工程量，据此计算工程价款。</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17.1.5 总价子目的计量</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除专用合同条款另有约定外，总价子目的分解和计量按照下述约定进行。</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（1）总价子目的计量和支付应以总价为基础，不因第16.1款中的因素而进行调整。承包人实际完成的工程量，是进行工程目标管理和控制进度支付的依据。</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2）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（3）监理人对承包人提交的上述资料进行复核，以确定分阶段实际完成的工程量和工程形象目标。对其有异议的，可要求承包人按第8.2款约定进行共同复核和抽样复测。</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（4）除按照第15条约定的变更外，总价子目的工程量是承包人用于结算的最终工程量。</w:t>
      </w:r>
    </w:p>
    <w:p>
      <w:pPr>
        <w:pStyle w:val="3"/>
        <w:spacing w:before="240" w:after="240" w:line="360" w:lineRule="auto"/>
        <w:rPr>
          <w:rFonts w:hint="eastAsia" w:ascii="宋体" w:hAnsi="宋体" w:eastAsia="宋体" w:cs="宋体"/>
          <w:color w:val="auto"/>
          <w:highlight w:val="none"/>
        </w:rPr>
      </w:pPr>
      <w:bookmarkStart w:id="143" w:name="_Toc29838"/>
      <w:r>
        <w:rPr>
          <w:rFonts w:hint="eastAsia" w:ascii="宋体" w:hAnsi="宋体" w:eastAsia="宋体" w:cs="宋体"/>
          <w:b w:val="0"/>
          <w:color w:val="auto"/>
          <w:sz w:val="24"/>
          <w:szCs w:val="24"/>
          <w:highlight w:val="none"/>
        </w:rPr>
        <w:t>17.2 预付款</w:t>
      </w:r>
      <w:bookmarkEnd w:id="143"/>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17.2.1预付款</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预付款用于承包人为合同工程施工购置材料、工程设备、施工设备、修建临时设施以及组织施工队伍进场等。预付款的额度和预付办法在专用合同条款中约定。预付款必须专用于合同工程。</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17.2.2 预付款保函</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除专用合同条款另有约定外，承包人应在收到预付款的同时向发包人提交预付款保函，预付款保函的担保金额应与预付款金额相同。保函的担保金额可根据预付款扣回的金额相应递减。</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 w:val="24"/>
          <w:highlight w:val="none"/>
        </w:rPr>
        <w:t>17.2.3 预付款的扣回与还清</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 w:val="24"/>
          <w:highlight w:val="none"/>
        </w:rPr>
        <w:t>预付款在进度付款中扣回，扣回办法在专用合同条款中约定。在颁发工程接收证书前，由于不可抗力或其他原因解除合同时，预付款尚未扣清的，尚未扣清的预付款余额应作为承包人的到期应付款。</w:t>
      </w:r>
    </w:p>
    <w:p>
      <w:pPr>
        <w:pStyle w:val="3"/>
        <w:spacing w:before="240" w:after="240" w:line="360" w:lineRule="auto"/>
        <w:rPr>
          <w:rFonts w:hint="eastAsia" w:ascii="宋体" w:hAnsi="宋体" w:eastAsia="宋体" w:cs="宋体"/>
          <w:color w:val="auto"/>
          <w:highlight w:val="none"/>
        </w:rPr>
      </w:pPr>
      <w:bookmarkStart w:id="144" w:name="_Toc9874"/>
      <w:r>
        <w:rPr>
          <w:rFonts w:hint="eastAsia" w:ascii="宋体" w:hAnsi="宋体" w:eastAsia="宋体" w:cs="宋体"/>
          <w:b w:val="0"/>
          <w:color w:val="auto"/>
          <w:sz w:val="24"/>
          <w:szCs w:val="24"/>
          <w:highlight w:val="none"/>
        </w:rPr>
        <w:t>17.3 工程进度付款</w:t>
      </w:r>
      <w:bookmarkEnd w:id="144"/>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17.3.1 付款周期</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付款周期同计量周期。</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17.3.2 进度付款申请单</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承包人应在每个付款周期末，按监理人批准的格式和专用合同条款约定的份数，向监理人提交进度付款申请单，并附相应的支持性证明文件。除专用合同条款另有约定外，进度付款申请单应包括下列内容：</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（1）截至本次付款周期末已实施工程的价款；</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（2）根据第15条应增加和扣减的变更金额；</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（3）根据第23条应增加和扣减的索赔金额；</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（4）根据第17.2款约定应支付的预付款和扣减的返还预付款；</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（5）根据第17.4.1项约定应扣减的质量保证金；</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（6）根据合同应增加和扣减的其他金额。</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17.3.3 进度付款证书和支付时间</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（2）发包人应在监理人收到进度付款申请单后的28天内，将进度应付款支付给承包人。发包人不按期支付的，按专用合同条款的约定支付逾期付款违约金。</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（3）监理人出具进度付款证书，不应视为监理人已同意、批准或接受了承包人完成的该部分工作。</w:t>
      </w:r>
    </w:p>
    <w:p>
      <w:pPr>
        <w:keepLines/>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（4）进度付款涉及政府投资资金的，按照国库集中支付等国家相关规定和专用合同条款的约定办理。</w:t>
      </w:r>
    </w:p>
    <w:p>
      <w:pPr>
        <w:keepLines/>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17.3.4 工程进度付款的修正</w:t>
      </w:r>
    </w:p>
    <w:p>
      <w:pPr>
        <w:keepLines/>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在对以往历次已签发的进度付款证书进行汇总和复核中发现错、漏或重复的，监理人有权予以修正，承包人也有权提出修正申请。经双方复核同意的修正，应在本次进度付款中支付或扣除。</w:t>
      </w:r>
    </w:p>
    <w:p>
      <w:pPr>
        <w:pStyle w:val="3"/>
        <w:spacing w:before="240" w:after="240" w:line="360" w:lineRule="auto"/>
        <w:rPr>
          <w:rFonts w:hint="eastAsia" w:ascii="宋体" w:hAnsi="宋体" w:eastAsia="宋体" w:cs="宋体"/>
          <w:color w:val="auto"/>
          <w:highlight w:val="none"/>
        </w:rPr>
      </w:pPr>
      <w:bookmarkStart w:id="145" w:name="_Toc23695"/>
      <w:r>
        <w:rPr>
          <w:rFonts w:hint="eastAsia" w:ascii="宋体" w:hAnsi="宋体" w:eastAsia="宋体" w:cs="宋体"/>
          <w:b w:val="0"/>
          <w:color w:val="auto"/>
          <w:sz w:val="24"/>
          <w:szCs w:val="24"/>
          <w:highlight w:val="none"/>
        </w:rPr>
        <w:t>17.4 质量保证金</w:t>
      </w:r>
      <w:bookmarkEnd w:id="145"/>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17.4.1 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17.4.2 在第1.1.4.5目约定的缺陷责任期满时，承包人向发包人申请到期应返还承包人剩余的质量保证金金额，发包人应在14天内会同承包人按照合同约定的内容核实承包人是否完成缺陷责任。如无异议，发包人应当在核实后将剩余保证金返还承包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17.4.3在第1.1.4.5目约定的缺陷责任期满时，承包人没有完成缺陷责任的，发包人有权扣留与未履行责任剩余工作所需金额相应的质量保证金余额，并有权根据第19.3款约定要求延长缺陷责任期，直至完成剩余工作为止。 </w:t>
      </w:r>
    </w:p>
    <w:p>
      <w:pPr>
        <w:pStyle w:val="3"/>
        <w:spacing w:before="240" w:after="240" w:line="360" w:lineRule="auto"/>
        <w:rPr>
          <w:rFonts w:hint="eastAsia" w:ascii="宋体" w:hAnsi="宋体" w:eastAsia="宋体" w:cs="宋体"/>
          <w:color w:val="auto"/>
          <w:highlight w:val="none"/>
        </w:rPr>
      </w:pPr>
      <w:bookmarkStart w:id="146" w:name="_Toc2283"/>
      <w:r>
        <w:rPr>
          <w:rFonts w:hint="eastAsia" w:ascii="宋体" w:hAnsi="宋体" w:eastAsia="宋体" w:cs="宋体"/>
          <w:b w:val="0"/>
          <w:color w:val="auto"/>
          <w:sz w:val="24"/>
          <w:szCs w:val="24"/>
          <w:highlight w:val="none"/>
        </w:rPr>
        <w:t>17.5 竣工结算</w:t>
      </w:r>
      <w:bookmarkEnd w:id="146"/>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17.5.1 竣工付款申请单</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 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（2）监理人对竣工付款申请单有异议的，有权要求承包人进行修正和提供补充资料。经监理人和承包人协商后，由承包人向监理人提交修正后的竣工付款申请单。</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17.5.2 竣工付款证书及支付时间</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spacing w:line="360" w:lineRule="auto"/>
        <w:ind w:firstLine="600"/>
        <w:rPr>
          <w:rFonts w:hint="eastAsia" w:ascii="宋体" w:hAnsi="宋体" w:eastAsia="宋体" w:cs="宋体"/>
          <w:color w:val="auto"/>
          <w:highlight w:val="none"/>
        </w:rPr>
      </w:pPr>
      <w:r>
        <w:rPr>
          <w:rFonts w:hint="eastAsia" w:ascii="宋体" w:hAnsi="宋体" w:eastAsia="宋体" w:cs="宋体"/>
          <w:color w:val="auto"/>
          <w:sz w:val="24"/>
          <w:highlight w:val="none"/>
        </w:rPr>
        <w:t>（2）发包人应在监理人出具竣工付款证书后的14天内，将应支付款支付给承包人。发包人不按期支付的，按第17.3.3（2）目的约定，将逾期付款违约金支付给承包人。</w:t>
      </w:r>
    </w:p>
    <w:p>
      <w:pPr>
        <w:spacing w:line="360" w:lineRule="auto"/>
        <w:ind w:firstLine="600"/>
        <w:rPr>
          <w:rFonts w:hint="eastAsia" w:ascii="宋体" w:hAnsi="宋体" w:eastAsia="宋体" w:cs="宋体"/>
          <w:color w:val="auto"/>
          <w:highlight w:val="none"/>
        </w:rPr>
      </w:pPr>
      <w:r>
        <w:rPr>
          <w:rFonts w:hint="eastAsia" w:ascii="宋体" w:hAnsi="宋体" w:eastAsia="宋体" w:cs="宋体"/>
          <w:color w:val="auto"/>
          <w:sz w:val="24"/>
          <w:highlight w:val="none"/>
        </w:rPr>
        <w:t>（3）承包人对发包人签认的竣工付款证书有异议的，发包人可出具竣工付款申请单中承包人已同意部分的临时付款证书。存在争议的部分，按第24条的约定办理。</w:t>
      </w:r>
    </w:p>
    <w:p>
      <w:pPr>
        <w:spacing w:line="360" w:lineRule="auto"/>
        <w:ind w:firstLine="600"/>
        <w:rPr>
          <w:rFonts w:hint="eastAsia" w:ascii="宋体" w:hAnsi="宋体" w:eastAsia="宋体" w:cs="宋体"/>
          <w:color w:val="auto"/>
          <w:highlight w:val="none"/>
        </w:rPr>
      </w:pPr>
      <w:r>
        <w:rPr>
          <w:rFonts w:hint="eastAsia" w:ascii="宋体" w:hAnsi="宋体" w:eastAsia="宋体" w:cs="宋体"/>
          <w:color w:val="auto"/>
          <w:sz w:val="24"/>
          <w:highlight w:val="none"/>
        </w:rPr>
        <w:t>（4）竣工付款涉及政府投资资金的，按第17.3.3（4）目的约定办理。</w:t>
      </w:r>
    </w:p>
    <w:p>
      <w:pPr>
        <w:pStyle w:val="3"/>
        <w:spacing w:before="240" w:after="240" w:line="360" w:lineRule="auto"/>
        <w:rPr>
          <w:rFonts w:hint="eastAsia" w:ascii="宋体" w:hAnsi="宋体" w:eastAsia="宋体" w:cs="宋体"/>
          <w:color w:val="auto"/>
          <w:highlight w:val="none"/>
        </w:rPr>
      </w:pPr>
      <w:bookmarkStart w:id="147" w:name="_Toc16783"/>
      <w:r>
        <w:rPr>
          <w:rFonts w:hint="eastAsia" w:ascii="宋体" w:hAnsi="宋体" w:eastAsia="宋体" w:cs="宋体"/>
          <w:b w:val="0"/>
          <w:color w:val="auto"/>
          <w:sz w:val="24"/>
          <w:szCs w:val="24"/>
          <w:highlight w:val="none"/>
        </w:rPr>
        <w:t>17.6 最终结清</w:t>
      </w:r>
      <w:bookmarkEnd w:id="147"/>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17.6.1 最终结清申请单</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（1）缺陷责任期终止证书签发后，承包人可按专用合同条款约定的份数和期限向监理人提交最终结清申请单，并提供相关证明材料。</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（2）发包人对最终结清申请单内容有异议的，有权要求承包人进行修正和提供补充资料，由承包人向监理人提交修正后的最终结清申请单。</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17.6.2 最终结清证书和支付时间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单已经监理人核查同意；发包人未在约定时间内审核又未提出具体意见的，监理人提出应支付给承包人的价款视为已经发包人同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（2）发包人应在监理人出具最终结清证书后的14天内，将应支付款支付给承包人。发包人不按期支付的，按第17.3.3（2）目的约定，将逾期付款违约金支付给承包人。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（3）承包人对发包人签认的最终结清证书有异议的，按第24条的约定办理。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（4）最终结清付款涉及政府投资资金的，按第17.3.3（4）目的约定办理。</w:t>
      </w:r>
    </w:p>
    <w:p>
      <w:pPr>
        <w:pStyle w:val="3"/>
        <w:spacing w:before="480" w:after="240" w:line="360" w:lineRule="auto"/>
        <w:rPr>
          <w:rFonts w:hint="eastAsia" w:ascii="宋体" w:hAnsi="宋体" w:eastAsia="宋体" w:cs="宋体"/>
          <w:color w:val="auto"/>
          <w:highlight w:val="none"/>
        </w:rPr>
      </w:pPr>
      <w:bookmarkStart w:id="148" w:name="_Toc9321"/>
      <w:r>
        <w:rPr>
          <w:rFonts w:hint="eastAsia" w:ascii="宋体" w:hAnsi="宋体" w:eastAsia="宋体" w:cs="宋体"/>
          <w:b w:val="0"/>
          <w:color w:val="auto"/>
          <w:sz w:val="28"/>
          <w:szCs w:val="28"/>
          <w:highlight w:val="none"/>
        </w:rPr>
        <w:t>18. 竣工验收</w:t>
      </w:r>
      <w:bookmarkEnd w:id="148"/>
    </w:p>
    <w:p>
      <w:pPr>
        <w:pStyle w:val="3"/>
        <w:spacing w:before="240" w:after="240" w:line="360" w:lineRule="auto"/>
        <w:rPr>
          <w:rFonts w:hint="eastAsia" w:ascii="宋体" w:hAnsi="宋体" w:eastAsia="宋体" w:cs="宋体"/>
          <w:color w:val="auto"/>
          <w:highlight w:val="none"/>
        </w:rPr>
      </w:pPr>
      <w:bookmarkStart w:id="149" w:name="_Toc17338"/>
      <w:r>
        <w:rPr>
          <w:rFonts w:hint="eastAsia" w:ascii="宋体" w:hAnsi="宋体" w:eastAsia="宋体" w:cs="宋体"/>
          <w:b w:val="0"/>
          <w:color w:val="auto"/>
          <w:sz w:val="24"/>
          <w:szCs w:val="24"/>
          <w:highlight w:val="none"/>
        </w:rPr>
        <w:t>18.1 竣工验收的含义</w:t>
      </w:r>
      <w:bookmarkEnd w:id="149"/>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18.1.1 竣工验收指承包人完成了全部合同工作后，发包人按合同要求进行的验收。</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18.1.2 国家验收是政府有关部门根据法律、规范、规程和政策要求，针对发包人全面组织实施的整个工程正式交付投运前的验收。</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18.1.3 需要进行国家验收的，竣工验收是国家验收的一部分。竣工验收所采用的各项验收和评定标准应符合国家验收标准。发包人和承包人为竣工验收提供的各项竣工验收资料应符合国家验收的要求。 </w:t>
      </w:r>
    </w:p>
    <w:p>
      <w:pPr>
        <w:pStyle w:val="3"/>
        <w:spacing w:before="240" w:after="240" w:line="360" w:lineRule="auto"/>
        <w:rPr>
          <w:rFonts w:hint="eastAsia" w:ascii="宋体" w:hAnsi="宋体" w:eastAsia="宋体" w:cs="宋体"/>
          <w:color w:val="auto"/>
          <w:highlight w:val="none"/>
        </w:rPr>
      </w:pPr>
      <w:bookmarkStart w:id="150" w:name="_Toc923"/>
      <w:r>
        <w:rPr>
          <w:rFonts w:hint="eastAsia" w:ascii="宋体" w:hAnsi="宋体" w:eastAsia="宋体" w:cs="宋体"/>
          <w:b w:val="0"/>
          <w:color w:val="auto"/>
          <w:sz w:val="24"/>
          <w:szCs w:val="24"/>
          <w:highlight w:val="none"/>
        </w:rPr>
        <w:t>18.2 竣工验收申请报告</w:t>
      </w:r>
      <w:bookmarkEnd w:id="150"/>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当工程具备以下条件时，承包人即可向监理人报送竣工验收申请报告：</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（1）除监理人同意列入缺陷责任期内完成的尾工（甩项）工程和缺陷修补工作外，合同范围内的全部单位工程以及有关工作，包括合同要求的试验、试运行以及检验和验收均已完成，并符合合同要求；</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（2）已按合同约定的内容和份数备齐了符合要求的竣工资料；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（3）已按监理人的要求编制了在缺陷责任期内完成的尾工（甩项）工程和缺陷修补工作清单以及相应施工计划；</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（4）监理人要求在竣工验收前应完成的其他工作；</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（5）监理人要求提交的竣工验收资料清单。</w:t>
      </w:r>
    </w:p>
    <w:p>
      <w:pPr>
        <w:pStyle w:val="3"/>
        <w:spacing w:before="240" w:after="240" w:line="360" w:lineRule="auto"/>
        <w:rPr>
          <w:rFonts w:hint="eastAsia" w:ascii="宋体" w:hAnsi="宋体" w:eastAsia="宋体" w:cs="宋体"/>
          <w:color w:val="auto"/>
          <w:highlight w:val="none"/>
        </w:rPr>
      </w:pPr>
      <w:bookmarkStart w:id="151" w:name="_Toc18988"/>
      <w:r>
        <w:rPr>
          <w:rFonts w:hint="eastAsia" w:ascii="宋体" w:hAnsi="宋体" w:eastAsia="宋体" w:cs="宋体"/>
          <w:b w:val="0"/>
          <w:color w:val="auto"/>
          <w:sz w:val="24"/>
          <w:szCs w:val="24"/>
          <w:highlight w:val="none"/>
        </w:rPr>
        <w:t>18.3 验收</w:t>
      </w:r>
      <w:bookmarkEnd w:id="151"/>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监理人收到承包人按第18.2款约定提交的竣工验收申请报告后，应审查申请报告的各项内容，并按以下不同情况进行处理。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18.3.1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18.3.2 监理人审查后认为已具备竣工验收条件的，应在收到竣工验收申请报告后的28天内提请发包人进行工程验收。</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18.3.3发包人经过验收后同意接收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18.3.4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18.3.1项、第18.3.2项和第18.3.3项的约定进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18.3.5 除专用合同条款另有约定外，经验收合格工程的实际竣工日期，以提交竣工验收申请报告的日期为准，并在工程接收证书中写明。</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18.3.6 发包人在收到承包人竣工验收申请报告56天后未进行验收的，视为验收合格，实际竣工日期以提交竣工验收申请报告的日期为准，但发包人由于不可抗力不能进行验收的除外。</w:t>
      </w:r>
    </w:p>
    <w:p>
      <w:pPr>
        <w:pStyle w:val="3"/>
        <w:spacing w:before="240" w:after="240" w:line="360" w:lineRule="auto"/>
        <w:rPr>
          <w:rFonts w:hint="eastAsia" w:ascii="宋体" w:hAnsi="宋体" w:eastAsia="宋体" w:cs="宋体"/>
          <w:color w:val="auto"/>
          <w:highlight w:val="none"/>
        </w:rPr>
      </w:pPr>
      <w:bookmarkStart w:id="152" w:name="_Toc1229"/>
      <w:r>
        <w:rPr>
          <w:rFonts w:hint="eastAsia" w:ascii="宋体" w:hAnsi="宋体" w:eastAsia="宋体" w:cs="宋体"/>
          <w:b w:val="0"/>
          <w:color w:val="auto"/>
          <w:sz w:val="24"/>
          <w:szCs w:val="24"/>
          <w:highlight w:val="none"/>
        </w:rPr>
        <w:t>18.4 单位工程验收</w:t>
      </w:r>
      <w:bookmarkEnd w:id="152"/>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18.4.1发包人根据合同进度计划安排，在全部工程竣工前需要使用已经竣工的单位工程时，或承包人提出经发包人同意时，可进行单位工程验收。验收的程序可参照第18.2款与第18.3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18.4.2发包人在全部工程竣工前，使用已接收的单位工程导致承包人费用增加的，发包人应承担由此增加的费用和（或）工期延误，并支付承包人合理利润。</w:t>
      </w:r>
    </w:p>
    <w:p>
      <w:pPr>
        <w:pStyle w:val="3"/>
        <w:spacing w:before="240" w:after="240" w:line="360" w:lineRule="auto"/>
        <w:rPr>
          <w:rFonts w:hint="eastAsia" w:ascii="宋体" w:hAnsi="宋体" w:eastAsia="宋体" w:cs="宋体"/>
          <w:color w:val="auto"/>
          <w:highlight w:val="none"/>
        </w:rPr>
      </w:pPr>
      <w:bookmarkStart w:id="153" w:name="_Toc1818"/>
      <w:r>
        <w:rPr>
          <w:rFonts w:hint="eastAsia" w:ascii="宋体" w:hAnsi="宋体" w:eastAsia="宋体" w:cs="宋体"/>
          <w:b w:val="0"/>
          <w:color w:val="auto"/>
          <w:sz w:val="24"/>
          <w:szCs w:val="24"/>
          <w:highlight w:val="none"/>
        </w:rPr>
        <w:t>18.5施工期运行</w:t>
      </w:r>
      <w:bookmarkEnd w:id="153"/>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18.5.1 施工期运行是指合同工程尚未全部竣工，其中某项或某几项单位工程或工程设备安装已竣工，根据专用合同条款约定，需要投入施工期运行的，经发包人按第18.4款的约定验收合格，证明能确保安全后，才能在施工期投入运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18.5.2 在施工期运行中发现工程或工程设备损坏或存在缺陷的，由承包人按第19.2款约定进行修复。</w:t>
      </w:r>
    </w:p>
    <w:p>
      <w:pPr>
        <w:pStyle w:val="3"/>
        <w:spacing w:before="240" w:after="240" w:line="360" w:lineRule="auto"/>
        <w:rPr>
          <w:rFonts w:hint="eastAsia" w:ascii="宋体" w:hAnsi="宋体" w:eastAsia="宋体" w:cs="宋体"/>
          <w:color w:val="auto"/>
          <w:highlight w:val="none"/>
        </w:rPr>
      </w:pPr>
      <w:bookmarkStart w:id="154" w:name="_Toc4628"/>
      <w:r>
        <w:rPr>
          <w:rFonts w:hint="eastAsia" w:ascii="宋体" w:hAnsi="宋体" w:eastAsia="宋体" w:cs="宋体"/>
          <w:b w:val="0"/>
          <w:color w:val="auto"/>
          <w:sz w:val="24"/>
          <w:szCs w:val="24"/>
          <w:highlight w:val="none"/>
        </w:rPr>
        <w:t>18.6 试运行</w:t>
      </w:r>
      <w:bookmarkEnd w:id="154"/>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18.6.1</w:t>
      </w:r>
      <w:r>
        <w:rPr>
          <w:rFonts w:hint="eastAsia" w:ascii="宋体" w:hAnsi="宋体" w:eastAsia="宋体" w:cs="宋体"/>
          <w:b/>
          <w:color w:val="auto"/>
          <w:sz w:val="24"/>
          <w:highlight w:val="none"/>
        </w:rPr>
        <w:t xml:space="preserve"> </w:t>
      </w:r>
      <w:r>
        <w:rPr>
          <w:rFonts w:hint="eastAsia" w:ascii="宋体" w:hAnsi="宋体" w:eastAsia="宋体" w:cs="宋体"/>
          <w:color w:val="auto"/>
          <w:sz w:val="24"/>
          <w:highlight w:val="none"/>
        </w:rPr>
        <w:t>除专用合同条款另有约定外，承包人应按专用合同条款约定进行工程及工程设备试运行，负责提供试运行所需的人员、器材和必要的条件，并承担全部试运行费用。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18.6.2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Style w:val="3"/>
        <w:spacing w:before="240" w:after="240" w:line="360" w:lineRule="auto"/>
        <w:rPr>
          <w:rFonts w:hint="eastAsia" w:ascii="宋体" w:hAnsi="宋体" w:eastAsia="宋体" w:cs="宋体"/>
          <w:color w:val="auto"/>
          <w:highlight w:val="none"/>
        </w:rPr>
      </w:pPr>
      <w:bookmarkStart w:id="155" w:name="_Toc561"/>
      <w:r>
        <w:rPr>
          <w:rFonts w:hint="eastAsia" w:ascii="宋体" w:hAnsi="宋体" w:eastAsia="宋体" w:cs="宋体"/>
          <w:b w:val="0"/>
          <w:color w:val="auto"/>
          <w:sz w:val="24"/>
          <w:szCs w:val="24"/>
          <w:highlight w:val="none"/>
        </w:rPr>
        <w:t>18.7 竣工清场</w:t>
      </w:r>
      <w:bookmarkEnd w:id="155"/>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18.7.1除合同另有约定外，工程接收证书颁发后，承包人应按以下要求对施工场地进行清理，直至监理人检验合格为止。竣工清场费用由承包人承担。</w:t>
      </w:r>
    </w:p>
    <w:p>
      <w:pPr>
        <w:spacing w:line="360" w:lineRule="auto"/>
        <w:ind w:firstLine="650"/>
        <w:rPr>
          <w:rFonts w:hint="eastAsia" w:ascii="宋体" w:hAnsi="宋体" w:eastAsia="宋体" w:cs="宋体"/>
          <w:color w:val="auto"/>
          <w:highlight w:val="none"/>
        </w:rPr>
      </w:pPr>
      <w:r>
        <w:rPr>
          <w:rFonts w:hint="eastAsia" w:ascii="宋体" w:hAnsi="宋体" w:eastAsia="宋体" w:cs="宋体"/>
          <w:color w:val="auto"/>
          <w:sz w:val="24"/>
          <w:highlight w:val="none"/>
        </w:rPr>
        <w:t>（1）施工场地内残留的垃圾已全部清除出场；</w:t>
      </w:r>
    </w:p>
    <w:p>
      <w:pPr>
        <w:spacing w:line="360" w:lineRule="auto"/>
        <w:ind w:firstLine="650"/>
        <w:rPr>
          <w:rFonts w:hint="eastAsia" w:ascii="宋体" w:hAnsi="宋体" w:eastAsia="宋体" w:cs="宋体"/>
          <w:color w:val="auto"/>
          <w:highlight w:val="none"/>
        </w:rPr>
      </w:pPr>
      <w:r>
        <w:rPr>
          <w:rFonts w:hint="eastAsia" w:ascii="宋体" w:hAnsi="宋体" w:eastAsia="宋体" w:cs="宋体"/>
          <w:color w:val="auto"/>
          <w:sz w:val="24"/>
          <w:highlight w:val="none"/>
        </w:rPr>
        <w:t>（2）临时工程已拆除，场地已按合同要求进行清理、平整或复原；</w:t>
      </w:r>
    </w:p>
    <w:p>
      <w:pPr>
        <w:spacing w:line="360" w:lineRule="auto"/>
        <w:ind w:firstLine="650"/>
        <w:rPr>
          <w:rFonts w:hint="eastAsia" w:ascii="宋体" w:hAnsi="宋体" w:eastAsia="宋体" w:cs="宋体"/>
          <w:color w:val="auto"/>
          <w:highlight w:val="none"/>
        </w:rPr>
      </w:pPr>
      <w:r>
        <w:rPr>
          <w:rFonts w:hint="eastAsia" w:ascii="宋体" w:hAnsi="宋体" w:eastAsia="宋体" w:cs="宋体"/>
          <w:color w:val="auto"/>
          <w:sz w:val="24"/>
          <w:highlight w:val="none"/>
        </w:rPr>
        <w:t>（3）按合同约定应撤离的承包人设备和剩余的材料，包括废弃的施工设备和材料，已按计划撤离施工场地；</w:t>
      </w:r>
    </w:p>
    <w:p>
      <w:pPr>
        <w:spacing w:line="360" w:lineRule="auto"/>
        <w:ind w:firstLine="650"/>
        <w:rPr>
          <w:rFonts w:hint="eastAsia" w:ascii="宋体" w:hAnsi="宋体" w:eastAsia="宋体" w:cs="宋体"/>
          <w:color w:val="auto"/>
          <w:highlight w:val="none"/>
        </w:rPr>
      </w:pPr>
      <w:r>
        <w:rPr>
          <w:rFonts w:hint="eastAsia" w:ascii="宋体" w:hAnsi="宋体" w:eastAsia="宋体" w:cs="宋体"/>
          <w:color w:val="auto"/>
          <w:sz w:val="24"/>
          <w:highlight w:val="none"/>
        </w:rPr>
        <w:t>（4）工程建筑物周边及其附近道路、河道的施工堆积物，已按监理人指示全部清理；</w:t>
      </w:r>
    </w:p>
    <w:p>
      <w:pPr>
        <w:spacing w:line="360" w:lineRule="auto"/>
        <w:ind w:firstLine="650"/>
        <w:rPr>
          <w:rFonts w:hint="eastAsia" w:ascii="宋体" w:hAnsi="宋体" w:eastAsia="宋体" w:cs="宋体"/>
          <w:color w:val="auto"/>
          <w:highlight w:val="none"/>
        </w:rPr>
      </w:pPr>
      <w:r>
        <w:rPr>
          <w:rFonts w:hint="eastAsia" w:ascii="宋体" w:hAnsi="宋体" w:eastAsia="宋体" w:cs="宋体"/>
          <w:color w:val="auto"/>
          <w:sz w:val="24"/>
          <w:highlight w:val="none"/>
        </w:rPr>
        <w:t>（5）监理人指示的其他场地清理工作已全部完成。</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18.7.2承包人未按监理人的要求恢复临时占地，或者场地清理未达到合同约定的，发包人有权委托其他人恢复或清理，所发生的金额从拟支付给承包人的款项中扣除。</w:t>
      </w:r>
    </w:p>
    <w:p>
      <w:pPr>
        <w:pStyle w:val="3"/>
        <w:spacing w:before="240" w:after="240" w:line="360" w:lineRule="auto"/>
        <w:rPr>
          <w:rFonts w:hint="eastAsia" w:ascii="宋体" w:hAnsi="宋体" w:eastAsia="宋体" w:cs="宋体"/>
          <w:color w:val="auto"/>
          <w:highlight w:val="none"/>
        </w:rPr>
      </w:pPr>
      <w:bookmarkStart w:id="156" w:name="_Toc27308"/>
      <w:r>
        <w:rPr>
          <w:rFonts w:hint="eastAsia" w:ascii="宋体" w:hAnsi="宋体" w:eastAsia="宋体" w:cs="宋体"/>
          <w:b w:val="0"/>
          <w:color w:val="auto"/>
          <w:sz w:val="24"/>
          <w:szCs w:val="24"/>
          <w:highlight w:val="none"/>
        </w:rPr>
        <w:t>18.8施工队伍的撤离</w:t>
      </w:r>
      <w:bookmarkEnd w:id="156"/>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pStyle w:val="3"/>
        <w:spacing w:before="480" w:after="240" w:line="360" w:lineRule="auto"/>
        <w:rPr>
          <w:rFonts w:hint="eastAsia" w:ascii="宋体" w:hAnsi="宋体" w:eastAsia="宋体" w:cs="宋体"/>
          <w:color w:val="auto"/>
          <w:highlight w:val="none"/>
        </w:rPr>
      </w:pPr>
      <w:bookmarkStart w:id="157" w:name="_Toc758"/>
      <w:r>
        <w:rPr>
          <w:rFonts w:hint="eastAsia" w:ascii="宋体" w:hAnsi="宋体" w:eastAsia="宋体" w:cs="宋体"/>
          <w:b w:val="0"/>
          <w:color w:val="auto"/>
          <w:sz w:val="28"/>
          <w:szCs w:val="28"/>
          <w:highlight w:val="none"/>
        </w:rPr>
        <w:t>19. 缺陷责任与保修责任</w:t>
      </w:r>
      <w:bookmarkEnd w:id="157"/>
    </w:p>
    <w:p>
      <w:pPr>
        <w:pStyle w:val="3"/>
        <w:spacing w:before="240" w:after="240" w:line="360" w:lineRule="auto"/>
        <w:rPr>
          <w:rFonts w:hint="eastAsia" w:ascii="宋体" w:hAnsi="宋体" w:eastAsia="宋体" w:cs="宋体"/>
          <w:color w:val="auto"/>
          <w:highlight w:val="none"/>
        </w:rPr>
      </w:pPr>
      <w:bookmarkStart w:id="158" w:name="_Toc4182"/>
      <w:r>
        <w:rPr>
          <w:rFonts w:hint="eastAsia" w:ascii="宋体" w:hAnsi="宋体" w:eastAsia="宋体" w:cs="宋体"/>
          <w:b w:val="0"/>
          <w:color w:val="auto"/>
          <w:sz w:val="24"/>
          <w:szCs w:val="24"/>
          <w:highlight w:val="none"/>
        </w:rPr>
        <w:t>19.1 缺陷责任期的起算时间</w:t>
      </w:r>
      <w:bookmarkEnd w:id="158"/>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缺陷责任期自实际竣工日期起计算。在全部工程竣工验收前，已经发包人提前验收的单位工程，其缺陷责任期的起算日期相应提前。</w:t>
      </w:r>
    </w:p>
    <w:p>
      <w:pPr>
        <w:pStyle w:val="3"/>
        <w:spacing w:before="240" w:after="240" w:line="360" w:lineRule="auto"/>
        <w:rPr>
          <w:rFonts w:hint="eastAsia" w:ascii="宋体" w:hAnsi="宋体" w:eastAsia="宋体" w:cs="宋体"/>
          <w:color w:val="auto"/>
          <w:highlight w:val="none"/>
        </w:rPr>
      </w:pPr>
      <w:bookmarkStart w:id="159" w:name="_Toc17202"/>
      <w:r>
        <w:rPr>
          <w:rFonts w:hint="eastAsia" w:ascii="宋体" w:hAnsi="宋体" w:eastAsia="宋体" w:cs="宋体"/>
          <w:b w:val="0"/>
          <w:color w:val="auto"/>
          <w:sz w:val="24"/>
          <w:szCs w:val="24"/>
          <w:highlight w:val="none"/>
        </w:rPr>
        <w:t>19.2 缺陷责任</w:t>
      </w:r>
      <w:bookmarkEnd w:id="159"/>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19.2.1 承包人应在缺陷责任期内对已交付使用的工程承担缺陷责任。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19.2.2 缺陷责任期内，发包人对已接收使用的工程负责日常维护工作。发包人在使用过程中，发现已接收的工程存在新的缺陷或已修复的缺陷部位或部件又遭损坏的，承包人应负责修复，直至检验合格为止。</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19.2.3 监理人和承包人应共同查清缺陷和（或）损坏的原因。经查明属承包人原因造成的，应由承包人承担修复和查验的费用。经查验属发包人原因造成的，发包人应承担修复和查验的费用，并支付承包人合理利润。</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19.2.4 承包人不能在合理时间内修复缺陷的，发包人可自行修复或委托其他人修复，所需费用和利润的承担，按第19.2.3项约定办理。</w:t>
      </w:r>
    </w:p>
    <w:p>
      <w:pPr>
        <w:pStyle w:val="3"/>
        <w:spacing w:before="240" w:after="240" w:line="360" w:lineRule="auto"/>
        <w:rPr>
          <w:rFonts w:hint="eastAsia" w:ascii="宋体" w:hAnsi="宋体" w:eastAsia="宋体" w:cs="宋体"/>
          <w:color w:val="auto"/>
          <w:highlight w:val="none"/>
        </w:rPr>
      </w:pPr>
      <w:bookmarkStart w:id="160" w:name="_Toc16534"/>
      <w:r>
        <w:rPr>
          <w:rFonts w:hint="eastAsia" w:ascii="宋体" w:hAnsi="宋体" w:eastAsia="宋体" w:cs="宋体"/>
          <w:b w:val="0"/>
          <w:color w:val="auto"/>
          <w:sz w:val="24"/>
          <w:szCs w:val="24"/>
          <w:highlight w:val="none"/>
        </w:rPr>
        <w:t>19.3 缺陷责任期的延长</w:t>
      </w:r>
      <w:bookmarkEnd w:id="160"/>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由于承包人原因造成某项缺陷或损坏使某项工程或工程设备不能按原定目标使用而需要再次检查、检验和修复的，发包人有权要求承包人相应延长缺陷责任期，但缺陷责任期最长不超过2年。</w:t>
      </w:r>
    </w:p>
    <w:p>
      <w:pPr>
        <w:pStyle w:val="3"/>
        <w:spacing w:before="240" w:after="240" w:line="360" w:lineRule="auto"/>
        <w:rPr>
          <w:rFonts w:hint="eastAsia" w:ascii="宋体" w:hAnsi="宋体" w:eastAsia="宋体" w:cs="宋体"/>
          <w:color w:val="auto"/>
          <w:highlight w:val="none"/>
        </w:rPr>
      </w:pPr>
      <w:bookmarkStart w:id="161" w:name="_Toc20910"/>
      <w:r>
        <w:rPr>
          <w:rFonts w:hint="eastAsia" w:ascii="宋体" w:hAnsi="宋体" w:eastAsia="宋体" w:cs="宋体"/>
          <w:b w:val="0"/>
          <w:color w:val="auto"/>
          <w:sz w:val="24"/>
          <w:szCs w:val="24"/>
          <w:highlight w:val="none"/>
        </w:rPr>
        <w:t>19.4 进一步试验和试运行</w:t>
      </w:r>
      <w:bookmarkEnd w:id="161"/>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任何一项缺陷或损坏修复后，经检查证明其影响了工程或工程设备的使用性能，承包人应重新进行合同约定的试验和试运行，试验和试运行的全部费用应由责任方承担。</w:t>
      </w:r>
    </w:p>
    <w:p>
      <w:pPr>
        <w:pStyle w:val="3"/>
        <w:spacing w:before="240" w:after="240" w:line="360" w:lineRule="auto"/>
        <w:rPr>
          <w:rFonts w:hint="eastAsia" w:ascii="宋体" w:hAnsi="宋体" w:eastAsia="宋体" w:cs="宋体"/>
          <w:color w:val="auto"/>
          <w:highlight w:val="none"/>
        </w:rPr>
      </w:pPr>
      <w:bookmarkStart w:id="162" w:name="_Toc24841"/>
      <w:r>
        <w:rPr>
          <w:rFonts w:hint="eastAsia" w:ascii="宋体" w:hAnsi="宋体" w:eastAsia="宋体" w:cs="宋体"/>
          <w:b w:val="0"/>
          <w:color w:val="auto"/>
          <w:sz w:val="24"/>
          <w:szCs w:val="24"/>
          <w:highlight w:val="none"/>
        </w:rPr>
        <w:t>19.5 承包人的进入权</w:t>
      </w:r>
      <w:bookmarkEnd w:id="162"/>
      <w:r>
        <w:rPr>
          <w:rFonts w:hint="eastAsia" w:ascii="宋体" w:hAnsi="宋体" w:eastAsia="宋体" w:cs="宋体"/>
          <w:b w:val="0"/>
          <w:color w:val="auto"/>
          <w:sz w:val="24"/>
          <w:szCs w:val="24"/>
          <w:highlight w:val="none"/>
        </w:rPr>
        <w:t xml:space="preserve"> </w:t>
      </w:r>
    </w:p>
    <w:p>
      <w:pPr>
        <w:spacing w:line="360" w:lineRule="auto"/>
        <w:ind w:firstLine="435"/>
        <w:rPr>
          <w:rFonts w:hint="eastAsia" w:ascii="宋体" w:hAnsi="宋体" w:eastAsia="宋体" w:cs="宋体"/>
          <w:color w:val="auto"/>
          <w:highlight w:val="none"/>
        </w:rPr>
      </w:pPr>
      <w:r>
        <w:rPr>
          <w:rFonts w:hint="eastAsia" w:ascii="宋体" w:hAnsi="宋体" w:eastAsia="宋体" w:cs="宋体"/>
          <w:color w:val="auto"/>
          <w:sz w:val="24"/>
          <w:highlight w:val="none"/>
        </w:rPr>
        <w:t>缺陷责任期内承包人为缺陷修复工作需要，有权进入工程现场，但应遵守发包人的保安和保密规定。</w:t>
      </w:r>
    </w:p>
    <w:p>
      <w:pPr>
        <w:pStyle w:val="3"/>
        <w:spacing w:before="240" w:after="240" w:line="360" w:lineRule="auto"/>
        <w:rPr>
          <w:rFonts w:hint="eastAsia" w:ascii="宋体" w:hAnsi="宋体" w:eastAsia="宋体" w:cs="宋体"/>
          <w:color w:val="auto"/>
          <w:highlight w:val="none"/>
        </w:rPr>
      </w:pPr>
      <w:bookmarkStart w:id="163" w:name="_Toc4036"/>
      <w:r>
        <w:rPr>
          <w:rFonts w:hint="eastAsia" w:ascii="宋体" w:hAnsi="宋体" w:eastAsia="宋体" w:cs="宋体"/>
          <w:b w:val="0"/>
          <w:color w:val="auto"/>
          <w:sz w:val="24"/>
          <w:szCs w:val="24"/>
          <w:highlight w:val="none"/>
        </w:rPr>
        <w:t>19.6 缺陷责任期终止证书</w:t>
      </w:r>
      <w:bookmarkEnd w:id="163"/>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在第1.1.4.5目约定的缺陷责任期，包括根据第19.3款延长的期限终止后14天内，由监理人向承包人出具经发包人签认的缺陷责任期终止证书，并退还剩余的质量保证金。</w:t>
      </w:r>
    </w:p>
    <w:p>
      <w:pPr>
        <w:pStyle w:val="3"/>
        <w:spacing w:before="240" w:after="240" w:line="360" w:lineRule="auto"/>
        <w:rPr>
          <w:rFonts w:hint="eastAsia" w:ascii="宋体" w:hAnsi="宋体" w:eastAsia="宋体" w:cs="宋体"/>
          <w:color w:val="auto"/>
          <w:highlight w:val="none"/>
        </w:rPr>
      </w:pPr>
      <w:bookmarkStart w:id="164" w:name="_Toc16160"/>
      <w:r>
        <w:rPr>
          <w:rFonts w:hint="eastAsia" w:ascii="宋体" w:hAnsi="宋体" w:eastAsia="宋体" w:cs="宋体"/>
          <w:b w:val="0"/>
          <w:color w:val="auto"/>
          <w:sz w:val="24"/>
          <w:szCs w:val="24"/>
          <w:highlight w:val="none"/>
        </w:rPr>
        <w:t>19.7 保修责任</w:t>
      </w:r>
      <w:bookmarkEnd w:id="164"/>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pStyle w:val="3"/>
        <w:spacing w:before="480" w:after="240" w:line="360" w:lineRule="auto"/>
        <w:rPr>
          <w:rFonts w:hint="eastAsia" w:ascii="宋体" w:hAnsi="宋体" w:eastAsia="宋体" w:cs="宋体"/>
          <w:color w:val="auto"/>
          <w:highlight w:val="none"/>
        </w:rPr>
      </w:pPr>
      <w:bookmarkStart w:id="165" w:name="_Toc18582"/>
      <w:r>
        <w:rPr>
          <w:rFonts w:hint="eastAsia" w:ascii="宋体" w:hAnsi="宋体" w:eastAsia="宋体" w:cs="宋体"/>
          <w:b w:val="0"/>
          <w:color w:val="auto"/>
          <w:sz w:val="28"/>
          <w:szCs w:val="28"/>
          <w:highlight w:val="none"/>
        </w:rPr>
        <w:t>20. 保险</w:t>
      </w:r>
      <w:bookmarkEnd w:id="165"/>
    </w:p>
    <w:p>
      <w:pPr>
        <w:pStyle w:val="3"/>
        <w:spacing w:before="240" w:after="240" w:line="360" w:lineRule="auto"/>
        <w:rPr>
          <w:rFonts w:hint="eastAsia" w:ascii="宋体" w:hAnsi="宋体" w:eastAsia="宋体" w:cs="宋体"/>
          <w:color w:val="auto"/>
          <w:highlight w:val="none"/>
        </w:rPr>
      </w:pPr>
      <w:bookmarkStart w:id="166" w:name="_Toc18182"/>
      <w:r>
        <w:rPr>
          <w:rFonts w:hint="eastAsia" w:ascii="宋体" w:hAnsi="宋体" w:eastAsia="宋体" w:cs="宋体"/>
          <w:b w:val="0"/>
          <w:color w:val="auto"/>
          <w:sz w:val="24"/>
          <w:szCs w:val="24"/>
          <w:highlight w:val="none"/>
        </w:rPr>
        <w:t>20.1工程保险</w:t>
      </w:r>
      <w:bookmarkEnd w:id="166"/>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pStyle w:val="3"/>
        <w:spacing w:before="240" w:after="240" w:line="360" w:lineRule="auto"/>
        <w:rPr>
          <w:rFonts w:hint="eastAsia" w:ascii="宋体" w:hAnsi="宋体" w:eastAsia="宋体" w:cs="宋体"/>
          <w:color w:val="auto"/>
          <w:highlight w:val="none"/>
        </w:rPr>
      </w:pPr>
      <w:bookmarkStart w:id="167" w:name="_Toc5869"/>
      <w:r>
        <w:rPr>
          <w:rFonts w:hint="eastAsia" w:ascii="宋体" w:hAnsi="宋体" w:eastAsia="宋体" w:cs="宋体"/>
          <w:b w:val="0"/>
          <w:color w:val="auto"/>
          <w:sz w:val="24"/>
          <w:szCs w:val="24"/>
          <w:highlight w:val="none"/>
        </w:rPr>
        <w:t>20.2人员工伤事故的保险</w:t>
      </w:r>
      <w:bookmarkEnd w:id="167"/>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20.2.1 承包人员工伤事故的保险</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承包人应依照有关法律规定参加工伤保险，为其履行合同所雇用的全部人员，缴纳工伤保险费，并要求其分包人也进行此项保险。</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20.2.2发包人员工伤事故的保险</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发包人应依照有关法律规定参加工伤保险，为其现场机构雇用的全部人员，缴纳工伤保险费，并要求其监理人也进行此项保险。</w:t>
      </w:r>
    </w:p>
    <w:p>
      <w:pPr>
        <w:pStyle w:val="3"/>
        <w:spacing w:before="240" w:after="240" w:line="360" w:lineRule="auto"/>
        <w:rPr>
          <w:rFonts w:hint="eastAsia" w:ascii="宋体" w:hAnsi="宋体" w:eastAsia="宋体" w:cs="宋体"/>
          <w:color w:val="auto"/>
          <w:highlight w:val="none"/>
        </w:rPr>
      </w:pPr>
      <w:bookmarkStart w:id="168" w:name="_Toc12934"/>
      <w:r>
        <w:rPr>
          <w:rFonts w:hint="eastAsia" w:ascii="宋体" w:hAnsi="宋体" w:eastAsia="宋体" w:cs="宋体"/>
          <w:b w:val="0"/>
          <w:color w:val="auto"/>
          <w:sz w:val="24"/>
          <w:szCs w:val="24"/>
          <w:highlight w:val="none"/>
        </w:rPr>
        <w:t>20.3 人身意外伤害险</w:t>
      </w:r>
      <w:bookmarkEnd w:id="168"/>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20.3.1发包人应在整个施工期间为其现场机构雇用的全部人员，投保人身意外伤害险，缴纳保险费，并要求其监理人也进行此项保险。</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20.3.2 承包人应在整个施工期间为其现场机构雇用的全部人员，投保人身意外伤害险，缴纳保险费，并要求其分包人也进行此项保险。</w:t>
      </w:r>
    </w:p>
    <w:p>
      <w:pPr>
        <w:pStyle w:val="3"/>
        <w:spacing w:before="240" w:after="240" w:line="360" w:lineRule="auto"/>
        <w:rPr>
          <w:rFonts w:hint="eastAsia" w:ascii="宋体" w:hAnsi="宋体" w:eastAsia="宋体" w:cs="宋体"/>
          <w:color w:val="auto"/>
          <w:highlight w:val="none"/>
        </w:rPr>
      </w:pPr>
      <w:bookmarkStart w:id="169" w:name="_Toc14084"/>
      <w:r>
        <w:rPr>
          <w:rFonts w:hint="eastAsia" w:ascii="宋体" w:hAnsi="宋体" w:eastAsia="宋体" w:cs="宋体"/>
          <w:b w:val="0"/>
          <w:color w:val="auto"/>
          <w:sz w:val="24"/>
          <w:szCs w:val="24"/>
          <w:highlight w:val="none"/>
        </w:rPr>
        <w:t>20.4 第三者责任险</w:t>
      </w:r>
      <w:bookmarkEnd w:id="169"/>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20.4.1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20.4.2 在缺陷责任期终止证书颁发前，承包人应以承包人和发包人的共同名义，投保第20.4.1项约定的第三者责任险，其保险费率、保险金额等有关内容在专用合同条款中约定。</w:t>
      </w:r>
    </w:p>
    <w:p>
      <w:pPr>
        <w:pStyle w:val="3"/>
        <w:spacing w:before="240" w:after="240" w:line="360" w:lineRule="auto"/>
        <w:rPr>
          <w:rFonts w:hint="eastAsia" w:ascii="宋体" w:hAnsi="宋体" w:eastAsia="宋体" w:cs="宋体"/>
          <w:color w:val="auto"/>
          <w:highlight w:val="none"/>
        </w:rPr>
      </w:pPr>
      <w:bookmarkStart w:id="170" w:name="_Toc30745"/>
      <w:r>
        <w:rPr>
          <w:rFonts w:hint="eastAsia" w:ascii="宋体" w:hAnsi="宋体" w:eastAsia="宋体" w:cs="宋体"/>
          <w:b w:val="0"/>
          <w:color w:val="auto"/>
          <w:sz w:val="24"/>
          <w:szCs w:val="24"/>
          <w:highlight w:val="none"/>
        </w:rPr>
        <w:t>20.5 其他保险</w:t>
      </w:r>
      <w:bookmarkEnd w:id="170"/>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 w:val="24"/>
          <w:highlight w:val="none"/>
        </w:rPr>
        <w:t>除专用合同条款另有约定外，承包人应为其施工设备、进场的材料和工程设备等办理保险。</w:t>
      </w:r>
    </w:p>
    <w:p>
      <w:pPr>
        <w:pStyle w:val="3"/>
        <w:spacing w:before="240" w:after="240" w:line="360" w:lineRule="auto"/>
        <w:rPr>
          <w:rFonts w:hint="eastAsia" w:ascii="宋体" w:hAnsi="宋体" w:eastAsia="宋体" w:cs="宋体"/>
          <w:color w:val="auto"/>
          <w:highlight w:val="none"/>
        </w:rPr>
      </w:pPr>
      <w:bookmarkStart w:id="171" w:name="_Toc3032"/>
      <w:r>
        <w:rPr>
          <w:rFonts w:hint="eastAsia" w:ascii="宋体" w:hAnsi="宋体" w:eastAsia="宋体" w:cs="宋体"/>
          <w:b w:val="0"/>
          <w:color w:val="auto"/>
          <w:sz w:val="24"/>
          <w:szCs w:val="24"/>
          <w:highlight w:val="none"/>
        </w:rPr>
        <w:t>20.6 对各项保险的一般要求</w:t>
      </w:r>
      <w:bookmarkEnd w:id="171"/>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20.6.1 保险凭证</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承包人应在专用合同条款约定的期限内向发包人提交各项保险生效的证据和保险单副本，保险单必须与专用合同条款约定的条件保持一致。</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20.6.2保险合同条款的变动</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承包人需要变动保险合同条款时，应事先征得发包人同意，并通知监理人。保险人作出变动的，承包人应在收到保险人通知后立即通知发包人和监理人。</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20.6.3 持续保险</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承包人应与保险人保持联系，使保险人能够随时了解工程实施中的变动，并确保按保险合同条款要求持续保险。</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20.6.4 保险金不足的补偿</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保险金不足以补偿损失的，应由承包人和（或）发包人按合同约定负责补偿。</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20.6.5 未按约定投保的补救</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（1）由于负有投保义务的一方当事人未按合同约定办理保险，或未能使保险持续有效的，另一方当事人可代为办理，所需费用由对方当事人承担。</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（2）由于负有投保义务的一方当事人未按合同约定办理某项保险，导致受益人未能得到保险人的赔偿，原应从该项保险得到的保险金应由负有投保义务的一方当事人支付。</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20.6.6报告义务</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当保险事故发生时，投保人应按照保险单规定的条件和期限及时向保险人报告。</w:t>
      </w:r>
    </w:p>
    <w:p>
      <w:pPr>
        <w:pStyle w:val="3"/>
        <w:spacing w:before="480" w:after="240" w:line="360" w:lineRule="auto"/>
        <w:rPr>
          <w:rFonts w:hint="eastAsia" w:ascii="宋体" w:hAnsi="宋体" w:eastAsia="宋体" w:cs="宋体"/>
          <w:color w:val="auto"/>
          <w:highlight w:val="none"/>
        </w:rPr>
      </w:pPr>
      <w:bookmarkStart w:id="172" w:name="_Toc17300"/>
      <w:r>
        <w:rPr>
          <w:rFonts w:hint="eastAsia" w:ascii="宋体" w:hAnsi="宋体" w:eastAsia="宋体" w:cs="宋体"/>
          <w:b w:val="0"/>
          <w:color w:val="auto"/>
          <w:sz w:val="28"/>
          <w:szCs w:val="28"/>
          <w:highlight w:val="none"/>
        </w:rPr>
        <w:t>21. 不可抗力</w:t>
      </w:r>
      <w:bookmarkEnd w:id="172"/>
    </w:p>
    <w:p>
      <w:pPr>
        <w:pStyle w:val="3"/>
        <w:spacing w:before="240" w:after="240" w:line="360" w:lineRule="auto"/>
        <w:rPr>
          <w:rFonts w:hint="eastAsia" w:ascii="宋体" w:hAnsi="宋体" w:eastAsia="宋体" w:cs="宋体"/>
          <w:color w:val="auto"/>
          <w:highlight w:val="none"/>
        </w:rPr>
      </w:pPr>
      <w:bookmarkStart w:id="173" w:name="_Toc7080"/>
      <w:r>
        <w:rPr>
          <w:rFonts w:hint="eastAsia" w:ascii="宋体" w:hAnsi="宋体" w:eastAsia="宋体" w:cs="宋体"/>
          <w:b w:val="0"/>
          <w:color w:val="auto"/>
          <w:sz w:val="24"/>
          <w:szCs w:val="24"/>
          <w:highlight w:val="none"/>
        </w:rPr>
        <w:t>21.1 不可抗力的确认</w:t>
      </w:r>
      <w:bookmarkEnd w:id="173"/>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21.1.1 不可抗力是指承包人和发包人在订立合同时不可预见，在工程施工过程中不可避免发生并不能克服的自然灾害和社会性突发事件，如地震、海啸、瘟疫、水灾、骚乱、暴动、战争和专用合同条款约定的其他情形。</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pPr>
        <w:pStyle w:val="3"/>
        <w:spacing w:before="240" w:after="240" w:line="360" w:lineRule="auto"/>
        <w:rPr>
          <w:rFonts w:hint="eastAsia" w:ascii="宋体" w:hAnsi="宋体" w:eastAsia="宋体" w:cs="宋体"/>
          <w:color w:val="auto"/>
          <w:highlight w:val="none"/>
        </w:rPr>
      </w:pPr>
      <w:bookmarkStart w:id="174" w:name="_Toc19717"/>
      <w:r>
        <w:rPr>
          <w:rFonts w:hint="eastAsia" w:ascii="宋体" w:hAnsi="宋体" w:eastAsia="宋体" w:cs="宋体"/>
          <w:b w:val="0"/>
          <w:color w:val="auto"/>
          <w:sz w:val="24"/>
          <w:szCs w:val="24"/>
          <w:highlight w:val="none"/>
        </w:rPr>
        <w:t>21.2 不可抗力的通知</w:t>
      </w:r>
      <w:bookmarkEnd w:id="174"/>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21.2.1 合同一方当事人遇到不可抗力事件，使其履行合同义务受到阻碍时，应立即通知合同另一方当事人和监理人，书面说明不可抗力和受阻碍的详细情况，并提供必要的证明。</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21.2.2 如不可抗力持续发生，合同一方当事人应及时向合同另一方当事人和监理人提交中间报告，说明不可抗力和履行合同受阻的情况，并于不可抗力事件结束后28天内提交最终报告及有关资料。</w:t>
      </w:r>
    </w:p>
    <w:p>
      <w:pPr>
        <w:pStyle w:val="3"/>
        <w:spacing w:before="240" w:after="240" w:line="360" w:lineRule="auto"/>
        <w:rPr>
          <w:rFonts w:hint="eastAsia" w:ascii="宋体" w:hAnsi="宋体" w:eastAsia="宋体" w:cs="宋体"/>
          <w:color w:val="auto"/>
          <w:highlight w:val="none"/>
        </w:rPr>
      </w:pPr>
      <w:bookmarkStart w:id="175" w:name="_Toc9677"/>
      <w:r>
        <w:rPr>
          <w:rFonts w:hint="eastAsia" w:ascii="宋体" w:hAnsi="宋体" w:eastAsia="宋体" w:cs="宋体"/>
          <w:b w:val="0"/>
          <w:color w:val="auto"/>
          <w:sz w:val="24"/>
          <w:szCs w:val="24"/>
          <w:highlight w:val="none"/>
        </w:rPr>
        <w:t>21.3 不可抗力后果及其处理</w:t>
      </w:r>
      <w:bookmarkEnd w:id="175"/>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21.3.1 不可抗力造成损害的责任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除专用合同条款另有约定外，不可抗力导致的人员伤亡、财产损失、费用增加和（或）工期延误等后果，由合同双方按以下原则承担：</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（1）永久工程，包括已运至施工场地的材料和工程设备的损害，以及因工程损害造成的第三者人员伤亡和财产损失由发包人承担；</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（2）承包人设备的损坏由承包人承担；</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（3）发包人和承包人各自承担其人员伤亡和其他财产损失及其相关费用；</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（4）承包人的停工损失由承包人承担，但停工期间应监理人要求照管工程和清理、修复工程的金额由发包人承担；</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（5）不能按期竣工的，应合理延长工期，承包人不需支付逾期竣工违约金。发包人要求赶工的，承包人应采取赶工措施，赶工费用由发包人承担。</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21.3.2 延迟履行期间发生的不可抗力</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合同一方当事人延迟履行，在延迟履行期间发生不可抗力的，不免除其责任。</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21.3.3 避免和减少不可抗力损失</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不可抗力发生后，发包人和承包人均应采取措施尽量避免和减少损失的扩大，任何一方没有采取有效措施导致损失扩大的，应对扩大的损失承担责任。</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21.3.4 因不可抗力解除合同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pPr>
        <w:pStyle w:val="3"/>
        <w:spacing w:before="480" w:after="240" w:line="360" w:lineRule="auto"/>
        <w:rPr>
          <w:rFonts w:hint="eastAsia" w:ascii="宋体" w:hAnsi="宋体" w:eastAsia="宋体" w:cs="宋体"/>
          <w:color w:val="auto"/>
          <w:highlight w:val="none"/>
        </w:rPr>
      </w:pPr>
      <w:bookmarkStart w:id="176" w:name="_Toc18374"/>
      <w:r>
        <w:rPr>
          <w:rFonts w:hint="eastAsia" w:ascii="宋体" w:hAnsi="宋体" w:eastAsia="宋体" w:cs="宋体"/>
          <w:b w:val="0"/>
          <w:color w:val="auto"/>
          <w:sz w:val="28"/>
          <w:szCs w:val="28"/>
          <w:highlight w:val="none"/>
        </w:rPr>
        <w:t>22. 违约</w:t>
      </w:r>
      <w:bookmarkEnd w:id="176"/>
    </w:p>
    <w:p>
      <w:pPr>
        <w:pStyle w:val="3"/>
        <w:spacing w:before="240" w:after="240" w:line="360" w:lineRule="auto"/>
        <w:rPr>
          <w:rFonts w:hint="eastAsia" w:ascii="宋体" w:hAnsi="宋体" w:eastAsia="宋体" w:cs="宋体"/>
          <w:color w:val="auto"/>
          <w:highlight w:val="none"/>
        </w:rPr>
      </w:pPr>
      <w:bookmarkStart w:id="177" w:name="_Toc17436"/>
      <w:r>
        <w:rPr>
          <w:rFonts w:hint="eastAsia" w:ascii="宋体" w:hAnsi="宋体" w:eastAsia="宋体" w:cs="宋体"/>
          <w:b w:val="0"/>
          <w:color w:val="auto"/>
          <w:sz w:val="24"/>
          <w:szCs w:val="24"/>
          <w:highlight w:val="none"/>
        </w:rPr>
        <w:t>22.1 承包人违约</w:t>
      </w:r>
      <w:bookmarkEnd w:id="177"/>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22.1.1 承包人违约的情形</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在履行合同过程中发生的下列情况属承包人违约：</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（1）承包人违反第1.8款或第4.3款的约定，私自将合同的全部或部分权利转让给其他人，或私自将合同的全部或部分义务转移给其他人；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（2）承包人违反第5.3款或第6.4款的约定，未经监理人批准，私自将已按合同约定进入施工场地的施工设备、临时设施或材料撤离施工场地；</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（3）承包人违反第5.4款的约定使用了不合格材料或工程设备，工程质量达不到标准要求，又拒绝清除不合格工程；</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（4）承包人未能按合同进度计划及时完成合同约定的工作，已造成或预期造成工期延误；</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（5）承包人在缺陷责任期内，未能对工程接收证书所列的缺陷清单的内容或缺陷责任期内发生的缺陷进行修复，而又拒绝按监理人指示再进行修补；</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（6）承包人无法继续履行或明确表示不履行或实质上已停止履行合同；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（7）承包人不按合同约定履行义务的其他情况。</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22.1.2 对承包人违约的处理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（1）承包人发生第22.1.1（6）目约定的违约情况时，发包人可通知承包人立即解除合同，并按有关法律处理。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（2）承包人发生除第22.1.1（6）目约定以外的其他违约情况时，监理人可向承包人发出整改通知，要求其在指定的期限内改正。承包人应承担其违约所引起的费用增加和（或）工期延误。</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（3）经检查证明承包人已采取了有效措施纠正违约行为，具备复工条件的，可由监理人签发复工通知复工。</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22.1.3 承包人违约解除合同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22.1.4 合同解除后的估价、付款和结清</w:t>
      </w:r>
    </w:p>
    <w:p>
      <w:pPr>
        <w:tabs>
          <w:tab w:val="left" w:pos="540"/>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（1）合同解除后，监理人按第3.5款商定或确定承包人实际完成工作的价值，以及承包人已提供的材料、施工设备、工程设备和临时工程等的价值。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（2）合同解除后，发包人应暂停对承包人的一切付款，查清各项付款和已扣款金额，包括承包人应支付的违约金。 </w:t>
      </w:r>
    </w:p>
    <w:p>
      <w:pPr>
        <w:tabs>
          <w:tab w:val="left" w:pos="720"/>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（3）合同解除后，发包人应按第23.4款的约定向承包人索赔由于解除合同给发包人造成的损失。</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（4）合同双方确认上述往来款项后，出具最终结清付款证书，结清全部合同款项。</w:t>
      </w:r>
    </w:p>
    <w:p>
      <w:pPr>
        <w:spacing w:line="360" w:lineRule="auto"/>
        <w:ind w:right="25" w:firstLine="480"/>
        <w:rPr>
          <w:rFonts w:hint="eastAsia" w:ascii="宋体" w:hAnsi="宋体" w:eastAsia="宋体" w:cs="宋体"/>
          <w:color w:val="auto"/>
          <w:highlight w:val="none"/>
        </w:rPr>
      </w:pPr>
      <w:r>
        <w:rPr>
          <w:rFonts w:hint="eastAsia" w:ascii="宋体" w:hAnsi="宋体" w:eastAsia="宋体" w:cs="宋体"/>
          <w:color w:val="auto"/>
          <w:sz w:val="24"/>
          <w:highlight w:val="none"/>
        </w:rPr>
        <w:t>（5）发包人和承包人未能就解除合同后的结清达成一致而形成争议的，按第24条的约定办理。</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22.1.5 协议利益的转让</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因承包人违约解除合同的，发包人有权要求承包人将其为实施合同而签订的材料和设备的订货协议或任何服务协议利益转让给发包人，并在解除合同后的14天内，依法办理转让手续。 </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22.1.6 紧急情况下无能力或不愿进行抢救</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3"/>
        <w:spacing w:before="240" w:after="240" w:line="360" w:lineRule="auto"/>
        <w:rPr>
          <w:rFonts w:hint="eastAsia" w:ascii="宋体" w:hAnsi="宋体" w:eastAsia="宋体" w:cs="宋体"/>
          <w:color w:val="auto"/>
          <w:highlight w:val="none"/>
        </w:rPr>
      </w:pPr>
      <w:bookmarkStart w:id="178" w:name="_Toc13001"/>
      <w:r>
        <w:rPr>
          <w:rFonts w:hint="eastAsia" w:ascii="宋体" w:hAnsi="宋体" w:eastAsia="宋体" w:cs="宋体"/>
          <w:b w:val="0"/>
          <w:color w:val="auto"/>
          <w:sz w:val="24"/>
          <w:szCs w:val="24"/>
          <w:highlight w:val="none"/>
        </w:rPr>
        <w:t>22.2 发包人违约</w:t>
      </w:r>
      <w:bookmarkEnd w:id="178"/>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22.2.1发包人违约的情形</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在履行合同过程中发生的下列情形，属发包人违约：</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（1）发包人未能按合同约定支付预付款或合同价款，或拖延、拒绝批准付款申请和支付凭证，导致付款延误的； </w:t>
      </w:r>
    </w:p>
    <w:p>
      <w:pPr>
        <w:tabs>
          <w:tab w:val="left" w:pos="720"/>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（2）发包人原因造成停工的；</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（3）监理人无正当理由没有在约定期限内发出复工指示，导致承包人无法复工的；</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（4）发包人无法继续履行或明确表示不履行或实质上已停止履行合同的；</w:t>
      </w:r>
    </w:p>
    <w:p>
      <w:pPr>
        <w:tabs>
          <w:tab w:val="left" w:pos="720"/>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（5）发包人不履行合同约定其他义务的。</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22.2.2 承包人有权暂停施工</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22.2.3 发包人违约解除合同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（1）发生第22.2.1（4）目的违约情况时，承包人可书面通知发包人解除合同。   </w:t>
      </w:r>
    </w:p>
    <w:p>
      <w:pPr>
        <w:tabs>
          <w:tab w:val="left" w:pos="720"/>
          <w:tab w:val="left" w:pos="900"/>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（2）承包人按第22.2.2项暂停施工28天后，发包人仍不纠正违约行为的，承包人可向发包人发出解除合同通知。但承包人的这一行动不免除发包人承担的违约责任，也不影响承包人根据合同约定享有的索赔权利。</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22.2.4 解除合同后的付款</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因发包人违约解除合同的，发包人应在解除合同后28天内向承包人支付下列金额，承包人应在此期限内及时向发包人提交要求支付下列金额的有关资料和凭证：</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（1）合同解除日以前所完成工作的价款；</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（2）承包人为该工程施工订购并已付款的材料、工程设备和其他物品的金额。发包人付还后，该材料、工程设备和其他物品归发包人所有；</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（3）承包人为完成工程所发生的，而发包人未支付的金额；</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（4）承包人撤离施工场地以及遣散承包人人员的金额；</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（5）由于解除合同应赔偿的承包人损失；</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（6）按合同约定在合同解除日前应支付给承包人的其他金额。</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发包人应按本项约定支付上述金额并退还质量保证金和履约担保，但有权要求承包人支付应偿还给发包人的各项金额。</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22.2.5 解除合同后的承包人撤离</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pPr>
        <w:pStyle w:val="3"/>
        <w:spacing w:before="240" w:after="240" w:line="360" w:lineRule="auto"/>
        <w:rPr>
          <w:rFonts w:hint="eastAsia" w:ascii="宋体" w:hAnsi="宋体" w:eastAsia="宋体" w:cs="宋体"/>
          <w:color w:val="auto"/>
          <w:highlight w:val="none"/>
        </w:rPr>
      </w:pPr>
      <w:bookmarkStart w:id="179" w:name="_Toc23649"/>
      <w:r>
        <w:rPr>
          <w:rFonts w:hint="eastAsia" w:ascii="宋体" w:hAnsi="宋体" w:eastAsia="宋体" w:cs="宋体"/>
          <w:b w:val="0"/>
          <w:color w:val="auto"/>
          <w:sz w:val="24"/>
          <w:szCs w:val="24"/>
          <w:highlight w:val="none"/>
        </w:rPr>
        <w:t>22.3第三人造成的违约</w:t>
      </w:r>
      <w:bookmarkEnd w:id="179"/>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在履行合同过程中，一方当事人因第三人的原因造成违约的，应当向对方当事人承担违约责任。一方当事人和第三人之间的纠纷，依照法律规定或者按照约定解决。</w:t>
      </w:r>
    </w:p>
    <w:p>
      <w:pPr>
        <w:pStyle w:val="3"/>
        <w:spacing w:before="480" w:after="240" w:line="360" w:lineRule="auto"/>
        <w:rPr>
          <w:rFonts w:hint="eastAsia" w:ascii="宋体" w:hAnsi="宋体" w:eastAsia="宋体" w:cs="宋体"/>
          <w:color w:val="auto"/>
          <w:highlight w:val="none"/>
        </w:rPr>
      </w:pPr>
      <w:bookmarkStart w:id="180" w:name="_Toc23726"/>
      <w:r>
        <w:rPr>
          <w:rFonts w:hint="eastAsia" w:ascii="宋体" w:hAnsi="宋体" w:eastAsia="宋体" w:cs="宋体"/>
          <w:b w:val="0"/>
          <w:color w:val="auto"/>
          <w:sz w:val="28"/>
          <w:szCs w:val="28"/>
          <w:highlight w:val="none"/>
        </w:rPr>
        <w:t>23. 索赔</w:t>
      </w:r>
      <w:bookmarkEnd w:id="180"/>
    </w:p>
    <w:p>
      <w:pPr>
        <w:pStyle w:val="3"/>
        <w:spacing w:before="240" w:after="240" w:line="360" w:lineRule="auto"/>
        <w:rPr>
          <w:rFonts w:hint="eastAsia" w:ascii="宋体" w:hAnsi="宋体" w:eastAsia="宋体" w:cs="宋体"/>
          <w:color w:val="auto"/>
          <w:highlight w:val="none"/>
        </w:rPr>
      </w:pPr>
      <w:bookmarkStart w:id="181" w:name="_Toc2748"/>
      <w:r>
        <w:rPr>
          <w:rFonts w:hint="eastAsia" w:ascii="宋体" w:hAnsi="宋体" w:eastAsia="宋体" w:cs="宋体"/>
          <w:b w:val="0"/>
          <w:color w:val="auto"/>
          <w:sz w:val="24"/>
          <w:szCs w:val="24"/>
          <w:highlight w:val="none"/>
        </w:rPr>
        <w:t>23.1 承包人索赔的提出</w:t>
      </w:r>
      <w:bookmarkEnd w:id="181"/>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根据合同约定，承包人认为有权得到追加付款和（或）延长工期的，应按以下程序向发包人提出索赔：</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（1）承包人应在知道或应当知道索赔事件发生后28天内，向监理人递交索赔意向通知书，并说明发生索赔事件的事由。承包人未在前述28天内发出索赔意向通知书的，丧失要求追加付款和（或）延长工期的权利；</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（2）承包人应在发出索赔意向通知书后28天内，向监理人正式递交索赔通知书。索赔通知书应详细说明索赔理由以及要求追加的付款金额和（或）延长的工期，并附必要的记录和证明材料；</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（3）索赔事件具有连续影响的，承包人应按合理时间间隔继续递交延续索赔通知，说明连续影响的实际情况和记录，列出累计的追加付款金额和（或）工期延长天数；</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（4）在索赔事件影响结束后的28天内，承包人应向监理人递交最终索赔通知书，说明最终要求索赔的追加付款金额和延长的工期，并附必要的记录和证明材料。</w:t>
      </w:r>
    </w:p>
    <w:p>
      <w:pPr>
        <w:pStyle w:val="3"/>
        <w:spacing w:before="240" w:after="240" w:line="360" w:lineRule="auto"/>
        <w:rPr>
          <w:rFonts w:hint="eastAsia" w:ascii="宋体" w:hAnsi="宋体" w:eastAsia="宋体" w:cs="宋体"/>
          <w:color w:val="auto"/>
          <w:highlight w:val="none"/>
        </w:rPr>
      </w:pPr>
      <w:bookmarkStart w:id="182" w:name="_Toc16674"/>
      <w:r>
        <w:rPr>
          <w:rFonts w:hint="eastAsia" w:ascii="宋体" w:hAnsi="宋体" w:eastAsia="宋体" w:cs="宋体"/>
          <w:b w:val="0"/>
          <w:color w:val="auto"/>
          <w:sz w:val="24"/>
          <w:szCs w:val="24"/>
          <w:highlight w:val="none"/>
        </w:rPr>
        <w:t>23.2 承包人索赔处理程序</w:t>
      </w:r>
      <w:bookmarkEnd w:id="182"/>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（1）监理人收到承包人提交的索赔通知书后，应及时审查索赔通知书的内容、查验承包人的记录和证明材料，必要时监理人可要求承包人提交全部原始记录副本。</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（2）监理人应按第3.5款商定或确定追加的付款和（或）延长的工期，并在收到上述索赔通知书或有关索赔的进一步证明材料后的42天内，将索赔处理结果答复承包人。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（3）承包人接受索赔处理结果的，发包人应在作出索赔处理结果答复后28天内完成赔付。承包人不接受索赔处理结果的，按第24条的约定办理。</w:t>
      </w:r>
    </w:p>
    <w:p>
      <w:pPr>
        <w:pStyle w:val="3"/>
        <w:spacing w:before="240" w:after="240" w:line="360" w:lineRule="auto"/>
        <w:rPr>
          <w:rFonts w:hint="eastAsia" w:ascii="宋体" w:hAnsi="宋体" w:eastAsia="宋体" w:cs="宋体"/>
          <w:color w:val="auto"/>
          <w:highlight w:val="none"/>
        </w:rPr>
      </w:pPr>
      <w:bookmarkStart w:id="183" w:name="_Toc13290"/>
      <w:r>
        <w:rPr>
          <w:rFonts w:hint="eastAsia" w:ascii="宋体" w:hAnsi="宋体" w:eastAsia="宋体" w:cs="宋体"/>
          <w:b w:val="0"/>
          <w:color w:val="auto"/>
          <w:sz w:val="24"/>
          <w:szCs w:val="24"/>
          <w:highlight w:val="none"/>
        </w:rPr>
        <w:t>23.3 承包人提出索赔的期限</w:t>
      </w:r>
      <w:bookmarkEnd w:id="183"/>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23.3.1 承包人按第17.5款的约定接受了竣工付款证书后，应被认为已无权再提出在合同工程接收证书颁发前所发生的任何索赔。</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23.3.2 承包人按第17.6款的约定提交的最终结清申请单中，只限于提出工程接收证书颁发后发生的索赔。提出索赔的期限自接受最终结清证书时终止。</w:t>
      </w:r>
    </w:p>
    <w:p>
      <w:pPr>
        <w:pStyle w:val="3"/>
        <w:spacing w:before="240" w:after="240" w:line="360" w:lineRule="auto"/>
        <w:rPr>
          <w:rFonts w:hint="eastAsia" w:ascii="宋体" w:hAnsi="宋体" w:eastAsia="宋体" w:cs="宋体"/>
          <w:color w:val="auto"/>
          <w:highlight w:val="none"/>
        </w:rPr>
      </w:pPr>
      <w:bookmarkStart w:id="184" w:name="_Toc21142"/>
      <w:r>
        <w:rPr>
          <w:rFonts w:hint="eastAsia" w:ascii="宋体" w:hAnsi="宋体" w:eastAsia="宋体" w:cs="宋体"/>
          <w:b w:val="0"/>
          <w:color w:val="auto"/>
          <w:sz w:val="24"/>
          <w:szCs w:val="24"/>
          <w:highlight w:val="none"/>
        </w:rPr>
        <w:t>23.4 发包人的索赔</w:t>
      </w:r>
      <w:bookmarkEnd w:id="184"/>
      <w:r>
        <w:rPr>
          <w:rFonts w:hint="eastAsia" w:ascii="宋体" w:hAnsi="宋体" w:eastAsia="宋体" w:cs="宋体"/>
          <w:b w:val="0"/>
          <w:color w:val="auto"/>
          <w:sz w:val="24"/>
          <w:szCs w:val="24"/>
          <w:highlight w:val="none"/>
        </w:rPr>
        <w:t xml:space="preserve">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23.4.2 监理人按第3.5款商定或确定发包人从承包人处得到赔付的金额和（或）缺陷责任期的延长期。承包人应付给发包人的金额可从拟支付给承包人的合同价款中扣除，或由承包人以其他方式支付给发包人。</w:t>
      </w:r>
    </w:p>
    <w:p>
      <w:pPr>
        <w:pStyle w:val="3"/>
        <w:spacing w:before="480" w:after="240" w:line="360" w:lineRule="auto"/>
        <w:rPr>
          <w:rFonts w:hint="eastAsia" w:ascii="宋体" w:hAnsi="宋体" w:eastAsia="宋体" w:cs="宋体"/>
          <w:color w:val="auto"/>
          <w:highlight w:val="none"/>
        </w:rPr>
      </w:pPr>
      <w:bookmarkStart w:id="185" w:name="_Toc9912"/>
      <w:r>
        <w:rPr>
          <w:rFonts w:hint="eastAsia" w:ascii="宋体" w:hAnsi="宋体" w:eastAsia="宋体" w:cs="宋体"/>
          <w:b w:val="0"/>
          <w:color w:val="auto"/>
          <w:sz w:val="28"/>
          <w:szCs w:val="28"/>
          <w:highlight w:val="none"/>
        </w:rPr>
        <w:t>24. 争议的解决</w:t>
      </w:r>
      <w:bookmarkEnd w:id="185"/>
    </w:p>
    <w:p>
      <w:pPr>
        <w:pStyle w:val="3"/>
        <w:spacing w:before="240" w:after="240" w:line="360" w:lineRule="auto"/>
        <w:rPr>
          <w:rFonts w:hint="eastAsia" w:ascii="宋体" w:hAnsi="宋体" w:eastAsia="宋体" w:cs="宋体"/>
          <w:color w:val="auto"/>
          <w:highlight w:val="none"/>
        </w:rPr>
      </w:pPr>
      <w:bookmarkStart w:id="186" w:name="_Toc6737"/>
      <w:r>
        <w:rPr>
          <w:rFonts w:hint="eastAsia" w:ascii="宋体" w:hAnsi="宋体" w:eastAsia="宋体" w:cs="宋体"/>
          <w:b w:val="0"/>
          <w:color w:val="auto"/>
          <w:sz w:val="24"/>
          <w:szCs w:val="24"/>
          <w:highlight w:val="none"/>
        </w:rPr>
        <w:t>24.1 争议的解决方式</w:t>
      </w:r>
      <w:bookmarkEnd w:id="186"/>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（1）向约定的仲裁委员会申请仲裁；</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（2）向有管辖权的人民法院提起诉讼。</w:t>
      </w:r>
    </w:p>
    <w:p>
      <w:pPr>
        <w:pStyle w:val="3"/>
        <w:spacing w:before="240" w:after="240" w:line="360" w:lineRule="auto"/>
        <w:rPr>
          <w:rFonts w:hint="eastAsia" w:ascii="宋体" w:hAnsi="宋体" w:eastAsia="宋体" w:cs="宋体"/>
          <w:color w:val="auto"/>
          <w:highlight w:val="none"/>
        </w:rPr>
      </w:pPr>
      <w:bookmarkStart w:id="187" w:name="_Toc11830"/>
      <w:r>
        <w:rPr>
          <w:rFonts w:hint="eastAsia" w:ascii="宋体" w:hAnsi="宋体" w:eastAsia="宋体" w:cs="宋体"/>
          <w:b w:val="0"/>
          <w:color w:val="auto"/>
          <w:sz w:val="24"/>
          <w:szCs w:val="24"/>
          <w:highlight w:val="none"/>
        </w:rPr>
        <w:t>24.2 友好解决</w:t>
      </w:r>
      <w:bookmarkEnd w:id="187"/>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在提请争议评审、仲裁或者诉讼前，以及在争议评审、仲裁或诉讼过程中，发包人和承包人均可共同努力友好协商解决争议。</w:t>
      </w:r>
    </w:p>
    <w:p>
      <w:pPr>
        <w:pStyle w:val="3"/>
        <w:spacing w:before="240" w:after="240" w:line="360" w:lineRule="auto"/>
        <w:rPr>
          <w:rFonts w:hint="eastAsia" w:ascii="宋体" w:hAnsi="宋体" w:eastAsia="宋体" w:cs="宋体"/>
          <w:color w:val="auto"/>
          <w:highlight w:val="none"/>
        </w:rPr>
      </w:pPr>
      <w:bookmarkStart w:id="188" w:name="_Toc10855"/>
      <w:r>
        <w:rPr>
          <w:rFonts w:hint="eastAsia" w:ascii="宋体" w:hAnsi="宋体" w:eastAsia="宋体" w:cs="宋体"/>
          <w:b w:val="0"/>
          <w:color w:val="auto"/>
          <w:sz w:val="24"/>
          <w:szCs w:val="24"/>
          <w:highlight w:val="none"/>
        </w:rPr>
        <w:t>24.3 争议评审</w:t>
      </w:r>
      <w:bookmarkEnd w:id="188"/>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24.3.1采用争议评审的，发包人和承包人应在开工日后的28天内或在争议发生后，协商成立争议评审组。争议评审组由有合同管理和工程实践经验的专家组成。</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24.3.2 合同双方的争议，应首先由申请人向争议评审组提交一份详细的评审申请报告，并附必要的文件、图纸和证明材料，申请人还应将上述报告的副本同时提交给被申请人和监理人。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24.3.3 被申请人在收到申请人评审申请报告副本后的28天内，向争议评审组提交一份答辩报告，并附证明材料。被申请人应将答辩报告的副本同时提交给申请人和监理人。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24.3.4 除专用合同条款另有约定外，争议评审组在收到合同双方报告后的14天内，邀请双方代表和有关人员举行调查会，向双方调查争议细节；必要时争议评审组可要求双方进一步提供补充材料。</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24.3.6 发包人和承包人接受评审意见的，由监理人根据评审意见拟定执行协议，经争议双方签字后作为合同的补充文件，并遵照执行。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24.3.7 发包人或承包人不接受评审意见，并要求提交仲裁或提起诉讼的，应在收到评审意见后的14天内将仲裁或起诉意向书面通知另一方，并抄送监理人，但在仲裁或诉讼结束前应暂按总监理工程师的确定执行。</w:t>
      </w:r>
    </w:p>
    <w:p>
      <w:pPr>
        <w:spacing w:line="360" w:lineRule="auto"/>
        <w:ind w:firstLine="392"/>
        <w:rPr>
          <w:rFonts w:hint="eastAsia" w:ascii="宋体" w:hAnsi="宋体" w:eastAsia="宋体" w:cs="宋体"/>
          <w:color w:val="auto"/>
          <w:sz w:val="20"/>
          <w:szCs w:val="20"/>
          <w:highlight w:val="none"/>
        </w:rPr>
      </w:pPr>
    </w:p>
    <w:p>
      <w:pPr>
        <w:spacing w:line="360" w:lineRule="auto"/>
        <w:ind w:firstLine="392"/>
        <w:rPr>
          <w:rFonts w:hint="eastAsia" w:ascii="宋体" w:hAnsi="宋体" w:eastAsia="宋体" w:cs="宋体"/>
          <w:color w:val="auto"/>
          <w:sz w:val="20"/>
          <w:szCs w:val="20"/>
          <w:highlight w:val="none"/>
        </w:rPr>
      </w:pPr>
    </w:p>
    <w:p>
      <w:pPr>
        <w:spacing w:line="360" w:lineRule="auto"/>
        <w:ind w:firstLine="392"/>
        <w:rPr>
          <w:rFonts w:hint="eastAsia" w:ascii="宋体" w:hAnsi="宋体" w:eastAsia="宋体" w:cs="宋体"/>
          <w:color w:val="auto"/>
          <w:sz w:val="20"/>
          <w:szCs w:val="20"/>
          <w:highlight w:val="none"/>
        </w:rPr>
      </w:pPr>
    </w:p>
    <w:p>
      <w:pPr>
        <w:pStyle w:val="3"/>
        <w:spacing w:before="240" w:after="240" w:line="360" w:lineRule="auto"/>
        <w:rPr>
          <w:rFonts w:hint="eastAsia" w:ascii="宋体" w:hAnsi="宋体" w:eastAsia="宋体" w:cs="宋体"/>
          <w:color w:val="auto"/>
          <w:sz w:val="20"/>
          <w:szCs w:val="20"/>
          <w:highlight w:val="none"/>
        </w:rPr>
      </w:pPr>
    </w:p>
    <w:p>
      <w:pPr>
        <w:pStyle w:val="3"/>
        <w:pageBreakBefore/>
        <w:spacing w:before="240" w:after="240" w:line="360" w:lineRule="auto"/>
        <w:jc w:val="center"/>
        <w:rPr>
          <w:rFonts w:hint="eastAsia" w:ascii="宋体" w:hAnsi="宋体" w:eastAsia="宋体" w:cs="宋体"/>
          <w:color w:val="auto"/>
          <w:highlight w:val="none"/>
        </w:rPr>
      </w:pPr>
      <w:bookmarkStart w:id="189" w:name="_Toc30750"/>
      <w:r>
        <w:rPr>
          <w:rFonts w:hint="eastAsia" w:ascii="宋体" w:hAnsi="宋体" w:eastAsia="宋体" w:cs="宋体"/>
          <w:b w:val="0"/>
          <w:color w:val="auto"/>
          <w:sz w:val="42"/>
          <w:szCs w:val="42"/>
          <w:highlight w:val="none"/>
        </w:rPr>
        <w:t>第二节  专用合同条款</w:t>
      </w:r>
      <w:bookmarkEnd w:id="189"/>
    </w:p>
    <w:p>
      <w:pPr>
        <w:pStyle w:val="3"/>
        <w:spacing w:before="240" w:after="240" w:line="360" w:lineRule="auto"/>
        <w:jc w:val="center"/>
        <w:rPr>
          <w:rFonts w:hint="eastAsia" w:ascii="宋体" w:hAnsi="宋体" w:eastAsia="宋体" w:cs="宋体"/>
          <w:color w:val="auto"/>
          <w:highlight w:val="none"/>
        </w:rPr>
      </w:pPr>
      <w:bookmarkStart w:id="190" w:name="_Toc13181"/>
      <w:r>
        <w:rPr>
          <w:rFonts w:hint="eastAsia" w:ascii="宋体" w:hAnsi="宋体" w:eastAsia="宋体" w:cs="宋体"/>
          <w:b w:val="0"/>
          <w:color w:val="auto"/>
          <w:szCs w:val="32"/>
          <w:highlight w:val="none"/>
        </w:rPr>
        <w:t>A. 公路工程专用合同条款</w:t>
      </w:r>
      <w:bookmarkEnd w:id="190"/>
    </w:p>
    <w:p>
      <w:pPr>
        <w:pStyle w:val="3"/>
        <w:spacing w:before="240" w:after="240" w:line="360" w:lineRule="auto"/>
        <w:rPr>
          <w:rFonts w:hint="eastAsia" w:ascii="宋体" w:hAnsi="宋体" w:eastAsia="宋体" w:cs="宋体"/>
          <w:b w:val="0"/>
          <w:color w:val="auto"/>
          <w:sz w:val="24"/>
          <w:szCs w:val="24"/>
          <w:highlight w:val="none"/>
        </w:rPr>
      </w:pPr>
    </w:p>
    <w:p>
      <w:pPr>
        <w:pStyle w:val="3"/>
        <w:spacing w:before="240" w:after="240" w:line="360" w:lineRule="auto"/>
        <w:rPr>
          <w:rFonts w:hint="eastAsia" w:ascii="宋体" w:hAnsi="宋体" w:eastAsia="宋体" w:cs="宋体"/>
          <w:color w:val="auto"/>
          <w:highlight w:val="none"/>
        </w:rPr>
      </w:pPr>
      <w:bookmarkStart w:id="191" w:name="_Toc19423"/>
      <w:r>
        <w:rPr>
          <w:rFonts w:hint="eastAsia" w:ascii="宋体" w:hAnsi="宋体" w:eastAsia="宋体" w:cs="宋体"/>
          <w:b w:val="0"/>
          <w:color w:val="auto"/>
          <w:sz w:val="28"/>
          <w:szCs w:val="28"/>
          <w:highlight w:val="none"/>
        </w:rPr>
        <w:t>1. 一般约定</w:t>
      </w:r>
      <w:bookmarkEnd w:id="191"/>
      <w:r>
        <w:rPr>
          <w:rFonts w:hint="eastAsia" w:ascii="宋体" w:hAnsi="宋体" w:eastAsia="宋体" w:cs="宋体"/>
          <w:b w:val="0"/>
          <w:color w:val="auto"/>
          <w:sz w:val="28"/>
          <w:szCs w:val="28"/>
          <w:highlight w:val="none"/>
        </w:rPr>
        <w:tab/>
      </w:r>
    </w:p>
    <w:p>
      <w:pPr>
        <w:pStyle w:val="3"/>
        <w:spacing w:before="240" w:after="240" w:line="360" w:lineRule="auto"/>
        <w:rPr>
          <w:rFonts w:hint="eastAsia" w:ascii="宋体" w:hAnsi="宋体" w:eastAsia="宋体" w:cs="宋体"/>
          <w:color w:val="auto"/>
          <w:highlight w:val="none"/>
        </w:rPr>
      </w:pPr>
      <w:bookmarkStart w:id="192" w:name="_Toc2589"/>
      <w:r>
        <w:rPr>
          <w:rFonts w:hint="eastAsia" w:ascii="宋体" w:hAnsi="宋体" w:eastAsia="宋体" w:cs="宋体"/>
          <w:b w:val="0"/>
          <w:color w:val="auto"/>
          <w:sz w:val="24"/>
          <w:szCs w:val="24"/>
          <w:highlight w:val="none"/>
        </w:rPr>
        <w:t>1.1</w:t>
      </w:r>
      <w:r>
        <w:rPr>
          <w:rFonts w:hint="eastAsia" w:ascii="宋体" w:hAnsi="宋体" w:eastAsia="宋体" w:cs="宋体"/>
          <w:b w:val="0"/>
          <w:color w:val="auto"/>
          <w:sz w:val="24"/>
          <w:szCs w:val="24"/>
          <w:highlight w:val="none"/>
        </w:rPr>
        <w:tab/>
      </w:r>
      <w:r>
        <w:rPr>
          <w:rFonts w:hint="eastAsia" w:ascii="宋体" w:hAnsi="宋体" w:eastAsia="宋体" w:cs="宋体"/>
          <w:b w:val="0"/>
          <w:color w:val="auto"/>
          <w:sz w:val="24"/>
          <w:szCs w:val="24"/>
          <w:highlight w:val="none"/>
        </w:rPr>
        <w:t>词语定义</w:t>
      </w:r>
      <w:bookmarkEnd w:id="192"/>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1.1.1 合同</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第1.1.1.6目细化为：</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技术规范：指本合同所约定的技术标准和要求，是合同文件的组成部分。通用合同条款中“技术标准和要求”一词具有相同含义。</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第1.1.1.8目细化为：</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已标价工程量清单：指构成合同文件组成部分的已标明价格、经算术性错误修正及其他错误修正（如有）且承包人已确认的最终的工程量清单，包括工程量清单说明、投标报价说明、计日工说明、其他说明及工程量清单各项表格（工程量清单表5.1～表5.5）。</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本项补充第1.1.1.10目：</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1.1.1.10 补遗书：指发出竞争性磋商文件之后由招标人向已取得竞争性磋商文件的供应商发出的、编号的对竞争性磋商文件所作的澄清、修改书。</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1.1.2 合同当事人和人员</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本项补充第1.1.2.8目：</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1.1.2.8 承包人项目总工：指由承包人书面委派常驻现场负责管理本合同工程的总工程师或技术总负责人。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1.1.3 工程和设备</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第1.1.3.4目细化为：</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单位工程：指在建设项目中，根据签订的合同，具有独立施工条件的工程。</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第1.1.3.10目细化为： </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永久占地：指为实施本合同工程而需要的一切永久占用的土地，包括公路两侧路权范围内的用地。</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第1.1.3.11目细化为：</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临时占地：指为实施本合同工程而需要的一切临时占用的土地，包括施工所用的临时支线、便道、便桥和现场的临时出入通道，以及生产（办公）、生活等临时设施用地等。</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本项补充第1.1.3.12目、第1.1.3.13目：</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1.1.3.12 分部工程：指在单位工程中，按结构部位、路段长度及施工特点或施工任务划分的若干个工程。</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1.1.3.13 分项工程：指在分部工程中，按不同的施工方法、材料、工序及路段长度等划分的若干个工程。</w:t>
      </w:r>
    </w:p>
    <w:p>
      <w:pPr>
        <w:spacing w:line="360" w:lineRule="auto"/>
        <w:ind w:firstLine="470"/>
        <w:rPr>
          <w:rFonts w:hint="eastAsia" w:ascii="宋体" w:hAnsi="宋体" w:eastAsia="宋体" w:cs="宋体"/>
          <w:color w:val="auto"/>
          <w:highlight w:val="none"/>
        </w:rPr>
      </w:pPr>
      <w:bookmarkStart w:id="193" w:name="OLE_LINK18"/>
      <w:r>
        <w:rPr>
          <w:rFonts w:hint="eastAsia" w:ascii="宋体" w:hAnsi="宋体" w:eastAsia="宋体" w:cs="宋体"/>
          <w:color w:val="auto"/>
          <w:sz w:val="24"/>
          <w:highlight w:val="none"/>
        </w:rPr>
        <w:t>1.1.6 其他</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本项补充第1.1.6.2目～第1.1.6.9目：</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1.1.6.2 竣工验收：指《公路工程竣（交）工验收办法》中的竣工验收。通用合同条款中“国家验收”一词具有相同含义。</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1.1.6.3交工：指《公路工程竣（交）工验收办法》中的交工。通用合同条款中“竣工”一词具有相同含义。</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1.1.6.4交工验收：指《公路工程竣（交）工验收办法》中的交工验收。通用合同条款中“竣工验收”一词具有相同含义。</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1.1.6.5交工验收证书：指《公路工程竣（交）工验收办法》中的交工验收证书。通用合同条款中“工程接收证书”一词具有相同含义。</w:t>
      </w:r>
    </w:p>
    <w:bookmarkEnd w:id="193"/>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1.1.6.6转包：指承包人违反法律和不履行合同规定的责任和义务，将中标工程全部委托或以专业分包的名义将中标工程肢解后全部委托给其他施工企业施工的行为。</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1.1.6.7专业分包：指承包人与具有相应资格的施工企业签订专业分包合同，由分包人承担承包人委托的分部工程、分项工程或适合专业化队伍施工的其他工程，整体结算，并能独立控制工程质量、施工进度、材料采购、生产安全的施工行为。</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1.1.6.8劳务分包：指承包人与具有施工劳务资质的劳务企业签订劳务分包合同，由劳务企业提供劳务人员及机具，由承包人统一组织施工、统一控制工程质量、施工进度、材料采购、生产安全的施工行为。</w:t>
      </w:r>
    </w:p>
    <w:p>
      <w:pPr>
        <w:spacing w:line="360" w:lineRule="auto"/>
        <w:ind w:firstLine="720"/>
        <w:rPr>
          <w:rFonts w:hint="eastAsia" w:ascii="宋体" w:hAnsi="宋体" w:eastAsia="宋体" w:cs="宋体"/>
          <w:color w:val="auto"/>
          <w:highlight w:val="none"/>
        </w:rPr>
      </w:pPr>
      <w:r>
        <w:rPr>
          <w:rFonts w:hint="eastAsia" w:ascii="宋体" w:hAnsi="宋体" w:eastAsia="宋体" w:cs="宋体"/>
          <w:color w:val="auto"/>
          <w:sz w:val="24"/>
          <w:highlight w:val="none"/>
        </w:rPr>
        <w:t>1.1.6.9雇用民工：指承包人与具有相应劳动能力的自然人签订劳动合同，由承包人统一组织管理，从事分项工程施工或配套工程施工的行为。</w:t>
      </w:r>
    </w:p>
    <w:p>
      <w:pPr>
        <w:pStyle w:val="3"/>
        <w:spacing w:before="240" w:after="240" w:line="360" w:lineRule="auto"/>
        <w:rPr>
          <w:rFonts w:hint="eastAsia" w:ascii="宋体" w:hAnsi="宋体" w:eastAsia="宋体" w:cs="宋体"/>
          <w:color w:val="auto"/>
          <w:highlight w:val="none"/>
        </w:rPr>
      </w:pPr>
      <w:bookmarkStart w:id="194" w:name="_Toc1939"/>
      <w:r>
        <w:rPr>
          <w:rFonts w:hint="eastAsia" w:ascii="宋体" w:hAnsi="宋体" w:eastAsia="宋体" w:cs="宋体"/>
          <w:b w:val="0"/>
          <w:color w:val="auto"/>
          <w:sz w:val="24"/>
          <w:szCs w:val="24"/>
          <w:highlight w:val="none"/>
        </w:rPr>
        <w:t>1.4 合同文件的优先顺序</w:t>
      </w:r>
      <w:bookmarkEnd w:id="194"/>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本款约定为：</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组成合同的各项文件应互相解释，互为说明。除项目专用合同条款另有约定外，解释合同文件的优先顺序如下：</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（1）合同协议书及各种合同附件（含评标期间和合同谈判过程中的澄清文件和补充资料）；</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（2）中标通知书；</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（3）投标函及投标函附录；</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（4）项目专用合同条款；</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（5）公路工程专用合同条款；</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（6）通用合同条款；</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（7）工程量清单计量规则；</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（8）技术规范；</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（9）图纸；</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（10）已标价工程量清单；</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（11）承包人有关人员、设备投入的承诺及响应文件中的施工组织设计；</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（12）其他合同文件。</w:t>
      </w:r>
    </w:p>
    <w:p>
      <w:pPr>
        <w:pStyle w:val="3"/>
        <w:spacing w:before="240" w:after="240" w:line="360" w:lineRule="auto"/>
        <w:rPr>
          <w:rFonts w:hint="eastAsia" w:ascii="宋体" w:hAnsi="宋体" w:eastAsia="宋体" w:cs="宋体"/>
          <w:color w:val="auto"/>
          <w:highlight w:val="none"/>
        </w:rPr>
      </w:pPr>
      <w:bookmarkStart w:id="195" w:name="_Toc20620"/>
      <w:r>
        <w:rPr>
          <w:rFonts w:hint="eastAsia" w:ascii="宋体" w:hAnsi="宋体" w:eastAsia="宋体" w:cs="宋体"/>
          <w:b w:val="0"/>
          <w:color w:val="auto"/>
          <w:sz w:val="24"/>
          <w:szCs w:val="24"/>
          <w:highlight w:val="none"/>
        </w:rPr>
        <w:t>1.5 合同协议书</w:t>
      </w:r>
      <w:bookmarkEnd w:id="195"/>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本款补充：</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制备本合同文件的费用由发包人承担。在合同协议书签订并生效之前，投标函和中标通知书将对双方具有约束力。</w:t>
      </w:r>
    </w:p>
    <w:p>
      <w:pPr>
        <w:pStyle w:val="3"/>
        <w:spacing w:before="240" w:after="240" w:line="360" w:lineRule="auto"/>
        <w:rPr>
          <w:rFonts w:hint="eastAsia" w:ascii="宋体" w:hAnsi="宋体" w:eastAsia="宋体" w:cs="宋体"/>
          <w:color w:val="auto"/>
          <w:highlight w:val="none"/>
        </w:rPr>
      </w:pPr>
      <w:bookmarkStart w:id="196" w:name="_Toc13250"/>
      <w:r>
        <w:rPr>
          <w:rFonts w:hint="eastAsia" w:ascii="宋体" w:hAnsi="宋体" w:eastAsia="宋体" w:cs="宋体"/>
          <w:b w:val="0"/>
          <w:color w:val="auto"/>
          <w:sz w:val="24"/>
          <w:szCs w:val="24"/>
          <w:highlight w:val="none"/>
        </w:rPr>
        <w:t>1.6 图纸和承包人文件</w:t>
      </w:r>
      <w:bookmarkEnd w:id="196"/>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1.6.1 图纸的提供</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本项细化为：</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监理人应在发出中标通知书之后42天内，向承包人免费提供由发包人或其委托的设计单位设计的施工图纸、技术规范和其他技术资料2份，并向承包人进行技术交底。承包人需要更多份数时，应自费复制。由于发包人未按时提供图纸造成工期延误的，按第11.3款的约定办理。</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1.6.2 承包人提供的文件</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本项细化为：</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有下列情形之一的，承包人应免费向监理人提交相关部分工程的施工图纸3份，并附必要的计算书、技术资料，或施工工艺图、设备安装图及安装设备的使用和维护手册各2份供监理人批准。</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（1）为使第1.6.1项所述的施工图纸适合于经施工测量后的纵、横断面；</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（2）为使第1.6.1项所述的施工图纸适合于现场具体地形；</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（3）为使第1.6.1项所述的施工图纸适合于因尺寸与位置变化而引起局部变更；</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（4）由于合同要求与施工需要。</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此类图纸应按监理人规定的格式和图幅绘制。监理人在收到由承包人绘制的上述工程、工艺图纸、计算书和有关技术资料后14天内应予批准或提出修改要求，承包人应按监理人提出的要求作出修改，重新向监理人提交，监理人应在7天内批准或提出进一步的修改意见。</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1.6.4 图纸的错误</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本项细化为：</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当承包人在查阅合同文件或在本合同工程实施过程中，发现有关的工程设计、技术规范、图纸或其他资料中的任何差错、遗漏或缺陷后，应及时通知监理人。监理人接到该通知后，应立即就此作出决定，并通知承包人和发包人。</w:t>
      </w:r>
    </w:p>
    <w:p>
      <w:pPr>
        <w:pStyle w:val="3"/>
        <w:spacing w:before="240" w:after="240" w:line="360" w:lineRule="auto"/>
        <w:rPr>
          <w:rFonts w:hint="eastAsia" w:ascii="宋体" w:hAnsi="宋体" w:eastAsia="宋体" w:cs="宋体"/>
          <w:color w:val="auto"/>
          <w:highlight w:val="none"/>
        </w:rPr>
      </w:pPr>
      <w:bookmarkStart w:id="197" w:name="_Toc2352"/>
      <w:r>
        <w:rPr>
          <w:rFonts w:hint="eastAsia" w:ascii="宋体" w:hAnsi="宋体" w:eastAsia="宋体" w:cs="宋体"/>
          <w:b w:val="0"/>
          <w:color w:val="auto"/>
          <w:sz w:val="24"/>
          <w:szCs w:val="24"/>
          <w:highlight w:val="none"/>
        </w:rPr>
        <w:t>1.9 严禁贿赂</w:t>
      </w:r>
      <w:bookmarkEnd w:id="197"/>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本款补充：</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pPr>
        <w:pStyle w:val="3"/>
        <w:spacing w:before="480" w:after="240" w:line="360" w:lineRule="auto"/>
        <w:rPr>
          <w:rFonts w:hint="eastAsia" w:ascii="宋体" w:hAnsi="宋体" w:eastAsia="宋体" w:cs="宋体"/>
          <w:color w:val="auto"/>
          <w:highlight w:val="none"/>
        </w:rPr>
      </w:pPr>
      <w:bookmarkStart w:id="198" w:name="_Toc8034"/>
      <w:r>
        <w:rPr>
          <w:rFonts w:hint="eastAsia" w:ascii="宋体" w:hAnsi="宋体" w:eastAsia="宋体" w:cs="宋体"/>
          <w:b w:val="0"/>
          <w:color w:val="auto"/>
          <w:sz w:val="28"/>
          <w:szCs w:val="28"/>
          <w:highlight w:val="none"/>
        </w:rPr>
        <w:t>2. 发包人义务</w:t>
      </w:r>
      <w:bookmarkEnd w:id="198"/>
    </w:p>
    <w:p>
      <w:pPr>
        <w:pStyle w:val="3"/>
        <w:spacing w:before="240" w:after="240" w:line="360" w:lineRule="auto"/>
        <w:rPr>
          <w:rFonts w:hint="eastAsia" w:ascii="宋体" w:hAnsi="宋体" w:eastAsia="宋体" w:cs="宋体"/>
          <w:color w:val="auto"/>
          <w:highlight w:val="none"/>
        </w:rPr>
      </w:pPr>
      <w:bookmarkStart w:id="199" w:name="_Toc7751"/>
      <w:r>
        <w:rPr>
          <w:rFonts w:hint="eastAsia" w:ascii="宋体" w:hAnsi="宋体" w:eastAsia="宋体" w:cs="宋体"/>
          <w:b w:val="0"/>
          <w:color w:val="auto"/>
          <w:sz w:val="24"/>
          <w:szCs w:val="24"/>
          <w:highlight w:val="none"/>
        </w:rPr>
        <w:t>2.3 提供施工场地</w:t>
      </w:r>
      <w:bookmarkEnd w:id="199"/>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本款补充：</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发包人负责办理永久占地的征用及与之有关的拆迁赔偿手续并承担相关费用。承包人在按第10条规定提交施工进度计划的同时，应向监理人提交一份按施工先后次序所需的永久占地计划。监理人应在收到此计划后的14天内审核并转报发包人核备。发包人应在监理人发出本工程或分部工程开工通知之前，对承包人开工所需的永久占地办妥征用手续和相关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由于承包人施工考虑不周或措施不当等原因而造成的超计划占地或拆迁等所发生的征用和赔偿费用，应由承包人承担。</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由于发包人未能按照本项规定办妥永久占地征用手续，影响承包人及时使用永久占地造成的费用增加和（或）工期延误应由发包人承担。由于承包人未能按照本项规定提交占地计划，影响发包人办理永久占地征用手续造成的费用增加和（或）工期延误由承包人承担。</w:t>
      </w:r>
    </w:p>
    <w:p>
      <w:pPr>
        <w:pStyle w:val="3"/>
        <w:spacing w:before="480" w:after="240" w:line="360" w:lineRule="auto"/>
        <w:rPr>
          <w:rFonts w:hint="eastAsia" w:ascii="宋体" w:hAnsi="宋体" w:eastAsia="宋体" w:cs="宋体"/>
          <w:color w:val="auto"/>
          <w:highlight w:val="none"/>
        </w:rPr>
      </w:pPr>
      <w:bookmarkStart w:id="200" w:name="_Toc3675"/>
      <w:r>
        <w:rPr>
          <w:rFonts w:hint="eastAsia" w:ascii="宋体" w:hAnsi="宋体" w:eastAsia="宋体" w:cs="宋体"/>
          <w:b w:val="0"/>
          <w:color w:val="auto"/>
          <w:sz w:val="28"/>
          <w:szCs w:val="28"/>
          <w:highlight w:val="none"/>
        </w:rPr>
        <w:t>3. 监理人</w:t>
      </w:r>
      <w:bookmarkEnd w:id="200"/>
    </w:p>
    <w:p>
      <w:pPr>
        <w:pStyle w:val="3"/>
        <w:spacing w:before="240" w:after="240" w:line="360" w:lineRule="auto"/>
        <w:rPr>
          <w:rFonts w:hint="eastAsia" w:ascii="宋体" w:hAnsi="宋体" w:eastAsia="宋体" w:cs="宋体"/>
          <w:color w:val="auto"/>
          <w:highlight w:val="none"/>
        </w:rPr>
      </w:pPr>
      <w:bookmarkStart w:id="201" w:name="_Toc9293"/>
      <w:r>
        <w:rPr>
          <w:rFonts w:hint="eastAsia" w:ascii="宋体" w:hAnsi="宋体" w:eastAsia="宋体" w:cs="宋体"/>
          <w:b w:val="0"/>
          <w:color w:val="auto"/>
          <w:sz w:val="24"/>
          <w:szCs w:val="24"/>
          <w:highlight w:val="none"/>
        </w:rPr>
        <w:t>3.1 监理人的职责和权力</w:t>
      </w:r>
      <w:bookmarkEnd w:id="201"/>
      <w:r>
        <w:rPr>
          <w:rFonts w:hint="eastAsia" w:ascii="宋体" w:hAnsi="宋体" w:eastAsia="宋体" w:cs="宋体"/>
          <w:b w:val="0"/>
          <w:color w:val="auto"/>
          <w:sz w:val="24"/>
          <w:szCs w:val="24"/>
          <w:highlight w:val="none"/>
        </w:rPr>
        <w:t xml:space="preserve">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第3.1.1项补充：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监理人在行使下列权力前需要经发包人事先批准：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（1）根据第4.3款，同意分包本工程的某些非关键性工作或者适合专业化队伍施工的专项工程；</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（2）确定第4.11款下产生的费用增加额；</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（3）根据第11.1款、第12.3款、第12.4款发布开工通知、暂停施工指示或复工通知；</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（4）决定第11.3款、第11.4款下的工期延长；</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（5）审查批准技术方案或设计的变更；</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（6）根据第15.3款发出的变更指示，其单项工程变更或累计变更涉及的金额超过了项目专用合同条款数据表中规定的金额；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（7）确定第15.4款下变更工作的单价；</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（8）按照第15.6款决定有关暂列金额的使用；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（9）确定第15.8款下的暂估价金额；</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（10）确定第23.1款下的索赔额。</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如果发生紧急情况，监理人认为将造成人员伤亡，或危及本工程或邻近的财产需立即采取行动，监理人有权在未征得发包人的批准的情况下发布处理紧急情况所必需的指令，承包人应予执行，由此造成的费用增加由监理人按第3.5款商定或确定。</w:t>
      </w:r>
    </w:p>
    <w:p>
      <w:pPr>
        <w:pStyle w:val="3"/>
        <w:spacing w:before="240" w:after="240" w:line="360" w:lineRule="auto"/>
        <w:rPr>
          <w:rFonts w:hint="eastAsia" w:ascii="宋体" w:hAnsi="宋体" w:eastAsia="宋体" w:cs="宋体"/>
          <w:color w:val="auto"/>
          <w:highlight w:val="none"/>
        </w:rPr>
      </w:pPr>
      <w:bookmarkStart w:id="202" w:name="_Toc27288"/>
      <w:r>
        <w:rPr>
          <w:rFonts w:hint="eastAsia" w:ascii="宋体" w:hAnsi="宋体" w:eastAsia="宋体" w:cs="宋体"/>
          <w:b w:val="0"/>
          <w:color w:val="auto"/>
          <w:sz w:val="24"/>
          <w:szCs w:val="24"/>
          <w:highlight w:val="none"/>
        </w:rPr>
        <w:t>3.5</w:t>
      </w:r>
      <w:r>
        <w:rPr>
          <w:rFonts w:hint="eastAsia" w:ascii="宋体" w:hAnsi="宋体" w:eastAsia="宋体" w:cs="宋体"/>
          <w:b w:val="0"/>
          <w:color w:val="auto"/>
          <w:sz w:val="24"/>
          <w:szCs w:val="24"/>
          <w:highlight w:val="none"/>
        </w:rPr>
        <w:tab/>
      </w:r>
      <w:r>
        <w:rPr>
          <w:rFonts w:hint="eastAsia" w:ascii="宋体" w:hAnsi="宋体" w:eastAsia="宋体" w:cs="宋体"/>
          <w:b w:val="0"/>
          <w:color w:val="auto"/>
          <w:sz w:val="24"/>
          <w:szCs w:val="24"/>
          <w:highlight w:val="none"/>
        </w:rPr>
        <w:t>商定或确定</w:t>
      </w:r>
      <w:bookmarkEnd w:id="202"/>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第3.5.1项补充：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如果这项商定或确定导致费用增加和（或）工期延长，或者涉及确定变更工程的价格，则总监理工程师在发出通知前，应征得发包人的同意。</w:t>
      </w:r>
    </w:p>
    <w:p>
      <w:pPr>
        <w:pStyle w:val="3"/>
        <w:spacing w:before="480" w:after="240" w:line="360" w:lineRule="auto"/>
        <w:rPr>
          <w:rFonts w:hint="eastAsia" w:ascii="宋体" w:hAnsi="宋体" w:eastAsia="宋体" w:cs="宋体"/>
          <w:color w:val="auto"/>
          <w:highlight w:val="none"/>
        </w:rPr>
      </w:pPr>
      <w:bookmarkStart w:id="203" w:name="_Toc3902"/>
      <w:r>
        <w:rPr>
          <w:rFonts w:hint="eastAsia" w:ascii="宋体" w:hAnsi="宋体" w:eastAsia="宋体" w:cs="宋体"/>
          <w:b w:val="0"/>
          <w:color w:val="auto"/>
          <w:sz w:val="28"/>
          <w:szCs w:val="28"/>
          <w:highlight w:val="none"/>
        </w:rPr>
        <w:t>4. 承包人</w:t>
      </w:r>
      <w:bookmarkEnd w:id="203"/>
    </w:p>
    <w:p>
      <w:pPr>
        <w:pStyle w:val="3"/>
        <w:spacing w:before="240" w:after="240" w:line="360" w:lineRule="auto"/>
        <w:rPr>
          <w:rFonts w:hint="eastAsia" w:ascii="宋体" w:hAnsi="宋体" w:eastAsia="宋体" w:cs="宋体"/>
          <w:color w:val="auto"/>
          <w:highlight w:val="none"/>
        </w:rPr>
      </w:pPr>
      <w:bookmarkStart w:id="204" w:name="_Toc19177"/>
      <w:r>
        <w:rPr>
          <w:rFonts w:hint="eastAsia" w:ascii="宋体" w:hAnsi="宋体" w:eastAsia="宋体" w:cs="宋体"/>
          <w:b w:val="0"/>
          <w:color w:val="auto"/>
          <w:sz w:val="24"/>
          <w:szCs w:val="24"/>
          <w:highlight w:val="none"/>
        </w:rPr>
        <w:t>4.1 承包人的一般义务</w:t>
      </w:r>
      <w:bookmarkEnd w:id="204"/>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4.1.9 工程的维护和照管 </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本项细化为：</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1）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2）在承包人负责照管与维护期间，如果本工程或材料、设备等发生损失或损害，除不可抗力原因之外，承包人均应自费弥补，并达到合同要求。承包人还应对按第19条规定而实施作业过程中由承包人造成的对工程的任何损失或损害负责。</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4.1.10 其他义务</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本项细化为：</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（1） 临时占地由承包人向当地政府土地管理部门申请，并办理租用手续，承包人按有关规定直接支付其费用，发包人对此将予以协调。</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临时占地范围包括承包人驻地的办公室、食堂、宿舍、道路和机械设备停放场、材料堆放场地、弃土场、预制场、拌和场、仓库、进场临时道路、临时便道、便桥等。承包人应在“临时占地计划表”范围内按实际需要与先后次序，提出具体计划报监理人同意，并报发包人。临时占地的面积和使用期应满足工程需要，费用包括临时占地数量、时间及因此而发生的协调、租用、复耕、地面附着物（电力、电信、房屋、坟墓除外）的拆迁补偿等相关费用。除项目专用合同条款另有约定外，临时占地的租地费用实行总额包干，列入工程量清单第100章中由承包人按总额报价。</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临时占地退还前，承包人应自费恢复到临时占地使用前的状况。如因承包人撤离后未按要求对临时占地进行恢复或虽进行了恢复但未达到使用标准的，将由发包人委托第三方对其恢复，所发生的费用将从应付给承包人的任何款项内扣除。</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2）除项目专用合同条款另有约定外，承包人应承担并支付为获得本合同工程所需的石料、砂、砾石、黏土或其他当地材料等所发生的料场使用费及其他开支或补偿费。发包人应尽可能协助承包人办理料场租用手续及解决使用过程中的有关问题。</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3）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的材料、设备货款及民工工资，并从应付给承包人的工程款中扣除相应款项。对恶意拖欠和拒不按计划支付的，作为不良记录纳入公路建设市场信用信息管理系统。</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承包人的项目经理部是民工工资支付行为的主体，承包人的项目经理是民工工资支付的责任人。项目经理部要建立全体民工花名册和工资支付表，确保将工资直接发放给民工本人，或委托银行发放民工工资，严禁发放给“包工头”或其他不具备用工主体资格的组织和个人。</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工资支付表应如实记录支付单位、支付时间、支付对象、支付数额、支付对象的身份证号和签字等信息。民工花名册和工资支付表应报监理人备查。</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4）承包人应分解工程价款中的人工费用，在工程项目所在地银行开设民工工资（劳务费）专用账户，专项用于支付民工工资。发包人应按照本合同约定的比例或承包人提供的人工费用数额，将应付工程款中的人工费单独拨付到承包人开设的民工工资（劳务费）专用账户。民工工资（劳务费）专用账户应向人力资源社会保障部门和交通运输主管部门备案，并委托开户银行负责日常监管，确保专款专用。开户银行发现账户资金不足、被挪用等情况，应及时向人力资源社会保障部门和交通运输主管部门报告。</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5）承包人应严格执行竞争性磋商文件技术规范对施工标准化提出的具体要求，结合本单位施工能力和技术优势，积极采取有利于标准化施工的组织方式和工艺流程，加强工地建设、工艺控制、人员管理和内业资料管理，强化对施工一线操作人员的培训，改善职工生产生活条件，与此相关的费用承包人应列入工程量清单第100章中。</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（6）承包人应履行项目专用合同条款约定的其他义务。</w:t>
      </w:r>
    </w:p>
    <w:p>
      <w:pPr>
        <w:pStyle w:val="3"/>
        <w:spacing w:before="240" w:after="240" w:line="360" w:lineRule="auto"/>
        <w:rPr>
          <w:rFonts w:hint="eastAsia" w:ascii="宋体" w:hAnsi="宋体" w:eastAsia="宋体" w:cs="宋体"/>
          <w:color w:val="auto"/>
          <w:highlight w:val="none"/>
        </w:rPr>
      </w:pPr>
      <w:bookmarkStart w:id="205" w:name="_Toc10882"/>
      <w:r>
        <w:rPr>
          <w:rFonts w:hint="eastAsia" w:ascii="宋体" w:hAnsi="宋体" w:eastAsia="宋体" w:cs="宋体"/>
          <w:b w:val="0"/>
          <w:color w:val="auto"/>
          <w:sz w:val="24"/>
          <w:szCs w:val="24"/>
          <w:highlight w:val="none"/>
        </w:rPr>
        <w:t>4.2 履约保证金</w:t>
      </w:r>
      <w:bookmarkEnd w:id="205"/>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承包人应保证其履约保证金在发包人签发交工验收证书且承包人按照合同约定缴纳质量保证金前一直有效。发包人应在收到承包人缴纳的质量保证金后28天内将履约保证金退还给承包人。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承包人拒绝按照本合同约定缴纳质量保证金的，发包人有权从交工付款证书中扣留相应金额作为质量保证金，或者直接将履约保证金金额用于保证承包人在缺陷责任期内履行缺陷修复义务。</w:t>
      </w:r>
    </w:p>
    <w:p>
      <w:pPr>
        <w:pStyle w:val="3"/>
        <w:spacing w:before="240" w:after="240" w:line="360" w:lineRule="auto"/>
        <w:rPr>
          <w:rFonts w:hint="eastAsia" w:ascii="宋体" w:hAnsi="宋体" w:eastAsia="宋体" w:cs="宋体"/>
          <w:color w:val="auto"/>
          <w:highlight w:val="none"/>
        </w:rPr>
      </w:pPr>
      <w:bookmarkStart w:id="206" w:name="_Toc26013"/>
      <w:r>
        <w:rPr>
          <w:rFonts w:hint="eastAsia" w:ascii="宋体" w:hAnsi="宋体" w:eastAsia="宋体" w:cs="宋体"/>
          <w:b w:val="0"/>
          <w:color w:val="auto"/>
          <w:sz w:val="24"/>
          <w:szCs w:val="24"/>
          <w:highlight w:val="none"/>
        </w:rPr>
        <w:t>4.3 分包</w:t>
      </w:r>
      <w:bookmarkEnd w:id="206"/>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第4.3.2项～第4.3.4项细化为：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4.3.2 承包人不得将工程关键性工作分包给第三人。经发包人同意，承包人可将工程的其他部分或工作分包给第三人。分包包括专业分包和劳务分包。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4.3.3 专业分包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在工程施工过程中，承包人进行专业分包必须遵守以下规定：</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允许专业分包的工程范围仅限于非关键性工程或者适合专业化队伍施工的专项工程。未列入响应文件的专项工程，承包人不得分包。但因工程变更增加了有特殊性技术要求、特殊工艺或者涉及专利保护等的专项工程，且按规定无须再进行招标的，由承包人提出书面申请，经发包人书面同意，可以分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（2）专业分包人的资格能力（含安全生产能力）应与其分包工程的标准和规模相适应，且应当具备如下条件：</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a. 具有经工商登记的法人资格；</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b. 具有从事类似工程经验的管理与技术人员；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c. 具有（自有或租赁）分包工程所需的施工设备。</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承包人应向监理人提交专业分包人的资格能力证明材料，经监理人审查并报发包人批准后，可以将相应专业工程分包给该专业分包人。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（3）专业分包工程不得再次分包。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承包人和专业分包人应当按照交通运输主管部门制定的统一格式依法签订专业分包合同，并履行合同约定的义务。专业分包合同必须遵循承包合同的各项原则，满足承包合同中的质量、安全、进度、环保以及其他技术、经济等要求。专业分包合同必须明确约定工程款支付条款、结算方式以及保证按期支付的相应措施，确保工程款的支付。承包人应在工程实施前，将经监理人审查同意后的分包合同报发包人备案。</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专业分包人应当设立项目管理机构，对所分包工程的施工活动实施管理。项目管理机构应当具有与分包工程的规模、技术复杂程度相适应的技术、经济管理人员，其中项目负责人和技术、财务、计量、质量、安全等主要管理人员必须是专业分包人本单位人员。</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6）承包人应当建立健全相关分包管理制度和台账，对专业分包工程的质量、安全、进度和专业分包人的行为等实施全过程管理，按照合同约定对专业分包工程的实施向发包人负责，并承担赔偿责任。专业分包合同不免除承包合同中规定的承包人的责任或者义务。</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（7）专业分包人应当依据专业分包合同的约定，组织分包工程的施工，并对分包工程的质量、安全和进度等实施有效控制。专业分包人对其分包的工程向承包人负责，并就所分包的工程向发包人承担连带责任。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8）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违反上述规定之一者属违规分包。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4.3.4 劳务分包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在工程施工过程中，承包人进行劳务分包必须遵守以下规定：</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（1）劳务分包人应具有施工劳务资质。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劳务分包应当依法签订劳务分包合同，劳务分包合同必须由承包人的法定代表人或其委托代理人与劳务分包人直接签订，不得由他人代签。承包人的项目经理部、项目经理、施工班组等不具备用工主体资格，不能与劳务分包人签订劳务分包合同。承包人应向发包人和监理人提交劳务分包合同副本并报项目所在地劳动保障部门备案。</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承包人雇用的劳务作业应加入到承包人的施工班组统一管理。有关施工质量、施工安全、施工进度、环境保护、技术方案、试验检测、材料保管与供应、机械设备等都必须由承包人管理与调配，不得以包代管。</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（4）承包人应当对劳务分包人员进行安全培训和管理，劳务分包人不得将其分包的劳务作业再次分包。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违反上述规定之一者属违规分包。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本款补充第4.3.6项、第4.3.7项：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4.3.6 发包人对承包人与分包人之间的法律与经济纠纷不承担任何责任和义务。</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4.3.7 本项目的各项分包工作均应遵守《公路工程施工分包管理办法》的有关规定。</w:t>
      </w:r>
    </w:p>
    <w:p>
      <w:pPr>
        <w:pStyle w:val="3"/>
        <w:spacing w:before="240" w:after="240" w:line="360" w:lineRule="auto"/>
        <w:rPr>
          <w:rFonts w:hint="eastAsia" w:ascii="宋体" w:hAnsi="宋体" w:eastAsia="宋体" w:cs="宋体"/>
          <w:color w:val="auto"/>
          <w:highlight w:val="none"/>
        </w:rPr>
      </w:pPr>
      <w:bookmarkStart w:id="207" w:name="_Toc12681"/>
      <w:r>
        <w:rPr>
          <w:rFonts w:hint="eastAsia" w:ascii="宋体" w:hAnsi="宋体" w:eastAsia="宋体" w:cs="宋体"/>
          <w:b w:val="0"/>
          <w:color w:val="auto"/>
          <w:sz w:val="24"/>
          <w:szCs w:val="24"/>
          <w:highlight w:val="none"/>
        </w:rPr>
        <w:t>4.4</w:t>
      </w:r>
      <w:r>
        <w:rPr>
          <w:rFonts w:hint="eastAsia" w:ascii="宋体" w:hAnsi="宋体" w:eastAsia="宋体" w:cs="宋体"/>
          <w:b w:val="0"/>
          <w:color w:val="auto"/>
          <w:sz w:val="24"/>
          <w:szCs w:val="24"/>
          <w:highlight w:val="none"/>
        </w:rPr>
        <w:tab/>
      </w:r>
      <w:r>
        <w:rPr>
          <w:rFonts w:hint="eastAsia" w:ascii="宋体" w:hAnsi="宋体" w:eastAsia="宋体" w:cs="宋体"/>
          <w:b w:val="0"/>
          <w:color w:val="auto"/>
          <w:sz w:val="24"/>
          <w:szCs w:val="24"/>
          <w:highlight w:val="none"/>
        </w:rPr>
        <w:t>联合体</w:t>
      </w:r>
      <w:bookmarkEnd w:id="207"/>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本款补充第4.4.4项：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4.4.4未经发包人事先同意，联合体的组成与结构不得变动。</w:t>
      </w:r>
    </w:p>
    <w:p>
      <w:pPr>
        <w:pStyle w:val="3"/>
        <w:spacing w:before="240" w:after="240" w:line="360" w:lineRule="auto"/>
        <w:rPr>
          <w:rFonts w:hint="eastAsia" w:ascii="宋体" w:hAnsi="宋体" w:eastAsia="宋体" w:cs="宋体"/>
          <w:color w:val="auto"/>
          <w:highlight w:val="none"/>
        </w:rPr>
      </w:pPr>
      <w:bookmarkStart w:id="208" w:name="_Toc30010"/>
      <w:r>
        <w:rPr>
          <w:rFonts w:hint="eastAsia" w:ascii="宋体" w:hAnsi="宋体" w:eastAsia="宋体" w:cs="宋体"/>
          <w:b w:val="0"/>
          <w:color w:val="auto"/>
          <w:sz w:val="24"/>
          <w:szCs w:val="24"/>
          <w:highlight w:val="none"/>
        </w:rPr>
        <w:t>4.6 承包人人员的管理</w:t>
      </w:r>
      <w:bookmarkEnd w:id="208"/>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第4.6.3项细化为：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安排在施工场地的主要管理人员和技术骨干应与承包人承诺的名单一致，并保持相对稳定。未经监理人批准，上述人员不应无故不到位或被替换；若确实无法到位或需替换，需经监理人审核并报发包人批准后，用同等资质和经历的人员替换。</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本款补充第4.6.5项：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4.6.5 尽管承包人已按承诺派遣了上述各类人员，但若这些人员仍不能满足合同进度计划和（或）质量要求时，监理人有权要求承包人继续增派或雇用这类人员，并书面通知承包人和抄送发包人。承包人在接到上述通知后应立即执行监理人的上述指示，不得无故拖延，由此增加的费用和（或）工期延误由承包人承担。</w:t>
      </w:r>
    </w:p>
    <w:p>
      <w:pPr>
        <w:pStyle w:val="3"/>
        <w:spacing w:before="240" w:after="240" w:line="360" w:lineRule="auto"/>
        <w:rPr>
          <w:rFonts w:hint="eastAsia" w:ascii="宋体" w:hAnsi="宋体" w:eastAsia="宋体" w:cs="宋体"/>
          <w:color w:val="auto"/>
          <w:highlight w:val="none"/>
        </w:rPr>
      </w:pPr>
      <w:bookmarkStart w:id="209" w:name="_Toc5686"/>
      <w:r>
        <w:rPr>
          <w:rFonts w:hint="eastAsia" w:ascii="宋体" w:hAnsi="宋体" w:eastAsia="宋体" w:cs="宋体"/>
          <w:b w:val="0"/>
          <w:color w:val="auto"/>
          <w:sz w:val="24"/>
          <w:szCs w:val="24"/>
          <w:highlight w:val="none"/>
        </w:rPr>
        <w:t>4.7 撤换承包人项目经理和其他人员</w:t>
      </w:r>
      <w:bookmarkEnd w:id="209"/>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应对其项目经理和其他人员进行有效管理。监理人要求撤换不能胜任本职工作、行为不端或玩忽职守的承包人项目经理和其他人员的，承包人应予以撤换，同时委派经发包人与监理人同意的新的项目经理和其他人员。</w:t>
      </w:r>
    </w:p>
    <w:p>
      <w:pPr>
        <w:pStyle w:val="3"/>
        <w:spacing w:before="240" w:after="240" w:line="360" w:lineRule="auto"/>
        <w:rPr>
          <w:rFonts w:hint="eastAsia" w:ascii="宋体" w:hAnsi="宋体" w:eastAsia="宋体" w:cs="宋体"/>
          <w:color w:val="auto"/>
          <w:highlight w:val="none"/>
        </w:rPr>
      </w:pPr>
      <w:bookmarkStart w:id="210" w:name="_Toc1992"/>
      <w:r>
        <w:rPr>
          <w:rFonts w:hint="eastAsia" w:ascii="宋体" w:hAnsi="宋体" w:eastAsia="宋体" w:cs="宋体"/>
          <w:b w:val="0"/>
          <w:color w:val="auto"/>
          <w:sz w:val="24"/>
          <w:szCs w:val="24"/>
          <w:highlight w:val="none"/>
        </w:rPr>
        <w:t>4.9 工程价款应专款专用</w:t>
      </w:r>
      <w:bookmarkEnd w:id="210"/>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发包人按合同约定支付给承包人的各项价款应专用于合同工程。承包人必须在发包人指定的银行开户，并与发包人、银行共同签订《工程资金监管协议》，接受发包人和银行对资金的监管。承包人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pPr>
        <w:pStyle w:val="3"/>
        <w:spacing w:before="240" w:after="240" w:line="360" w:lineRule="auto"/>
        <w:rPr>
          <w:rFonts w:hint="eastAsia" w:ascii="宋体" w:hAnsi="宋体" w:eastAsia="宋体" w:cs="宋体"/>
          <w:color w:val="auto"/>
          <w:highlight w:val="none"/>
        </w:rPr>
      </w:pPr>
      <w:bookmarkStart w:id="211" w:name="_Toc11123"/>
      <w:r>
        <w:rPr>
          <w:rFonts w:hint="eastAsia" w:ascii="宋体" w:hAnsi="宋体" w:eastAsia="宋体" w:cs="宋体"/>
          <w:b w:val="0"/>
          <w:color w:val="auto"/>
          <w:sz w:val="24"/>
          <w:szCs w:val="24"/>
          <w:highlight w:val="none"/>
        </w:rPr>
        <w:t>4.10 承包人现场查勘</w:t>
      </w:r>
      <w:bookmarkEnd w:id="211"/>
      <w:r>
        <w:rPr>
          <w:rFonts w:hint="eastAsia" w:ascii="宋体" w:hAnsi="宋体" w:eastAsia="宋体" w:cs="宋体"/>
          <w:b w:val="0"/>
          <w:color w:val="auto"/>
          <w:sz w:val="24"/>
          <w:szCs w:val="24"/>
          <w:highlight w:val="none"/>
        </w:rPr>
        <w:t xml:space="preserve">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第4.10.1项细化为：</w:t>
      </w:r>
      <w:r>
        <w:rPr>
          <w:rStyle w:val="28"/>
          <w:rFonts w:hint="eastAsia" w:ascii="宋体" w:hAnsi="宋体" w:eastAsia="宋体" w:cs="宋体"/>
          <w:color w:val="auto"/>
          <w:highlight w:val="none"/>
        </w:rPr>
        <w:footnoteReference w:id="0"/>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发包人提供的本合同工程的水文、地质、气象和料场分布、取土场、弃土场位置等资料均属于参考资料，并不构成合同文件的组成部分，承包人应对自己就上述资料的解释、推论和应用负责，发包人不对承包人据此作出的判断和决策承担任何责任。</w:t>
      </w:r>
    </w:p>
    <w:p>
      <w:pPr>
        <w:pStyle w:val="3"/>
        <w:spacing w:before="240" w:after="240" w:line="360" w:lineRule="auto"/>
        <w:rPr>
          <w:rFonts w:hint="eastAsia" w:ascii="宋体" w:hAnsi="宋体" w:eastAsia="宋体" w:cs="宋体"/>
          <w:color w:val="auto"/>
          <w:highlight w:val="none"/>
        </w:rPr>
      </w:pPr>
      <w:bookmarkStart w:id="212" w:name="_Toc13692"/>
      <w:r>
        <w:rPr>
          <w:rFonts w:hint="eastAsia" w:ascii="宋体" w:hAnsi="宋体" w:eastAsia="宋体" w:cs="宋体"/>
          <w:b w:val="0"/>
          <w:color w:val="auto"/>
          <w:sz w:val="24"/>
          <w:szCs w:val="24"/>
          <w:highlight w:val="none"/>
        </w:rPr>
        <w:t>4.11 不利物质条件</w:t>
      </w:r>
      <w:bookmarkEnd w:id="212"/>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第4.11.2项细化为：</w:t>
      </w:r>
    </w:p>
    <w:p>
      <w:pPr>
        <w:spacing w:line="360" w:lineRule="auto"/>
        <w:ind w:firstLine="420"/>
        <w:rPr>
          <w:rFonts w:hint="eastAsia" w:ascii="宋体" w:hAnsi="宋体" w:eastAsia="宋体" w:cs="宋体"/>
          <w:color w:val="auto"/>
          <w:highlight w:val="none"/>
        </w:rPr>
      </w:pPr>
      <w:r>
        <w:rPr>
          <w:rFonts w:hint="eastAsia" w:ascii="宋体" w:hAnsi="宋体" w:eastAsia="宋体" w:cs="宋体"/>
          <w:iCs/>
          <w:color w:val="auto"/>
          <w:sz w:val="24"/>
          <w:highlight w:val="none"/>
        </w:rPr>
        <w:t>4.11.2 承包人遇到不可预见的不利物质条件时，应采取适应不利物质条件的合理措施继续施工，并及时通知监理人。监理人应当及时发出指示，指示构成变更的，按第15条约定办理。监理人没有发出指示的，承包人因采取合理措施而增加的费用和（或）工期延误，由发包人承担。</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 w:val="24"/>
          <w:highlight w:val="none"/>
        </w:rPr>
        <w:t>本款补充第4.11.3项：</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 w:val="24"/>
          <w:highlight w:val="none"/>
        </w:rPr>
        <w:t>4.11.3 可预见的不利物质条件</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 w:val="24"/>
          <w:highlight w:val="none"/>
        </w:rPr>
        <w:t>（1）对于项目专用合同条款中已经明确指出的不利物质条件无论承包人是否有其经历和经验均视为承包人在接受合同时已预见其影响，并已在签约合同价中计入因其影响而可能发生的一切费用。</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 w:val="24"/>
          <w:highlight w:val="none"/>
        </w:rPr>
        <w:t>（2）对于项目专用合同条款未明确指出，但是在不利物质条件发生之前，监理人已经指示承包人有可能发生，但承包人未能及时采取有效措施，而导致的损失和后果均由承包人承担。</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补充第4.12款、第4.13款：</w:t>
      </w:r>
    </w:p>
    <w:p>
      <w:pPr>
        <w:pStyle w:val="3"/>
        <w:spacing w:before="240" w:after="240" w:line="360" w:lineRule="auto"/>
        <w:rPr>
          <w:rFonts w:hint="eastAsia" w:ascii="宋体" w:hAnsi="宋体" w:eastAsia="宋体" w:cs="宋体"/>
          <w:color w:val="auto"/>
          <w:highlight w:val="none"/>
        </w:rPr>
      </w:pPr>
      <w:bookmarkStart w:id="213" w:name="_Toc23985"/>
      <w:r>
        <w:rPr>
          <w:rFonts w:hint="eastAsia" w:ascii="宋体" w:hAnsi="宋体" w:eastAsia="宋体" w:cs="宋体"/>
          <w:b w:val="0"/>
          <w:color w:val="auto"/>
          <w:sz w:val="24"/>
          <w:szCs w:val="24"/>
          <w:highlight w:val="none"/>
        </w:rPr>
        <w:t>4.12 响应文件的完备性</w:t>
      </w:r>
      <w:bookmarkEnd w:id="213"/>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合同双方一致认为，承包人在递交响应文件前，对本合同工程的响应文件和已标价工程量清单中开列的单价和总额价已查明是正确的和完备的。投标的单价和总额价应已包括了合同中规定的承包人的全部义务（包括提供货物、材料、设备、服务的义务，并包括了暂列金额和暂估价范围内的额外工作的义务）以及为实施和完成本合同工程及其缺陷修复所必需的一切工作和条件。</w:t>
      </w:r>
    </w:p>
    <w:p>
      <w:pPr>
        <w:pStyle w:val="3"/>
        <w:spacing w:before="240" w:after="240" w:line="360" w:lineRule="auto"/>
        <w:rPr>
          <w:rFonts w:hint="eastAsia" w:ascii="宋体" w:hAnsi="宋体" w:eastAsia="宋体" w:cs="宋体"/>
          <w:color w:val="auto"/>
          <w:highlight w:val="none"/>
        </w:rPr>
      </w:pPr>
      <w:bookmarkStart w:id="214" w:name="_Toc25042"/>
      <w:r>
        <w:rPr>
          <w:rFonts w:hint="eastAsia" w:ascii="宋体" w:hAnsi="宋体" w:eastAsia="宋体" w:cs="宋体"/>
          <w:b w:val="0"/>
          <w:color w:val="auto"/>
          <w:sz w:val="24"/>
          <w:szCs w:val="24"/>
          <w:highlight w:val="none"/>
        </w:rPr>
        <w:t>4.13 开展党建工作要求</w:t>
      </w:r>
      <w:bookmarkEnd w:id="214"/>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对于政府投资的国家高速公路项目，或承包人为国有控股或参股企业的，承包人应按规定在项目现场设立基层党组织。不满足上述情形的，承包人应创造条件使党员能够参加党组织生活并接受相应管理。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在项目现场设立基层党组织的，应明确党组织机构设置、党组织负责人及党务工作人员配备情况，编制党务工作开展预案，并按照预案要求在项目实施过程中同步开展党务工作，充分发挥基层党组织在项目实施中的作用。</w:t>
      </w:r>
    </w:p>
    <w:p>
      <w:pPr>
        <w:pStyle w:val="3"/>
        <w:spacing w:before="480" w:after="240" w:line="360" w:lineRule="auto"/>
        <w:rPr>
          <w:rFonts w:hint="eastAsia" w:ascii="宋体" w:hAnsi="宋体" w:eastAsia="宋体" w:cs="宋体"/>
          <w:color w:val="auto"/>
          <w:highlight w:val="none"/>
        </w:rPr>
      </w:pPr>
      <w:bookmarkStart w:id="215" w:name="_Toc12321"/>
      <w:r>
        <w:rPr>
          <w:rFonts w:hint="eastAsia" w:ascii="宋体" w:hAnsi="宋体" w:eastAsia="宋体" w:cs="宋体"/>
          <w:b w:val="0"/>
          <w:color w:val="auto"/>
          <w:sz w:val="28"/>
          <w:szCs w:val="28"/>
          <w:highlight w:val="none"/>
        </w:rPr>
        <w:t>5. 材料和工程设备</w:t>
      </w:r>
      <w:bookmarkEnd w:id="215"/>
    </w:p>
    <w:p>
      <w:pPr>
        <w:pStyle w:val="3"/>
        <w:spacing w:before="240" w:after="240" w:line="360" w:lineRule="auto"/>
        <w:rPr>
          <w:rFonts w:hint="eastAsia" w:ascii="宋体" w:hAnsi="宋体" w:eastAsia="宋体" w:cs="宋体"/>
          <w:color w:val="auto"/>
          <w:highlight w:val="none"/>
        </w:rPr>
      </w:pPr>
      <w:bookmarkStart w:id="216" w:name="_Toc593"/>
      <w:r>
        <w:rPr>
          <w:rFonts w:hint="eastAsia" w:ascii="宋体" w:hAnsi="宋体" w:eastAsia="宋体" w:cs="宋体"/>
          <w:b w:val="0"/>
          <w:color w:val="auto"/>
          <w:sz w:val="24"/>
          <w:szCs w:val="24"/>
          <w:highlight w:val="none"/>
        </w:rPr>
        <w:t>5.2 发包人提供的材料和工程设备</w:t>
      </w:r>
      <w:bookmarkEnd w:id="216"/>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第5.2.3项补充：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的原因发生丢失、损坏或进度拖延，由承包人承担相应责任。</w:t>
      </w:r>
    </w:p>
    <w:p>
      <w:pPr>
        <w:pStyle w:val="3"/>
        <w:spacing w:before="480" w:after="240" w:line="360" w:lineRule="auto"/>
        <w:rPr>
          <w:rFonts w:hint="eastAsia" w:ascii="宋体" w:hAnsi="宋体" w:eastAsia="宋体" w:cs="宋体"/>
          <w:color w:val="auto"/>
          <w:highlight w:val="none"/>
        </w:rPr>
      </w:pPr>
      <w:bookmarkStart w:id="217" w:name="_Toc11487"/>
      <w:r>
        <w:rPr>
          <w:rFonts w:hint="eastAsia" w:ascii="宋体" w:hAnsi="宋体" w:eastAsia="宋体" w:cs="宋体"/>
          <w:b w:val="0"/>
          <w:color w:val="auto"/>
          <w:sz w:val="28"/>
          <w:szCs w:val="28"/>
          <w:highlight w:val="none"/>
        </w:rPr>
        <w:t>6. 施工设备和临时设施</w:t>
      </w:r>
      <w:bookmarkEnd w:id="217"/>
      <w:r>
        <w:rPr>
          <w:rFonts w:hint="eastAsia" w:ascii="宋体" w:hAnsi="宋体" w:eastAsia="宋体" w:cs="宋体"/>
          <w:b w:val="0"/>
          <w:color w:val="auto"/>
          <w:sz w:val="28"/>
          <w:szCs w:val="28"/>
          <w:highlight w:val="none"/>
        </w:rPr>
        <w:t xml:space="preserve"> </w:t>
      </w:r>
    </w:p>
    <w:p>
      <w:pPr>
        <w:pStyle w:val="3"/>
        <w:spacing w:before="240" w:after="240" w:line="360" w:lineRule="auto"/>
        <w:rPr>
          <w:rFonts w:hint="eastAsia" w:ascii="宋体" w:hAnsi="宋体" w:eastAsia="宋体" w:cs="宋体"/>
          <w:color w:val="auto"/>
          <w:highlight w:val="none"/>
        </w:rPr>
      </w:pPr>
      <w:bookmarkStart w:id="218" w:name="_Toc139"/>
      <w:r>
        <w:rPr>
          <w:rFonts w:hint="eastAsia" w:ascii="宋体" w:hAnsi="宋体" w:eastAsia="宋体" w:cs="宋体"/>
          <w:b w:val="0"/>
          <w:color w:val="auto"/>
          <w:sz w:val="24"/>
          <w:szCs w:val="24"/>
          <w:highlight w:val="none"/>
        </w:rPr>
        <w:t>6.1 承包人提供的施工设备和临时设施</w:t>
      </w:r>
      <w:bookmarkEnd w:id="218"/>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 w:val="24"/>
          <w:highlight w:val="none"/>
        </w:rPr>
        <w:t>第6.1.2项约定为：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承包人应自行承担修建临时设施的费用，需要临时占地的，应由承包人按第4.1.10项（1）目的规定办理。</w:t>
      </w:r>
    </w:p>
    <w:p>
      <w:pPr>
        <w:pStyle w:val="3"/>
        <w:spacing w:before="240" w:after="240" w:line="360" w:lineRule="auto"/>
        <w:rPr>
          <w:rFonts w:hint="eastAsia" w:ascii="宋体" w:hAnsi="宋体" w:eastAsia="宋体" w:cs="宋体"/>
          <w:color w:val="auto"/>
          <w:highlight w:val="none"/>
        </w:rPr>
      </w:pPr>
      <w:bookmarkStart w:id="219" w:name="_Toc10100"/>
      <w:r>
        <w:rPr>
          <w:rFonts w:hint="eastAsia" w:ascii="宋体" w:hAnsi="宋体" w:eastAsia="宋体" w:cs="宋体"/>
          <w:b w:val="0"/>
          <w:color w:val="auto"/>
          <w:sz w:val="24"/>
          <w:szCs w:val="24"/>
          <w:highlight w:val="none"/>
        </w:rPr>
        <w:t>6.3 要求承包人增加或更换施工设备</w:t>
      </w:r>
      <w:bookmarkEnd w:id="219"/>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承诺的施工设备必须按时到达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pPr>
        <w:pStyle w:val="3"/>
        <w:spacing w:before="480" w:after="240" w:line="360" w:lineRule="auto"/>
        <w:rPr>
          <w:rFonts w:hint="eastAsia" w:ascii="宋体" w:hAnsi="宋体" w:eastAsia="宋体" w:cs="宋体"/>
          <w:color w:val="auto"/>
          <w:highlight w:val="none"/>
        </w:rPr>
      </w:pPr>
      <w:bookmarkStart w:id="220" w:name="_Toc14625"/>
      <w:r>
        <w:rPr>
          <w:rFonts w:hint="eastAsia" w:ascii="宋体" w:hAnsi="宋体" w:eastAsia="宋体" w:cs="宋体"/>
          <w:b w:val="0"/>
          <w:color w:val="auto"/>
          <w:sz w:val="28"/>
          <w:szCs w:val="28"/>
          <w:highlight w:val="none"/>
        </w:rPr>
        <w:t>7. 交通运输</w:t>
      </w:r>
      <w:bookmarkEnd w:id="220"/>
      <w:r>
        <w:rPr>
          <w:rFonts w:hint="eastAsia" w:ascii="宋体" w:hAnsi="宋体" w:eastAsia="宋体" w:cs="宋体"/>
          <w:b w:val="0"/>
          <w:color w:val="auto"/>
          <w:sz w:val="28"/>
          <w:szCs w:val="28"/>
          <w:highlight w:val="none"/>
        </w:rPr>
        <w:t xml:space="preserve"> </w:t>
      </w:r>
    </w:p>
    <w:p>
      <w:pPr>
        <w:pStyle w:val="3"/>
        <w:spacing w:before="240" w:after="240" w:line="360" w:lineRule="auto"/>
        <w:rPr>
          <w:rFonts w:hint="eastAsia" w:ascii="宋体" w:hAnsi="宋体" w:eastAsia="宋体" w:cs="宋体"/>
          <w:color w:val="auto"/>
          <w:highlight w:val="none"/>
        </w:rPr>
      </w:pPr>
      <w:bookmarkStart w:id="221" w:name="_Toc27728"/>
      <w:r>
        <w:rPr>
          <w:rFonts w:hint="eastAsia" w:ascii="宋体" w:hAnsi="宋体" w:eastAsia="宋体" w:cs="宋体"/>
          <w:b w:val="0"/>
          <w:color w:val="auto"/>
          <w:sz w:val="24"/>
          <w:szCs w:val="24"/>
          <w:highlight w:val="none"/>
        </w:rPr>
        <w:t>7.1 道路通行权和场外设施</w:t>
      </w:r>
      <w:bookmarkEnd w:id="221"/>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 w:val="24"/>
          <w:highlight w:val="none"/>
        </w:rPr>
        <w:t>本款约定为：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应根据合同工程的施工需要，负责办理取得出入施工场地的专用和临时道路的通行权，以及取得为工程建设所需修建场外设施的权利，并承担有关费用。需要发包人协调时，发包人应协助承包人办理相关手续。</w:t>
      </w:r>
    </w:p>
    <w:p>
      <w:pPr>
        <w:pStyle w:val="3"/>
        <w:spacing w:before="480" w:after="240" w:line="360" w:lineRule="auto"/>
        <w:rPr>
          <w:rFonts w:hint="eastAsia" w:ascii="宋体" w:hAnsi="宋体" w:eastAsia="宋体" w:cs="宋体"/>
          <w:color w:val="auto"/>
          <w:highlight w:val="none"/>
        </w:rPr>
      </w:pPr>
      <w:bookmarkStart w:id="222" w:name="_Toc26571"/>
      <w:r>
        <w:rPr>
          <w:rFonts w:hint="eastAsia" w:ascii="宋体" w:hAnsi="宋体" w:eastAsia="宋体" w:cs="宋体"/>
          <w:b w:val="0"/>
          <w:color w:val="auto"/>
          <w:sz w:val="28"/>
          <w:szCs w:val="28"/>
          <w:highlight w:val="none"/>
        </w:rPr>
        <w:t>8. 测量放线</w:t>
      </w:r>
      <w:bookmarkEnd w:id="222"/>
    </w:p>
    <w:p>
      <w:pPr>
        <w:pStyle w:val="3"/>
        <w:spacing w:before="240" w:after="240" w:line="360" w:lineRule="auto"/>
        <w:rPr>
          <w:rFonts w:hint="eastAsia" w:ascii="宋体" w:hAnsi="宋体" w:eastAsia="宋体" w:cs="宋体"/>
          <w:color w:val="auto"/>
          <w:highlight w:val="none"/>
        </w:rPr>
      </w:pPr>
      <w:bookmarkStart w:id="223" w:name="_Toc3375"/>
      <w:r>
        <w:rPr>
          <w:rFonts w:hint="eastAsia" w:ascii="宋体" w:hAnsi="宋体" w:eastAsia="宋体" w:cs="宋体"/>
          <w:b w:val="0"/>
          <w:color w:val="auto"/>
          <w:sz w:val="24"/>
          <w:szCs w:val="24"/>
          <w:highlight w:val="none"/>
        </w:rPr>
        <w:t>8.4 监理人使用施工控制网</w:t>
      </w:r>
      <w:bookmarkEnd w:id="223"/>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本款补充：</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经监理人批准，其他相关承包人也可免费使用施工控制网。</w:t>
      </w:r>
    </w:p>
    <w:p>
      <w:pPr>
        <w:pStyle w:val="3"/>
        <w:spacing w:before="480" w:after="240" w:line="360" w:lineRule="auto"/>
        <w:rPr>
          <w:rFonts w:hint="eastAsia" w:ascii="宋体" w:hAnsi="宋体" w:eastAsia="宋体" w:cs="宋体"/>
          <w:color w:val="auto"/>
          <w:highlight w:val="none"/>
        </w:rPr>
      </w:pPr>
      <w:bookmarkStart w:id="224" w:name="_Toc4276"/>
      <w:r>
        <w:rPr>
          <w:rFonts w:hint="eastAsia" w:ascii="宋体" w:hAnsi="宋体" w:eastAsia="宋体" w:cs="宋体"/>
          <w:b w:val="0"/>
          <w:color w:val="auto"/>
          <w:sz w:val="28"/>
          <w:szCs w:val="28"/>
          <w:highlight w:val="none"/>
        </w:rPr>
        <w:t>9. 施工安全、治安保卫和环境保护</w:t>
      </w:r>
      <w:bookmarkEnd w:id="224"/>
    </w:p>
    <w:p>
      <w:pPr>
        <w:pStyle w:val="3"/>
        <w:spacing w:before="240" w:after="240" w:line="360" w:lineRule="auto"/>
        <w:rPr>
          <w:rFonts w:hint="eastAsia" w:ascii="宋体" w:hAnsi="宋体" w:eastAsia="宋体" w:cs="宋体"/>
          <w:color w:val="auto"/>
          <w:highlight w:val="none"/>
        </w:rPr>
      </w:pPr>
      <w:bookmarkStart w:id="225" w:name="_Toc14724"/>
      <w:r>
        <w:rPr>
          <w:rFonts w:hint="eastAsia" w:ascii="宋体" w:hAnsi="宋体" w:eastAsia="宋体" w:cs="宋体"/>
          <w:b w:val="0"/>
          <w:color w:val="auto"/>
          <w:sz w:val="24"/>
          <w:szCs w:val="24"/>
          <w:highlight w:val="none"/>
        </w:rPr>
        <w:t>9.2 承包人的施工安全责任</w:t>
      </w:r>
      <w:bookmarkEnd w:id="225"/>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第9.2.1项细化为：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应根据本工程的实际安全施工要求，编制施工安全技术措施，并在签订合同协议书后28天内，报监理人和发包人批准。该施工安全技术措施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本项目需要编制专项施工方案的工程包括但不限于以下内容：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（1）不良地质条件下有潜在危险性的土方、石方开挖；</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（2）滑坡和高边坡处理；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（3）桩基础、挡墙基础、深水基础及围堰工程；</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（4）桥梁工程中的梁、拱、柱等构件施工等；</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（5）隧道工程中的不良地质隧道、高瓦斯隧道等；</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（6）水上工程中的打桩船作业、施工船作业、外海孤岛作业、边通航边施工作业等；</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（7）水下工程中的水下焊接、混凝土浇筑、爆破工程等；</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（8）爆破工程；</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（9）大型临时工程中的大型支架、模板、便桥的架设与拆除；桥梁、码头的加固与拆除；</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（10）其他危险性较大的工程。</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监理人和发包人在检查中发现有安全问题或有违反安全管理规章制度的情况时，可视为承包人违约，应按第22.1款的规定办理。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第9.2.5项细化为：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除项目专用合同条款另有约定外，安全生产费用应为投标价（不含安全生产费及建筑工程一切险及第三者责任险的保险费）的1.5%（若发包人公布了最高投标限价时，按最高投标限价的1.5%计）。安全生产费用应用于施工安全防护用具及设施的采购和更新、安全施工措施的落实、安全生产条件的改善，不得挪作他用。如承包人在此基础上增加安全生产费用以满足项目施工需要，则承包人应在本项目工程量清单其他相关子目的单价或总额价中予以考虑，发包人不再另行支付。因采取合同未约定的特殊防护措施增加的费用，由监理人按第3.5款商定或确定。</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本款补充第9.2.8项~第9.2.11项：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9.2.8 承包人应充分关注和保障所有在现场工作的人员的安全，采取以下有效措施，使现场和本合同工程的实施保持有条不紊，以免使上述人员的安全受到威胁。</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（1）按《公路水运工程安全生产监督管理办法》规定的最低数量和资质条件配备专职安全生产管理人员；</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承包人的垂直运输机械作业人员、施工船舶作业人员、爆破作业人员、安装拆卸工、起重信号工、电工、焊工等国家规定的特种作业人员，必须按照国家规定经过专门的安全作业培训，并取得特种作业操作资格证书后，方可上岗作业；</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（3）所有施工机具设备和高空作业设备均应定期检查，并有安全员的签字记录；</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（4）根据本合同各单位工程的施工特点，严格执行《公路水运工程安全生产监督管理办法》《公路工程施工安全技术规范》等有关规定。</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9.2.9 为了保护本合同工程免遭损坏，或为了现场附近和过往群众的安全与方便，在确有必要的时候和地方，或当监理人或有关主管部门要求时，承包人应自费提供照明、警卫、护栅、警告标志等安全防护设施。</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9.2.10 在通航水域施工时，承包人应与当地主管部门取得联系，设置必要的导航标志，及时发布航行通告，确保施工水域安全。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9.2.11 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pStyle w:val="3"/>
        <w:spacing w:before="240" w:after="240" w:line="360" w:lineRule="auto"/>
        <w:rPr>
          <w:rFonts w:hint="eastAsia" w:ascii="宋体" w:hAnsi="宋体" w:eastAsia="宋体" w:cs="宋体"/>
          <w:color w:val="auto"/>
          <w:highlight w:val="none"/>
        </w:rPr>
      </w:pPr>
      <w:bookmarkStart w:id="226" w:name="_Toc14764"/>
      <w:r>
        <w:rPr>
          <w:rFonts w:hint="eastAsia" w:ascii="宋体" w:hAnsi="宋体" w:eastAsia="宋体" w:cs="宋体"/>
          <w:b w:val="0"/>
          <w:color w:val="auto"/>
          <w:sz w:val="24"/>
          <w:szCs w:val="24"/>
          <w:highlight w:val="none"/>
        </w:rPr>
        <w:t>9.4 环境保护</w:t>
      </w:r>
      <w:bookmarkEnd w:id="226"/>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本款补充第9.4.7项~第9.4.11项：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9.4.7 承包人应切实执行技术规范中有关环境保护方面的条款和规定。</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150m以内的施工现场，施工时间应加以控制。</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（2）对于公路施工中粉尘污染的主要污染源――灰土拌和、施工车辆和筑路机械运行及运输产生的扬尘，应采取有效措施减轻其对施工现场的大气污染，保护人民健康，如：</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a. 拌和设备应有较好的密封，或有防尘设备。</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b. 施工通道、沥青混凝土拌和站及灰土拌和站应经常进行洒水降尘。</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c. 路面施工应注意保持水分，以免扬尘。</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d. 隧道出渣和桥梁钻孔灌注桩施工时排出的泥浆要进行妥善处理，严禁向河流或农田排放。</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（3）采取可靠措施保证原有交通的正常通行，维持沿线村镇的居民饮水、农田灌溉、生产生活用电及通信等管线的正常使用。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9.4.8 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9.4.9在施工期间，承包人应随时保持现场整洁，施工设备和材料、工程设备应整齐妥善存放和储存，废料与垃圾及不再需要的临时设施应及时从现场清除、拆除并运走。</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9.4.10 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9.4.11 承包人应严格按照国家有关法规要求，做好施工过程中的生态保护和水土保持工作。施工中要尽可能减少对原地面的扰动，减少对地面草木的破坏，需要爆破作业的，应按规定进行控爆设计。雨季填筑路基应随挖、随运、随填、随压，要完善施工中的临时排水系统，加强施工便道的管理。取（弃）土场必须先挡后弃，严禁在指定的取（弃）土场以外的地方乱挖乱弃。</w:t>
      </w:r>
    </w:p>
    <w:p>
      <w:pPr>
        <w:pStyle w:val="3"/>
        <w:spacing w:before="480" w:after="240" w:line="360" w:lineRule="auto"/>
        <w:rPr>
          <w:rFonts w:hint="eastAsia" w:ascii="宋体" w:hAnsi="宋体" w:eastAsia="宋体" w:cs="宋体"/>
          <w:color w:val="auto"/>
          <w:highlight w:val="none"/>
        </w:rPr>
      </w:pPr>
      <w:bookmarkStart w:id="227" w:name="_Toc19293"/>
      <w:r>
        <w:rPr>
          <w:rFonts w:hint="eastAsia" w:ascii="宋体" w:hAnsi="宋体" w:eastAsia="宋体" w:cs="宋体"/>
          <w:b w:val="0"/>
          <w:color w:val="auto"/>
          <w:sz w:val="28"/>
          <w:szCs w:val="28"/>
          <w:highlight w:val="none"/>
        </w:rPr>
        <w:t>10. 进度计划</w:t>
      </w:r>
      <w:bookmarkEnd w:id="227"/>
    </w:p>
    <w:p>
      <w:pPr>
        <w:pStyle w:val="3"/>
        <w:spacing w:before="240" w:after="240" w:line="360" w:lineRule="auto"/>
        <w:rPr>
          <w:rFonts w:hint="eastAsia" w:ascii="宋体" w:hAnsi="宋体" w:eastAsia="宋体" w:cs="宋体"/>
          <w:color w:val="auto"/>
          <w:highlight w:val="none"/>
        </w:rPr>
      </w:pPr>
      <w:bookmarkStart w:id="228" w:name="_Toc6656"/>
      <w:r>
        <w:rPr>
          <w:rFonts w:hint="eastAsia" w:ascii="宋体" w:hAnsi="宋体" w:eastAsia="宋体" w:cs="宋体"/>
          <w:b w:val="0"/>
          <w:color w:val="auto"/>
          <w:sz w:val="24"/>
          <w:szCs w:val="24"/>
          <w:highlight w:val="none"/>
        </w:rPr>
        <w:t>10.1 合同进度计划</w:t>
      </w:r>
      <w:bookmarkEnd w:id="228"/>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本款补充：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承包人编制施工方案说明的内容见项目专用合同条款。</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承包人向监理人报送施工进度计划和施工方案说明的期限：签订合同协议书后28天之内。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监理人应在14天内对承包人施工进度计划和施工方案说明予以批复或提出修改意见。</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合同进度计划应按照关键线路网络图和主要工作横道图两种形式分别编绘，并应包括每月预计完成的工作量和形象进度。</w:t>
      </w:r>
    </w:p>
    <w:p>
      <w:pPr>
        <w:pStyle w:val="3"/>
        <w:spacing w:before="240" w:after="240" w:line="360" w:lineRule="auto"/>
        <w:rPr>
          <w:rFonts w:hint="eastAsia" w:ascii="宋体" w:hAnsi="宋体" w:eastAsia="宋体" w:cs="宋体"/>
          <w:color w:val="auto"/>
          <w:highlight w:val="none"/>
        </w:rPr>
      </w:pPr>
      <w:bookmarkStart w:id="229" w:name="_Toc13414"/>
      <w:r>
        <w:rPr>
          <w:rFonts w:hint="eastAsia" w:ascii="宋体" w:hAnsi="宋体" w:eastAsia="宋体" w:cs="宋体"/>
          <w:b w:val="0"/>
          <w:color w:val="auto"/>
          <w:sz w:val="24"/>
          <w:szCs w:val="24"/>
          <w:highlight w:val="none"/>
        </w:rPr>
        <w:t>10.2 合同进度计划的修订</w:t>
      </w:r>
      <w:bookmarkEnd w:id="229"/>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本款补充：</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承包人提交合同进度计划修订申请报告，并附有关措施和相关资料的期限：实际进度发生滞后的当月25日前。</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监理人批复修订合同进度计划的期限：收到修订合同进度计划后14天内。</w:t>
      </w:r>
    </w:p>
    <w:p>
      <w:pPr>
        <w:spacing w:before="312"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本条补充第10.3款、第10.4款：</w:t>
      </w:r>
    </w:p>
    <w:p>
      <w:pPr>
        <w:pStyle w:val="3"/>
        <w:spacing w:before="240" w:after="240" w:line="360" w:lineRule="auto"/>
        <w:rPr>
          <w:rFonts w:hint="eastAsia" w:ascii="宋体" w:hAnsi="宋体" w:eastAsia="宋体" w:cs="宋体"/>
          <w:color w:val="auto"/>
          <w:highlight w:val="none"/>
        </w:rPr>
      </w:pPr>
      <w:bookmarkStart w:id="230" w:name="_Toc24054"/>
      <w:r>
        <w:rPr>
          <w:rFonts w:hint="eastAsia" w:ascii="宋体" w:hAnsi="宋体" w:eastAsia="宋体" w:cs="宋体"/>
          <w:b w:val="0"/>
          <w:color w:val="auto"/>
          <w:sz w:val="24"/>
          <w:szCs w:val="24"/>
          <w:highlight w:val="none"/>
        </w:rPr>
        <w:t>10.3 年度施工计划</w:t>
      </w:r>
      <w:bookmarkEnd w:id="230"/>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承包人应在每年11月底前，根据已同意的合同进度计划或其修订的计划，向监理人提交2份格式和内容符合监理人合理规定的下一年度的施工计划，以供审查。该计划应包括本年度估计完成的和下一年度预计完成的分项工程数量和工作量，以及为实施此计划将采取的措施。</w:t>
      </w:r>
    </w:p>
    <w:p>
      <w:pPr>
        <w:pStyle w:val="3"/>
        <w:spacing w:before="240" w:after="240" w:line="360" w:lineRule="auto"/>
        <w:rPr>
          <w:rFonts w:hint="eastAsia" w:ascii="宋体" w:hAnsi="宋体" w:eastAsia="宋体" w:cs="宋体"/>
          <w:color w:val="auto"/>
          <w:highlight w:val="none"/>
        </w:rPr>
      </w:pPr>
      <w:bookmarkStart w:id="231" w:name="_Toc5101"/>
      <w:r>
        <w:rPr>
          <w:rFonts w:hint="eastAsia" w:ascii="宋体" w:hAnsi="宋体" w:eastAsia="宋体" w:cs="宋体"/>
          <w:b w:val="0"/>
          <w:color w:val="auto"/>
          <w:sz w:val="24"/>
          <w:szCs w:val="24"/>
          <w:highlight w:val="none"/>
        </w:rPr>
        <w:t>10.4 合同用款计划</w:t>
      </w:r>
      <w:bookmarkEnd w:id="231"/>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承包人应在签订本合同协议书后28天之内，按竞争性磋商文件中规定的格式，向监理人提交2份按合同规定承包人有权得到支付的详细的季度合同用款计划，以备监理人查阅。如果监理人提出要求，承包人还应按季度提交修订的合同用款计划。</w:t>
      </w:r>
    </w:p>
    <w:p>
      <w:pPr>
        <w:pStyle w:val="3"/>
        <w:spacing w:before="480" w:after="240" w:line="360" w:lineRule="auto"/>
        <w:rPr>
          <w:rFonts w:hint="eastAsia" w:ascii="宋体" w:hAnsi="宋体" w:eastAsia="宋体" w:cs="宋体"/>
          <w:color w:val="auto"/>
          <w:highlight w:val="none"/>
        </w:rPr>
      </w:pPr>
      <w:bookmarkStart w:id="232" w:name="_Toc17215"/>
      <w:r>
        <w:rPr>
          <w:rFonts w:hint="eastAsia" w:ascii="宋体" w:hAnsi="宋体" w:eastAsia="宋体" w:cs="宋体"/>
          <w:b w:val="0"/>
          <w:color w:val="auto"/>
          <w:sz w:val="28"/>
          <w:szCs w:val="28"/>
          <w:highlight w:val="none"/>
        </w:rPr>
        <w:t>11. 开工和交工</w:t>
      </w:r>
      <w:bookmarkEnd w:id="232"/>
    </w:p>
    <w:p>
      <w:pPr>
        <w:pStyle w:val="3"/>
        <w:spacing w:before="240" w:after="240" w:line="360" w:lineRule="auto"/>
        <w:rPr>
          <w:rFonts w:hint="eastAsia" w:ascii="宋体" w:hAnsi="宋体" w:eastAsia="宋体" w:cs="宋体"/>
          <w:color w:val="auto"/>
          <w:highlight w:val="none"/>
        </w:rPr>
      </w:pPr>
      <w:bookmarkStart w:id="233" w:name="_Toc17942"/>
      <w:r>
        <w:rPr>
          <w:rFonts w:hint="eastAsia" w:ascii="宋体" w:hAnsi="宋体" w:eastAsia="宋体" w:cs="宋体"/>
          <w:b w:val="0"/>
          <w:color w:val="auto"/>
          <w:sz w:val="24"/>
          <w:szCs w:val="24"/>
          <w:highlight w:val="none"/>
        </w:rPr>
        <w:t>11.1 开工</w:t>
      </w:r>
      <w:bookmarkEnd w:id="233"/>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第11.1.2项补充：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承包人应在分部工程开工前14天向监理人提交分部工程开工报审表，若承包人的开工准备、工作计划和质量控制方法是可接受的且已获得批准，则经监理人书面同意，分部工程才能开工。</w:t>
      </w:r>
    </w:p>
    <w:p>
      <w:pPr>
        <w:pStyle w:val="3"/>
        <w:spacing w:before="240" w:after="240" w:line="360" w:lineRule="auto"/>
        <w:rPr>
          <w:rFonts w:hint="eastAsia" w:ascii="宋体" w:hAnsi="宋体" w:eastAsia="宋体" w:cs="宋体"/>
          <w:color w:val="auto"/>
          <w:highlight w:val="none"/>
        </w:rPr>
      </w:pPr>
      <w:bookmarkStart w:id="234" w:name="_Toc15835"/>
      <w:r>
        <w:rPr>
          <w:rFonts w:hint="eastAsia" w:ascii="宋体" w:hAnsi="宋体" w:eastAsia="宋体" w:cs="宋体"/>
          <w:b w:val="0"/>
          <w:color w:val="auto"/>
          <w:sz w:val="24"/>
          <w:szCs w:val="24"/>
          <w:highlight w:val="none"/>
        </w:rPr>
        <w:t>11.3 发包人的工期延误</w:t>
      </w:r>
      <w:bookmarkEnd w:id="234"/>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本款补充：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即使由于上述原因造成工期延误，如果受影响的工程并非处在工程施工进度网络计划的关键线路上，则承包人无权要求延长总工期。</w:t>
      </w:r>
    </w:p>
    <w:p>
      <w:pPr>
        <w:pStyle w:val="3"/>
        <w:spacing w:before="240" w:after="240" w:line="360" w:lineRule="auto"/>
        <w:rPr>
          <w:rFonts w:hint="eastAsia" w:ascii="宋体" w:hAnsi="宋体" w:eastAsia="宋体" w:cs="宋体"/>
          <w:color w:val="auto"/>
          <w:highlight w:val="none"/>
        </w:rPr>
      </w:pPr>
      <w:bookmarkStart w:id="235" w:name="_Toc32160"/>
      <w:r>
        <w:rPr>
          <w:rFonts w:hint="eastAsia" w:ascii="宋体" w:hAnsi="宋体" w:eastAsia="宋体" w:cs="宋体"/>
          <w:b w:val="0"/>
          <w:color w:val="auto"/>
          <w:sz w:val="24"/>
          <w:szCs w:val="24"/>
          <w:highlight w:val="none"/>
        </w:rPr>
        <w:t>11.4异常恶劣的气候条件</w:t>
      </w:r>
      <w:bookmarkEnd w:id="235"/>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本款补充：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异常气候是指项目所在地30年以上一遇的罕见气候现象（包括</w:t>
      </w:r>
      <w:r>
        <w:fldChar w:fldCharType="begin"/>
      </w:r>
      <w:r>
        <w:instrText xml:space="preserve"> HYPERLINK "http://baike.baidu.com/view/8193.htm" </w:instrText>
      </w:r>
      <w:r>
        <w:fldChar w:fldCharType="separate"/>
      </w:r>
      <w:r>
        <w:rPr>
          <w:rStyle w:val="21"/>
          <w:rFonts w:hint="eastAsia" w:ascii="宋体" w:hAnsi="宋体" w:eastAsia="宋体" w:cs="宋体"/>
          <w:color w:val="auto"/>
          <w:sz w:val="24"/>
          <w:highlight w:val="none"/>
        </w:rPr>
        <w:t>温度</w:t>
      </w:r>
      <w:r>
        <w:rPr>
          <w:rStyle w:val="21"/>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、降水、降雪、风等）。异常恶劣的气候条件在项目专用合同条款中作具体约定。</w:t>
      </w:r>
    </w:p>
    <w:p>
      <w:pPr>
        <w:pStyle w:val="3"/>
        <w:spacing w:before="240" w:after="240" w:line="360" w:lineRule="auto"/>
        <w:rPr>
          <w:rFonts w:hint="eastAsia" w:ascii="宋体" w:hAnsi="宋体" w:eastAsia="宋体" w:cs="宋体"/>
          <w:color w:val="auto"/>
          <w:highlight w:val="none"/>
        </w:rPr>
      </w:pPr>
      <w:bookmarkStart w:id="236" w:name="_Toc4421"/>
      <w:r>
        <w:rPr>
          <w:rFonts w:hint="eastAsia" w:ascii="宋体" w:hAnsi="宋体" w:eastAsia="宋体" w:cs="宋体"/>
          <w:b w:val="0"/>
          <w:color w:val="auto"/>
          <w:sz w:val="24"/>
          <w:szCs w:val="24"/>
          <w:highlight w:val="none"/>
        </w:rPr>
        <w:t>11.5 承包人的工期延误</w:t>
      </w:r>
      <w:bookmarkEnd w:id="236"/>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承包人应严格执行监理人批准的合同进度计划，对工作量计划和形象进度计划分别控制。除第11.3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交工。承包人应采取措施加快进度，并承担加快进度所增加的费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如果承包人在接到监理人通知后的14天内，未能采取加快工程进度的措施，致使实际工程进度进一步滞后，或承包人虽采取了一些措施，仍无法按预计工期交工时，监理人应立即通知发包人。发包人在向承包人发出书面警告通知14天后，发包人可按第22.1款终止对承包人的雇用，也可将本合同工程中的一部分工作交由其他承包人或其他分包人完成。在不解除本合同规定的承包人责任和义务的同时，承包人应承担因此所增加的一切费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由于承包人原因造成工期延误，承包人应支付逾期交工违约金。逾期交工违约金的计算方法在项目专用合同条款数据表中约定，时间自预定的交工日期起到交工验收证书中写明的实际交工日期止（扣除已批准的延长工期），按天计算。逾期交工违约金累计金额最高不超过项目专用合同条款数据表中写明的限额。发包人可以从应付或到期应付给承包人的任何款项中或采用其他方法扣除此违约金。</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（4）承包人支付逾期交工违约金，不免除承包人完成工程及修补缺陷的义务。</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如果在合同工程完工之前，已对合同工程内按时完工的单位工程签发了交工验收证书，则合同工程的逾期交工违约金，应按已签发交工验收证书的单位工程的价值占合同工程价值的比例予以减少，但本规定不应影响逾期交工违约金的规定限额。</w:t>
      </w:r>
    </w:p>
    <w:p>
      <w:pPr>
        <w:pStyle w:val="3"/>
        <w:spacing w:before="240" w:after="240" w:line="360" w:lineRule="auto"/>
        <w:rPr>
          <w:rFonts w:hint="eastAsia" w:ascii="宋体" w:hAnsi="宋体" w:eastAsia="宋体" w:cs="宋体"/>
          <w:color w:val="auto"/>
          <w:highlight w:val="none"/>
        </w:rPr>
      </w:pPr>
      <w:bookmarkStart w:id="237" w:name="_Toc17643"/>
      <w:r>
        <w:rPr>
          <w:rFonts w:hint="eastAsia" w:ascii="宋体" w:hAnsi="宋体" w:eastAsia="宋体" w:cs="宋体"/>
          <w:b w:val="0"/>
          <w:color w:val="auto"/>
          <w:sz w:val="24"/>
          <w:szCs w:val="24"/>
          <w:highlight w:val="none"/>
        </w:rPr>
        <w:t>11.6 工期提前</w:t>
      </w:r>
      <w:bookmarkEnd w:id="237"/>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本款补充：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发包人不得随意要求承包人提前交工，承包人也不得随意提出提前交工的建议。如遇特殊情况，确需将工期提前的，发包人和承包人必须采取有效措施，确保工程质量。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如果承包人提前交工，发包人支付奖金的计算方法在项目专用合同条款数据表中约定，时间自交工验收证书中写明的实际交工日期起至预定的交工日期止，按天计算。但奖金最高限额不超过项目专用合同条款数据表中写明的限额。</w:t>
      </w:r>
    </w:p>
    <w:p>
      <w:pPr>
        <w:spacing w:line="360" w:lineRule="auto"/>
        <w:ind w:firstLine="480"/>
        <w:rPr>
          <w:rFonts w:hint="eastAsia" w:ascii="宋体" w:hAnsi="宋体" w:eastAsia="宋体" w:cs="宋体"/>
          <w:color w:val="auto"/>
          <w:sz w:val="24"/>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本条补充第11.7款：</w:t>
      </w:r>
    </w:p>
    <w:p>
      <w:pPr>
        <w:pStyle w:val="3"/>
        <w:spacing w:before="240" w:after="240" w:line="360" w:lineRule="auto"/>
        <w:rPr>
          <w:rFonts w:hint="eastAsia" w:ascii="宋体" w:hAnsi="宋体" w:eastAsia="宋体" w:cs="宋体"/>
          <w:color w:val="auto"/>
          <w:highlight w:val="none"/>
        </w:rPr>
      </w:pPr>
      <w:bookmarkStart w:id="238" w:name="_Toc26597"/>
      <w:r>
        <w:rPr>
          <w:rFonts w:hint="eastAsia" w:ascii="宋体" w:hAnsi="宋体" w:eastAsia="宋体" w:cs="宋体"/>
          <w:b w:val="0"/>
          <w:color w:val="auto"/>
          <w:sz w:val="24"/>
          <w:szCs w:val="24"/>
          <w:highlight w:val="none"/>
        </w:rPr>
        <w:t>11.7 工作时间的限制</w:t>
      </w:r>
      <w:bookmarkEnd w:id="238"/>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承包人在夜间或国家规定的节假日进行永久工程的施工，应向监理人报告，以便监理人履行监理职责和义务。</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但是，为了抢救生命或保护财产，或为了工程的安全、质量而不可避免地短暂作业，则不必事先向监理人报告。但承包人应在事后立即向监理人报告。</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本款规定不适用于习惯上或施工本身要求实行连续生产的作业。</w:t>
      </w:r>
    </w:p>
    <w:p>
      <w:pPr>
        <w:pStyle w:val="3"/>
        <w:spacing w:before="480" w:after="240" w:line="360" w:lineRule="auto"/>
        <w:rPr>
          <w:rFonts w:hint="eastAsia" w:ascii="宋体" w:hAnsi="宋体" w:eastAsia="宋体" w:cs="宋体"/>
          <w:color w:val="auto"/>
          <w:highlight w:val="none"/>
        </w:rPr>
      </w:pPr>
      <w:bookmarkStart w:id="239" w:name="_Toc26661"/>
      <w:r>
        <w:rPr>
          <w:rFonts w:hint="eastAsia" w:ascii="宋体" w:hAnsi="宋体" w:eastAsia="宋体" w:cs="宋体"/>
          <w:b w:val="0"/>
          <w:color w:val="auto"/>
          <w:sz w:val="28"/>
          <w:szCs w:val="28"/>
          <w:highlight w:val="none"/>
        </w:rPr>
        <w:t>12. 暂停施工</w:t>
      </w:r>
      <w:bookmarkEnd w:id="239"/>
    </w:p>
    <w:p>
      <w:pPr>
        <w:pStyle w:val="3"/>
        <w:spacing w:before="240" w:after="240" w:line="360" w:lineRule="auto"/>
        <w:rPr>
          <w:rFonts w:hint="eastAsia" w:ascii="宋体" w:hAnsi="宋体" w:eastAsia="宋体" w:cs="宋体"/>
          <w:color w:val="auto"/>
          <w:highlight w:val="none"/>
        </w:rPr>
      </w:pPr>
      <w:bookmarkStart w:id="240" w:name="_Toc785"/>
      <w:r>
        <w:rPr>
          <w:rFonts w:hint="eastAsia" w:ascii="宋体" w:hAnsi="宋体" w:eastAsia="宋体" w:cs="宋体"/>
          <w:b w:val="0"/>
          <w:color w:val="auto"/>
          <w:sz w:val="24"/>
          <w:szCs w:val="24"/>
          <w:highlight w:val="none"/>
        </w:rPr>
        <w:t>12.1 承包人暂停施工的责任</w:t>
      </w:r>
      <w:bookmarkEnd w:id="240"/>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本款第（5）项细化为：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（5）现场气候条件导致的必要停工（第11.4款约定的异常恶劣的气候条件除外）；</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（6）项目专用合同条款可能约定的由承包人承担的其他暂停施工。</w:t>
      </w:r>
    </w:p>
    <w:p>
      <w:pPr>
        <w:pStyle w:val="3"/>
        <w:spacing w:before="480" w:after="240" w:line="360" w:lineRule="auto"/>
        <w:rPr>
          <w:rFonts w:hint="eastAsia" w:ascii="宋体" w:hAnsi="宋体" w:eastAsia="宋体" w:cs="宋体"/>
          <w:color w:val="auto"/>
          <w:highlight w:val="none"/>
        </w:rPr>
      </w:pPr>
      <w:bookmarkStart w:id="241" w:name="_Toc6585"/>
      <w:r>
        <w:rPr>
          <w:rFonts w:hint="eastAsia" w:ascii="宋体" w:hAnsi="宋体" w:eastAsia="宋体" w:cs="宋体"/>
          <w:b w:val="0"/>
          <w:color w:val="auto"/>
          <w:sz w:val="28"/>
          <w:szCs w:val="28"/>
          <w:highlight w:val="none"/>
        </w:rPr>
        <w:t>13. 工程质量</w:t>
      </w:r>
      <w:bookmarkEnd w:id="241"/>
    </w:p>
    <w:p>
      <w:pPr>
        <w:pStyle w:val="3"/>
        <w:spacing w:before="240" w:after="240" w:line="360" w:lineRule="auto"/>
        <w:rPr>
          <w:rFonts w:hint="eastAsia" w:ascii="宋体" w:hAnsi="宋体" w:eastAsia="宋体" w:cs="宋体"/>
          <w:color w:val="auto"/>
          <w:highlight w:val="none"/>
        </w:rPr>
      </w:pPr>
      <w:bookmarkStart w:id="242" w:name="_Toc12332"/>
      <w:r>
        <w:rPr>
          <w:rFonts w:hint="eastAsia" w:ascii="宋体" w:hAnsi="宋体" w:eastAsia="宋体" w:cs="宋体"/>
          <w:b w:val="0"/>
          <w:color w:val="auto"/>
          <w:sz w:val="24"/>
          <w:szCs w:val="24"/>
          <w:highlight w:val="none"/>
        </w:rPr>
        <w:t>13.1 工程质量要求</w:t>
      </w:r>
      <w:bookmarkEnd w:id="242"/>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第13.1.1项约定为：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工程质量验收按技术规范及《公路工程质量检验评定标准》执行。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本款补充第13.1.4项、第13.1.5项：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13.1.4 发包人和承包人应严格遵守《关于严格落实公路工程质量责任制的若干意见》的相关规定，认真执行工程质量责任登记制度并</w:t>
      </w:r>
      <w:r>
        <w:rPr>
          <w:rFonts w:hint="eastAsia" w:ascii="宋体" w:hAnsi="宋体" w:eastAsia="宋体" w:cs="宋体"/>
          <w:color w:val="auto"/>
          <w:kern w:val="0"/>
          <w:sz w:val="24"/>
          <w:highlight w:val="none"/>
        </w:rPr>
        <w:t>按要求填写工程质量责任登记表</w:t>
      </w:r>
      <w:r>
        <w:rPr>
          <w:rFonts w:hint="eastAsia" w:ascii="宋体" w:hAnsi="宋体" w:eastAsia="宋体" w:cs="宋体"/>
          <w:color w:val="auto"/>
          <w:sz w:val="24"/>
          <w:highlight w:val="none"/>
        </w:rPr>
        <w:t>。</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13.1.5 本项目严格执行质量责任追究制度。质量事故处理实行“四不放过”原则：事故原因调查不清不放过；事故责任者没有受到教育不放过；没有防范措施不放过；相关责任人没受到处理不放过。</w:t>
      </w:r>
    </w:p>
    <w:p>
      <w:pPr>
        <w:pStyle w:val="3"/>
        <w:spacing w:before="240" w:after="240" w:line="360" w:lineRule="auto"/>
        <w:rPr>
          <w:rFonts w:hint="eastAsia" w:ascii="宋体" w:hAnsi="宋体" w:eastAsia="宋体" w:cs="宋体"/>
          <w:color w:val="auto"/>
          <w:highlight w:val="none"/>
        </w:rPr>
      </w:pPr>
      <w:bookmarkStart w:id="243" w:name="_Toc27522"/>
      <w:r>
        <w:rPr>
          <w:rFonts w:hint="eastAsia" w:ascii="宋体" w:hAnsi="宋体" w:eastAsia="宋体" w:cs="宋体"/>
          <w:b w:val="0"/>
          <w:color w:val="auto"/>
          <w:sz w:val="24"/>
          <w:szCs w:val="24"/>
          <w:highlight w:val="none"/>
        </w:rPr>
        <w:t>13.2 承包人的质量管理</w:t>
      </w:r>
      <w:bookmarkEnd w:id="243"/>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第13.2.1项补充：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承包人提交工程质量保证措施文件的期限：签订合同协议书后28天之内。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本款补充第13.2.3项~第13.2.10项：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13.2.3 公路工程施行质量责任终身制。承包人应当书面明确相应的项目负责人和质量负责人。承包人的相关人员按照国家法律法规和有关规定在工程合理使用年限内承担相应的质量责任。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13.2.4 承包人应当建立健全工程质量保证体系，制定质量管理制度，强化工程质量管理措施，完善工程质量目标保障机制；严格遵守国家有关法律、法规和规章，严格执行公路工程强制性技术标准、各类技术规范及规程，全面履行工程合同义务。</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13.2.5 承包人对工程施工质量负责，应当按合同约定设立现场质量管理机构、配备工程技术人员和质量管理人员，落实工程施工质量责任制。</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13.2.6 承包人应当严格按照工程设计图纸、施工技术标准和合同约定施工，对原材料、混合料、构配件、工程实体、机电设备等进行检验；按规定施行班组自检、工序交接检、专职质检员检验的质量控制程序；对分项工程、分部工程和单位工程进行质量自评。检验或者自评不合格的，不得进入下道工序或者投入使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13.2.7 承包人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13.2.8 承包人应当按照合同约定设立工地临时试验室，配齐检测和试验仪器、仪表，及时校正确保其精度；严格按照工程技术标准、检测规范和规程，在核定的试验检测参数范围内开展试验检测活动，并确保规范规定的检验、抽检频率。承包人应当对其设立的工地临时试验室所出具的试验检测数据和报告的真实性、客观性、准确性负责。</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13.2.9 承包人应当依法规范分包行为，并对承担的工程质量负总责，分包单位对分包合同范围内的工程质量负责。</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13.2.10 承包人驻工程现场机构应在现场驻地和重要的分部、分项工程施工现场设置明显的工程质量责任登记表公示牌。</w:t>
      </w:r>
    </w:p>
    <w:p>
      <w:pPr>
        <w:pStyle w:val="3"/>
        <w:spacing w:before="240" w:after="240" w:line="360" w:lineRule="auto"/>
        <w:rPr>
          <w:rFonts w:hint="eastAsia" w:ascii="宋体" w:hAnsi="宋体" w:eastAsia="宋体" w:cs="宋体"/>
          <w:color w:val="auto"/>
          <w:highlight w:val="none"/>
        </w:rPr>
      </w:pPr>
      <w:bookmarkStart w:id="244" w:name="_Toc21410"/>
      <w:r>
        <w:rPr>
          <w:rFonts w:hint="eastAsia" w:ascii="宋体" w:hAnsi="宋体" w:eastAsia="宋体" w:cs="宋体"/>
          <w:b w:val="0"/>
          <w:color w:val="auto"/>
          <w:sz w:val="24"/>
          <w:szCs w:val="24"/>
          <w:highlight w:val="none"/>
        </w:rPr>
        <w:t>13.4 监理人的质量检查</w:t>
      </w:r>
      <w:bookmarkEnd w:id="244"/>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本款补充：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监理人及其委派的检验人员，应能进入工程现场，以及材料或工程设备的制造、加工或制配的车间和场所，包括不属于承包人的车间或场所进行检查，承包人应为此提供便利和协助。</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监理人可以将材料或工程设备的检查和检验委托给一家独立的有质量检验认证资格的检验单位。该独立检验单位的检验结果应视为监理人完成的。监理人应将这种委托的通知书不少于7天前交给承包人。</w:t>
      </w:r>
    </w:p>
    <w:p>
      <w:pPr>
        <w:pStyle w:val="3"/>
        <w:spacing w:before="240" w:after="240" w:line="360" w:lineRule="auto"/>
        <w:rPr>
          <w:rFonts w:hint="eastAsia" w:ascii="宋体" w:hAnsi="宋体" w:eastAsia="宋体" w:cs="宋体"/>
          <w:color w:val="auto"/>
          <w:highlight w:val="none"/>
        </w:rPr>
      </w:pPr>
      <w:bookmarkStart w:id="245" w:name="_Toc19023"/>
      <w:r>
        <w:rPr>
          <w:rFonts w:hint="eastAsia" w:ascii="宋体" w:hAnsi="宋体" w:eastAsia="宋体" w:cs="宋体"/>
          <w:b w:val="0"/>
          <w:color w:val="auto"/>
          <w:sz w:val="24"/>
          <w:szCs w:val="24"/>
          <w:highlight w:val="none"/>
        </w:rPr>
        <w:t>13.5 工程隐蔽部位覆盖前的检查</w:t>
      </w:r>
      <w:bookmarkEnd w:id="245"/>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第13.5.1项补充：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当监理人有指令时，承包人应对重要隐蔽工程进行拍摄或照相并应保证监理人有充分的机会对将要覆盖或掩蔽的工程进行检查和量测，特别是在基础以上的任一部分工程修筑之前，对该基础进行检查。</w:t>
      </w:r>
    </w:p>
    <w:p>
      <w:pPr>
        <w:pStyle w:val="3"/>
        <w:spacing w:before="240" w:after="240" w:line="360" w:lineRule="auto"/>
        <w:rPr>
          <w:rFonts w:hint="eastAsia" w:ascii="宋体" w:hAnsi="宋体" w:eastAsia="宋体" w:cs="宋体"/>
          <w:color w:val="auto"/>
          <w:highlight w:val="none"/>
        </w:rPr>
      </w:pPr>
      <w:bookmarkStart w:id="246" w:name="_Toc8396"/>
      <w:r>
        <w:rPr>
          <w:rFonts w:hint="eastAsia" w:ascii="宋体" w:hAnsi="宋体" w:eastAsia="宋体" w:cs="宋体"/>
          <w:b w:val="0"/>
          <w:color w:val="auto"/>
          <w:sz w:val="24"/>
          <w:szCs w:val="24"/>
          <w:highlight w:val="none"/>
        </w:rPr>
        <w:t>13.6 清除不合格工程</w:t>
      </w:r>
      <w:bookmarkEnd w:id="246"/>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第13.6.1项细化为：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（2）如果承包人未在规定时间内执行监理人的指示，发包人有权雇用他人执行，由此增加的费用和（或）工期延误由承包人承担。</w:t>
      </w:r>
    </w:p>
    <w:p>
      <w:pPr>
        <w:pStyle w:val="3"/>
        <w:spacing w:before="480" w:after="240" w:line="360" w:lineRule="auto"/>
        <w:rPr>
          <w:rFonts w:hint="eastAsia" w:ascii="宋体" w:hAnsi="宋体" w:eastAsia="宋体" w:cs="宋体"/>
          <w:color w:val="auto"/>
          <w:highlight w:val="none"/>
        </w:rPr>
      </w:pPr>
      <w:bookmarkStart w:id="247" w:name="_Toc22197"/>
      <w:r>
        <w:rPr>
          <w:rFonts w:hint="eastAsia" w:ascii="宋体" w:hAnsi="宋体" w:eastAsia="宋体" w:cs="宋体"/>
          <w:b w:val="0"/>
          <w:color w:val="auto"/>
          <w:sz w:val="28"/>
          <w:szCs w:val="28"/>
          <w:highlight w:val="none"/>
        </w:rPr>
        <w:t>14. 试验和检验</w:t>
      </w:r>
      <w:bookmarkEnd w:id="247"/>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本条补充第14.4款：</w:t>
      </w:r>
    </w:p>
    <w:p>
      <w:pPr>
        <w:pStyle w:val="3"/>
        <w:spacing w:before="240" w:after="240" w:line="360" w:lineRule="auto"/>
        <w:rPr>
          <w:rFonts w:hint="eastAsia" w:ascii="宋体" w:hAnsi="宋体" w:eastAsia="宋体" w:cs="宋体"/>
          <w:color w:val="auto"/>
          <w:highlight w:val="none"/>
        </w:rPr>
      </w:pPr>
      <w:bookmarkStart w:id="248" w:name="_Toc3596"/>
      <w:r>
        <w:rPr>
          <w:rFonts w:hint="eastAsia" w:ascii="宋体" w:hAnsi="宋体" w:eastAsia="宋体" w:cs="宋体"/>
          <w:b w:val="0"/>
          <w:color w:val="auto"/>
          <w:sz w:val="24"/>
          <w:szCs w:val="24"/>
          <w:highlight w:val="none"/>
        </w:rPr>
        <w:t>14.4 试验和检验费用</w:t>
      </w:r>
      <w:bookmarkEnd w:id="248"/>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（1）承包人应负责提供合同和技术规范规定的试验和检验所需的全部样品，并承担其费用。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（2）在合同中明确规定的试验和检验，包括无须在工程量清单中单独列项和已在工程量清单中单独列项的试验和检验，其试验和检验的费用由承包人承担。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如果监理人所要求做的试验和检验为合同未规定的或是在该材料或工程设备的制造、加工、制配场地以外的场所进行的，则检验结束后，如表明操作工艺或材料、工程设备未能符合合同规定，其费用应由承包人承担，否则，其费用应由发包人承担。</w:t>
      </w:r>
    </w:p>
    <w:p>
      <w:pPr>
        <w:pStyle w:val="3"/>
        <w:spacing w:before="480" w:after="240" w:line="360" w:lineRule="auto"/>
        <w:rPr>
          <w:rFonts w:hint="eastAsia" w:ascii="宋体" w:hAnsi="宋体" w:eastAsia="宋体" w:cs="宋体"/>
          <w:color w:val="auto"/>
          <w:highlight w:val="none"/>
        </w:rPr>
      </w:pPr>
      <w:bookmarkStart w:id="249" w:name="_Toc3396"/>
      <w:r>
        <w:rPr>
          <w:rFonts w:hint="eastAsia" w:ascii="宋体" w:hAnsi="宋体" w:eastAsia="宋体" w:cs="宋体"/>
          <w:b w:val="0"/>
          <w:color w:val="auto"/>
          <w:sz w:val="28"/>
          <w:szCs w:val="28"/>
          <w:highlight w:val="none"/>
        </w:rPr>
        <w:t>15. 变更</w:t>
      </w:r>
      <w:bookmarkEnd w:id="249"/>
    </w:p>
    <w:p>
      <w:pPr>
        <w:pStyle w:val="3"/>
        <w:spacing w:before="240" w:after="240" w:line="360" w:lineRule="auto"/>
        <w:rPr>
          <w:rFonts w:hint="eastAsia" w:ascii="宋体" w:hAnsi="宋体" w:eastAsia="宋体" w:cs="宋体"/>
          <w:color w:val="auto"/>
          <w:highlight w:val="none"/>
        </w:rPr>
      </w:pPr>
      <w:bookmarkStart w:id="250" w:name="_Toc20118"/>
      <w:r>
        <w:rPr>
          <w:rFonts w:hint="eastAsia" w:ascii="宋体" w:hAnsi="宋体" w:eastAsia="宋体" w:cs="宋体"/>
          <w:b w:val="0"/>
          <w:color w:val="auto"/>
          <w:sz w:val="24"/>
          <w:szCs w:val="24"/>
          <w:highlight w:val="none"/>
        </w:rPr>
        <w:t>15.1 变更的范围和内容</w:t>
      </w:r>
      <w:bookmarkEnd w:id="250"/>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本款第（1）项细化为：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（1）取消合同中任何一项工作，但被取消的工作不能转由发包人或其他人实施，由于承包人违约造成的情况除外；</w:t>
      </w:r>
    </w:p>
    <w:p>
      <w:pPr>
        <w:pStyle w:val="3"/>
        <w:spacing w:before="240" w:after="240" w:line="360" w:lineRule="auto"/>
        <w:rPr>
          <w:rFonts w:hint="eastAsia" w:ascii="宋体" w:hAnsi="宋体" w:eastAsia="宋体" w:cs="宋体"/>
          <w:color w:val="auto"/>
          <w:highlight w:val="none"/>
        </w:rPr>
      </w:pPr>
      <w:bookmarkStart w:id="251" w:name="_Toc411"/>
      <w:r>
        <w:rPr>
          <w:rFonts w:hint="eastAsia" w:ascii="宋体" w:hAnsi="宋体" w:eastAsia="宋体" w:cs="宋体"/>
          <w:b w:val="0"/>
          <w:color w:val="auto"/>
          <w:sz w:val="24"/>
          <w:szCs w:val="24"/>
          <w:highlight w:val="none"/>
        </w:rPr>
        <w:t>15.3 变更程序</w:t>
      </w:r>
      <w:bookmarkEnd w:id="251"/>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本款补充第15.3.4项：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15.3.4 设计变更程序应执行《公路工程设计变更管理办法》的相关规定。</w:t>
      </w:r>
    </w:p>
    <w:p>
      <w:pPr>
        <w:pStyle w:val="3"/>
        <w:spacing w:before="240" w:after="240" w:line="360" w:lineRule="auto"/>
        <w:rPr>
          <w:rFonts w:hint="eastAsia" w:ascii="宋体" w:hAnsi="宋体" w:eastAsia="宋体" w:cs="宋体"/>
          <w:color w:val="auto"/>
          <w:highlight w:val="none"/>
        </w:rPr>
      </w:pPr>
      <w:bookmarkStart w:id="252" w:name="_Toc10186"/>
      <w:r>
        <w:rPr>
          <w:rFonts w:hint="eastAsia" w:ascii="宋体" w:hAnsi="宋体" w:eastAsia="宋体" w:cs="宋体"/>
          <w:b w:val="0"/>
          <w:color w:val="auto"/>
          <w:sz w:val="24"/>
          <w:szCs w:val="24"/>
          <w:highlight w:val="none"/>
        </w:rPr>
        <w:t>15.4 变更的估价原则</w:t>
      </w:r>
      <w:bookmarkEnd w:id="252"/>
      <w:r>
        <w:rPr>
          <w:rFonts w:hint="eastAsia" w:ascii="宋体" w:hAnsi="宋体" w:eastAsia="宋体" w:cs="宋体"/>
          <w:b w:val="0"/>
          <w:color w:val="auto"/>
          <w:sz w:val="24"/>
          <w:szCs w:val="24"/>
          <w:highlight w:val="none"/>
        </w:rPr>
        <w:t xml:space="preserve">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除项目专用合同条款另有约定外，因变更引起的价格调整按照本款约定处理。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15.4.1 如果取消某项工作，则该项工作的总额价不予支付。</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15.4.2 已标价工程量清单中有适用于变更工作的子目的，采用该子目的单价。</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15.4.3 已标价工程量清单中无适用于变更工作的子目，但有类似子目的，可在合理范围内参照类似子目的单价，由监理人按第3.5款商定或确定变更工作的单价。</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15.4.4 已标价工程量清单中无适用或类似子目的单价，可在综合考虑承包人在投标时所提供的单价分析表的基础上，由监理人按第3.5款商定或确定变更工作的单价。</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15.4.5 如果本工程的变更指示是因承包人过错、承包人违反合同或承包人责任造成的，则这种违约引起的任何额外费用应由承包人承担。</w:t>
      </w:r>
    </w:p>
    <w:p>
      <w:pPr>
        <w:pStyle w:val="3"/>
        <w:spacing w:before="240" w:after="240" w:line="360" w:lineRule="auto"/>
        <w:rPr>
          <w:rFonts w:hint="eastAsia" w:ascii="宋体" w:hAnsi="宋体" w:eastAsia="宋体" w:cs="宋体"/>
          <w:color w:val="auto"/>
          <w:highlight w:val="none"/>
        </w:rPr>
      </w:pPr>
      <w:bookmarkStart w:id="253" w:name="_Toc19188"/>
      <w:r>
        <w:rPr>
          <w:rFonts w:hint="eastAsia" w:ascii="宋体" w:hAnsi="宋体" w:eastAsia="宋体" w:cs="宋体"/>
          <w:b w:val="0"/>
          <w:color w:val="auto"/>
          <w:sz w:val="24"/>
          <w:szCs w:val="24"/>
          <w:highlight w:val="none"/>
        </w:rPr>
        <w:t>15.5 承包人的合理化建议</w:t>
      </w:r>
      <w:bookmarkEnd w:id="253"/>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第15.5.2项约定为：</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承包人提出的合理化建议缩短了工期，发包人按第11.6款的规定给予奖励。</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承包人提出的合理化建议降低了合同价格或者提高了工程经济效益的，发包人按项目专用合同条款数据表中规定的金额给予奖励。</w:t>
      </w:r>
    </w:p>
    <w:p>
      <w:pPr>
        <w:pStyle w:val="3"/>
        <w:spacing w:before="240" w:after="240" w:line="360" w:lineRule="auto"/>
        <w:rPr>
          <w:rFonts w:hint="eastAsia" w:ascii="宋体" w:hAnsi="宋体" w:eastAsia="宋体" w:cs="宋体"/>
          <w:color w:val="auto"/>
          <w:highlight w:val="none"/>
        </w:rPr>
      </w:pPr>
      <w:bookmarkStart w:id="254" w:name="_Toc26118"/>
      <w:r>
        <w:rPr>
          <w:rFonts w:hint="eastAsia" w:ascii="宋体" w:hAnsi="宋体" w:eastAsia="宋体" w:cs="宋体"/>
          <w:b w:val="0"/>
          <w:color w:val="auto"/>
          <w:sz w:val="24"/>
          <w:szCs w:val="24"/>
          <w:highlight w:val="none"/>
        </w:rPr>
        <w:t>15.6暂列金额</w:t>
      </w:r>
      <w:bookmarkEnd w:id="254"/>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本款细化为：</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15.6.1 暂列金额应由监理人报发包人批准后指令全部或部分地使用，或者根本不予动用。</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15.6.2 对于经发包人批准的每一笔暂列金额，监理人有权向承包人发出实施工程或提供材料、工程设备或服务的指令。这些指令应由承包人完成，监理人应根据第15.4款约定的变更估价原则和第15.7款的规定，对合同价格进行相应调整。</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15.6.3 当监理人提出要求时，承包人应提供有关暂列金额支出的所有报价单、发票、凭证和账单或收据，除非该工作是根据已标价工程量清单列明的单价或总额价进行的估价。</w:t>
      </w:r>
    </w:p>
    <w:p>
      <w:pPr>
        <w:pStyle w:val="3"/>
        <w:spacing w:before="480" w:after="240" w:line="360" w:lineRule="auto"/>
        <w:rPr>
          <w:rFonts w:hint="eastAsia" w:ascii="宋体" w:hAnsi="宋体" w:eastAsia="宋体" w:cs="宋体"/>
          <w:color w:val="auto"/>
          <w:highlight w:val="none"/>
        </w:rPr>
      </w:pPr>
      <w:bookmarkStart w:id="255" w:name="_Toc30226"/>
      <w:r>
        <w:rPr>
          <w:rFonts w:hint="eastAsia" w:ascii="宋体" w:hAnsi="宋体" w:eastAsia="宋体" w:cs="宋体"/>
          <w:b w:val="0"/>
          <w:color w:val="auto"/>
          <w:sz w:val="28"/>
          <w:szCs w:val="28"/>
          <w:highlight w:val="none"/>
        </w:rPr>
        <w:t>16. 价格调整</w:t>
      </w:r>
      <w:bookmarkEnd w:id="255"/>
    </w:p>
    <w:p>
      <w:pPr>
        <w:pStyle w:val="3"/>
        <w:spacing w:before="240" w:after="240" w:line="360" w:lineRule="auto"/>
        <w:rPr>
          <w:rFonts w:hint="eastAsia" w:ascii="宋体" w:hAnsi="宋体" w:eastAsia="宋体" w:cs="宋体"/>
          <w:color w:val="auto"/>
          <w:highlight w:val="none"/>
        </w:rPr>
      </w:pPr>
      <w:bookmarkStart w:id="256" w:name="_Toc5462"/>
      <w:r>
        <w:rPr>
          <w:rFonts w:hint="eastAsia" w:ascii="宋体" w:hAnsi="宋体" w:eastAsia="宋体" w:cs="宋体"/>
          <w:b w:val="0"/>
          <w:color w:val="auto"/>
          <w:sz w:val="24"/>
          <w:szCs w:val="24"/>
          <w:highlight w:val="none"/>
        </w:rPr>
        <w:t>16.1 物价波动引起的价格调整</w:t>
      </w:r>
      <w:bookmarkEnd w:id="256"/>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本款约定为：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（1）除项目专用合同条款另有约定外，因物价波动引起的价格调整应按项目专用合同条款数据表的规定，按照第16.1.1项或第16.1.2项约定的原则处理；或者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（2）在合同执行期间（包括工期拖延期间）由于人工、材料和设备价格的上涨而引起工程施工成本增加的风险由承包人自行承担，合同价格不会因此而调整。</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16.1.1 采用价格指数调整价格差额</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16.1.1.1 价格调整公式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价格调整公式后增加备注如下：</w:t>
      </w:r>
    </w:p>
    <w:p>
      <w:pPr>
        <w:spacing w:line="360" w:lineRule="auto"/>
        <w:ind w:firstLine="746"/>
        <w:rPr>
          <w:rFonts w:hint="eastAsia" w:ascii="宋体" w:hAnsi="宋体" w:eastAsia="宋体" w:cs="宋体"/>
          <w:color w:val="auto"/>
          <w:highlight w:val="none"/>
        </w:rPr>
      </w:pPr>
      <w:r>
        <w:rPr>
          <w:rFonts w:hint="eastAsia" w:ascii="宋体" w:hAnsi="宋体" w:eastAsia="宋体" w:cs="宋体"/>
          <w:bCs/>
          <w:color w:val="auto"/>
          <w:sz w:val="24"/>
          <w:highlight w:val="none"/>
        </w:rPr>
        <w:t>式中，</w:t>
      </w:r>
      <w:r>
        <w:rPr>
          <w:rFonts w:hint="eastAsia" w:ascii="宋体" w:hAnsi="宋体" w:eastAsia="宋体" w:cs="宋体"/>
          <w:b/>
          <w:bCs/>
          <w:color w:val="auto"/>
          <w:sz w:val="24"/>
          <w:highlight w:val="none"/>
        </w:rPr>
        <w:t>A=1－（B</w:t>
      </w:r>
      <w:r>
        <w:rPr>
          <w:rFonts w:hint="eastAsia" w:ascii="宋体" w:hAnsi="宋体" w:eastAsia="宋体" w:cs="宋体"/>
          <w:b/>
          <w:bCs/>
          <w:color w:val="auto"/>
          <w:sz w:val="24"/>
          <w:highlight w:val="none"/>
          <w:vertAlign w:val="subscript"/>
        </w:rPr>
        <w:t>1</w:t>
      </w:r>
      <w:r>
        <w:rPr>
          <w:rFonts w:hint="eastAsia" w:ascii="宋体" w:hAnsi="宋体" w:eastAsia="宋体" w:cs="宋体"/>
          <w:b/>
          <w:bCs/>
          <w:color w:val="auto"/>
          <w:sz w:val="24"/>
          <w:highlight w:val="none"/>
        </w:rPr>
        <w:t>＋B</w:t>
      </w:r>
      <w:r>
        <w:rPr>
          <w:rFonts w:hint="eastAsia" w:ascii="宋体" w:hAnsi="宋体" w:eastAsia="宋体" w:cs="宋体"/>
          <w:b/>
          <w:bCs/>
          <w:color w:val="auto"/>
          <w:sz w:val="24"/>
          <w:highlight w:val="none"/>
          <w:vertAlign w:val="subscript"/>
        </w:rPr>
        <w:t>2</w:t>
      </w:r>
      <w:r>
        <w:rPr>
          <w:rFonts w:hint="eastAsia" w:ascii="宋体" w:hAnsi="宋体" w:eastAsia="宋体" w:cs="宋体"/>
          <w:b/>
          <w:bCs/>
          <w:color w:val="auto"/>
          <w:sz w:val="24"/>
          <w:highlight w:val="none"/>
        </w:rPr>
        <w:t>＋B</w:t>
      </w:r>
      <w:r>
        <w:rPr>
          <w:rFonts w:hint="eastAsia" w:ascii="宋体" w:hAnsi="宋体" w:eastAsia="宋体" w:cs="宋体"/>
          <w:b/>
          <w:bCs/>
          <w:color w:val="auto"/>
          <w:sz w:val="24"/>
          <w:highlight w:val="none"/>
          <w:vertAlign w:val="subscript"/>
        </w:rPr>
        <w:t>3</w:t>
      </w: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vertAlign w:val="subscript"/>
        </w:rPr>
        <w:t>……</w:t>
      </w:r>
      <w:r>
        <w:rPr>
          <w:rFonts w:hint="eastAsia" w:ascii="宋体" w:hAnsi="宋体" w:eastAsia="宋体" w:cs="宋体"/>
          <w:b/>
          <w:bCs/>
          <w:color w:val="auto"/>
          <w:sz w:val="24"/>
          <w:highlight w:val="none"/>
        </w:rPr>
        <w:t>＋B</w:t>
      </w:r>
      <w:r>
        <w:rPr>
          <w:rFonts w:hint="eastAsia" w:ascii="宋体" w:hAnsi="宋体" w:eastAsia="宋体" w:cs="宋体"/>
          <w:b/>
          <w:bCs/>
          <w:color w:val="auto"/>
          <w:sz w:val="24"/>
          <w:highlight w:val="none"/>
          <w:vertAlign w:val="subscript"/>
        </w:rPr>
        <w:t>n</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本目最后一段文字细化为：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在采用价格调整公式进行调价时，还应遵守以下规定：</w:t>
      </w:r>
    </w:p>
    <w:p>
      <w:pPr>
        <w:spacing w:line="360" w:lineRule="auto"/>
        <w:ind w:firstLine="477"/>
        <w:rPr>
          <w:rFonts w:hint="eastAsia" w:ascii="宋体" w:hAnsi="宋体" w:eastAsia="宋体" w:cs="宋体"/>
          <w:color w:val="auto"/>
          <w:highlight w:val="none"/>
        </w:rPr>
      </w:pPr>
      <w:r>
        <w:rPr>
          <w:rFonts w:hint="eastAsia" w:ascii="宋体" w:hAnsi="宋体" w:eastAsia="宋体" w:cs="宋体"/>
          <w:color w:val="auto"/>
          <w:sz w:val="24"/>
          <w:highlight w:val="none"/>
        </w:rPr>
        <w:t>（1）以上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格代替。</w:t>
      </w:r>
    </w:p>
    <w:p>
      <w:pPr>
        <w:spacing w:line="360" w:lineRule="auto"/>
        <w:ind w:firstLine="477"/>
        <w:rPr>
          <w:rFonts w:hint="eastAsia" w:ascii="宋体" w:hAnsi="宋体" w:eastAsia="宋体" w:cs="宋体"/>
          <w:color w:val="auto"/>
          <w:highlight w:val="none"/>
        </w:rPr>
      </w:pPr>
      <w:r>
        <w:rPr>
          <w:rFonts w:hint="eastAsia" w:ascii="宋体" w:hAnsi="宋体" w:eastAsia="宋体" w:cs="宋体"/>
          <w:color w:val="auto"/>
          <w:sz w:val="24"/>
          <w:highlight w:val="none"/>
        </w:rPr>
        <w:t>（2）价格调整公式中的变值权重，由发包人根据项目实际情况测算确定范围，并在投标函附录价格指数和权重表中约定范围；承包人在投标时在此范围内填写各可调因子的权重，合同实施期间将按此权重进行调价。</w:t>
      </w:r>
    </w:p>
    <w:p>
      <w:pPr>
        <w:pStyle w:val="3"/>
        <w:spacing w:before="480" w:after="240" w:line="360" w:lineRule="auto"/>
        <w:rPr>
          <w:rFonts w:hint="eastAsia" w:ascii="宋体" w:hAnsi="宋体" w:eastAsia="宋体" w:cs="宋体"/>
          <w:color w:val="auto"/>
          <w:highlight w:val="none"/>
        </w:rPr>
      </w:pPr>
      <w:bookmarkStart w:id="257" w:name="_Toc12229"/>
      <w:r>
        <w:rPr>
          <w:rFonts w:hint="eastAsia" w:ascii="宋体" w:hAnsi="宋体" w:eastAsia="宋体" w:cs="宋体"/>
          <w:b w:val="0"/>
          <w:color w:val="auto"/>
          <w:sz w:val="28"/>
          <w:szCs w:val="28"/>
          <w:highlight w:val="none"/>
        </w:rPr>
        <w:t>17. 计量与支付</w:t>
      </w:r>
      <w:bookmarkEnd w:id="257"/>
    </w:p>
    <w:p>
      <w:pPr>
        <w:pStyle w:val="3"/>
        <w:spacing w:before="240" w:after="240" w:line="360" w:lineRule="auto"/>
        <w:rPr>
          <w:rFonts w:hint="eastAsia" w:ascii="宋体" w:hAnsi="宋体" w:eastAsia="宋体" w:cs="宋体"/>
          <w:color w:val="auto"/>
          <w:highlight w:val="none"/>
        </w:rPr>
      </w:pPr>
      <w:bookmarkStart w:id="258" w:name="_Toc1141"/>
      <w:r>
        <w:rPr>
          <w:rFonts w:hint="eastAsia" w:ascii="宋体" w:hAnsi="宋体" w:eastAsia="宋体" w:cs="宋体"/>
          <w:b w:val="0"/>
          <w:color w:val="auto"/>
          <w:sz w:val="24"/>
          <w:szCs w:val="24"/>
          <w:highlight w:val="none"/>
        </w:rPr>
        <w:t>17.1 计量</w:t>
      </w:r>
      <w:bookmarkEnd w:id="258"/>
      <w:r>
        <w:rPr>
          <w:rFonts w:hint="eastAsia" w:ascii="宋体" w:hAnsi="宋体" w:eastAsia="宋体" w:cs="宋体"/>
          <w:b w:val="0"/>
          <w:color w:val="auto"/>
          <w:sz w:val="24"/>
          <w:szCs w:val="24"/>
          <w:highlight w:val="none"/>
        </w:rPr>
        <w:t xml:space="preserve"> </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17.1.2 计量方法</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本项约定为：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工程的计量应以净值为准，除非项目专用合同条款另有约定。工程量清单中各个子目的具体计量方法按本合同文件工程量清单计量规则中的规定执行。</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17.1.4 单价子目的计量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本项补充：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（7）承包人未在已标价工程量清单中填入单价或总额价的工程子目，将被认为其已包含在本合同的其他子目的单价和总额价中，发包人将不另行支付。</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17.1.5 总价子目的计量</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本项补充：</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本项目工程量清单中要求承包人以“总额”方式报价的子目，各子目的支付原则和支付进度按项目专用合同条款的规定执行。</w:t>
      </w:r>
    </w:p>
    <w:p>
      <w:pPr>
        <w:pStyle w:val="3"/>
        <w:spacing w:before="240" w:after="240" w:line="360" w:lineRule="auto"/>
        <w:rPr>
          <w:rFonts w:hint="eastAsia" w:ascii="宋体" w:hAnsi="宋体" w:eastAsia="宋体" w:cs="宋体"/>
          <w:color w:val="auto"/>
          <w:highlight w:val="none"/>
        </w:rPr>
      </w:pPr>
      <w:bookmarkStart w:id="259" w:name="_Toc13402"/>
      <w:r>
        <w:rPr>
          <w:rFonts w:hint="eastAsia" w:ascii="宋体" w:hAnsi="宋体" w:eastAsia="宋体" w:cs="宋体"/>
          <w:b w:val="0"/>
          <w:color w:val="auto"/>
          <w:sz w:val="24"/>
          <w:szCs w:val="24"/>
          <w:highlight w:val="none"/>
        </w:rPr>
        <w:t>17.2 预付款</w:t>
      </w:r>
      <w:bookmarkEnd w:id="259"/>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17.2.1预付款</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本项约定为：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预付款包括开工预付款和材料、设备预付款。具体额度和预付办法如下：</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（1）开工预付款的金额在项目专用合同条款数据表中约定。在承包人签订了合同协议书且承包人承诺的主要设备进场后，监理人应在当期进度付款证书中向承包人支付开工预付款。</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承包人不得将该预付款用于与本工程无关的支出，监理人有权监督承包人对该项费用的使用，如经查实承包人滥用开工预付款，发包人有权立即向银行索赔履约保证金，并解除合同。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（2）材料、设备预付款按项目专用合同条款数据表中所列主要材料、设备单据费用（进口的材料、设备为到岸价，国内采购的为出厂价或销售价，地方材料为堆场价）的百分比支付。其预付条件为：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a. 材料、设备符合规范要求并经监理人认可；</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b. 承包人已出具材料、设备费用凭证或支付单据；</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c. 材料、设备已在现场交货，且存储良好，监理人认为材料、设备的存储方法符合要求。</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则监理人应将此项金额作为材料、设备预付款计入下一次的进度付款证书中。在预计交工前3个月，将不再支付材料、设备预付款。</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17.2.2 预付款保函</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本项细化为：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承包人无须向发包人提交预付款保函。发包人向承包人支付的预付款，应按照本合同第17.2.1项规定使用，承包人提交的履约保证金对预付款的正常使用承担保证责任。</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 w:val="24"/>
          <w:highlight w:val="none"/>
        </w:rPr>
        <w:t>17.2.3 预付款的扣回与还清</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 w:val="24"/>
          <w:highlight w:val="none"/>
        </w:rPr>
        <w:t>本项约定为：</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 w:val="24"/>
          <w:highlight w:val="none"/>
        </w:rPr>
        <w:t>（1）开工预付款在进度付款证书的累计金额未达到签约合同价的30%之前不予扣回，在达到签约合同价30%之后，开始按工程进度以固定比例（即每完成签约合同价的1%，扣回开工预付款的2%）分期从各月的进度付款证书中扣回，全部金额在进度付款证书的累计金额达到签约合同价的80%时扣完。</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 w:val="24"/>
          <w:highlight w:val="none"/>
        </w:rPr>
        <w:t>（2）当材料、设备已用于或安装在永久工程之中时，材料、设备预付款应从进度付款证书中扣回，扣回期不超过3个月。已经支付材料、设备预付款的材料、设备的所有权应属于发包人。</w:t>
      </w:r>
    </w:p>
    <w:p>
      <w:pPr>
        <w:pStyle w:val="3"/>
        <w:spacing w:before="240" w:after="240" w:line="360" w:lineRule="auto"/>
        <w:rPr>
          <w:rFonts w:hint="eastAsia" w:ascii="宋体" w:hAnsi="宋体" w:eastAsia="宋体" w:cs="宋体"/>
          <w:color w:val="auto"/>
          <w:highlight w:val="none"/>
        </w:rPr>
      </w:pPr>
      <w:bookmarkStart w:id="260" w:name="_Toc3319"/>
      <w:r>
        <w:rPr>
          <w:rFonts w:hint="eastAsia" w:ascii="宋体" w:hAnsi="宋体" w:eastAsia="宋体" w:cs="宋体"/>
          <w:b w:val="0"/>
          <w:color w:val="auto"/>
          <w:sz w:val="24"/>
          <w:szCs w:val="24"/>
          <w:highlight w:val="none"/>
        </w:rPr>
        <w:t>17.3 工程进度付款</w:t>
      </w:r>
      <w:bookmarkEnd w:id="260"/>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17.3.3 进度付款证书和支付时间</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本项（1）目补充：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如果该付款周期应结算的价款经扣留和扣回后的款额少于项目专用合同条款数据表中列明的进度付款证书的最低金额，则该付款周期监理人可不核证支付，上述款额将按付款周期结转，直至累计应支付的款额达到项目专用合同条款数据表中列明的进度付款证书的最低金额为止。</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本项（2）目细化为：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发包人应在监理人收到进度付款申请单且承包人提交了合格的增值税专用发票后的28天内，将进度应付款支付给承包人。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发包人不按期支付的，按项目专用合同条款数据表中约定的利率向承包人支付逾期付款违约金。违约金计算基数为发包人的全部未付款额，时间从应付而未付该款额之日算起（不计复利）。</w:t>
      </w:r>
    </w:p>
    <w:p>
      <w:pPr>
        <w:widowControl/>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本款补充第17.3.5项：</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17.3.5 农民工工资保证金</w:t>
      </w:r>
    </w:p>
    <w:p>
      <w:pPr>
        <w:widowControl/>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（1）为确保施工过程中农民工工资实时、足额发放到位，承包人应按照项目专用合同条款约定的时间和金额缴存农民工工资保证金。</w:t>
      </w:r>
    </w:p>
    <w:p>
      <w:pPr>
        <w:widowControl/>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（2）农民工工资保证金可采用银行保函或现金、支票形式。采用银行保函时，出具保函的银行须具有相应担保能力，且按照发包人批准的格式出具，所需费用由承包人承担。</w:t>
      </w:r>
    </w:p>
    <w:p>
      <w:pPr>
        <w:widowControl/>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（3）农民工工资保证金的扣留条件、返还时间按照项目专用合同条款的约定执行。</w:t>
      </w:r>
    </w:p>
    <w:p>
      <w:pPr>
        <w:pStyle w:val="3"/>
        <w:spacing w:before="240" w:after="240" w:line="360" w:lineRule="auto"/>
        <w:rPr>
          <w:rFonts w:hint="eastAsia" w:ascii="宋体" w:hAnsi="宋体" w:eastAsia="宋体" w:cs="宋体"/>
          <w:color w:val="auto"/>
          <w:highlight w:val="none"/>
        </w:rPr>
      </w:pPr>
      <w:bookmarkStart w:id="261" w:name="_Toc13231"/>
      <w:r>
        <w:rPr>
          <w:rFonts w:hint="eastAsia" w:ascii="宋体" w:hAnsi="宋体" w:eastAsia="宋体" w:cs="宋体"/>
          <w:b w:val="0"/>
          <w:color w:val="auto"/>
          <w:sz w:val="24"/>
          <w:szCs w:val="24"/>
          <w:highlight w:val="none"/>
        </w:rPr>
        <w:t>17.4 质量保证金</w:t>
      </w:r>
      <w:bookmarkEnd w:id="261"/>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第17.4.1项、第17.4.2项细化为：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17.4.1 交工验收证书签发后14天内，承包人应向发包人缴纳质量保证金。质量保证金可采用银行保函或现金、支票形式，金额应符合项目专用合同条款数据表的规定。采用银行保函时，出具保函的银行须具有相应担保能力，且按照发包人批准的格式出具，所需费用由承包人承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质量保证金采用现金、支票形式提交的，发包人应在项目专用合同条款数据表中明确是否</w:t>
      </w:r>
      <w:r>
        <w:rPr>
          <w:rFonts w:hint="eastAsia" w:ascii="宋体" w:hAnsi="宋体" w:eastAsia="宋体" w:cs="宋体"/>
          <w:color w:val="auto"/>
          <w:kern w:val="0"/>
          <w:sz w:val="24"/>
          <w:highlight w:val="none"/>
        </w:rPr>
        <w:t>计付利息以及利息的计算方式。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17.4.2 在第1.1.4.5目约定的缺陷责任期满，且质量监督机构已按规定对工程质量检测鉴定合格，承包人向发包人申请到期应返还承包人剩余的质量保证金金额，发包人应在14天内会同承包人按照合同约定的内容核实承包人是否完成缺陷责任。如无异议，发包人应当在核实后将剩余保证金返还承包人。</w:t>
      </w:r>
    </w:p>
    <w:p>
      <w:pPr>
        <w:pStyle w:val="3"/>
        <w:spacing w:before="240" w:after="240" w:line="360" w:lineRule="auto"/>
        <w:rPr>
          <w:rFonts w:hint="eastAsia" w:ascii="宋体" w:hAnsi="宋体" w:eastAsia="宋体" w:cs="宋体"/>
          <w:color w:val="auto"/>
          <w:highlight w:val="none"/>
        </w:rPr>
      </w:pPr>
      <w:bookmarkStart w:id="262" w:name="_Toc12688"/>
      <w:r>
        <w:rPr>
          <w:rFonts w:hint="eastAsia" w:ascii="宋体" w:hAnsi="宋体" w:eastAsia="宋体" w:cs="宋体"/>
          <w:b w:val="0"/>
          <w:color w:val="auto"/>
          <w:sz w:val="24"/>
          <w:szCs w:val="24"/>
          <w:highlight w:val="none"/>
        </w:rPr>
        <w:t>17.5 交工结算</w:t>
      </w:r>
      <w:bookmarkEnd w:id="262"/>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17.5.1 交工付款申请单</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本项（1）目约定为：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承包人向监理人提交交工付款申请单（包括相关证明材料）的份数在项目专用合同条款数据表中约定；期限：交工验收证书签发后42天内。</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17.5.2 交工付款证书及支付时间</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本项（2）目细化为：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发包人应在监理人出具交工付款证书且承包人提交了合格的增值税专用发票后的14天内，将应支付款支付给承包人。发包人不按期支付的，按第17.3.3（2）目的约定，将逾期付款违约金支付给承包人。</w:t>
      </w:r>
    </w:p>
    <w:p>
      <w:pPr>
        <w:pStyle w:val="3"/>
        <w:spacing w:before="240" w:after="240" w:line="360" w:lineRule="auto"/>
        <w:rPr>
          <w:rFonts w:hint="eastAsia" w:ascii="宋体" w:hAnsi="宋体" w:eastAsia="宋体" w:cs="宋体"/>
          <w:color w:val="auto"/>
          <w:highlight w:val="none"/>
        </w:rPr>
      </w:pPr>
      <w:bookmarkStart w:id="263" w:name="_Toc5826"/>
      <w:r>
        <w:rPr>
          <w:rFonts w:hint="eastAsia" w:ascii="宋体" w:hAnsi="宋体" w:eastAsia="宋体" w:cs="宋体"/>
          <w:b w:val="0"/>
          <w:color w:val="auto"/>
          <w:sz w:val="24"/>
          <w:szCs w:val="24"/>
          <w:highlight w:val="none"/>
        </w:rPr>
        <w:t>17.6 最终结清</w:t>
      </w:r>
      <w:bookmarkEnd w:id="263"/>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17.6.1 最终结清申请单</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本项（1）目约定为：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承包人向监理人提交最终结清申请单（包括相关证明材料）的份数在项目专用合同条款数据表中约定；期限：缺陷责任期终止证书签发后28天内。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最终结清申请单中的总金额应认为是代表了根据合同规定应付给承包人的全部款项的最后结算。</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17.6.2 最终结清证书和支付时间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本项（2）目细化为：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（2）发包人应在监理人出具最终结清证书且承包人提交了合格的增值税专用发票后的14天内，将应支付款支付给承包人。发包人不按期支付的，按第17.3.3（2）目的约定，将逾期付款违约金支付给承包人。</w:t>
      </w:r>
    </w:p>
    <w:p>
      <w:pPr>
        <w:pStyle w:val="3"/>
        <w:spacing w:before="480" w:after="240" w:line="360" w:lineRule="auto"/>
        <w:rPr>
          <w:rFonts w:hint="eastAsia" w:ascii="宋体" w:hAnsi="宋体" w:eastAsia="宋体" w:cs="宋体"/>
          <w:color w:val="auto"/>
          <w:highlight w:val="none"/>
        </w:rPr>
      </w:pPr>
      <w:bookmarkStart w:id="264" w:name="_Toc27610"/>
      <w:r>
        <w:rPr>
          <w:rFonts w:hint="eastAsia" w:ascii="宋体" w:hAnsi="宋体" w:eastAsia="宋体" w:cs="宋体"/>
          <w:b w:val="0"/>
          <w:color w:val="auto"/>
          <w:sz w:val="28"/>
          <w:szCs w:val="28"/>
          <w:highlight w:val="none"/>
        </w:rPr>
        <w:t>18. 交工验收</w:t>
      </w:r>
      <w:bookmarkEnd w:id="264"/>
    </w:p>
    <w:p>
      <w:pPr>
        <w:pStyle w:val="3"/>
        <w:spacing w:before="240" w:after="240" w:line="360" w:lineRule="auto"/>
        <w:rPr>
          <w:rFonts w:hint="eastAsia" w:ascii="宋体" w:hAnsi="宋体" w:eastAsia="宋体" w:cs="宋体"/>
          <w:color w:val="auto"/>
          <w:highlight w:val="none"/>
        </w:rPr>
      </w:pPr>
      <w:bookmarkStart w:id="265" w:name="_Toc15099"/>
      <w:r>
        <w:rPr>
          <w:rFonts w:hint="eastAsia" w:ascii="宋体" w:hAnsi="宋体" w:eastAsia="宋体" w:cs="宋体"/>
          <w:b w:val="0"/>
          <w:color w:val="auto"/>
          <w:sz w:val="24"/>
          <w:szCs w:val="24"/>
          <w:highlight w:val="none"/>
        </w:rPr>
        <w:t>18.2 交工验收申请报告</w:t>
      </w:r>
      <w:bookmarkEnd w:id="265"/>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本款第（2）项约定为：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竣工资料的内容：承包人应按照《公路工程竣（交）工验收办法》和相关规定编制竣工资料。</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竣工资料的份数在项目专用合同条款数据表中约定。</w:t>
      </w:r>
    </w:p>
    <w:p>
      <w:pPr>
        <w:pStyle w:val="3"/>
        <w:spacing w:before="240" w:after="240" w:line="360" w:lineRule="auto"/>
        <w:rPr>
          <w:rFonts w:hint="eastAsia" w:ascii="宋体" w:hAnsi="宋体" w:eastAsia="宋体" w:cs="宋体"/>
          <w:color w:val="auto"/>
          <w:highlight w:val="none"/>
        </w:rPr>
      </w:pPr>
      <w:bookmarkStart w:id="266" w:name="_Toc3337"/>
      <w:r>
        <w:rPr>
          <w:rFonts w:hint="eastAsia" w:ascii="宋体" w:hAnsi="宋体" w:eastAsia="宋体" w:cs="宋体"/>
          <w:b w:val="0"/>
          <w:color w:val="auto"/>
          <w:sz w:val="24"/>
          <w:szCs w:val="24"/>
          <w:highlight w:val="none"/>
        </w:rPr>
        <w:t>18.3 验收</w:t>
      </w:r>
      <w:bookmarkEnd w:id="266"/>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第18.3.2项补充：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交工验收由发包人主持，由发包人、监理人、质监、设计、施工、运营、管理养护等有关部门代表组成交工验收小组，对本项目的工程质量进行评定，并写出交工验收报告报交通运输主管部门备案。承包人应按发包人的要求提交竣工资料，完成交工验收准备工作。</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第18.3.5项约定为：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经验收合格工程的实际交工日期，以最终提交交工验收申请报告的日期为准，并在交工验收证书中写明。</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本款补充第18.3.7项：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组织办理交工验收和签发交工验收证书的费用由发包人承担。但按照第18.3.4项规定达不到合格标准的交工验收费用由承包人承担。</w:t>
      </w:r>
    </w:p>
    <w:p>
      <w:pPr>
        <w:spacing w:before="312"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本条补充第18.9款：</w:t>
      </w:r>
    </w:p>
    <w:p>
      <w:pPr>
        <w:pStyle w:val="3"/>
        <w:spacing w:before="240" w:after="240" w:line="360" w:lineRule="auto"/>
        <w:rPr>
          <w:rFonts w:hint="eastAsia" w:ascii="宋体" w:hAnsi="宋体" w:eastAsia="宋体" w:cs="宋体"/>
          <w:color w:val="auto"/>
          <w:highlight w:val="none"/>
        </w:rPr>
      </w:pPr>
      <w:bookmarkStart w:id="267" w:name="_Toc6272"/>
      <w:r>
        <w:rPr>
          <w:rFonts w:hint="eastAsia" w:ascii="宋体" w:hAnsi="宋体" w:eastAsia="宋体" w:cs="宋体"/>
          <w:b w:val="0"/>
          <w:color w:val="auto"/>
          <w:sz w:val="24"/>
          <w:szCs w:val="24"/>
          <w:highlight w:val="none"/>
        </w:rPr>
        <w:t>18.9 竣工文件</w:t>
      </w:r>
      <w:bookmarkEnd w:id="267"/>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承包人应按照《公路工程竣（交）工验收办法》的相关规定，在缺陷责任期内为竣工验收补充竣工资料，并在签发缺陷责任期终止证书之前提交。</w:t>
      </w:r>
    </w:p>
    <w:p>
      <w:pPr>
        <w:pStyle w:val="3"/>
        <w:spacing w:before="480" w:after="240" w:line="360" w:lineRule="auto"/>
        <w:rPr>
          <w:rFonts w:hint="eastAsia" w:ascii="宋体" w:hAnsi="宋体" w:eastAsia="宋体" w:cs="宋体"/>
          <w:color w:val="auto"/>
          <w:highlight w:val="none"/>
        </w:rPr>
      </w:pPr>
      <w:bookmarkStart w:id="268" w:name="_Toc29029"/>
      <w:r>
        <w:rPr>
          <w:rFonts w:hint="eastAsia" w:ascii="宋体" w:hAnsi="宋体" w:eastAsia="宋体" w:cs="宋体"/>
          <w:b w:val="0"/>
          <w:color w:val="auto"/>
          <w:sz w:val="28"/>
          <w:szCs w:val="28"/>
          <w:highlight w:val="none"/>
        </w:rPr>
        <w:t>19. 缺陷责任与保修责任</w:t>
      </w:r>
      <w:bookmarkEnd w:id="268"/>
    </w:p>
    <w:p>
      <w:pPr>
        <w:pStyle w:val="3"/>
        <w:spacing w:before="240" w:after="240" w:line="360" w:lineRule="auto"/>
        <w:rPr>
          <w:rFonts w:hint="eastAsia" w:ascii="宋体" w:hAnsi="宋体" w:eastAsia="宋体" w:cs="宋体"/>
          <w:color w:val="auto"/>
          <w:highlight w:val="none"/>
        </w:rPr>
      </w:pPr>
      <w:bookmarkStart w:id="269" w:name="_Toc13386"/>
      <w:r>
        <w:rPr>
          <w:rFonts w:hint="eastAsia" w:ascii="宋体" w:hAnsi="宋体" w:eastAsia="宋体" w:cs="宋体"/>
          <w:b w:val="0"/>
          <w:color w:val="auto"/>
          <w:sz w:val="24"/>
          <w:szCs w:val="24"/>
          <w:highlight w:val="none"/>
        </w:rPr>
        <w:t>19.2 缺陷责任</w:t>
      </w:r>
      <w:bookmarkEnd w:id="269"/>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第19.2.2项补充：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在缺陷责任期内，承包人应尽快完成在交工验收证书中写明的未完成工作，并完成对本工程缺陷的修复或监理人指令的修补工作。</w:t>
      </w:r>
    </w:p>
    <w:p>
      <w:pPr>
        <w:pStyle w:val="3"/>
        <w:spacing w:before="240" w:after="240" w:line="360" w:lineRule="auto"/>
        <w:rPr>
          <w:rFonts w:hint="eastAsia" w:ascii="宋体" w:hAnsi="宋体" w:eastAsia="宋体" w:cs="宋体"/>
          <w:color w:val="auto"/>
          <w:highlight w:val="none"/>
        </w:rPr>
      </w:pPr>
      <w:bookmarkStart w:id="270" w:name="_Toc1165"/>
      <w:r>
        <w:rPr>
          <w:rFonts w:hint="eastAsia" w:ascii="宋体" w:hAnsi="宋体" w:eastAsia="宋体" w:cs="宋体"/>
          <w:b w:val="0"/>
          <w:color w:val="auto"/>
          <w:sz w:val="24"/>
          <w:szCs w:val="24"/>
          <w:highlight w:val="none"/>
        </w:rPr>
        <w:t>19.5 承包人的进入权</w:t>
      </w:r>
      <w:bookmarkEnd w:id="270"/>
      <w:r>
        <w:rPr>
          <w:rFonts w:hint="eastAsia" w:ascii="宋体" w:hAnsi="宋体" w:eastAsia="宋体" w:cs="宋体"/>
          <w:b w:val="0"/>
          <w:color w:val="auto"/>
          <w:sz w:val="24"/>
          <w:szCs w:val="24"/>
          <w:highlight w:val="none"/>
        </w:rPr>
        <w:t xml:space="preserve">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本款补充：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承包人在缺陷修复施工过程中，应服从管养单位的有关安全管理规定，由于承包人自身原因造成的人员伤亡、设备和材料的损毁及罚款等责任由承包人自负。</w:t>
      </w:r>
    </w:p>
    <w:p>
      <w:pPr>
        <w:pStyle w:val="3"/>
        <w:spacing w:before="240" w:after="240" w:line="360" w:lineRule="auto"/>
        <w:rPr>
          <w:rFonts w:hint="eastAsia" w:ascii="宋体" w:hAnsi="宋体" w:eastAsia="宋体" w:cs="宋体"/>
          <w:color w:val="auto"/>
          <w:highlight w:val="none"/>
        </w:rPr>
      </w:pPr>
      <w:bookmarkStart w:id="271" w:name="_Toc992"/>
      <w:r>
        <w:rPr>
          <w:rFonts w:hint="eastAsia" w:ascii="宋体" w:hAnsi="宋体" w:eastAsia="宋体" w:cs="宋体"/>
          <w:b w:val="0"/>
          <w:color w:val="auto"/>
          <w:sz w:val="24"/>
          <w:szCs w:val="24"/>
          <w:highlight w:val="none"/>
        </w:rPr>
        <w:t>19.7 保修责任</w:t>
      </w:r>
      <w:bookmarkEnd w:id="271"/>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保修期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（2）在全部工程交工验收前，已经发包人提前验收的单位工程，其保修期的起算日期相应提前。</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（3）工程保修期终止后28天内，监理人签发保修期终止证书。</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（4）若承包人不履行保修义务和责任，则承包人应承担由于违约造成的法律后果，并由发包人将其违约行为上报省级交通运输主管部门，作为不良记录纳入公路建设市场信用信息管理系统。</w:t>
      </w:r>
    </w:p>
    <w:p>
      <w:pPr>
        <w:pStyle w:val="3"/>
        <w:spacing w:before="480" w:after="240" w:line="360" w:lineRule="auto"/>
        <w:rPr>
          <w:rFonts w:hint="eastAsia" w:ascii="宋体" w:hAnsi="宋体" w:eastAsia="宋体" w:cs="宋体"/>
          <w:color w:val="auto"/>
          <w:highlight w:val="none"/>
        </w:rPr>
      </w:pPr>
      <w:bookmarkStart w:id="272" w:name="_Toc17608"/>
      <w:r>
        <w:rPr>
          <w:rFonts w:hint="eastAsia" w:ascii="宋体" w:hAnsi="宋体" w:eastAsia="宋体" w:cs="宋体"/>
          <w:b w:val="0"/>
          <w:color w:val="auto"/>
          <w:sz w:val="28"/>
          <w:szCs w:val="28"/>
          <w:highlight w:val="none"/>
        </w:rPr>
        <w:t>20. 保险</w:t>
      </w:r>
      <w:bookmarkEnd w:id="272"/>
    </w:p>
    <w:p>
      <w:pPr>
        <w:pStyle w:val="3"/>
        <w:spacing w:before="240" w:after="240" w:line="360" w:lineRule="auto"/>
        <w:rPr>
          <w:rFonts w:hint="eastAsia" w:ascii="宋体" w:hAnsi="宋体" w:eastAsia="宋体" w:cs="宋体"/>
          <w:color w:val="auto"/>
          <w:highlight w:val="none"/>
        </w:rPr>
      </w:pPr>
      <w:bookmarkStart w:id="273" w:name="_Toc22490"/>
      <w:r>
        <w:rPr>
          <w:rFonts w:hint="eastAsia" w:ascii="宋体" w:hAnsi="宋体" w:eastAsia="宋体" w:cs="宋体"/>
          <w:b w:val="0"/>
          <w:color w:val="auto"/>
          <w:sz w:val="24"/>
          <w:szCs w:val="24"/>
          <w:highlight w:val="none"/>
        </w:rPr>
        <w:t>20.1工程保险</w:t>
      </w:r>
      <w:bookmarkEnd w:id="273"/>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本款约定为：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建筑工程一切险的投保内容：为本合同工程的永久工程、临时工程和设备及已运至施工工地用于永久工程的材料和设备所投的保险。</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保险金额：工程量清单第100章（不含建筑工程一切险及第三者责任险的保险费）至第700章的合计金额。</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保险费率：在项目专用合同条款数据表中约定。</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保险期限：开工日起直至本合同工程签发缺陷责任期终止证书止（即合同工期＋缺陷责任期）。</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承包人应以发包人和承包人的共同名义投保建筑工程一切险。建筑工程一切险的保险费由承包人报价时列入工程量清单第100章内。发包人在接到保险单后，将按照保险单的费用直接向承包人支付。</w:t>
      </w:r>
    </w:p>
    <w:p>
      <w:pPr>
        <w:pStyle w:val="3"/>
        <w:spacing w:before="240" w:after="240" w:line="360" w:lineRule="auto"/>
        <w:rPr>
          <w:rFonts w:hint="eastAsia" w:ascii="宋体" w:hAnsi="宋体" w:eastAsia="宋体" w:cs="宋体"/>
          <w:color w:val="auto"/>
          <w:highlight w:val="none"/>
        </w:rPr>
      </w:pPr>
      <w:bookmarkStart w:id="274" w:name="_Toc9717"/>
      <w:r>
        <w:rPr>
          <w:rFonts w:hint="eastAsia" w:ascii="宋体" w:hAnsi="宋体" w:eastAsia="宋体" w:cs="宋体"/>
          <w:b w:val="0"/>
          <w:color w:val="auto"/>
          <w:sz w:val="24"/>
          <w:szCs w:val="24"/>
          <w:highlight w:val="none"/>
        </w:rPr>
        <w:t>20.4 第三者责任险</w:t>
      </w:r>
      <w:bookmarkEnd w:id="274"/>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第20.4.2项补充：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第三者责任险的保险费由承包人报价时列入工程量清单第100章内。发包人在接到保险单后，将按照保险单的费用直接向承包人支付。</w:t>
      </w:r>
    </w:p>
    <w:p>
      <w:pPr>
        <w:pStyle w:val="3"/>
        <w:spacing w:before="240" w:after="240" w:line="360" w:lineRule="auto"/>
        <w:rPr>
          <w:rFonts w:hint="eastAsia" w:ascii="宋体" w:hAnsi="宋体" w:eastAsia="宋体" w:cs="宋体"/>
          <w:color w:val="auto"/>
          <w:highlight w:val="none"/>
        </w:rPr>
      </w:pPr>
      <w:bookmarkStart w:id="275" w:name="_Toc19361"/>
      <w:r>
        <w:rPr>
          <w:rFonts w:hint="eastAsia" w:ascii="宋体" w:hAnsi="宋体" w:eastAsia="宋体" w:cs="宋体"/>
          <w:b w:val="0"/>
          <w:color w:val="auto"/>
          <w:sz w:val="24"/>
          <w:szCs w:val="24"/>
          <w:highlight w:val="none"/>
        </w:rPr>
        <w:t>20.5 其他保险</w:t>
      </w:r>
      <w:bookmarkEnd w:id="275"/>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本款约定为：</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 w:val="24"/>
          <w:highlight w:val="none"/>
        </w:rPr>
        <w:t>承包人应为其施工设备等办理保险，其投保金额应足以现场重置。办理本款保险的一切费用均由承包人承担，并包括在工程量清单的单价及总额价中，发包人不单独支付。</w:t>
      </w:r>
    </w:p>
    <w:p>
      <w:pPr>
        <w:pStyle w:val="3"/>
        <w:spacing w:before="240" w:after="240" w:line="360" w:lineRule="auto"/>
        <w:rPr>
          <w:rFonts w:hint="eastAsia" w:ascii="宋体" w:hAnsi="宋体" w:eastAsia="宋体" w:cs="宋体"/>
          <w:color w:val="auto"/>
          <w:highlight w:val="none"/>
        </w:rPr>
      </w:pPr>
      <w:bookmarkStart w:id="276" w:name="_Toc30933"/>
      <w:r>
        <w:rPr>
          <w:rFonts w:hint="eastAsia" w:ascii="宋体" w:hAnsi="宋体" w:eastAsia="宋体" w:cs="宋体"/>
          <w:b w:val="0"/>
          <w:color w:val="auto"/>
          <w:sz w:val="24"/>
          <w:szCs w:val="24"/>
          <w:highlight w:val="none"/>
        </w:rPr>
        <w:t>20.6 对各项保险的一般要求</w:t>
      </w:r>
      <w:bookmarkEnd w:id="276"/>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20.6.1 保险凭证</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本项约定为：</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承包人向发包人提交各项保险生效的证据和保险单副本的期限：开工后56天内。</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20.6.3 持续保险</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本项补充：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在整个合同期内，承包人应按合同条款规定保证足够的保险额。</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20.6.4 保险金不足的补偿</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本项细化为：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保险金不足以补偿损失的（包括免赔额和超过赔偿限额的部分），应由承包人和（或）发包人按合同约定负责补偿。</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20.6.5 未按约定投保的补救</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本项（2）目细化为：</w:t>
      </w:r>
    </w:p>
    <w:p>
      <w:pPr>
        <w:spacing w:line="360" w:lineRule="auto"/>
        <w:ind w:firstLine="390"/>
        <w:rPr>
          <w:rFonts w:hint="eastAsia" w:ascii="宋体" w:hAnsi="宋体" w:eastAsia="宋体" w:cs="宋体"/>
          <w:color w:val="auto"/>
          <w:highlight w:val="none"/>
        </w:rPr>
      </w:pPr>
      <w:r>
        <w:rPr>
          <w:rFonts w:hint="eastAsia" w:ascii="宋体" w:hAnsi="宋体" w:eastAsia="宋体" w:cs="宋体"/>
          <w:color w:val="auto"/>
          <w:sz w:val="24"/>
          <w:highlight w:val="none"/>
        </w:rPr>
        <w:t>（2）由于负有投保义务的一方当事人未按合同约定办理某项保险，或未按保险单规定的条件和期限及时向保险人报告事故情况，或未按要求的保险期限进行投保，或未按要求投保足够的保险金额，导致受益人未能或未能全部得到保险人的赔偿，原应从该项保险得到的保险金应由负有投保义务的一方当事人支付。</w:t>
      </w:r>
    </w:p>
    <w:p>
      <w:pPr>
        <w:pStyle w:val="3"/>
        <w:spacing w:before="480" w:after="240" w:line="360" w:lineRule="auto"/>
        <w:rPr>
          <w:rFonts w:hint="eastAsia" w:ascii="宋体" w:hAnsi="宋体" w:eastAsia="宋体" w:cs="宋体"/>
          <w:color w:val="auto"/>
          <w:highlight w:val="none"/>
        </w:rPr>
      </w:pPr>
      <w:bookmarkStart w:id="277" w:name="_Toc27653"/>
      <w:r>
        <w:rPr>
          <w:rFonts w:hint="eastAsia" w:ascii="宋体" w:hAnsi="宋体" w:eastAsia="宋体" w:cs="宋体"/>
          <w:b w:val="0"/>
          <w:color w:val="auto"/>
          <w:sz w:val="28"/>
          <w:szCs w:val="28"/>
          <w:highlight w:val="none"/>
        </w:rPr>
        <w:t>21. 不可抗力</w:t>
      </w:r>
      <w:bookmarkEnd w:id="277"/>
    </w:p>
    <w:p>
      <w:pPr>
        <w:pStyle w:val="3"/>
        <w:spacing w:before="240" w:after="240" w:line="360" w:lineRule="auto"/>
        <w:rPr>
          <w:rFonts w:hint="eastAsia" w:ascii="宋体" w:hAnsi="宋体" w:eastAsia="宋体" w:cs="宋体"/>
          <w:color w:val="auto"/>
          <w:highlight w:val="none"/>
        </w:rPr>
      </w:pPr>
      <w:bookmarkStart w:id="278" w:name="_Toc25024"/>
      <w:r>
        <w:rPr>
          <w:rFonts w:hint="eastAsia" w:ascii="宋体" w:hAnsi="宋体" w:eastAsia="宋体" w:cs="宋体"/>
          <w:b w:val="0"/>
          <w:color w:val="auto"/>
          <w:sz w:val="24"/>
          <w:szCs w:val="24"/>
          <w:highlight w:val="none"/>
        </w:rPr>
        <w:t>21.1 不可抗力的确认</w:t>
      </w:r>
      <w:bookmarkEnd w:id="278"/>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第21.1.1项细化为：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不可抗力是指承包人和发包人在订立合同时不可预见，在工程施工过程中不可避免发生并不能克服的自然灾害和社会性突发事件。包括但不限于：</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（1）地震、海啸、火山爆发、泥石流、暴雨（雪）、台风、龙卷风、水灾等自然灾害；</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（2）战争、骚乱、暴动，但纯属承包人或其分包人派遣与雇用的人员由于本合同工程施工原因引起者除外；</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（3）核反应、辐射或放射性污染；</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（4）空中飞行物体坠落或非发包人或承包人责任造成的爆炸、火灾；</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（5）瘟疫；</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（6）项目专用合同条款约定的其他情形。</w:t>
      </w:r>
    </w:p>
    <w:p>
      <w:pPr>
        <w:pStyle w:val="3"/>
        <w:spacing w:before="240" w:after="240" w:line="360" w:lineRule="auto"/>
        <w:rPr>
          <w:rFonts w:hint="eastAsia" w:ascii="宋体" w:hAnsi="宋体" w:eastAsia="宋体" w:cs="宋体"/>
          <w:color w:val="auto"/>
          <w:highlight w:val="none"/>
        </w:rPr>
      </w:pPr>
      <w:bookmarkStart w:id="279" w:name="_Toc5019"/>
      <w:r>
        <w:rPr>
          <w:rFonts w:hint="eastAsia" w:ascii="宋体" w:hAnsi="宋体" w:eastAsia="宋体" w:cs="宋体"/>
          <w:b w:val="0"/>
          <w:color w:val="auto"/>
          <w:sz w:val="24"/>
          <w:szCs w:val="24"/>
          <w:highlight w:val="none"/>
        </w:rPr>
        <w:t>21.3 不可抗力后果及其处理</w:t>
      </w:r>
      <w:bookmarkEnd w:id="279"/>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21.3.4 因不可抗力解除合同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本项细化为：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但由于解除合同应赔偿的承包人损失不予考虑。</w:t>
      </w:r>
    </w:p>
    <w:p>
      <w:pPr>
        <w:pStyle w:val="3"/>
        <w:spacing w:before="480" w:after="240" w:line="360" w:lineRule="auto"/>
        <w:rPr>
          <w:rFonts w:hint="eastAsia" w:ascii="宋体" w:hAnsi="宋体" w:eastAsia="宋体" w:cs="宋体"/>
          <w:color w:val="auto"/>
          <w:highlight w:val="none"/>
        </w:rPr>
      </w:pPr>
      <w:bookmarkStart w:id="280" w:name="_Toc529"/>
      <w:r>
        <w:rPr>
          <w:rFonts w:hint="eastAsia" w:ascii="宋体" w:hAnsi="宋体" w:eastAsia="宋体" w:cs="宋体"/>
          <w:b w:val="0"/>
          <w:color w:val="auto"/>
          <w:sz w:val="28"/>
          <w:szCs w:val="28"/>
          <w:highlight w:val="none"/>
        </w:rPr>
        <w:t>22. 违约</w:t>
      </w:r>
      <w:bookmarkEnd w:id="280"/>
    </w:p>
    <w:p>
      <w:pPr>
        <w:pStyle w:val="3"/>
        <w:spacing w:before="240" w:after="240" w:line="360" w:lineRule="auto"/>
        <w:rPr>
          <w:rFonts w:hint="eastAsia" w:ascii="宋体" w:hAnsi="宋体" w:eastAsia="宋体" w:cs="宋体"/>
          <w:color w:val="auto"/>
          <w:highlight w:val="none"/>
        </w:rPr>
      </w:pPr>
      <w:bookmarkStart w:id="281" w:name="_Toc13066"/>
      <w:r>
        <w:rPr>
          <w:rFonts w:hint="eastAsia" w:ascii="宋体" w:hAnsi="宋体" w:eastAsia="宋体" w:cs="宋体"/>
          <w:b w:val="0"/>
          <w:color w:val="auto"/>
          <w:sz w:val="24"/>
          <w:szCs w:val="24"/>
          <w:highlight w:val="none"/>
        </w:rPr>
        <w:t>22.1 承包人违约</w:t>
      </w:r>
      <w:bookmarkEnd w:id="281"/>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22.1.1 承包人违约的情形</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本项（2）目细化为：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（2）承包人违反第5.3款或第6.4款的约定，未经监理人批准，私自将已按合同约定进入施工场地的施工设备、临时设施、材料或工程设备撤离施工场地；</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本项（7）目细化为：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（7）承包人未能按期开工；</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（8）承包人违反第4.6款或第6.3款的规定，未按承诺或未按监理人的要求及时配备称职的主要管理人员、技术骨干或关键施工设备；</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（9）经监理人和发包人检查，发现承包人有安全问题或有违反安全管理规章制度的情况；</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（10）承包人不按合同约定履行义务的其他情况。</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22.1.2 对承包人违约的处理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本项补充：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承包人发生第22.1.1项约定的违约情况时，无论发包人是否解除合同，发包人均有权向承包人课以项目专用合同条款中规定的违约金，并由发包人将其违约行为上报省级交通运输主管部门，作为不良记录纳入公路建设市场信用信息管理系统。</w:t>
      </w:r>
    </w:p>
    <w:p>
      <w:pPr>
        <w:pStyle w:val="3"/>
        <w:spacing w:before="240" w:after="240" w:line="360" w:lineRule="auto"/>
        <w:rPr>
          <w:rFonts w:hint="eastAsia" w:ascii="宋体" w:hAnsi="宋体" w:eastAsia="宋体" w:cs="宋体"/>
          <w:color w:val="auto"/>
          <w:highlight w:val="none"/>
        </w:rPr>
      </w:pPr>
      <w:bookmarkStart w:id="282" w:name="_Toc20929"/>
      <w:r>
        <w:rPr>
          <w:rFonts w:hint="eastAsia" w:ascii="宋体" w:hAnsi="宋体" w:eastAsia="宋体" w:cs="宋体"/>
          <w:b w:val="0"/>
          <w:color w:val="auto"/>
          <w:sz w:val="24"/>
          <w:szCs w:val="24"/>
          <w:highlight w:val="none"/>
        </w:rPr>
        <w:t>22.2 发包人违约</w:t>
      </w:r>
      <w:bookmarkEnd w:id="282"/>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22.2.1发包人违约的情形</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本项（5）目细化为：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（5）发包人无正当理由不按时返还履约保证金、质量保证金或农民工工资保证金的；</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（6）发包人不履行合同约定其他义务的。</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22.2.2 承包人有权暂停施工</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本项细化为：</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发包人发生除第22.2.1（4）、（5）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发包人发生第22.2.1（5）目的违约情况时，承包人可向发包人发出通知，要求发包人采取有效措施纠正违约行为。发包人收到承包人通知后的28天内仍不返还履约保证金、质量保证金或农民工工资保证金的，发包人应按项目专用合同条款的约定向承包人支付逾期返还保证金的违约金。</w:t>
      </w:r>
    </w:p>
    <w:p>
      <w:pPr>
        <w:spacing w:line="360" w:lineRule="auto"/>
        <w:ind w:firstLine="470"/>
        <w:rPr>
          <w:rFonts w:hint="eastAsia" w:ascii="宋体" w:hAnsi="宋体" w:eastAsia="宋体" w:cs="宋体"/>
          <w:color w:val="auto"/>
          <w:highlight w:val="none"/>
        </w:rPr>
      </w:pPr>
      <w:r>
        <w:rPr>
          <w:rFonts w:hint="eastAsia" w:ascii="宋体" w:hAnsi="宋体" w:eastAsia="宋体" w:cs="宋体"/>
          <w:color w:val="auto"/>
          <w:sz w:val="24"/>
          <w:highlight w:val="none"/>
        </w:rPr>
        <w:t>22.2.4 解除合同后的付款</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本项（2）目细化为：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（2）承包人为该工程施工订购并已付款的材料、工程设备和其他物品的金额。发包人付款后，该材料、工程设备和其他物品归发包人所有；</w:t>
      </w:r>
    </w:p>
    <w:p>
      <w:pPr>
        <w:pStyle w:val="3"/>
        <w:spacing w:before="480" w:after="240" w:line="360" w:lineRule="auto"/>
        <w:rPr>
          <w:rFonts w:hint="eastAsia" w:ascii="宋体" w:hAnsi="宋体" w:eastAsia="宋体" w:cs="宋体"/>
          <w:color w:val="auto"/>
          <w:highlight w:val="none"/>
        </w:rPr>
      </w:pPr>
      <w:bookmarkStart w:id="283" w:name="_Toc11430"/>
      <w:r>
        <w:rPr>
          <w:rFonts w:hint="eastAsia" w:ascii="宋体" w:hAnsi="宋体" w:eastAsia="宋体" w:cs="宋体"/>
          <w:b w:val="0"/>
          <w:color w:val="auto"/>
          <w:sz w:val="28"/>
          <w:szCs w:val="28"/>
          <w:highlight w:val="none"/>
        </w:rPr>
        <w:t>23. 索赔</w:t>
      </w:r>
      <w:bookmarkEnd w:id="283"/>
    </w:p>
    <w:p>
      <w:pPr>
        <w:pStyle w:val="3"/>
        <w:spacing w:before="240" w:after="240" w:line="360" w:lineRule="auto"/>
        <w:rPr>
          <w:rFonts w:hint="eastAsia" w:ascii="宋体" w:hAnsi="宋体" w:eastAsia="宋体" w:cs="宋体"/>
          <w:color w:val="auto"/>
          <w:highlight w:val="none"/>
        </w:rPr>
      </w:pPr>
      <w:bookmarkStart w:id="284" w:name="_Toc21259"/>
      <w:r>
        <w:rPr>
          <w:rFonts w:hint="eastAsia" w:ascii="宋体" w:hAnsi="宋体" w:eastAsia="宋体" w:cs="宋体"/>
          <w:b w:val="0"/>
          <w:color w:val="auto"/>
          <w:sz w:val="24"/>
          <w:szCs w:val="24"/>
          <w:highlight w:val="none"/>
        </w:rPr>
        <w:t>23.1 承包人索赔的提出</w:t>
      </w:r>
      <w:bookmarkEnd w:id="284"/>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本款第（4）项细化为：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（4）在索赔事件影响结束后的28天内，承包人应向监理人递交最终索赔通知书，说明最终要求索赔的追加付款金额和（或）延长的工期，并附必要的记录和证明材料。</w:t>
      </w:r>
    </w:p>
    <w:p>
      <w:pPr>
        <w:pStyle w:val="3"/>
        <w:spacing w:before="240" w:after="240" w:line="360" w:lineRule="auto"/>
        <w:rPr>
          <w:rFonts w:hint="eastAsia" w:ascii="宋体" w:hAnsi="宋体" w:eastAsia="宋体" w:cs="宋体"/>
          <w:color w:val="auto"/>
          <w:highlight w:val="none"/>
        </w:rPr>
      </w:pPr>
      <w:bookmarkStart w:id="285" w:name="_Toc26128"/>
      <w:r>
        <w:rPr>
          <w:rFonts w:hint="eastAsia" w:ascii="宋体" w:hAnsi="宋体" w:eastAsia="宋体" w:cs="宋体"/>
          <w:b w:val="0"/>
          <w:color w:val="auto"/>
          <w:sz w:val="24"/>
          <w:szCs w:val="24"/>
          <w:highlight w:val="none"/>
        </w:rPr>
        <w:t>23.2 承包人索赔处理程序</w:t>
      </w:r>
      <w:bookmarkEnd w:id="285"/>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本款第（2）项细化为：</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监理人应按第3.5款商定或确定追加的付款和（或）延长的工期，并在收到上述索赔通知书或有关索赔的进一步证明材料后的42天内，将索赔处理结果报发包人批准后答复承包人。如果承包人提出的索赔要求未能遵守第23.1（2）~（4）项的规定，则承包人只限于索赔由监理人按当时记录予以核实的那部分款额和（或）工期延长天数。</w:t>
      </w:r>
    </w:p>
    <w:p>
      <w:pPr>
        <w:pStyle w:val="3"/>
        <w:spacing w:before="480" w:after="240" w:line="360" w:lineRule="auto"/>
        <w:rPr>
          <w:rFonts w:hint="eastAsia" w:ascii="宋体" w:hAnsi="宋体" w:eastAsia="宋体" w:cs="宋体"/>
          <w:color w:val="auto"/>
          <w:highlight w:val="none"/>
        </w:rPr>
      </w:pPr>
      <w:bookmarkStart w:id="286" w:name="_Toc22549"/>
      <w:r>
        <w:rPr>
          <w:rFonts w:hint="eastAsia" w:ascii="宋体" w:hAnsi="宋体" w:eastAsia="宋体" w:cs="宋体"/>
          <w:b w:val="0"/>
          <w:color w:val="auto"/>
          <w:sz w:val="28"/>
          <w:szCs w:val="28"/>
          <w:highlight w:val="none"/>
        </w:rPr>
        <w:t>24. 争议的解决</w:t>
      </w:r>
      <w:bookmarkEnd w:id="286"/>
    </w:p>
    <w:p>
      <w:pPr>
        <w:pStyle w:val="3"/>
        <w:spacing w:before="240" w:after="240" w:line="360" w:lineRule="auto"/>
        <w:rPr>
          <w:rFonts w:hint="eastAsia" w:ascii="宋体" w:hAnsi="宋体" w:eastAsia="宋体" w:cs="宋体"/>
          <w:color w:val="auto"/>
          <w:highlight w:val="none"/>
        </w:rPr>
      </w:pPr>
      <w:bookmarkStart w:id="287" w:name="_Toc1976"/>
      <w:r>
        <w:rPr>
          <w:rFonts w:hint="eastAsia" w:ascii="宋体" w:hAnsi="宋体" w:eastAsia="宋体" w:cs="宋体"/>
          <w:b w:val="0"/>
          <w:color w:val="auto"/>
          <w:sz w:val="24"/>
          <w:szCs w:val="24"/>
          <w:highlight w:val="none"/>
        </w:rPr>
        <w:t>24.3 争议评审</w:t>
      </w:r>
      <w:bookmarkEnd w:id="287"/>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第24.3.1项补充：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争议评审组由3人或5人组成，专家的聘请方法可由发包人和承包人共同协商确定，亦可请政府主管部门推荐或通过合同争议调解机构聘请，并经双方认同。争议评审组成员应与合同双方均无利害关系。争议评审组的各项费用由发包人和承包人平均分担。</w:t>
      </w:r>
    </w:p>
    <w:p>
      <w:pPr>
        <w:spacing w:before="312"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本条补充第24.4款、第24.5款（适用于采用仲裁方式最终解决争议的项目）：</w:t>
      </w:r>
    </w:p>
    <w:p>
      <w:pPr>
        <w:pStyle w:val="3"/>
        <w:spacing w:before="240" w:after="240" w:line="360" w:lineRule="auto"/>
        <w:rPr>
          <w:rFonts w:hint="eastAsia" w:ascii="宋体" w:hAnsi="宋体" w:eastAsia="宋体" w:cs="宋体"/>
          <w:color w:val="auto"/>
          <w:highlight w:val="none"/>
        </w:rPr>
      </w:pPr>
      <w:bookmarkStart w:id="288" w:name="_Toc4844"/>
      <w:r>
        <w:rPr>
          <w:rFonts w:hint="eastAsia" w:ascii="宋体" w:hAnsi="宋体" w:eastAsia="宋体" w:cs="宋体"/>
          <w:b w:val="0"/>
          <w:color w:val="auto"/>
          <w:sz w:val="24"/>
          <w:szCs w:val="24"/>
          <w:highlight w:val="none"/>
        </w:rPr>
        <w:t>24.4 仲裁</w:t>
      </w:r>
      <w:bookmarkEnd w:id="288"/>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（1）对于未能友好解决或未能通过争议评审解决的争议，发包人或承包人任一方均有权提交给第24.1款约定的仲裁委员会仲裁。</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仲裁可在交工之前或之后进行，但发包人、监理人和承包人各自的义务不得因在工程实施期间进行仲裁而有所改变。如果仲裁是在终止合同的情况下进行，则对合同工程应采取保护措施，措施费由败诉方承担。</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（3）仲裁裁决是终局性的并对发包人和承包人双方具有约束力。</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（4）全部仲裁费用应由败诉方承担；或按仲裁委员会裁决的比例分担。</w:t>
      </w:r>
    </w:p>
    <w:p>
      <w:pPr>
        <w:pStyle w:val="3"/>
        <w:spacing w:before="240" w:after="240" w:line="360" w:lineRule="auto"/>
        <w:rPr>
          <w:rFonts w:hint="eastAsia" w:ascii="宋体" w:hAnsi="宋体" w:eastAsia="宋体" w:cs="宋体"/>
          <w:color w:val="auto"/>
          <w:highlight w:val="none"/>
        </w:rPr>
      </w:pPr>
      <w:bookmarkStart w:id="289" w:name="_Toc24936"/>
      <w:r>
        <w:rPr>
          <w:rFonts w:hint="eastAsia" w:ascii="宋体" w:hAnsi="宋体" w:eastAsia="宋体" w:cs="宋体"/>
          <w:b w:val="0"/>
          <w:color w:val="auto"/>
          <w:sz w:val="24"/>
          <w:szCs w:val="24"/>
          <w:highlight w:val="none"/>
        </w:rPr>
        <w:t>24.5 仲裁的执行</w:t>
      </w:r>
      <w:bookmarkEnd w:id="289"/>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（1）任何一方不履行仲裁机构的裁决的，对方可以向有管辖权的人民法院申请执行。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2）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p>
      <w:pPr>
        <w:pStyle w:val="3"/>
        <w:pageBreakBefore/>
        <w:spacing w:before="240" w:after="240" w:line="360" w:lineRule="auto"/>
        <w:jc w:val="center"/>
        <w:rPr>
          <w:rFonts w:hint="eastAsia" w:ascii="宋体" w:hAnsi="宋体" w:eastAsia="宋体" w:cs="宋体"/>
          <w:color w:val="auto"/>
          <w:sz w:val="36"/>
          <w:szCs w:val="36"/>
          <w:highlight w:val="none"/>
        </w:rPr>
      </w:pPr>
      <w:bookmarkStart w:id="290" w:name="_Toc10840"/>
      <w:r>
        <w:rPr>
          <w:rFonts w:hint="eastAsia" w:ascii="宋体" w:hAnsi="宋体" w:eastAsia="宋体" w:cs="宋体"/>
          <w:color w:val="auto"/>
          <w:sz w:val="36"/>
          <w:szCs w:val="36"/>
          <w:highlight w:val="none"/>
        </w:rPr>
        <w:t>B. 项目专用合同条款</w:t>
      </w:r>
      <w:bookmarkEnd w:id="290"/>
    </w:p>
    <w:p>
      <w:pPr>
        <w:pStyle w:val="43"/>
        <w:spacing w:line="44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说  明：</w:t>
      </w:r>
    </w:p>
    <w:p>
      <w:pPr>
        <w:pStyle w:val="43"/>
        <w:spacing w:line="440" w:lineRule="exact"/>
        <w:ind w:firstLine="840"/>
        <w:rPr>
          <w:rFonts w:hint="eastAsia" w:ascii="宋体" w:hAnsi="宋体" w:eastAsia="宋体" w:cs="宋体"/>
          <w:color w:val="auto"/>
          <w:szCs w:val="28"/>
          <w:highlight w:val="none"/>
        </w:rPr>
      </w:pPr>
      <w:r>
        <w:rPr>
          <w:rFonts w:hint="eastAsia" w:ascii="宋体" w:hAnsi="宋体" w:eastAsia="宋体" w:cs="宋体"/>
          <w:color w:val="auto"/>
          <w:szCs w:val="28"/>
          <w:highlight w:val="none"/>
        </w:rPr>
        <w:t>1.招标人在根据《公路工程标准施工竞争性磋商文件》编制项目竞争性磋商文件中的“项目专用合同条款”时，可根据招标项目的具体特点和实际需要，对“通用合同条款”及“公路工程专用合同条款”进行补充和细化，除“通用合同条款”明确“专用合同条款”可作出不同约定以及“公路工程专用合同条款”明确“项目专用合同条款”可作出不同约定外，补充和细化的内容不得与“通用合同条款”及“公路工程专用合同条款”强制性规定相抵触。同时，补充、细化或约定的内容，不得违反法律、行政法规的强制性规定和平等、自愿、公平和诚实信用原则。</w:t>
      </w:r>
    </w:p>
    <w:p>
      <w:pPr>
        <w:pStyle w:val="43"/>
        <w:spacing w:line="440" w:lineRule="exact"/>
        <w:ind w:firstLine="840"/>
        <w:rPr>
          <w:rFonts w:hint="eastAsia" w:ascii="宋体" w:hAnsi="宋体" w:eastAsia="宋体" w:cs="宋体"/>
          <w:color w:val="auto"/>
          <w:szCs w:val="28"/>
          <w:highlight w:val="none"/>
        </w:rPr>
      </w:pPr>
      <w:r>
        <w:rPr>
          <w:rFonts w:hint="eastAsia" w:ascii="宋体" w:hAnsi="宋体" w:eastAsia="宋体" w:cs="宋体"/>
          <w:color w:val="auto"/>
          <w:szCs w:val="28"/>
          <w:highlight w:val="none"/>
        </w:rPr>
        <w:t>2.项目专用合同条款的编号应与通用合同条款和公路工程专用合同条款一致。</w:t>
      </w:r>
    </w:p>
    <w:p>
      <w:pPr>
        <w:pStyle w:val="43"/>
        <w:spacing w:line="440" w:lineRule="exact"/>
        <w:ind w:firstLine="840"/>
        <w:rPr>
          <w:rFonts w:hint="eastAsia" w:ascii="宋体" w:hAnsi="宋体" w:eastAsia="宋体" w:cs="宋体"/>
          <w:color w:val="auto"/>
          <w:szCs w:val="28"/>
          <w:highlight w:val="none"/>
        </w:rPr>
      </w:pPr>
      <w:r>
        <w:rPr>
          <w:rFonts w:hint="eastAsia" w:ascii="宋体" w:hAnsi="宋体" w:eastAsia="宋体" w:cs="宋体"/>
          <w:color w:val="auto"/>
          <w:szCs w:val="28"/>
          <w:highlight w:val="none"/>
        </w:rPr>
        <w:t>3.项目专用合同条款可对下列内容进行补充和细化：</w:t>
      </w:r>
    </w:p>
    <w:p>
      <w:pPr>
        <w:pStyle w:val="43"/>
        <w:spacing w:line="440" w:lineRule="exact"/>
        <w:ind w:firstLine="840"/>
        <w:rPr>
          <w:rFonts w:hint="eastAsia" w:ascii="宋体" w:hAnsi="宋体" w:eastAsia="宋体" w:cs="宋体"/>
          <w:color w:val="auto"/>
          <w:szCs w:val="28"/>
          <w:highlight w:val="none"/>
        </w:rPr>
      </w:pPr>
      <w:r>
        <w:rPr>
          <w:rFonts w:hint="eastAsia" w:ascii="宋体" w:hAnsi="宋体" w:eastAsia="宋体" w:cs="宋体"/>
          <w:color w:val="auto"/>
          <w:szCs w:val="28"/>
          <w:highlight w:val="none"/>
        </w:rPr>
        <w:t>（1）“通用合同条款”中明确指出“专用合同条款”可对“通用合同条款”进行修改的内容（在“通用合同条款”中用“应按合同约定”“应按专用合同条款约定”“除合同另有约定外”“除专用合同条款另有约定外”“在专用合同条款中约定”等多种文字形式表达）；</w:t>
      </w:r>
    </w:p>
    <w:p>
      <w:pPr>
        <w:pStyle w:val="43"/>
        <w:spacing w:line="440" w:lineRule="exact"/>
        <w:ind w:firstLine="840"/>
        <w:rPr>
          <w:rFonts w:hint="eastAsia" w:ascii="宋体" w:hAnsi="宋体" w:eastAsia="宋体" w:cs="宋体"/>
          <w:color w:val="auto"/>
          <w:szCs w:val="28"/>
          <w:highlight w:val="none"/>
        </w:rPr>
      </w:pPr>
      <w:r>
        <w:rPr>
          <w:rFonts w:hint="eastAsia" w:ascii="宋体" w:hAnsi="宋体" w:eastAsia="宋体" w:cs="宋体"/>
          <w:color w:val="auto"/>
          <w:szCs w:val="28"/>
          <w:highlight w:val="none"/>
        </w:rPr>
        <w:t>（2）“公路工程专用合同条款”中明确指出“项目专用合同条款”可对“公路工程专用合同条款”进行修改的内容（在“公路工程专用合同条款”中用“除项目专用合同条款另有约定外”“项目专用合同条款可能约定的”“项目专用合同条款约定的其他情形”等多种文字形式表达）。</w:t>
      </w:r>
    </w:p>
    <w:p>
      <w:pPr>
        <w:pStyle w:val="43"/>
        <w:spacing w:line="440" w:lineRule="exact"/>
        <w:ind w:firstLine="840"/>
        <w:rPr>
          <w:rFonts w:hint="eastAsia" w:ascii="宋体" w:hAnsi="宋体" w:eastAsia="宋体" w:cs="宋体"/>
          <w:color w:val="auto"/>
          <w:szCs w:val="28"/>
          <w:highlight w:val="none"/>
        </w:rPr>
      </w:pPr>
      <w:r>
        <w:rPr>
          <w:rFonts w:hint="eastAsia" w:ascii="宋体" w:hAnsi="宋体" w:eastAsia="宋体" w:cs="宋体"/>
          <w:color w:val="auto"/>
          <w:szCs w:val="28"/>
          <w:highlight w:val="none"/>
        </w:rPr>
        <w:t>（3）其他需要补充、细化的内容。</w:t>
      </w:r>
    </w:p>
    <w:p>
      <w:pPr>
        <w:pStyle w:val="3"/>
        <w:pageBreakBefore/>
        <w:spacing w:before="240" w:after="240" w:line="360" w:lineRule="auto"/>
        <w:jc w:val="center"/>
        <w:rPr>
          <w:rFonts w:hint="eastAsia" w:ascii="宋体" w:hAnsi="宋体" w:eastAsia="宋体" w:cs="宋体"/>
          <w:color w:val="auto"/>
          <w:sz w:val="36"/>
          <w:szCs w:val="36"/>
          <w:highlight w:val="none"/>
        </w:rPr>
      </w:pPr>
      <w:bookmarkStart w:id="291" w:name="_Toc25677"/>
      <w:r>
        <w:rPr>
          <w:rFonts w:hint="eastAsia" w:ascii="宋体" w:hAnsi="宋体" w:eastAsia="宋体" w:cs="宋体"/>
          <w:color w:val="auto"/>
          <w:sz w:val="36"/>
          <w:szCs w:val="36"/>
          <w:highlight w:val="none"/>
        </w:rPr>
        <w:t>项目专用合同条款数据表</w:t>
      </w:r>
      <w:bookmarkEnd w:id="291"/>
    </w:p>
    <w:p>
      <w:pPr>
        <w:pStyle w:val="43"/>
        <w:spacing w:line="400" w:lineRule="exact"/>
        <w:ind w:left="771" w:hanging="771"/>
        <w:rPr>
          <w:rFonts w:hint="eastAsia" w:ascii="宋体" w:hAnsi="宋体" w:eastAsia="宋体" w:cs="宋体"/>
          <w:color w:val="auto"/>
          <w:highlight w:val="none"/>
        </w:rPr>
      </w:pPr>
      <w:r>
        <w:rPr>
          <w:rFonts w:hint="eastAsia" w:ascii="宋体" w:hAnsi="宋体" w:eastAsia="宋体" w:cs="宋体"/>
          <w:color w:val="auto"/>
          <w:highlight w:val="none"/>
        </w:rPr>
        <w:t>说明：本数据表是项目专用合同条款中适用于本项目的信息和数据的归纳与提示，是项目专用合同条款的组成部分。第九章“响应文件格式”的投标函附录中的数据（供供应商确认）与本表所列有重复。编写竞争性磋商文件的单位应仔细校核，不使数据出现差错或不一致。</w:t>
      </w:r>
    </w:p>
    <w:tbl>
      <w:tblPr>
        <w:tblStyle w:val="18"/>
        <w:tblW w:w="0" w:type="auto"/>
        <w:tblInd w:w="-5" w:type="dxa"/>
        <w:tblLayout w:type="fixed"/>
        <w:tblCellMar>
          <w:top w:w="0" w:type="dxa"/>
          <w:left w:w="108" w:type="dxa"/>
          <w:bottom w:w="0" w:type="dxa"/>
          <w:right w:w="108" w:type="dxa"/>
        </w:tblCellMar>
      </w:tblPr>
      <w:tblGrid>
        <w:gridCol w:w="597"/>
        <w:gridCol w:w="1057"/>
        <w:gridCol w:w="6953"/>
      </w:tblGrid>
      <w:tr>
        <w:tblPrEx>
          <w:tblCellMar>
            <w:top w:w="0" w:type="dxa"/>
            <w:left w:w="108" w:type="dxa"/>
            <w:bottom w:w="0" w:type="dxa"/>
            <w:right w:w="108" w:type="dxa"/>
          </w:tblCellMar>
        </w:tblPrEx>
        <w:trPr>
          <w:tblHeader/>
        </w:trPr>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left="-105" w:right="-105"/>
              <w:jc w:val="center"/>
              <w:rPr>
                <w:rFonts w:hint="eastAsia" w:ascii="宋体" w:hAnsi="宋体" w:eastAsia="宋体" w:cs="宋体"/>
                <w:color w:val="auto"/>
                <w:highlight w:val="none"/>
              </w:rPr>
            </w:pPr>
            <w:r>
              <w:rPr>
                <w:rFonts w:hint="eastAsia" w:ascii="宋体" w:hAnsi="宋体" w:eastAsia="宋体" w:cs="宋体"/>
                <w:b/>
                <w:color w:val="auto"/>
                <w:sz w:val="24"/>
                <w:highlight w:val="none"/>
              </w:rPr>
              <w:t>序号</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left="-105" w:right="-105"/>
              <w:jc w:val="center"/>
              <w:rPr>
                <w:rFonts w:hint="eastAsia" w:ascii="宋体" w:hAnsi="宋体" w:eastAsia="宋体" w:cs="宋体"/>
                <w:color w:val="auto"/>
                <w:highlight w:val="none"/>
              </w:rPr>
            </w:pPr>
            <w:r>
              <w:rPr>
                <w:rFonts w:hint="eastAsia" w:ascii="宋体" w:hAnsi="宋体" w:eastAsia="宋体" w:cs="宋体"/>
                <w:b/>
                <w:color w:val="auto"/>
                <w:sz w:val="24"/>
                <w:highlight w:val="none"/>
              </w:rPr>
              <w:t>条目号</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b/>
                <w:color w:val="auto"/>
                <w:sz w:val="24"/>
                <w:highlight w:val="none"/>
              </w:rPr>
              <w:t>信息或数据</w:t>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1.1.2.2</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发 包 人：</w:t>
            </w:r>
            <w:r>
              <w:rPr>
                <w:rFonts w:hint="eastAsia" w:ascii="宋体" w:hAnsi="宋体" w:eastAsia="宋体" w:cs="宋体"/>
                <w:color w:val="auto"/>
                <w:kern w:val="0"/>
                <w:sz w:val="24"/>
                <w:highlight w:val="none"/>
              </w:rPr>
              <w:t>海南省公路管理局三亚公路局</w:t>
            </w:r>
          </w:p>
          <w:p>
            <w:pPr>
              <w:snapToGrid w:val="0"/>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 xml:space="preserve">地    址：海南省三亚市解放路456号        </w:t>
            </w:r>
          </w:p>
          <w:p>
            <w:pPr>
              <w:snapToGrid w:val="0"/>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 xml:space="preserve">邮政编码： </w:t>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2</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1.1.2.6</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 xml:space="preserve">监 理 人：由发包人书面通知承包人              </w:t>
            </w:r>
          </w:p>
          <w:p>
            <w:pPr>
              <w:snapToGrid w:val="0"/>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 xml:space="preserve">地    址：                   邮政编码： </w:t>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3</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1.1.4.5</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缺陷责任期：自实际交工日期起计算</w:t>
            </w:r>
            <w:r>
              <w:rPr>
                <w:rFonts w:hint="eastAsia" w:ascii="宋体" w:hAnsi="宋体" w:eastAsia="宋体" w:cs="宋体"/>
                <w:color w:val="auto"/>
                <w:sz w:val="24"/>
                <w:highlight w:val="none"/>
                <w:u w:val="single"/>
              </w:rPr>
              <w:t>6</w:t>
            </w:r>
            <w:r>
              <w:rPr>
                <w:rFonts w:hint="eastAsia" w:ascii="宋体" w:hAnsi="宋体" w:eastAsia="宋体" w:cs="宋体"/>
                <w:color w:val="auto"/>
                <w:sz w:val="24"/>
                <w:highlight w:val="none"/>
              </w:rPr>
              <w:t>个月</w:t>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4</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1.6.3</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图纸需要修改和补充的，应由监理人取得发包人同意后，在该工程或工程相应部位施工前</w:t>
            </w:r>
            <w:r>
              <w:rPr>
                <w:rFonts w:hint="eastAsia" w:ascii="宋体" w:hAnsi="宋体" w:eastAsia="宋体" w:cs="宋体"/>
                <w:color w:val="auto"/>
                <w:sz w:val="24"/>
                <w:highlight w:val="none"/>
                <w:u w:val="single"/>
              </w:rPr>
              <w:t>14</w:t>
            </w:r>
            <w:r>
              <w:rPr>
                <w:rFonts w:hint="eastAsia" w:ascii="宋体" w:hAnsi="宋体" w:eastAsia="宋体" w:cs="宋体"/>
                <w:color w:val="auto"/>
                <w:sz w:val="24"/>
                <w:highlight w:val="none"/>
              </w:rPr>
              <w:t>天签发图纸修改图给承包人</w:t>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5</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3.1.1</w:t>
            </w:r>
          </w:p>
        </w:tc>
        <w:tc>
          <w:tcPr>
            <w:tcW w:w="695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监理人在行使下列权力前需要经发包人事先批准：</w:t>
            </w:r>
          </w:p>
          <w:p>
            <w:pPr>
              <w:snapToGrid w:val="0"/>
              <w:spacing w:line="360" w:lineRule="auto"/>
              <w:ind w:firstLine="225"/>
              <w:rPr>
                <w:rFonts w:hint="eastAsia" w:ascii="宋体" w:hAnsi="宋体" w:eastAsia="宋体" w:cs="宋体"/>
                <w:color w:val="auto"/>
                <w:highlight w:val="none"/>
              </w:rPr>
            </w:pPr>
            <w:r>
              <w:rPr>
                <w:rFonts w:hint="eastAsia" w:ascii="宋体" w:hAnsi="宋体" w:eastAsia="宋体" w:cs="宋体"/>
                <w:color w:val="auto"/>
                <w:spacing w:val="-6"/>
                <w:sz w:val="24"/>
                <w:highlight w:val="none"/>
              </w:rPr>
              <w:t>（6）根据第15.3款发出的变更指示，其单项工程变更涉及的金额超过了该单项工程签约时合同价的</w:t>
            </w:r>
            <w:r>
              <w:rPr>
                <w:rFonts w:hint="eastAsia" w:ascii="宋体" w:hAnsi="宋体" w:eastAsia="宋体" w:cs="宋体"/>
                <w:color w:val="auto"/>
                <w:spacing w:val="-6"/>
                <w:sz w:val="24"/>
                <w:highlight w:val="none"/>
                <w:u w:val="single"/>
              </w:rPr>
              <w:t xml:space="preserve">  </w:t>
            </w:r>
            <w:r>
              <w:rPr>
                <w:rFonts w:hint="eastAsia" w:ascii="宋体" w:hAnsi="宋体" w:eastAsia="宋体" w:cs="宋体"/>
                <w:color w:val="auto"/>
                <w:spacing w:val="-6"/>
                <w:sz w:val="24"/>
                <w:highlight w:val="none"/>
              </w:rPr>
              <w:t>%或累计变更超过了签约合同价的</w:t>
            </w:r>
            <w:r>
              <w:rPr>
                <w:rFonts w:hint="eastAsia" w:ascii="宋体" w:hAnsi="宋体" w:eastAsia="宋体" w:cs="宋体"/>
                <w:color w:val="auto"/>
                <w:spacing w:val="-6"/>
                <w:sz w:val="24"/>
                <w:highlight w:val="none"/>
                <w:u w:val="single"/>
              </w:rPr>
              <w:t xml:space="preserve">  </w:t>
            </w:r>
            <w:r>
              <w:rPr>
                <w:rFonts w:hint="eastAsia" w:ascii="宋体" w:hAnsi="宋体" w:eastAsia="宋体" w:cs="宋体"/>
                <w:color w:val="auto"/>
                <w:spacing w:val="-6"/>
                <w:sz w:val="24"/>
                <w:highlight w:val="none"/>
              </w:rPr>
              <w:t>%</w:t>
            </w:r>
          </w:p>
        </w:tc>
      </w:tr>
      <w:tr>
        <w:tblPrEx>
          <w:tblCellMar>
            <w:top w:w="0" w:type="dxa"/>
            <w:left w:w="108" w:type="dxa"/>
            <w:bottom w:w="0" w:type="dxa"/>
            <w:right w:w="108" w:type="dxa"/>
          </w:tblCellMar>
        </w:tblPrEx>
        <w:trPr>
          <w:cantSplit/>
        </w:trPr>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6</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5.2.1</w:t>
            </w:r>
          </w:p>
        </w:tc>
        <w:tc>
          <w:tcPr>
            <w:tcW w:w="695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发包人是否提供材料或工程设备：</w:t>
            </w:r>
            <w:r>
              <w:rPr>
                <w:rFonts w:hint="eastAsia" w:ascii="宋体" w:hAnsi="宋体" w:eastAsia="宋体" w:cs="宋体"/>
                <w:color w:val="auto"/>
                <w:sz w:val="24"/>
                <w:highlight w:val="none"/>
                <w:u w:val="single"/>
              </w:rPr>
              <w:t xml:space="preserve">否  </w:t>
            </w:r>
          </w:p>
          <w:p>
            <w:pPr>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如发包人负责提供部分材料或工程设备，相关规定如下：</w:t>
            </w:r>
            <w:r>
              <w:rPr>
                <w:rFonts w:hint="eastAsia" w:ascii="宋体" w:hAnsi="宋体" w:eastAsia="宋体" w:cs="宋体"/>
                <w:color w:val="auto"/>
                <w:sz w:val="24"/>
                <w:highlight w:val="none"/>
                <w:u w:val="single"/>
              </w:rPr>
              <w:t xml:space="preserve">/ </w:t>
            </w:r>
          </w:p>
        </w:tc>
      </w:tr>
      <w:tr>
        <w:tblPrEx>
          <w:tblCellMar>
            <w:top w:w="0" w:type="dxa"/>
            <w:left w:w="108" w:type="dxa"/>
            <w:bottom w:w="0" w:type="dxa"/>
            <w:right w:w="108" w:type="dxa"/>
          </w:tblCellMar>
        </w:tblPrEx>
        <w:trPr>
          <w:cantSplit/>
        </w:trPr>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7</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6.2</w:t>
            </w:r>
          </w:p>
        </w:tc>
        <w:tc>
          <w:tcPr>
            <w:tcW w:w="695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发包人是否提供施工设备和临时设施：</w:t>
            </w:r>
            <w:r>
              <w:rPr>
                <w:rFonts w:hint="eastAsia" w:ascii="宋体" w:hAnsi="宋体" w:eastAsia="宋体" w:cs="宋体"/>
                <w:color w:val="auto"/>
                <w:sz w:val="24"/>
                <w:highlight w:val="none"/>
                <w:u w:val="single"/>
              </w:rPr>
              <w:t xml:space="preserve">否 </w:t>
            </w:r>
          </w:p>
          <w:p>
            <w:pPr>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如发包人负责提供部分施工设备和临时设施，相关规定如下：</w:t>
            </w:r>
            <w:r>
              <w:rPr>
                <w:rFonts w:hint="eastAsia" w:ascii="宋体" w:hAnsi="宋体" w:eastAsia="宋体" w:cs="宋体"/>
                <w:color w:val="auto"/>
                <w:sz w:val="24"/>
                <w:highlight w:val="none"/>
                <w:u w:val="single"/>
              </w:rPr>
              <w:t xml:space="preserve">/  </w:t>
            </w:r>
          </w:p>
        </w:tc>
      </w:tr>
      <w:tr>
        <w:tblPrEx>
          <w:tblCellMar>
            <w:top w:w="0" w:type="dxa"/>
            <w:left w:w="108" w:type="dxa"/>
            <w:bottom w:w="0" w:type="dxa"/>
            <w:right w:w="108" w:type="dxa"/>
          </w:tblCellMar>
        </w:tblPrEx>
        <w:trPr>
          <w:cantSplit/>
        </w:trPr>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8</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8.1.1</w:t>
            </w:r>
          </w:p>
        </w:tc>
        <w:tc>
          <w:tcPr>
            <w:tcW w:w="695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发包人提供测量基准点、基准线和水准点及其书面资料的期限：</w:t>
            </w:r>
            <w:r>
              <w:rPr>
                <w:rFonts w:hint="eastAsia" w:ascii="宋体" w:hAnsi="宋体" w:eastAsia="宋体" w:cs="宋体"/>
                <w:color w:val="auto"/>
                <w:sz w:val="24"/>
                <w:highlight w:val="none"/>
                <w:u w:val="single"/>
              </w:rPr>
              <w:t xml:space="preserve">开工前14天 </w:t>
            </w:r>
          </w:p>
          <w:p>
            <w:pPr>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承包人将施工控制网资料报送监理人审批的期限：</w:t>
            </w:r>
            <w:r>
              <w:rPr>
                <w:rFonts w:hint="eastAsia" w:ascii="宋体" w:hAnsi="宋体" w:eastAsia="宋体" w:cs="宋体"/>
                <w:color w:val="auto"/>
                <w:sz w:val="24"/>
                <w:highlight w:val="none"/>
                <w:u w:val="single"/>
              </w:rPr>
              <w:t>开工前7天</w:t>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9</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11.5（3）</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逾期交工违约金：</w:t>
            </w:r>
            <w:r>
              <w:rPr>
                <w:rFonts w:hint="eastAsia" w:ascii="宋体" w:hAnsi="宋体" w:eastAsia="宋体" w:cs="宋体"/>
                <w:color w:val="auto"/>
                <w:sz w:val="24"/>
                <w:highlight w:val="none"/>
                <w:u w:val="single"/>
              </w:rPr>
              <w:t>500</w:t>
            </w:r>
            <w:r>
              <w:rPr>
                <w:rFonts w:hint="eastAsia" w:ascii="宋体" w:hAnsi="宋体" w:eastAsia="宋体" w:cs="宋体"/>
                <w:color w:val="auto"/>
                <w:sz w:val="24"/>
                <w:highlight w:val="none"/>
              </w:rPr>
              <w:t>元/天</w:t>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10</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11.5（3）</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239"/>
              <w:rPr>
                <w:rFonts w:hint="eastAsia" w:ascii="宋体" w:hAnsi="宋体" w:eastAsia="宋体" w:cs="宋体"/>
                <w:color w:val="auto"/>
                <w:sz w:val="24"/>
                <w:highlight w:val="none"/>
              </w:rPr>
            </w:pPr>
            <w:r>
              <w:rPr>
                <w:rFonts w:hint="eastAsia" w:ascii="宋体" w:hAnsi="宋体" w:eastAsia="宋体" w:cs="宋体"/>
                <w:color w:val="auto"/>
                <w:sz w:val="24"/>
                <w:highlight w:val="none"/>
              </w:rPr>
              <w:t>逾期交工违约金限额：</w:t>
            </w:r>
            <w:r>
              <w:rPr>
                <w:rFonts w:hint="eastAsia" w:ascii="宋体" w:hAnsi="宋体" w:eastAsia="宋体" w:cs="宋体"/>
                <w:color w:val="auto"/>
                <w:sz w:val="24"/>
                <w:highlight w:val="none"/>
                <w:u w:val="single"/>
              </w:rPr>
              <w:t>5</w:t>
            </w:r>
            <w:r>
              <w:rPr>
                <w:rFonts w:hint="eastAsia" w:ascii="宋体" w:hAnsi="宋体" w:eastAsia="宋体" w:cs="宋体"/>
                <w:color w:val="auto"/>
                <w:sz w:val="24"/>
                <w:highlight w:val="none"/>
              </w:rPr>
              <w:t>%签约合同价</w:t>
            </w:r>
            <w:r>
              <w:rPr>
                <w:rStyle w:val="28"/>
                <w:rFonts w:hint="eastAsia" w:ascii="宋体" w:hAnsi="宋体" w:eastAsia="宋体" w:cs="宋体"/>
                <w:color w:val="auto"/>
                <w:sz w:val="24"/>
                <w:highlight w:val="none"/>
              </w:rPr>
              <w:footnoteReference w:id="1"/>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11</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11.6</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提前交工的奖金：</w:t>
            </w:r>
            <w:r>
              <w:rPr>
                <w:rFonts w:hint="eastAsia" w:ascii="宋体" w:hAnsi="宋体" w:eastAsia="宋体" w:cs="宋体"/>
                <w:color w:val="auto"/>
                <w:sz w:val="24"/>
                <w:highlight w:val="none"/>
                <w:u w:val="single"/>
              </w:rPr>
              <w:t>0</w:t>
            </w:r>
            <w:r>
              <w:rPr>
                <w:rFonts w:hint="eastAsia" w:ascii="宋体" w:hAnsi="宋体" w:eastAsia="宋体" w:cs="宋体"/>
                <w:color w:val="auto"/>
                <w:sz w:val="24"/>
                <w:highlight w:val="none"/>
              </w:rPr>
              <w:t>元/天</w:t>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12</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11.6</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提前交工的奖金限额：</w:t>
            </w:r>
            <w:r>
              <w:rPr>
                <w:rFonts w:hint="eastAsia" w:ascii="宋体" w:hAnsi="宋体" w:eastAsia="宋体" w:cs="宋体"/>
                <w:color w:val="auto"/>
                <w:sz w:val="24"/>
                <w:highlight w:val="none"/>
                <w:u w:val="single"/>
              </w:rPr>
              <w:t>0</w:t>
            </w:r>
            <w:r>
              <w:rPr>
                <w:rFonts w:hint="eastAsia" w:ascii="宋体" w:hAnsi="宋体" w:eastAsia="宋体" w:cs="宋体"/>
                <w:color w:val="auto"/>
                <w:sz w:val="24"/>
                <w:highlight w:val="none"/>
              </w:rPr>
              <w:t>%签约合同价</w:t>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13</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15.5.2</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承包人提出的合理化建议降低了合同价格或者提高了工程经济效益的，发包人按所节约成本的</w:t>
            </w:r>
            <w:r>
              <w:rPr>
                <w:rFonts w:hint="eastAsia" w:ascii="宋体" w:hAnsi="宋体" w:eastAsia="宋体" w:cs="宋体"/>
                <w:color w:val="auto"/>
                <w:sz w:val="24"/>
                <w:highlight w:val="none"/>
                <w:u w:val="single"/>
              </w:rPr>
              <w:t>0</w:t>
            </w:r>
            <w:r>
              <w:rPr>
                <w:rFonts w:hint="eastAsia" w:ascii="宋体" w:hAnsi="宋体" w:eastAsia="宋体" w:cs="宋体"/>
                <w:color w:val="auto"/>
                <w:sz w:val="24"/>
                <w:highlight w:val="none"/>
              </w:rPr>
              <w:t>%或增加收益的</w:t>
            </w:r>
            <w:r>
              <w:rPr>
                <w:rFonts w:hint="eastAsia" w:ascii="宋体" w:hAnsi="宋体" w:eastAsia="宋体" w:cs="宋体"/>
                <w:color w:val="auto"/>
                <w:sz w:val="24"/>
                <w:highlight w:val="none"/>
                <w:u w:val="single"/>
              </w:rPr>
              <w:t>0</w:t>
            </w:r>
            <w:r>
              <w:rPr>
                <w:rFonts w:hint="eastAsia" w:ascii="宋体" w:hAnsi="宋体" w:eastAsia="宋体" w:cs="宋体"/>
                <w:color w:val="auto"/>
                <w:sz w:val="24"/>
                <w:highlight w:val="none"/>
              </w:rPr>
              <w:t>%给予奖励</w:t>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14</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16.1</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364"/>
              <w:rPr>
                <w:rFonts w:hint="eastAsia" w:ascii="宋体" w:hAnsi="宋体" w:eastAsia="宋体" w:cs="宋体"/>
                <w:color w:val="auto"/>
                <w:highlight w:val="none"/>
              </w:rPr>
            </w:pPr>
            <w:r>
              <w:rPr>
                <w:rFonts w:hint="eastAsia" w:ascii="宋体" w:hAnsi="宋体" w:eastAsia="宋体" w:cs="宋体"/>
                <w:color w:val="auto"/>
                <w:sz w:val="24"/>
                <w:highlight w:val="none"/>
              </w:rPr>
              <w:t>□因物价波动引起的价格调整按照</w:t>
            </w:r>
            <w:r>
              <w:rPr>
                <w:rFonts w:hint="eastAsia" w:ascii="宋体" w:hAnsi="宋体" w:eastAsia="宋体" w:cs="宋体"/>
                <w:color w:val="auto"/>
                <w:sz w:val="24"/>
                <w:highlight w:val="none"/>
                <w:u w:val="single"/>
              </w:rPr>
              <w:t xml:space="preserve"> 第16.1.1项或第16.1.2项 </w:t>
            </w:r>
            <w:r>
              <w:rPr>
                <w:rFonts w:hint="eastAsia" w:ascii="宋体" w:hAnsi="宋体" w:eastAsia="宋体" w:cs="宋体"/>
                <w:color w:val="auto"/>
                <w:sz w:val="24"/>
                <w:highlight w:val="none"/>
              </w:rPr>
              <w:t>约定的原则处理</w:t>
            </w:r>
          </w:p>
          <w:p>
            <w:pPr>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若按第16.1.1项的约定采用价格调整公式进行调价，</w:t>
            </w:r>
            <w:r>
              <w:rPr>
                <w:rFonts w:hint="eastAsia" w:ascii="宋体" w:hAnsi="宋体" w:eastAsia="宋体" w:cs="宋体"/>
                <w:color w:val="auto"/>
                <w:sz w:val="24"/>
                <w:highlight w:val="none"/>
                <w:u w:val="single"/>
              </w:rPr>
              <w:t>每半年或一年</w:t>
            </w:r>
            <w:r>
              <w:rPr>
                <w:rFonts w:hint="eastAsia" w:ascii="宋体" w:hAnsi="宋体" w:eastAsia="宋体" w:cs="宋体"/>
                <w:color w:val="auto"/>
                <w:sz w:val="24"/>
                <w:highlight w:val="none"/>
              </w:rPr>
              <w:t>按价格调整公式进行一次调整</w:t>
            </w:r>
          </w:p>
          <w:p>
            <w:pPr>
              <w:pStyle w:val="12"/>
              <w:tabs>
                <w:tab w:val="clear" w:pos="4153"/>
                <w:tab w:val="clear" w:pos="8306"/>
              </w:tabs>
              <w:spacing w:line="360" w:lineRule="auto"/>
              <w:ind w:firstLine="364"/>
              <w:rPr>
                <w:rFonts w:hint="eastAsia" w:ascii="宋体" w:hAnsi="宋体" w:eastAsia="宋体" w:cs="宋体"/>
                <w:color w:val="auto"/>
                <w:highlight w:val="none"/>
              </w:rPr>
            </w:pPr>
            <w:r>
              <w:rPr>
                <w:rFonts w:hint="eastAsia" w:ascii="宋体" w:hAnsi="宋体" w:eastAsia="宋体" w:cs="宋体"/>
                <w:color w:val="auto"/>
                <w:sz w:val="24"/>
                <w:highlight w:val="none"/>
              </w:rPr>
              <w:t>√合同期内不调价</w:t>
            </w:r>
            <w:r>
              <w:rPr>
                <w:rStyle w:val="28"/>
                <w:rFonts w:hint="eastAsia" w:ascii="宋体" w:hAnsi="宋体" w:eastAsia="宋体" w:cs="宋体"/>
                <w:color w:val="auto"/>
                <w:sz w:val="24"/>
                <w:highlight w:val="none"/>
              </w:rPr>
              <w:footnoteReference w:id="2"/>
            </w:r>
            <w:r>
              <w:rPr>
                <w:rStyle w:val="28"/>
                <w:rFonts w:hint="eastAsia" w:ascii="宋体" w:hAnsi="宋体" w:eastAsia="宋体" w:cs="宋体"/>
                <w:color w:val="auto"/>
                <w:sz w:val="24"/>
                <w:highlight w:val="none"/>
              </w:rPr>
              <w:t xml:space="preserve"> </w:t>
            </w:r>
          </w:p>
          <w:p>
            <w:pPr>
              <w:pStyle w:val="12"/>
              <w:tabs>
                <w:tab w:val="clear" w:pos="4153"/>
                <w:tab w:val="clear" w:pos="8306"/>
              </w:tabs>
              <w:spacing w:line="360" w:lineRule="auto"/>
              <w:ind w:firstLine="344"/>
              <w:rPr>
                <w:rFonts w:hint="eastAsia" w:ascii="宋体" w:hAnsi="宋体" w:eastAsia="宋体" w:cs="宋体"/>
                <w:color w:val="auto"/>
                <w:highlight w:val="none"/>
              </w:rPr>
            </w:pPr>
            <w:r>
              <w:rPr>
                <w:rFonts w:hint="eastAsia" w:ascii="宋体" w:hAnsi="宋体" w:eastAsia="宋体" w:cs="宋体"/>
                <w:color w:val="auto"/>
                <w:sz w:val="24"/>
                <w:highlight w:val="none"/>
              </w:rPr>
              <w:t>按照海南省交通运输厅的《海南省交通运输厅关于印发海南省交通建设项目主要建筑材料价差调整指导性意见的通知》琼交[2011]645号和海南省公路管理局关于印发《海南省交通建设项目主要建筑材料价差周整指导性意见实施细则的通知》琼路管工 [2017]674号有关规定执行。</w:t>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15</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17.2.1（1）</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239"/>
              <w:rPr>
                <w:rFonts w:hint="eastAsia" w:ascii="宋体" w:hAnsi="宋体" w:eastAsia="宋体" w:cs="宋体"/>
                <w:color w:val="auto"/>
                <w:sz w:val="24"/>
                <w:highlight w:val="none"/>
              </w:rPr>
            </w:pPr>
            <w:r>
              <w:rPr>
                <w:rFonts w:hint="eastAsia" w:ascii="宋体" w:hAnsi="宋体" w:eastAsia="宋体" w:cs="宋体"/>
                <w:color w:val="auto"/>
                <w:sz w:val="24"/>
                <w:highlight w:val="none"/>
              </w:rPr>
              <w:t>开工预付款金额：</w:t>
            </w:r>
            <w:r>
              <w:rPr>
                <w:rFonts w:hint="eastAsia" w:ascii="宋体" w:hAnsi="宋体" w:eastAsia="宋体" w:cs="宋体"/>
                <w:color w:val="auto"/>
                <w:sz w:val="24"/>
                <w:highlight w:val="none"/>
                <w:u w:val="single"/>
              </w:rPr>
              <w:t>30</w:t>
            </w:r>
            <w:r>
              <w:rPr>
                <w:rFonts w:hint="eastAsia" w:ascii="宋体" w:hAnsi="宋体" w:eastAsia="宋体" w:cs="宋体"/>
                <w:color w:val="auto"/>
                <w:sz w:val="24"/>
                <w:highlight w:val="none"/>
              </w:rPr>
              <w:t>%签约合同价</w:t>
            </w:r>
            <w:r>
              <w:rPr>
                <w:rStyle w:val="28"/>
                <w:rFonts w:hint="eastAsia" w:ascii="宋体" w:hAnsi="宋体" w:eastAsia="宋体" w:cs="宋体"/>
                <w:color w:val="auto"/>
                <w:sz w:val="24"/>
                <w:highlight w:val="none"/>
              </w:rPr>
              <w:footnoteReference w:id="3"/>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16</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17.2.1（2）</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239"/>
              <w:rPr>
                <w:rFonts w:hint="eastAsia" w:ascii="宋体" w:hAnsi="宋体" w:eastAsia="宋体" w:cs="宋体"/>
                <w:color w:val="auto"/>
                <w:sz w:val="24"/>
                <w:highlight w:val="none"/>
              </w:rPr>
            </w:pPr>
            <w:r>
              <w:rPr>
                <w:rFonts w:hint="eastAsia" w:ascii="宋体" w:hAnsi="宋体" w:cs="宋体"/>
                <w:color w:val="auto"/>
                <w:sz w:val="24"/>
                <w:highlight w:val="none"/>
              </w:rPr>
              <w:t>材料、设备预付款比例：</w:t>
            </w:r>
            <w:r>
              <w:rPr>
                <w:rFonts w:hint="eastAsia" w:ascii="宋体" w:hAnsi="宋体" w:cs="宋体"/>
                <w:color w:val="auto"/>
                <w:sz w:val="24"/>
                <w:highlight w:val="none"/>
                <w:u w:val="single"/>
              </w:rPr>
              <w:t xml:space="preserve">波形护栏 </w:t>
            </w:r>
            <w:r>
              <w:rPr>
                <w:rFonts w:hint="eastAsia" w:ascii="宋体" w:hAnsi="宋体" w:cs="宋体"/>
                <w:color w:val="auto"/>
                <w:sz w:val="24"/>
                <w:highlight w:val="none"/>
              </w:rPr>
              <w:t>等主要材料、设备单据所列费用的</w:t>
            </w:r>
            <w:r>
              <w:rPr>
                <w:rFonts w:ascii="宋体" w:hAnsi="宋体" w:cs="宋体"/>
                <w:color w:val="auto"/>
                <w:sz w:val="24"/>
                <w:highlight w:val="none"/>
                <w:u w:val="single"/>
              </w:rPr>
              <w:t>60</w:t>
            </w:r>
            <w:r>
              <w:rPr>
                <w:rFonts w:hint="eastAsia" w:ascii="宋体" w:hAnsi="宋体" w:cs="宋体"/>
                <w:color w:val="auto"/>
                <w:sz w:val="24"/>
                <w:highlight w:val="none"/>
              </w:rPr>
              <w:t xml:space="preserve"> %</w:t>
            </w:r>
            <w:r>
              <w:rPr>
                <w:rStyle w:val="28"/>
                <w:rFonts w:hint="eastAsia" w:ascii="宋体" w:hAnsi="宋体" w:cs="宋体"/>
                <w:color w:val="auto"/>
                <w:sz w:val="24"/>
                <w:highlight w:val="none"/>
              </w:rPr>
              <w:t xml:space="preserve"> </w:t>
            </w:r>
            <w:r>
              <w:rPr>
                <w:rStyle w:val="28"/>
                <w:rFonts w:hint="eastAsia" w:ascii="宋体" w:hAnsi="宋体" w:cs="宋体"/>
                <w:color w:val="auto"/>
                <w:sz w:val="24"/>
                <w:highlight w:val="none"/>
              </w:rPr>
              <w:footnoteReference w:id="4"/>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17</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17.3.2</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234"/>
              <w:rPr>
                <w:rFonts w:hint="eastAsia" w:ascii="宋体" w:hAnsi="宋体" w:eastAsia="宋体" w:cs="宋体"/>
                <w:color w:val="auto"/>
                <w:highlight w:val="none"/>
              </w:rPr>
            </w:pPr>
            <w:r>
              <w:rPr>
                <w:rFonts w:hint="eastAsia" w:ascii="宋体" w:hAnsi="宋体" w:eastAsia="宋体" w:cs="宋体"/>
                <w:color w:val="auto"/>
                <w:spacing w:val="-2"/>
                <w:sz w:val="24"/>
                <w:highlight w:val="none"/>
              </w:rPr>
              <w:t>承包人在每个付款周期末向监理人提交进度付款申请单的份数：</w:t>
            </w:r>
            <w:r>
              <w:rPr>
                <w:rFonts w:hint="eastAsia" w:ascii="宋体" w:hAnsi="宋体" w:eastAsia="宋体" w:cs="宋体"/>
                <w:color w:val="auto"/>
                <w:spacing w:val="-2"/>
                <w:sz w:val="24"/>
                <w:highlight w:val="none"/>
                <w:u w:val="single"/>
              </w:rPr>
              <w:t>5</w:t>
            </w:r>
            <w:r>
              <w:rPr>
                <w:rFonts w:hint="eastAsia" w:ascii="宋体" w:hAnsi="宋体" w:eastAsia="宋体" w:cs="宋体"/>
                <w:color w:val="auto"/>
                <w:spacing w:val="-2"/>
                <w:sz w:val="24"/>
                <w:highlight w:val="none"/>
              </w:rPr>
              <w:t>份</w:t>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18</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17.3.3（1）</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239"/>
              <w:rPr>
                <w:rFonts w:hint="eastAsia" w:ascii="宋体" w:hAnsi="宋体" w:eastAsia="宋体" w:cs="宋体"/>
                <w:color w:val="auto"/>
                <w:sz w:val="24"/>
                <w:highlight w:val="none"/>
              </w:rPr>
            </w:pPr>
            <w:r>
              <w:rPr>
                <w:rFonts w:hint="eastAsia" w:ascii="宋体" w:hAnsi="宋体" w:eastAsia="宋体" w:cs="宋体"/>
                <w:color w:val="auto"/>
                <w:sz w:val="24"/>
                <w:highlight w:val="none"/>
              </w:rPr>
              <w:t>进度付款证书最低限额：</w:t>
            </w:r>
            <w:r>
              <w:rPr>
                <w:rFonts w:hint="eastAsia" w:ascii="宋体" w:hAnsi="宋体" w:eastAsia="宋体" w:cs="宋体"/>
                <w:color w:val="auto"/>
                <w:sz w:val="24"/>
                <w:highlight w:val="none"/>
                <w:u w:val="single"/>
              </w:rPr>
              <w:t xml:space="preserve"> 10</w:t>
            </w:r>
            <w:r>
              <w:rPr>
                <w:rFonts w:hint="eastAsia" w:ascii="宋体" w:hAnsi="宋体" w:eastAsia="宋体" w:cs="宋体"/>
                <w:color w:val="auto"/>
                <w:sz w:val="24"/>
                <w:highlight w:val="none"/>
              </w:rPr>
              <w:t>万元</w:t>
            </w:r>
            <w:r>
              <w:rPr>
                <w:rStyle w:val="28"/>
                <w:rFonts w:hint="eastAsia" w:ascii="宋体" w:hAnsi="宋体" w:eastAsia="宋体" w:cs="宋体"/>
                <w:color w:val="auto"/>
                <w:sz w:val="24"/>
                <w:highlight w:val="none"/>
              </w:rPr>
              <w:footnoteReference w:id="5"/>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19</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17.3.3（2）</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逾期付款违约金的利率：</w:t>
            </w:r>
            <w:r>
              <w:rPr>
                <w:rFonts w:hint="eastAsia" w:ascii="宋体" w:hAnsi="宋体" w:eastAsia="宋体" w:cs="宋体"/>
                <w:color w:val="auto"/>
                <w:sz w:val="24"/>
                <w:highlight w:val="none"/>
                <w:u w:val="single"/>
              </w:rPr>
              <w:t xml:space="preserve"> / </w:t>
            </w:r>
            <w:r>
              <w:rPr>
                <w:rFonts w:hint="eastAsia" w:ascii="宋体" w:hAnsi="宋体" w:eastAsia="宋体" w:cs="宋体"/>
                <w:color w:val="auto"/>
                <w:sz w:val="24"/>
                <w:highlight w:val="none"/>
              </w:rPr>
              <w:t>‰/天</w:t>
            </w:r>
            <w:r>
              <w:rPr>
                <w:rStyle w:val="28"/>
                <w:rFonts w:hint="eastAsia" w:ascii="宋体" w:hAnsi="宋体" w:eastAsia="宋体" w:cs="宋体"/>
                <w:color w:val="auto"/>
                <w:sz w:val="24"/>
                <w:highlight w:val="none"/>
              </w:rPr>
              <w:footnoteReference w:id="6"/>
            </w:r>
            <w:r>
              <w:rPr>
                <w:rFonts w:hint="eastAsia" w:ascii="宋体" w:hAnsi="宋体" w:eastAsia="宋体" w:cs="宋体"/>
                <w:color w:val="auto"/>
                <w:sz w:val="24"/>
                <w:highlight w:val="none"/>
              </w:rPr>
              <w:t>（相当于中国人民银行短期贷款利率加手续费。）</w:t>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20</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17.4.1</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ind w:firstLine="239"/>
              <w:rPr>
                <w:rFonts w:hint="eastAsia" w:ascii="宋体" w:hAnsi="宋体" w:eastAsia="宋体" w:cs="宋体"/>
                <w:color w:val="auto"/>
                <w:sz w:val="24"/>
                <w:highlight w:val="none"/>
              </w:rPr>
            </w:pPr>
            <w:r>
              <w:rPr>
                <w:rFonts w:hint="eastAsia" w:ascii="宋体" w:hAnsi="宋体" w:eastAsia="宋体" w:cs="宋体"/>
                <w:color w:val="auto"/>
                <w:sz w:val="24"/>
                <w:highlight w:val="none"/>
              </w:rPr>
              <w:t>质量保证金金额：</w:t>
            </w:r>
            <w:r>
              <w:rPr>
                <w:rFonts w:hint="eastAsia" w:ascii="宋体" w:hAnsi="宋体" w:eastAsia="宋体" w:cs="宋体"/>
                <w:color w:val="auto"/>
                <w:sz w:val="24"/>
                <w:highlight w:val="none"/>
                <w:u w:val="single"/>
              </w:rPr>
              <w:t>3</w:t>
            </w:r>
            <w:r>
              <w:rPr>
                <w:rFonts w:hint="eastAsia" w:ascii="宋体" w:hAnsi="宋体" w:eastAsia="宋体" w:cs="宋体"/>
                <w:color w:val="auto"/>
                <w:sz w:val="24"/>
                <w:highlight w:val="none"/>
              </w:rPr>
              <w:t>%合同价格</w:t>
            </w:r>
            <w:r>
              <w:rPr>
                <w:rStyle w:val="28"/>
                <w:rFonts w:hint="eastAsia" w:ascii="宋体" w:hAnsi="宋体" w:eastAsia="宋体" w:cs="宋体"/>
                <w:color w:val="auto"/>
                <w:sz w:val="24"/>
                <w:highlight w:val="none"/>
              </w:rPr>
              <w:footnoteReference w:id="7"/>
            </w:r>
            <w:r>
              <w:rPr>
                <w:rFonts w:hint="eastAsia" w:ascii="宋体" w:hAnsi="宋体" w:eastAsia="宋体" w:cs="宋体"/>
                <w:color w:val="auto"/>
                <w:sz w:val="24"/>
                <w:highlight w:val="none"/>
              </w:rPr>
              <w:t>，若交工验收时承包人具备被招标项目所在地省级交通运输主管部门评定的最高信用等级，发包人给予</w:t>
            </w:r>
            <w:r>
              <w:rPr>
                <w:rFonts w:hint="eastAsia" w:ascii="宋体" w:hAnsi="宋体" w:eastAsia="宋体" w:cs="宋体"/>
                <w:color w:val="auto"/>
                <w:sz w:val="24"/>
                <w:highlight w:val="none"/>
                <w:u w:val="single"/>
              </w:rPr>
              <w:t xml:space="preserve"> /  </w:t>
            </w:r>
            <w:r>
              <w:rPr>
                <w:rFonts w:hint="eastAsia" w:ascii="宋体" w:hAnsi="宋体" w:eastAsia="宋体" w:cs="宋体"/>
                <w:color w:val="auto"/>
                <w:sz w:val="24"/>
                <w:highlight w:val="none"/>
              </w:rPr>
              <w:t>%合同价格质量保证金的优惠。</w:t>
            </w:r>
            <w:r>
              <w:rPr>
                <w:rStyle w:val="28"/>
                <w:rFonts w:hint="eastAsia" w:ascii="宋体" w:hAnsi="宋体" w:eastAsia="宋体" w:cs="宋体"/>
                <w:color w:val="auto"/>
                <w:sz w:val="24"/>
                <w:highlight w:val="none"/>
              </w:rPr>
              <w:footnoteReference w:id="8"/>
            </w:r>
          </w:p>
          <w:p>
            <w:pPr>
              <w:snapToGrid w:val="0"/>
              <w:spacing w:line="340" w:lineRule="exact"/>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质量保证金是否</w:t>
            </w:r>
            <w:r>
              <w:rPr>
                <w:rFonts w:hint="eastAsia" w:ascii="宋体" w:hAnsi="宋体" w:eastAsia="宋体" w:cs="宋体"/>
                <w:color w:val="auto"/>
                <w:kern w:val="0"/>
                <w:sz w:val="24"/>
                <w:highlight w:val="none"/>
              </w:rPr>
              <w:t xml:space="preserve">计付利息：   </w:t>
            </w:r>
          </w:p>
          <w:p>
            <w:pPr>
              <w:snapToGrid w:val="0"/>
              <w:spacing w:line="340" w:lineRule="exact"/>
              <w:ind w:firstLine="364"/>
              <w:rPr>
                <w:rFonts w:hint="eastAsia" w:ascii="宋体" w:hAnsi="宋体" w:eastAsia="宋体" w:cs="宋体"/>
                <w:color w:val="auto"/>
                <w:highlight w:val="none"/>
              </w:rPr>
            </w:pPr>
            <w:r>
              <w:rPr>
                <w:rFonts w:hint="eastAsia" w:ascii="宋体" w:hAnsi="宋体" w:eastAsia="宋体" w:cs="宋体"/>
                <w:color w:val="auto"/>
                <w:sz w:val="24"/>
                <w:highlight w:val="none"/>
              </w:rPr>
              <w:t>□是，</w:t>
            </w:r>
            <w:r>
              <w:rPr>
                <w:rFonts w:hint="eastAsia" w:ascii="宋体" w:hAnsi="宋体" w:eastAsia="宋体" w:cs="宋体"/>
                <w:color w:val="auto"/>
                <w:kern w:val="0"/>
                <w:sz w:val="24"/>
                <w:highlight w:val="none"/>
              </w:rPr>
              <w:t>利息的计算方式：</w:t>
            </w:r>
            <w:r>
              <w:rPr>
                <w:rFonts w:hint="eastAsia" w:ascii="宋体" w:hAnsi="宋体" w:eastAsia="宋体" w:cs="宋体"/>
                <w:color w:val="auto"/>
                <w:kern w:val="0"/>
                <w:sz w:val="24"/>
                <w:highlight w:val="none"/>
                <w:u w:val="single"/>
              </w:rPr>
              <w:t xml:space="preserve">              </w:t>
            </w:r>
          </w:p>
          <w:p>
            <w:pPr>
              <w:snapToGrid w:val="0"/>
              <w:spacing w:line="340" w:lineRule="exact"/>
              <w:ind w:firstLine="364"/>
              <w:rPr>
                <w:rFonts w:hint="eastAsia" w:ascii="宋体" w:hAnsi="宋体" w:eastAsia="宋体" w:cs="宋体"/>
                <w:color w:val="auto"/>
                <w:highlight w:val="none"/>
              </w:rPr>
            </w:pPr>
            <w:r>
              <w:rPr>
                <w:rFonts w:hint="eastAsia" w:ascii="宋体" w:hAnsi="宋体" w:eastAsia="宋体" w:cs="宋体"/>
                <w:color w:val="auto"/>
                <w:sz w:val="24"/>
                <w:highlight w:val="none"/>
              </w:rPr>
              <w:t>□否</w:t>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21</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17.5.1（1）</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承包人向监理人提交交工付款申请单（包括相关证明材料）的份数：</w:t>
            </w:r>
            <w:r>
              <w:rPr>
                <w:rFonts w:hint="eastAsia" w:ascii="宋体" w:hAnsi="宋体" w:eastAsia="宋体" w:cs="宋体"/>
                <w:color w:val="auto"/>
                <w:sz w:val="24"/>
                <w:highlight w:val="none"/>
                <w:u w:val="single"/>
              </w:rPr>
              <w:t>5</w:t>
            </w:r>
            <w:r>
              <w:rPr>
                <w:rFonts w:hint="eastAsia" w:ascii="宋体" w:hAnsi="宋体" w:eastAsia="宋体" w:cs="宋体"/>
                <w:color w:val="auto"/>
                <w:sz w:val="24"/>
                <w:highlight w:val="none"/>
              </w:rPr>
              <w:t>份</w:t>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22</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17.6.1（1）</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承包人向监理人提交最终结清申请单（包括相关证明材料）的份数：</w:t>
            </w:r>
            <w:r>
              <w:rPr>
                <w:rFonts w:hint="eastAsia" w:ascii="宋体" w:hAnsi="宋体" w:eastAsia="宋体" w:cs="宋体"/>
                <w:color w:val="auto"/>
                <w:sz w:val="24"/>
                <w:highlight w:val="none"/>
                <w:u w:val="single"/>
              </w:rPr>
              <w:t>3</w:t>
            </w:r>
            <w:r>
              <w:rPr>
                <w:rFonts w:hint="eastAsia" w:ascii="宋体" w:hAnsi="宋体" w:eastAsia="宋体" w:cs="宋体"/>
                <w:color w:val="auto"/>
                <w:sz w:val="24"/>
                <w:highlight w:val="none"/>
              </w:rPr>
              <w:t>份</w:t>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23</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18.2（2）</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239"/>
              <w:rPr>
                <w:rFonts w:hint="eastAsia" w:ascii="宋体" w:hAnsi="宋体" w:eastAsia="宋体" w:cs="宋体"/>
                <w:color w:val="auto"/>
                <w:sz w:val="24"/>
                <w:highlight w:val="none"/>
              </w:rPr>
            </w:pPr>
            <w:r>
              <w:rPr>
                <w:rFonts w:hint="eastAsia" w:ascii="宋体" w:hAnsi="宋体" w:eastAsia="宋体" w:cs="宋体"/>
                <w:color w:val="auto"/>
                <w:sz w:val="24"/>
                <w:highlight w:val="none"/>
              </w:rPr>
              <w:t>竣工资料的份数：</w:t>
            </w:r>
            <w:r>
              <w:rPr>
                <w:rFonts w:hint="eastAsia" w:ascii="宋体" w:hAnsi="宋体" w:eastAsia="宋体" w:cs="宋体"/>
                <w:color w:val="auto"/>
                <w:sz w:val="24"/>
                <w:highlight w:val="none"/>
                <w:u w:val="single"/>
              </w:rPr>
              <w:t>3</w:t>
            </w:r>
            <w:r>
              <w:rPr>
                <w:rFonts w:hint="eastAsia" w:ascii="宋体" w:hAnsi="宋体" w:eastAsia="宋体" w:cs="宋体"/>
                <w:color w:val="auto"/>
                <w:sz w:val="24"/>
                <w:highlight w:val="none"/>
              </w:rPr>
              <w:t>份, 其中纸质版</w:t>
            </w:r>
            <w:r>
              <w:rPr>
                <w:rFonts w:hint="eastAsia" w:ascii="宋体" w:hAnsi="宋体" w:eastAsia="宋体" w:cs="宋体"/>
                <w:color w:val="auto"/>
                <w:sz w:val="24"/>
                <w:highlight w:val="none"/>
                <w:u w:val="single"/>
              </w:rPr>
              <w:t>2</w:t>
            </w:r>
            <w:r>
              <w:rPr>
                <w:rFonts w:hint="eastAsia" w:ascii="宋体" w:hAnsi="宋体" w:eastAsia="宋体" w:cs="宋体"/>
                <w:color w:val="auto"/>
                <w:sz w:val="24"/>
                <w:highlight w:val="none"/>
              </w:rPr>
              <w:t>份（一正一副），签字盖章后的PDF扫描件</w:t>
            </w:r>
            <w:r>
              <w:rPr>
                <w:rFonts w:hint="eastAsia" w:ascii="宋体" w:hAnsi="宋体" w:eastAsia="宋体" w:cs="宋体"/>
                <w:color w:val="auto"/>
                <w:sz w:val="24"/>
                <w:highlight w:val="none"/>
                <w:u w:val="single"/>
              </w:rPr>
              <w:t>1</w:t>
            </w:r>
            <w:r>
              <w:rPr>
                <w:rFonts w:hint="eastAsia" w:ascii="宋体" w:hAnsi="宋体" w:eastAsia="宋体" w:cs="宋体"/>
                <w:color w:val="auto"/>
                <w:sz w:val="24"/>
                <w:highlight w:val="none"/>
              </w:rPr>
              <w:t>份。</w:t>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24</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18.5.1</w:t>
            </w:r>
          </w:p>
        </w:tc>
        <w:tc>
          <w:tcPr>
            <w:tcW w:w="695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单位工程或工程设备是否需投入施工期运行：</w:t>
            </w:r>
            <w:r>
              <w:rPr>
                <w:rFonts w:hint="eastAsia" w:ascii="宋体" w:hAnsi="宋体" w:eastAsia="宋体" w:cs="宋体"/>
                <w:color w:val="auto"/>
                <w:sz w:val="24"/>
                <w:highlight w:val="none"/>
                <w:u w:val="single"/>
              </w:rPr>
              <w:t xml:space="preserve">否 </w:t>
            </w:r>
          </w:p>
          <w:p>
            <w:pPr>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如单位工程或工程设备需要进行施工期运行，需要施工期运行的单位工程或工程设备规定如下：</w:t>
            </w:r>
            <w:r>
              <w:rPr>
                <w:rFonts w:hint="eastAsia" w:ascii="宋体" w:hAnsi="宋体" w:eastAsia="宋体" w:cs="宋体"/>
                <w:color w:val="auto"/>
                <w:sz w:val="24"/>
                <w:highlight w:val="none"/>
                <w:u w:val="single"/>
              </w:rPr>
              <w:t>/</w:t>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25</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18.6.1</w:t>
            </w:r>
          </w:p>
        </w:tc>
        <w:tc>
          <w:tcPr>
            <w:tcW w:w="6953" w:type="dxa"/>
            <w:tcBorders>
              <w:top w:val="single" w:color="000000" w:sz="4" w:space="0"/>
              <w:left w:val="single" w:color="000000" w:sz="4" w:space="0"/>
              <w:bottom w:val="single" w:color="000000" w:sz="4" w:space="0"/>
              <w:right w:val="single" w:color="000000" w:sz="4" w:space="0"/>
            </w:tcBorders>
            <w:vAlign w:val="center"/>
          </w:tcPr>
          <w:p>
            <w:pPr>
              <w:spacing w:line="360" w:lineRule="exact"/>
              <w:ind w:firstLine="238"/>
              <w:rPr>
                <w:rFonts w:hint="eastAsia" w:ascii="宋体" w:hAnsi="宋体" w:eastAsia="宋体" w:cs="宋体"/>
                <w:color w:val="auto"/>
                <w:highlight w:val="none"/>
              </w:rPr>
            </w:pPr>
            <w:r>
              <w:rPr>
                <w:rFonts w:hint="eastAsia" w:ascii="宋体" w:hAnsi="宋体" w:eastAsia="宋体" w:cs="宋体"/>
                <w:color w:val="auto"/>
                <w:sz w:val="24"/>
                <w:highlight w:val="none"/>
              </w:rPr>
              <w:t>本工程及工程设备是否进行试运行：</w:t>
            </w:r>
            <w:r>
              <w:rPr>
                <w:rFonts w:hint="eastAsia" w:ascii="宋体" w:hAnsi="宋体" w:eastAsia="宋体" w:cs="宋体"/>
                <w:color w:val="auto"/>
                <w:sz w:val="24"/>
                <w:highlight w:val="none"/>
                <w:u w:val="single"/>
              </w:rPr>
              <w:t xml:space="preserve">否 </w:t>
            </w:r>
          </w:p>
          <w:p>
            <w:pPr>
              <w:spacing w:line="360" w:lineRule="exact"/>
              <w:ind w:firstLine="238"/>
              <w:rPr>
                <w:rFonts w:hint="eastAsia" w:ascii="宋体" w:hAnsi="宋体" w:eastAsia="宋体" w:cs="宋体"/>
                <w:color w:val="auto"/>
                <w:highlight w:val="none"/>
              </w:rPr>
            </w:pPr>
            <w:r>
              <w:rPr>
                <w:rFonts w:hint="eastAsia" w:ascii="宋体" w:hAnsi="宋体" w:eastAsia="宋体" w:cs="宋体"/>
                <w:color w:val="auto"/>
                <w:sz w:val="24"/>
                <w:highlight w:val="none"/>
              </w:rPr>
              <w:t>如本工程及工程设备需要进行试运行，试运行的具体规定如下：</w:t>
            </w:r>
            <w:r>
              <w:rPr>
                <w:rFonts w:hint="eastAsia" w:ascii="宋体" w:hAnsi="宋体" w:eastAsia="宋体" w:cs="宋体"/>
                <w:color w:val="auto"/>
                <w:sz w:val="24"/>
                <w:highlight w:val="none"/>
                <w:u w:val="single"/>
              </w:rPr>
              <w:t xml:space="preserve">/  </w:t>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26</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19.7（1）</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239"/>
              <w:rPr>
                <w:rFonts w:hint="eastAsia" w:ascii="宋体" w:hAnsi="宋体" w:eastAsia="宋体" w:cs="宋体"/>
                <w:color w:val="auto"/>
                <w:sz w:val="24"/>
                <w:highlight w:val="none"/>
              </w:rPr>
            </w:pPr>
            <w:r>
              <w:rPr>
                <w:rFonts w:hint="eastAsia" w:ascii="宋体" w:hAnsi="宋体" w:eastAsia="宋体" w:cs="宋体"/>
                <w:color w:val="auto"/>
                <w:sz w:val="24"/>
                <w:highlight w:val="none"/>
              </w:rPr>
              <w:t>保修期：自实际交工日期起计算</w:t>
            </w:r>
            <w:r>
              <w:rPr>
                <w:rFonts w:hint="eastAsia" w:ascii="宋体" w:hAnsi="宋体" w:eastAsia="宋体" w:cs="宋体"/>
                <w:color w:val="auto"/>
                <w:sz w:val="24"/>
                <w:highlight w:val="none"/>
                <w:u w:val="single"/>
              </w:rPr>
              <w:t xml:space="preserve">5 </w:t>
            </w:r>
            <w:r>
              <w:rPr>
                <w:rFonts w:hint="eastAsia" w:ascii="宋体" w:hAnsi="宋体" w:eastAsia="宋体" w:cs="宋体"/>
                <w:color w:val="auto"/>
                <w:sz w:val="24"/>
                <w:highlight w:val="none"/>
              </w:rPr>
              <w:t>年</w:t>
            </w:r>
            <w:r>
              <w:rPr>
                <w:rStyle w:val="28"/>
                <w:rFonts w:hint="eastAsia" w:ascii="宋体" w:hAnsi="宋体" w:eastAsia="宋体" w:cs="宋体"/>
                <w:color w:val="auto"/>
                <w:sz w:val="24"/>
                <w:highlight w:val="none"/>
              </w:rPr>
              <w:footnoteReference w:id="9"/>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27</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20.1</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239"/>
              <w:rPr>
                <w:rFonts w:hint="eastAsia" w:ascii="宋体" w:hAnsi="宋体" w:eastAsia="宋体" w:cs="宋体"/>
                <w:color w:val="auto"/>
                <w:highlight w:val="none"/>
              </w:rPr>
            </w:pPr>
            <w:r>
              <w:rPr>
                <w:rFonts w:hint="eastAsia" w:ascii="宋体" w:hAnsi="宋体" w:eastAsia="宋体" w:cs="宋体"/>
                <w:color w:val="auto"/>
                <w:sz w:val="24"/>
                <w:highlight w:val="none"/>
              </w:rPr>
              <w:t>建筑工程一切险的保险费率：</w:t>
            </w:r>
            <w:r>
              <w:rPr>
                <w:rFonts w:hint="eastAsia" w:ascii="宋体" w:hAnsi="宋体" w:eastAsia="宋体" w:cs="宋体"/>
                <w:color w:val="auto"/>
                <w:sz w:val="24"/>
                <w:highlight w:val="none"/>
                <w:u w:val="single"/>
              </w:rPr>
              <w:t xml:space="preserve">2.5 </w:t>
            </w:r>
            <w:r>
              <w:rPr>
                <w:rFonts w:hint="eastAsia" w:ascii="宋体" w:hAnsi="宋体" w:eastAsia="宋体" w:cs="宋体"/>
                <w:color w:val="auto"/>
                <w:sz w:val="24"/>
                <w:highlight w:val="none"/>
              </w:rPr>
              <w:t>‰</w:t>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28</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20.4.2</w:t>
            </w:r>
          </w:p>
        </w:tc>
        <w:tc>
          <w:tcPr>
            <w:tcW w:w="69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237"/>
              <w:rPr>
                <w:rFonts w:hint="eastAsia" w:ascii="宋体" w:hAnsi="宋体" w:eastAsia="宋体" w:cs="宋体"/>
                <w:color w:val="auto"/>
                <w:highlight w:val="none"/>
              </w:rPr>
            </w:pPr>
            <w:r>
              <w:rPr>
                <w:rFonts w:hint="eastAsia" w:ascii="宋体" w:hAnsi="宋体" w:eastAsia="宋体" w:cs="宋体"/>
                <w:color w:val="auto"/>
                <w:sz w:val="24"/>
                <w:highlight w:val="none"/>
              </w:rPr>
              <w:t>第三者责任险的最低投保金额：</w:t>
            </w:r>
            <w:r>
              <w:rPr>
                <w:rFonts w:hint="eastAsia" w:ascii="宋体" w:hAnsi="宋体" w:eastAsia="宋体" w:cs="宋体"/>
                <w:color w:val="auto"/>
                <w:sz w:val="24"/>
                <w:highlight w:val="none"/>
                <w:u w:val="single"/>
              </w:rPr>
              <w:t>100</w:t>
            </w:r>
            <w:r>
              <w:rPr>
                <w:rFonts w:hint="eastAsia" w:ascii="宋体" w:hAnsi="宋体" w:eastAsia="宋体" w:cs="宋体"/>
                <w:color w:val="auto"/>
                <w:sz w:val="24"/>
                <w:highlight w:val="none"/>
              </w:rPr>
              <w:t>万元，事故次数不限（不计免赔额）保险费率：</w:t>
            </w:r>
            <w:r>
              <w:rPr>
                <w:rFonts w:hint="eastAsia" w:ascii="宋体" w:hAnsi="宋体" w:eastAsia="宋体" w:cs="宋体"/>
                <w:color w:val="auto"/>
                <w:sz w:val="24"/>
                <w:highlight w:val="none"/>
                <w:u w:val="single"/>
              </w:rPr>
              <w:t xml:space="preserve">2.5 </w:t>
            </w:r>
            <w:r>
              <w:rPr>
                <w:rFonts w:hint="eastAsia" w:ascii="宋体" w:hAnsi="宋体" w:eastAsia="宋体" w:cs="宋体"/>
                <w:color w:val="auto"/>
                <w:sz w:val="24"/>
                <w:highlight w:val="none"/>
              </w:rPr>
              <w:t>‰</w:t>
            </w:r>
          </w:p>
        </w:tc>
      </w:tr>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29</w:t>
            </w:r>
          </w:p>
        </w:tc>
        <w:tc>
          <w:tcPr>
            <w:tcW w:w="105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24.1</w:t>
            </w:r>
          </w:p>
        </w:tc>
        <w:tc>
          <w:tcPr>
            <w:tcW w:w="6953"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7" w:firstLine="237"/>
              <w:rPr>
                <w:rFonts w:hint="eastAsia" w:ascii="宋体" w:hAnsi="宋体" w:eastAsia="宋体" w:cs="宋体"/>
                <w:color w:val="auto"/>
                <w:highlight w:val="none"/>
              </w:rPr>
            </w:pPr>
            <w:r>
              <w:rPr>
                <w:rFonts w:hint="eastAsia" w:ascii="宋体" w:hAnsi="宋体" w:eastAsia="宋体" w:cs="宋体"/>
                <w:color w:val="auto"/>
                <w:sz w:val="24"/>
                <w:highlight w:val="none"/>
              </w:rPr>
              <w:t>争议的最终解决方式：</w:t>
            </w:r>
            <w:r>
              <w:rPr>
                <w:rFonts w:hint="eastAsia" w:ascii="宋体" w:hAnsi="宋体" w:eastAsia="宋体" w:cs="宋体"/>
                <w:color w:val="auto"/>
                <w:sz w:val="24"/>
                <w:highlight w:val="none"/>
                <w:u w:val="single"/>
              </w:rPr>
              <w:t xml:space="preserve">  诉讼  </w:t>
            </w:r>
          </w:p>
          <w:p>
            <w:pPr>
              <w:pStyle w:val="12"/>
              <w:tabs>
                <w:tab w:val="clear" w:pos="4153"/>
                <w:tab w:val="clear" w:pos="8306"/>
              </w:tabs>
              <w:spacing w:line="360" w:lineRule="auto"/>
              <w:ind w:firstLine="237"/>
              <w:rPr>
                <w:rFonts w:hint="eastAsia" w:ascii="宋体" w:hAnsi="宋体" w:eastAsia="宋体" w:cs="宋体"/>
                <w:color w:val="auto"/>
                <w:highlight w:val="none"/>
              </w:rPr>
            </w:pPr>
            <w:r>
              <w:rPr>
                <w:rFonts w:hint="eastAsia" w:ascii="宋体" w:hAnsi="宋体" w:eastAsia="宋体" w:cs="宋体"/>
                <w:color w:val="auto"/>
                <w:sz w:val="24"/>
                <w:highlight w:val="none"/>
              </w:rPr>
              <w:t>在合同签订地的人民法院提起诉讼。</w:t>
            </w:r>
          </w:p>
        </w:tc>
      </w:tr>
    </w:tbl>
    <w:p>
      <w:pPr>
        <w:spacing w:line="360" w:lineRule="auto"/>
        <w:jc w:val="left"/>
        <w:rPr>
          <w:rFonts w:hint="eastAsia" w:ascii="宋体" w:hAnsi="宋体" w:eastAsia="宋体" w:cs="宋体"/>
          <w:color w:val="auto"/>
          <w:sz w:val="20"/>
          <w:szCs w:val="20"/>
          <w:highlight w:val="none"/>
        </w:rPr>
      </w:pPr>
    </w:p>
    <w:p>
      <w:pPr>
        <w:pStyle w:val="3"/>
        <w:pageBreakBefore/>
        <w:spacing w:before="240" w:after="240" w:line="360" w:lineRule="auto"/>
        <w:jc w:val="center"/>
        <w:rPr>
          <w:rFonts w:hint="eastAsia" w:ascii="宋体" w:hAnsi="宋体" w:eastAsia="宋体" w:cs="宋体"/>
          <w:color w:val="auto"/>
          <w:sz w:val="36"/>
          <w:szCs w:val="36"/>
          <w:highlight w:val="none"/>
        </w:rPr>
      </w:pPr>
      <w:bookmarkStart w:id="292" w:name="_Toc8784"/>
      <w:r>
        <w:rPr>
          <w:rFonts w:hint="eastAsia" w:ascii="宋体" w:hAnsi="宋体" w:eastAsia="宋体" w:cs="宋体"/>
          <w:color w:val="auto"/>
          <w:sz w:val="36"/>
          <w:szCs w:val="36"/>
          <w:highlight w:val="none"/>
        </w:rPr>
        <w:t>项目专用合同条款</w:t>
      </w:r>
      <w:bookmarkEnd w:id="292"/>
    </w:p>
    <w:p>
      <w:pPr>
        <w:spacing w:line="360" w:lineRule="auto"/>
        <w:rPr>
          <w:rFonts w:hint="eastAsia" w:ascii="宋体" w:hAnsi="宋体" w:eastAsia="宋体" w:cs="宋体"/>
          <w:b/>
          <w:color w:val="auto"/>
          <w:szCs w:val="32"/>
          <w:highlight w:val="none"/>
        </w:rPr>
      </w:pPr>
    </w:p>
    <w:p>
      <w:pPr>
        <w:pStyle w:val="43"/>
        <w:ind w:left="770" w:hanging="770"/>
        <w:rPr>
          <w:rFonts w:hint="eastAsia" w:ascii="宋体" w:hAnsi="宋体" w:eastAsia="宋体" w:cs="宋体"/>
          <w:color w:val="auto"/>
          <w:sz w:val="24"/>
          <w:highlight w:val="none"/>
        </w:rPr>
      </w:pPr>
      <w:r>
        <w:rPr>
          <w:rFonts w:hint="eastAsia" w:ascii="宋体" w:hAnsi="宋体" w:eastAsia="宋体" w:cs="宋体"/>
          <w:color w:val="auto"/>
          <w:sz w:val="24"/>
          <w:highlight w:val="none"/>
        </w:rPr>
        <w:t>说明：本部分所列的项目专用合同条款是对“公路工程专用合同条款”中规定必须在项目专用合同条款中明确的内容的集中，招标人编制的“项目专用合同条款”不限于本部分所列内容。</w:t>
      </w:r>
    </w:p>
    <w:p>
      <w:pPr>
        <w:spacing w:line="360" w:lineRule="auto"/>
        <w:ind w:firstLine="560"/>
        <w:rPr>
          <w:rFonts w:hint="eastAsia" w:ascii="宋体" w:hAnsi="宋体" w:eastAsia="宋体" w:cs="宋体"/>
          <w:color w:val="auto"/>
          <w:sz w:val="24"/>
          <w:highlight w:val="none"/>
        </w:rPr>
      </w:pPr>
      <w:r>
        <w:rPr>
          <w:rFonts w:hint="eastAsia" w:ascii="宋体" w:hAnsi="宋体" w:eastAsia="宋体" w:cs="宋体"/>
          <w:bCs/>
          <w:color w:val="auto"/>
          <w:sz w:val="24"/>
          <w:highlight w:val="none"/>
        </w:rPr>
        <w:t>词语定义</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1.1.4 日期</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1.1.4.3合同履行期限：</w:t>
      </w:r>
      <w:r>
        <w:rPr>
          <w:rFonts w:hint="eastAsia" w:ascii="宋体" w:hAnsi="宋体" w:eastAsia="宋体" w:cs="宋体"/>
          <w:color w:val="auto"/>
          <w:sz w:val="24"/>
          <w:highlight w:val="none"/>
          <w:lang w:eastAsia="zh-CN"/>
        </w:rPr>
        <w:t>720日历天，其中施工期180日历天，交工准备期180日历天，缺陷责任期360日历天</w:t>
      </w:r>
      <w:r>
        <w:rPr>
          <w:rFonts w:hint="eastAsia" w:ascii="宋体" w:hAnsi="宋体" w:eastAsia="宋体" w:cs="宋体"/>
          <w:color w:val="auto"/>
          <w:sz w:val="24"/>
          <w:highlight w:val="none"/>
        </w:rPr>
        <w:t>。</w:t>
      </w:r>
    </w:p>
    <w:p>
      <w:pPr>
        <w:tabs>
          <w:tab w:val="left" w:pos="0"/>
        </w:tabs>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如果出现以下情况：</w:t>
      </w:r>
    </w:p>
    <w:p>
      <w:pPr>
        <w:spacing w:line="360" w:lineRule="auto"/>
        <w:ind w:left="-315" w:firstLine="720"/>
        <w:rPr>
          <w:rFonts w:hint="eastAsia" w:ascii="宋体" w:hAnsi="宋体" w:eastAsia="宋体" w:cs="宋体"/>
          <w:color w:val="auto"/>
          <w:sz w:val="24"/>
          <w:highlight w:val="none"/>
        </w:rPr>
      </w:pPr>
      <w:r>
        <w:rPr>
          <w:rFonts w:hint="eastAsia" w:ascii="宋体" w:hAnsi="宋体" w:eastAsia="宋体" w:cs="宋体"/>
          <w:color w:val="auto"/>
          <w:sz w:val="24"/>
          <w:highlight w:val="none"/>
        </w:rPr>
        <w:t>（1）额外的工程量变化；</w:t>
      </w:r>
    </w:p>
    <w:p>
      <w:pPr>
        <w:spacing w:line="360" w:lineRule="auto"/>
        <w:ind w:left="-315" w:firstLine="720"/>
        <w:rPr>
          <w:rFonts w:hint="eastAsia" w:ascii="宋体" w:hAnsi="宋体" w:eastAsia="宋体" w:cs="宋体"/>
          <w:color w:val="auto"/>
          <w:sz w:val="24"/>
          <w:highlight w:val="none"/>
        </w:rPr>
      </w:pPr>
      <w:r>
        <w:rPr>
          <w:rFonts w:hint="eastAsia" w:ascii="宋体" w:hAnsi="宋体" w:eastAsia="宋体" w:cs="宋体"/>
          <w:color w:val="auto"/>
          <w:sz w:val="24"/>
          <w:highlight w:val="none"/>
        </w:rPr>
        <w:t>（2）异常恶劣的气候条件；</w:t>
      </w:r>
    </w:p>
    <w:p>
      <w:pPr>
        <w:spacing w:line="360" w:lineRule="auto"/>
        <w:ind w:left="-315" w:firstLine="720"/>
        <w:rPr>
          <w:rFonts w:hint="eastAsia" w:ascii="宋体" w:hAnsi="宋体" w:eastAsia="宋体" w:cs="宋体"/>
          <w:color w:val="auto"/>
          <w:sz w:val="24"/>
          <w:highlight w:val="none"/>
        </w:rPr>
      </w:pPr>
      <w:r>
        <w:rPr>
          <w:rFonts w:hint="eastAsia" w:ascii="宋体" w:hAnsi="宋体" w:eastAsia="宋体" w:cs="宋体"/>
          <w:color w:val="auto"/>
          <w:sz w:val="24"/>
          <w:highlight w:val="none"/>
        </w:rPr>
        <w:t>（3）发包人责任造成的延误；</w:t>
      </w:r>
    </w:p>
    <w:p>
      <w:pPr>
        <w:spacing w:line="360" w:lineRule="auto"/>
        <w:ind w:left="-315" w:firstLine="720"/>
        <w:rPr>
          <w:rFonts w:hint="eastAsia" w:ascii="宋体" w:hAnsi="宋体" w:eastAsia="宋体" w:cs="宋体"/>
          <w:color w:val="auto"/>
          <w:sz w:val="24"/>
          <w:highlight w:val="none"/>
        </w:rPr>
      </w:pPr>
      <w:r>
        <w:rPr>
          <w:rFonts w:hint="eastAsia" w:ascii="宋体" w:hAnsi="宋体" w:eastAsia="宋体" w:cs="宋体"/>
          <w:color w:val="auto"/>
          <w:sz w:val="24"/>
          <w:highlight w:val="none"/>
        </w:rPr>
        <w:t>（4）其他人力不可预见的特殊原因。</w:t>
      </w:r>
    </w:p>
    <w:p>
      <w:pPr>
        <w:spacing w:line="360" w:lineRule="auto"/>
        <w:ind w:left="-315" w:firstLine="720"/>
        <w:rPr>
          <w:rFonts w:hint="eastAsia" w:ascii="宋体" w:hAnsi="宋体" w:eastAsia="宋体" w:cs="宋体"/>
          <w:color w:val="auto"/>
          <w:sz w:val="24"/>
          <w:highlight w:val="none"/>
        </w:rPr>
      </w:pPr>
      <w:r>
        <w:rPr>
          <w:rFonts w:hint="eastAsia" w:ascii="宋体" w:hAnsi="宋体" w:eastAsia="宋体" w:cs="宋体"/>
          <w:color w:val="auto"/>
          <w:sz w:val="24"/>
          <w:highlight w:val="none"/>
        </w:rPr>
        <w:t>如有上述情况，承包人应书面申请，报发包人批准后， 发包人以书面形式认可工期顺延。</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 xml:space="preserve">  4.1 承包人的一般义务</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 xml:space="preserve">  4.1.10 其他义务：(4)承包人应履行的其他义务：同公路工程专用合同条款</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4.2履约保证金</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补充条款：</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1、履约担保金额为合同价</w:t>
      </w:r>
      <w:r>
        <w:rPr>
          <w:rFonts w:hint="eastAsia" w:ascii="宋体" w:hAnsi="宋体" w:eastAsia="宋体" w:cs="宋体"/>
          <w:color w:val="auto"/>
          <w:sz w:val="24"/>
          <w:highlight w:val="none"/>
          <w:u w:val="single"/>
        </w:rPr>
        <w:t xml:space="preserve">5 </w:t>
      </w:r>
      <w:r>
        <w:rPr>
          <w:rFonts w:hint="eastAsia" w:ascii="宋体" w:hAnsi="宋体" w:eastAsia="宋体" w:cs="宋体"/>
          <w:color w:val="auto"/>
          <w:sz w:val="24"/>
          <w:highlight w:val="none"/>
        </w:rPr>
        <w:t>%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2、担保有效期自发包人与承包人签订的合同生效之日起至发包人签发竣工验收证书之日止。</w:t>
      </w:r>
    </w:p>
    <w:p>
      <w:pPr>
        <w:spacing w:line="360" w:lineRule="auto"/>
        <w:ind w:left="360" w:hanging="360"/>
        <w:rPr>
          <w:rFonts w:hint="eastAsia" w:ascii="宋体" w:hAnsi="宋体" w:eastAsia="宋体" w:cs="宋体"/>
          <w:color w:val="auto"/>
          <w:sz w:val="24"/>
          <w:highlight w:val="none"/>
        </w:rPr>
      </w:pPr>
      <w:r>
        <w:rPr>
          <w:rFonts w:hint="eastAsia" w:ascii="宋体" w:hAnsi="宋体" w:eastAsia="宋体" w:cs="宋体"/>
          <w:bCs/>
          <w:color w:val="auto"/>
          <w:sz w:val="24"/>
          <w:highlight w:val="none"/>
        </w:rPr>
        <w:t>4.9 补充条款：</w:t>
      </w:r>
      <w:r>
        <w:rPr>
          <w:rFonts w:hint="eastAsia" w:ascii="宋体" w:hAnsi="宋体" w:eastAsia="宋体" w:cs="宋体"/>
          <w:color w:val="auto"/>
          <w:sz w:val="24"/>
          <w:highlight w:val="none"/>
        </w:rPr>
        <w:t>承包人应加强合同允许的劳务合作的管理，必须依照《海南省全</w:t>
      </w:r>
    </w:p>
    <w:p>
      <w:pPr>
        <w:spacing w:line="360" w:lineRule="auto"/>
        <w:ind w:left="360" w:hanging="360"/>
        <w:rPr>
          <w:rFonts w:hint="eastAsia" w:ascii="宋体" w:hAnsi="宋体" w:eastAsia="宋体" w:cs="宋体"/>
          <w:color w:val="auto"/>
          <w:sz w:val="24"/>
          <w:highlight w:val="none"/>
        </w:rPr>
      </w:pPr>
      <w:r>
        <w:rPr>
          <w:rFonts w:hint="eastAsia" w:ascii="宋体" w:hAnsi="宋体" w:eastAsia="宋体" w:cs="宋体"/>
          <w:color w:val="auto"/>
          <w:sz w:val="24"/>
          <w:highlight w:val="none"/>
        </w:rPr>
        <w:t>面治理拖欠农民工工资问题的实施意见》（琼府办〔2016〕238 号）及其配套性</w:t>
      </w:r>
    </w:p>
    <w:p>
      <w:pPr>
        <w:spacing w:line="360" w:lineRule="auto"/>
        <w:ind w:left="360" w:hanging="360"/>
        <w:rPr>
          <w:rFonts w:hint="eastAsia" w:ascii="宋体" w:hAnsi="宋体" w:eastAsia="宋体" w:cs="宋体"/>
          <w:color w:val="auto"/>
          <w:sz w:val="24"/>
          <w:highlight w:val="none"/>
        </w:rPr>
      </w:pPr>
      <w:r>
        <w:rPr>
          <w:rFonts w:hint="eastAsia" w:ascii="宋体" w:hAnsi="宋体" w:eastAsia="宋体" w:cs="宋体"/>
          <w:color w:val="auto"/>
          <w:sz w:val="24"/>
          <w:highlight w:val="none"/>
        </w:rPr>
        <w:t>文件的有关于要求， 贯彻落实农民工工资保证金及农民工工资支付等相关工作，</w:t>
      </w:r>
    </w:p>
    <w:p>
      <w:pPr>
        <w:spacing w:line="360" w:lineRule="auto"/>
        <w:ind w:left="360" w:hanging="360"/>
        <w:rPr>
          <w:rFonts w:hint="eastAsia" w:ascii="宋体" w:hAnsi="宋体" w:eastAsia="宋体" w:cs="宋体"/>
          <w:color w:val="auto"/>
          <w:sz w:val="24"/>
          <w:highlight w:val="none"/>
        </w:rPr>
      </w:pPr>
      <w:r>
        <w:rPr>
          <w:rFonts w:hint="eastAsia" w:ascii="宋体" w:hAnsi="宋体" w:eastAsia="宋体" w:cs="宋体"/>
          <w:color w:val="auto"/>
          <w:sz w:val="24"/>
          <w:highlight w:val="none"/>
        </w:rPr>
        <w:t>包括但不限于以下内容：</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设立工资保证金帐户。农民工农民工工资保证金帐户必须在省级劳动保障行</w:t>
      </w:r>
    </w:p>
    <w:p>
      <w:pPr>
        <w:spacing w:line="360" w:lineRule="auto"/>
        <w:ind w:left="360" w:hanging="360"/>
        <w:rPr>
          <w:rFonts w:hint="eastAsia" w:ascii="宋体" w:hAnsi="宋体" w:eastAsia="宋体" w:cs="宋体"/>
          <w:color w:val="auto"/>
          <w:sz w:val="24"/>
          <w:highlight w:val="none"/>
        </w:rPr>
      </w:pPr>
      <w:r>
        <w:rPr>
          <w:rFonts w:hint="eastAsia" w:ascii="宋体" w:hAnsi="宋体" w:eastAsia="宋体" w:cs="宋体"/>
          <w:color w:val="auto"/>
          <w:sz w:val="24"/>
          <w:highlight w:val="none"/>
        </w:rPr>
        <w:t>政部门规定的银行的设立；承包人必须在</w:t>
      </w:r>
      <w:r>
        <w:rPr>
          <w:rFonts w:hint="eastAsia" w:ascii="宋体" w:hAnsi="宋体" w:eastAsia="宋体" w:cs="宋体"/>
          <w:color w:val="auto"/>
          <w:sz w:val="24"/>
          <w:highlight w:val="none"/>
          <w:u w:val="single"/>
        </w:rPr>
        <w:t>合同签订1个月内</w:t>
      </w:r>
      <w:r>
        <w:rPr>
          <w:rFonts w:hint="eastAsia" w:ascii="宋体" w:hAnsi="宋体" w:eastAsia="宋体" w:cs="宋体"/>
          <w:color w:val="auto"/>
          <w:sz w:val="24"/>
          <w:highlight w:val="none"/>
        </w:rPr>
        <w:t>或</w:t>
      </w:r>
      <w:r>
        <w:rPr>
          <w:rFonts w:hint="eastAsia" w:ascii="宋体" w:hAnsi="宋体" w:eastAsia="宋体" w:cs="宋体"/>
          <w:color w:val="auto"/>
          <w:sz w:val="24"/>
          <w:highlight w:val="none"/>
          <w:u w:val="single"/>
        </w:rPr>
        <w:t>工程开工前</w:t>
      </w:r>
      <w:r>
        <w:rPr>
          <w:rFonts w:hint="eastAsia" w:ascii="宋体" w:hAnsi="宋体" w:eastAsia="宋体" w:cs="宋体"/>
          <w:color w:val="auto"/>
          <w:sz w:val="24"/>
          <w:highlight w:val="none"/>
        </w:rPr>
        <w:t>按工程</w:t>
      </w:r>
    </w:p>
    <w:p>
      <w:pPr>
        <w:spacing w:line="360" w:lineRule="auto"/>
        <w:ind w:left="360" w:hanging="36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中标价</w:t>
      </w:r>
      <w:r>
        <w:rPr>
          <w:rFonts w:hint="eastAsia" w:ascii="宋体" w:hAnsi="宋体" w:eastAsia="宋体" w:cs="宋体"/>
          <w:color w:val="auto"/>
          <w:sz w:val="24"/>
          <w:highlight w:val="none"/>
          <w:u w:val="single"/>
        </w:rPr>
        <w:t xml:space="preserve"> </w:t>
      </w:r>
      <w:r>
        <w:rPr>
          <w:rFonts w:hint="eastAsia" w:ascii="宋体" w:hAnsi="宋体" w:eastAsia="宋体" w:cs="宋体"/>
          <w:b/>
          <w:color w:val="auto"/>
          <w:sz w:val="24"/>
          <w:highlight w:val="none"/>
          <w:u w:val="single"/>
        </w:rPr>
        <w:t>2.5%</w:t>
      </w:r>
      <w:r>
        <w:rPr>
          <w:rFonts w:hint="eastAsia" w:ascii="宋体" w:hAnsi="宋体" w:eastAsia="宋体" w:cs="宋体"/>
          <w:color w:val="auto"/>
          <w:sz w:val="24"/>
          <w:highlight w:val="none"/>
        </w:rPr>
        <w:t>向属地劳动保障监察机构指定的帐户存入农民工工资保证金。</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承包人在签订正式合同后，须按规定及时将农民工工资保证金足额存入属地</w:t>
      </w:r>
    </w:p>
    <w:p>
      <w:pPr>
        <w:spacing w:line="360" w:lineRule="auto"/>
        <w:ind w:left="360" w:hanging="360"/>
        <w:rPr>
          <w:rFonts w:hint="eastAsia" w:ascii="宋体" w:hAnsi="宋体" w:eastAsia="宋体" w:cs="宋体"/>
          <w:color w:val="auto"/>
          <w:sz w:val="24"/>
          <w:highlight w:val="none"/>
        </w:rPr>
      </w:pPr>
      <w:r>
        <w:rPr>
          <w:rFonts w:hint="eastAsia" w:ascii="宋体" w:hAnsi="宋体" w:eastAsia="宋体" w:cs="宋体"/>
          <w:color w:val="auto"/>
          <w:sz w:val="24"/>
          <w:highlight w:val="none"/>
        </w:rPr>
        <w:t>劳动保障监察机构指定的帐户。在缴纳保证金时,各单位需在银行凭证上注明工</w:t>
      </w:r>
    </w:p>
    <w:p>
      <w:pPr>
        <w:spacing w:line="360" w:lineRule="auto"/>
        <w:ind w:left="360" w:hanging="360"/>
        <w:rPr>
          <w:rFonts w:hint="eastAsia" w:ascii="宋体" w:hAnsi="宋体" w:eastAsia="宋体" w:cs="宋体"/>
          <w:color w:val="auto"/>
          <w:sz w:val="24"/>
          <w:highlight w:val="none"/>
        </w:rPr>
      </w:pPr>
      <w:r>
        <w:rPr>
          <w:rFonts w:hint="eastAsia" w:ascii="宋体" w:hAnsi="宋体" w:eastAsia="宋体" w:cs="宋体"/>
          <w:color w:val="auto"/>
          <w:sz w:val="24"/>
          <w:highlight w:val="none"/>
        </w:rPr>
        <w:t>程名称和缴纳单位名称。</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承包人须持银行出具的缴纳农民工工资保证金凭证、施工合同、营业执照(副</w:t>
      </w:r>
    </w:p>
    <w:p>
      <w:pPr>
        <w:spacing w:line="360" w:lineRule="auto"/>
        <w:ind w:left="360" w:hanging="360"/>
        <w:rPr>
          <w:rFonts w:hint="eastAsia" w:ascii="宋体" w:hAnsi="宋体" w:eastAsia="宋体" w:cs="宋体"/>
          <w:color w:val="auto"/>
          <w:sz w:val="24"/>
          <w:highlight w:val="none"/>
        </w:rPr>
      </w:pPr>
      <w:r>
        <w:rPr>
          <w:rFonts w:hint="eastAsia" w:ascii="宋体" w:hAnsi="宋体" w:eastAsia="宋体" w:cs="宋体"/>
          <w:color w:val="auto"/>
          <w:sz w:val="24"/>
          <w:highlight w:val="none"/>
        </w:rPr>
        <w:t>本复印件)到劳动保障监察机构审核备案，领取由劳动保障监察机构出具的缴纳</w:t>
      </w:r>
    </w:p>
    <w:p>
      <w:pPr>
        <w:spacing w:line="440" w:lineRule="exact"/>
        <w:ind w:firstLine="602" w:firstLineChars="2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农民工工资保证金证明书。农民工工资保证金的扣留条件：</w:t>
      </w:r>
    </w:p>
    <w:p>
      <w:pPr>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（1）承包人存在无故拖欠和克扣农民工工资行为的；</w:t>
      </w:r>
    </w:p>
    <w:p>
      <w:pPr>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（2）所承建的工程项目违法转包、分包，造成农民工工资拖欠的；</w:t>
      </w:r>
    </w:p>
    <w:p>
      <w:pPr>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（3）承包人企业转让、出借资质证书或者以其他方式允许他人以本企业的名义承揽工程出现拖欠农民工工资的。</w:t>
      </w:r>
    </w:p>
    <w:p>
      <w:pPr>
        <w:spacing w:line="440" w:lineRule="exact"/>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农民工工资保证金的返还时间：</w:t>
      </w:r>
    </w:p>
    <w:p>
      <w:pPr>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项目竣工验收后，应在工地现场公示农民工工资支付情况, 公示时间不少于15日，方可申请退还农民工工资保证金。 </w:t>
      </w:r>
    </w:p>
    <w:p>
      <w:pPr>
        <w:spacing w:line="360" w:lineRule="auto"/>
        <w:ind w:left="360" w:hanging="360"/>
        <w:rPr>
          <w:rFonts w:hint="eastAsia" w:ascii="宋体" w:hAnsi="宋体" w:eastAsia="宋体" w:cs="宋体"/>
          <w:color w:val="auto"/>
          <w:sz w:val="24"/>
          <w:highlight w:val="none"/>
        </w:rPr>
      </w:pPr>
      <w:r>
        <w:rPr>
          <w:rFonts w:hint="eastAsia" w:ascii="宋体" w:hAnsi="宋体" w:eastAsia="宋体" w:cs="宋体"/>
          <w:bCs/>
          <w:color w:val="auto"/>
          <w:sz w:val="24"/>
          <w:highlight w:val="none"/>
        </w:rPr>
        <w:t>4.11 不利物质条件</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4.11.1 不利物质条件的范围：同公路工程专用合同条款</w:t>
      </w:r>
    </w:p>
    <w:p>
      <w:pPr>
        <w:spacing w:line="360" w:lineRule="auto"/>
        <w:ind w:left="360" w:hanging="360"/>
        <w:rPr>
          <w:rFonts w:hint="eastAsia" w:ascii="宋体" w:hAnsi="宋体" w:eastAsia="宋体" w:cs="宋体"/>
          <w:color w:val="auto"/>
          <w:sz w:val="24"/>
          <w:highlight w:val="none"/>
        </w:rPr>
      </w:pPr>
      <w:r>
        <w:rPr>
          <w:rFonts w:hint="eastAsia" w:ascii="宋体" w:hAnsi="宋体" w:eastAsia="宋体" w:cs="宋体"/>
          <w:bCs/>
          <w:color w:val="auto"/>
          <w:sz w:val="24"/>
          <w:highlight w:val="none"/>
        </w:rPr>
        <w:t>10.1 合同进度计划</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承包人编制施工方案的内容：在开工 14 天前，按照监理工程师的要求编制</w:t>
      </w:r>
    </w:p>
    <w:p>
      <w:pPr>
        <w:spacing w:line="360" w:lineRule="auto"/>
        <w:ind w:left="360" w:hanging="360"/>
        <w:rPr>
          <w:rFonts w:hint="eastAsia" w:ascii="宋体" w:hAnsi="宋体" w:eastAsia="宋体" w:cs="宋体"/>
          <w:color w:val="auto"/>
          <w:sz w:val="24"/>
          <w:highlight w:val="none"/>
        </w:rPr>
      </w:pPr>
      <w:r>
        <w:rPr>
          <w:rFonts w:hint="eastAsia" w:ascii="宋体" w:hAnsi="宋体" w:eastAsia="宋体" w:cs="宋体"/>
          <w:color w:val="auto"/>
          <w:sz w:val="24"/>
          <w:highlight w:val="none"/>
        </w:rPr>
        <w:t>详细的施工方案，主要内容应包括：总体计划、人员安排、设备安排、关键工程</w:t>
      </w:r>
    </w:p>
    <w:p>
      <w:pPr>
        <w:spacing w:line="360" w:lineRule="auto"/>
        <w:ind w:left="360" w:hanging="360"/>
        <w:rPr>
          <w:rFonts w:hint="eastAsia" w:ascii="宋体" w:hAnsi="宋体" w:eastAsia="宋体" w:cs="宋体"/>
          <w:color w:val="auto"/>
          <w:sz w:val="24"/>
          <w:highlight w:val="none"/>
        </w:rPr>
      </w:pPr>
      <w:r>
        <w:rPr>
          <w:rFonts w:hint="eastAsia" w:ascii="宋体" w:hAnsi="宋体" w:eastAsia="宋体" w:cs="宋体"/>
          <w:color w:val="auto"/>
          <w:sz w:val="24"/>
          <w:highlight w:val="none"/>
        </w:rPr>
        <w:t>详细施工方法、工程质量保证措施、环保及安全生产措施等。</w:t>
      </w:r>
    </w:p>
    <w:p>
      <w:pPr>
        <w:spacing w:line="360" w:lineRule="auto"/>
        <w:ind w:left="360" w:hanging="360"/>
        <w:rPr>
          <w:rFonts w:hint="eastAsia" w:ascii="宋体" w:hAnsi="宋体" w:eastAsia="宋体" w:cs="宋体"/>
          <w:color w:val="auto"/>
          <w:sz w:val="24"/>
          <w:highlight w:val="none"/>
        </w:rPr>
      </w:pPr>
      <w:r>
        <w:rPr>
          <w:rFonts w:hint="eastAsia" w:ascii="宋体" w:hAnsi="宋体" w:eastAsia="宋体" w:cs="宋体"/>
          <w:bCs/>
          <w:color w:val="auto"/>
          <w:sz w:val="24"/>
          <w:highlight w:val="none"/>
        </w:rPr>
        <w:t>12.1 承包人暂停施工的承任</w:t>
      </w:r>
    </w:p>
    <w:p>
      <w:pPr>
        <w:spacing w:line="360" w:lineRule="auto"/>
        <w:ind w:left="360" w:hanging="360"/>
        <w:rPr>
          <w:rFonts w:hint="eastAsia" w:ascii="宋体" w:hAnsi="宋体" w:eastAsia="宋体" w:cs="宋体"/>
          <w:color w:val="auto"/>
          <w:sz w:val="24"/>
          <w:highlight w:val="none"/>
        </w:rPr>
      </w:pPr>
      <w:r>
        <w:rPr>
          <w:rFonts w:hint="eastAsia" w:ascii="宋体" w:hAnsi="宋体" w:eastAsia="宋体" w:cs="宋体"/>
          <w:bCs/>
          <w:color w:val="auto"/>
          <w:sz w:val="24"/>
          <w:highlight w:val="none"/>
        </w:rPr>
        <w:t>12.1（6）由承包人承担的其他暂停施工：无。</w:t>
      </w:r>
    </w:p>
    <w:p>
      <w:pPr>
        <w:spacing w:line="360" w:lineRule="auto"/>
        <w:ind w:left="360" w:hanging="360"/>
        <w:rPr>
          <w:rFonts w:hint="eastAsia" w:ascii="宋体" w:hAnsi="宋体" w:eastAsia="宋体" w:cs="宋体"/>
          <w:color w:val="auto"/>
          <w:sz w:val="24"/>
          <w:highlight w:val="none"/>
        </w:rPr>
      </w:pPr>
      <w:r>
        <w:rPr>
          <w:rFonts w:hint="eastAsia" w:ascii="宋体" w:hAnsi="宋体" w:eastAsia="宋体" w:cs="宋体"/>
          <w:bCs/>
          <w:color w:val="auto"/>
          <w:sz w:val="24"/>
          <w:highlight w:val="none"/>
        </w:rPr>
        <w:t>15.3 变更程序 增加：</w:t>
      </w:r>
      <w:r>
        <w:rPr>
          <w:rFonts w:hint="eastAsia" w:ascii="宋体" w:hAnsi="宋体" w:eastAsia="宋体" w:cs="宋体"/>
          <w:color w:val="auto"/>
          <w:sz w:val="24"/>
          <w:highlight w:val="none"/>
        </w:rPr>
        <w:t>工程变更必须严格按照《海南省公路管理局公路养护工程</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设计变更管理办法实施细则（试行）》（琼路管工〔2017〕26号）执行；单位分部及分项工程的划分按《公路养护工程质量检验评定标准》（JTG5220-2020）执行。</w:t>
      </w:r>
    </w:p>
    <w:p>
      <w:pPr>
        <w:spacing w:line="360" w:lineRule="auto"/>
        <w:ind w:left="360" w:hanging="360"/>
        <w:rPr>
          <w:rFonts w:hint="eastAsia" w:ascii="宋体" w:hAnsi="宋体" w:eastAsia="宋体" w:cs="宋体"/>
          <w:color w:val="auto"/>
          <w:sz w:val="24"/>
          <w:highlight w:val="none"/>
        </w:rPr>
      </w:pPr>
      <w:r>
        <w:rPr>
          <w:rFonts w:hint="eastAsia" w:ascii="宋体" w:hAnsi="宋体" w:eastAsia="宋体" w:cs="宋体"/>
          <w:bCs/>
          <w:color w:val="auto"/>
          <w:sz w:val="24"/>
          <w:highlight w:val="none"/>
        </w:rPr>
        <w:t>17.6 最终结清</w:t>
      </w:r>
    </w:p>
    <w:p>
      <w:pPr>
        <w:spacing w:line="360" w:lineRule="auto"/>
        <w:ind w:left="360" w:hanging="360"/>
        <w:rPr>
          <w:rFonts w:hint="eastAsia" w:ascii="宋体" w:hAnsi="宋体" w:eastAsia="宋体" w:cs="宋体"/>
          <w:color w:val="auto"/>
          <w:sz w:val="24"/>
          <w:highlight w:val="none"/>
        </w:rPr>
      </w:pPr>
      <w:r>
        <w:rPr>
          <w:rFonts w:hint="eastAsia" w:ascii="宋体" w:hAnsi="宋体" w:eastAsia="宋体" w:cs="宋体"/>
          <w:bCs/>
          <w:color w:val="auto"/>
          <w:sz w:val="24"/>
          <w:highlight w:val="none"/>
        </w:rPr>
        <w:t>17.6.1 最终结算申请单</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增加：工程在交工验收的 28 天内，承包人须按监理人要求的格式提交工程</w:t>
      </w:r>
    </w:p>
    <w:p>
      <w:pPr>
        <w:spacing w:line="360" w:lineRule="auto"/>
        <w:ind w:left="360" w:hanging="360"/>
        <w:rPr>
          <w:rFonts w:hint="eastAsia" w:ascii="宋体" w:hAnsi="宋体" w:eastAsia="宋体" w:cs="宋体"/>
          <w:color w:val="auto"/>
          <w:sz w:val="24"/>
          <w:highlight w:val="none"/>
        </w:rPr>
      </w:pPr>
      <w:r>
        <w:rPr>
          <w:rFonts w:hint="eastAsia" w:ascii="宋体" w:hAnsi="宋体" w:eastAsia="宋体" w:cs="宋体"/>
          <w:color w:val="auto"/>
          <w:sz w:val="24"/>
          <w:highlight w:val="none"/>
        </w:rPr>
        <w:t>交工决（结）算报告，交工决（结）算经监理人和发包人审核后，由发包人上报</w:t>
      </w:r>
    </w:p>
    <w:p>
      <w:pPr>
        <w:spacing w:line="360" w:lineRule="auto"/>
        <w:ind w:left="360" w:hanging="360"/>
        <w:rPr>
          <w:rFonts w:hint="eastAsia" w:ascii="宋体" w:hAnsi="宋体" w:eastAsia="宋体" w:cs="宋体"/>
          <w:color w:val="auto"/>
          <w:sz w:val="24"/>
          <w:highlight w:val="none"/>
        </w:rPr>
      </w:pPr>
      <w:r>
        <w:rPr>
          <w:rFonts w:hint="eastAsia" w:ascii="宋体" w:hAnsi="宋体" w:eastAsia="宋体" w:cs="宋体"/>
          <w:color w:val="auto"/>
          <w:sz w:val="24"/>
          <w:highlight w:val="none"/>
        </w:rPr>
        <w:t>政府相关主管部门审批。最终的竣工决（结）算以审计和政府相关主管部门的审</w:t>
      </w:r>
    </w:p>
    <w:p>
      <w:pPr>
        <w:spacing w:line="360" w:lineRule="auto"/>
        <w:ind w:left="360" w:hanging="360"/>
        <w:rPr>
          <w:rFonts w:hint="eastAsia" w:ascii="宋体" w:hAnsi="宋体" w:eastAsia="宋体" w:cs="宋体"/>
          <w:color w:val="auto"/>
          <w:sz w:val="24"/>
          <w:highlight w:val="none"/>
        </w:rPr>
      </w:pPr>
      <w:r>
        <w:rPr>
          <w:rFonts w:hint="eastAsia" w:ascii="宋体" w:hAnsi="宋体" w:eastAsia="宋体" w:cs="宋体"/>
          <w:color w:val="auto"/>
          <w:sz w:val="24"/>
          <w:highlight w:val="none"/>
        </w:rPr>
        <w:t>批为准。</w:t>
      </w:r>
    </w:p>
    <w:p>
      <w:pPr>
        <w:pStyle w:val="4"/>
        <w:rPr>
          <w:rFonts w:hint="eastAsia" w:ascii="宋体" w:hAnsi="宋体" w:eastAsia="宋体" w:cs="宋体"/>
          <w:color w:val="auto"/>
          <w:highlight w:val="none"/>
        </w:rPr>
      </w:pPr>
      <w:bookmarkStart w:id="293" w:name="_Toc234833229"/>
      <w:bookmarkStart w:id="294" w:name="_Toc501257455"/>
      <w:r>
        <w:rPr>
          <w:rFonts w:hint="eastAsia" w:ascii="宋体" w:hAnsi="宋体" w:eastAsia="宋体" w:cs="宋体"/>
          <w:color w:val="auto"/>
          <w:highlight w:val="none"/>
        </w:rPr>
        <w:t>22.1 承包人违约</w:t>
      </w:r>
      <w:bookmarkEnd w:id="293"/>
      <w:bookmarkEnd w:id="294"/>
    </w:p>
    <w:p>
      <w:pPr>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因非发包人或非不可抗力原因未按本合同约定期限完成本工程，每超工期一天发包人从承包人工程款中扣除人民币 500 元作为违约金，逾期超过 2 个月的，发包人有权单方面解除合同，由此产生的一切损失由承包人承担，同时，承包人应承担由此给发包人造成的损失。如因发包人、政府或不可抗力原因导致工期延期的，承包人应立即书面报告发包人，并釆取积极的补救措施，经发包人同意后工期相应顺延，否则工期不顺延，同时由承包人承担因此造成的全部损失。</w:t>
      </w:r>
    </w:p>
    <w:p>
      <w:pPr>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第 22.1.2 项补充（5）～（12）目</w:t>
      </w:r>
    </w:p>
    <w:p>
      <w:pPr>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（5）出借资质，允许其他单位或个人以本单位名义承揽工程，或借用他人资质证书承揽工程的，直接定为严重不良行为。</w:t>
      </w:r>
    </w:p>
    <w:p>
      <w:pPr>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（6）承包人违规将合同段主要或重要的工作内容肢解后分包的，直接定为严重不良行为。</w:t>
      </w:r>
    </w:p>
    <w:p>
      <w:pPr>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7）施工单位项目经理或项目总工未按投标承诺到位或在岗或在施工期间更换不满足资格要求的，主要管理人员、安全员或其他注册执业人员未按投标承诺或合同要求到位或无正当理由更换等的失信行为，纳入省厅及省局的动态信用评价管理。      </w:t>
      </w:r>
    </w:p>
    <w:p>
      <w:pPr>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（8）所有已查明故意隐瞒业绩、人员实力、信用等级的投标企业，纳入省厅及省局的动态信用评价管理。</w:t>
      </w:r>
    </w:p>
    <w:p>
      <w:pPr>
        <w:spacing w:line="440" w:lineRule="exact"/>
        <w:ind w:firstLine="482" w:firstLineChars="20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（9）根据《海南省公路管理局关于加强参建单位信用评价及施工合同、施工监理合同和勘察设计合同管理的通知》（琼路管工[2021]516号）要求，</w:t>
      </w:r>
      <w:r>
        <w:rPr>
          <w:rFonts w:hint="eastAsia" w:ascii="宋体" w:hAnsi="宋体" w:eastAsia="宋体" w:cs="宋体"/>
          <w:color w:val="auto"/>
          <w:sz w:val="24"/>
          <w:highlight w:val="none"/>
        </w:rPr>
        <w:t xml:space="preserve">关于代签行为的违约金条款:发现资料代签的每次处以违约金 </w:t>
      </w:r>
      <w:r>
        <w:rPr>
          <w:rFonts w:hint="eastAsia" w:ascii="宋体" w:hAnsi="宋体" w:eastAsia="宋体" w:cs="宋体"/>
          <w:b/>
          <w:color w:val="auto"/>
          <w:sz w:val="24"/>
          <w:highlight w:val="none"/>
          <w:u w:val="single"/>
        </w:rPr>
        <w:t>1000-2000</w:t>
      </w:r>
      <w:r>
        <w:rPr>
          <w:rFonts w:hint="eastAsia" w:ascii="宋体" w:hAnsi="宋体" w:eastAsia="宋体" w:cs="宋体"/>
          <w:color w:val="auto"/>
          <w:sz w:val="24"/>
          <w:highlight w:val="none"/>
        </w:rPr>
        <w:t xml:space="preserve"> 元，并将有关人员纳入动态信用评价管理。发包人将每月组织</w:t>
      </w:r>
      <w:r>
        <w:rPr>
          <w:rFonts w:hint="eastAsia" w:ascii="宋体" w:hAnsi="宋体" w:eastAsia="宋体" w:cs="宋体"/>
          <w:b/>
          <w:color w:val="auto"/>
          <w:sz w:val="24"/>
          <w:highlight w:val="none"/>
        </w:rPr>
        <w:t>1</w:t>
      </w:r>
      <w:r>
        <w:rPr>
          <w:rFonts w:hint="eastAsia" w:ascii="宋体" w:hAnsi="宋体" w:eastAsia="宋体" w:cs="宋体"/>
          <w:color w:val="auto"/>
          <w:sz w:val="24"/>
          <w:highlight w:val="none"/>
        </w:rPr>
        <w:t>次对承包人的内业资料进行检查，若内业资料与实体没有同步完成，对承包人每次处以违约金</w:t>
      </w:r>
      <w:r>
        <w:rPr>
          <w:rFonts w:hint="eastAsia" w:ascii="宋体" w:hAnsi="宋体" w:eastAsia="宋体" w:cs="宋体"/>
          <w:b/>
          <w:color w:val="auto"/>
          <w:sz w:val="24"/>
          <w:highlight w:val="none"/>
          <w:u w:val="single"/>
        </w:rPr>
        <w:t>1000</w:t>
      </w:r>
      <w:r>
        <w:rPr>
          <w:rFonts w:hint="eastAsia" w:ascii="宋体" w:hAnsi="宋体" w:eastAsia="宋体" w:cs="宋体"/>
          <w:color w:val="auto"/>
          <w:sz w:val="24"/>
          <w:highlight w:val="none"/>
        </w:rPr>
        <w:t>元至</w:t>
      </w:r>
      <w:r>
        <w:rPr>
          <w:rFonts w:hint="eastAsia" w:ascii="宋体" w:hAnsi="宋体" w:eastAsia="宋体" w:cs="宋体"/>
          <w:b/>
          <w:color w:val="auto"/>
          <w:sz w:val="24"/>
          <w:highlight w:val="none"/>
          <w:u w:val="single"/>
        </w:rPr>
        <w:t>3000</w:t>
      </w:r>
      <w:r>
        <w:rPr>
          <w:rFonts w:hint="eastAsia" w:ascii="宋体" w:hAnsi="宋体" w:eastAsia="宋体" w:cs="宋体"/>
          <w:color w:val="auto"/>
          <w:sz w:val="24"/>
          <w:highlight w:val="none"/>
        </w:rPr>
        <w:t>元，违约罚款不超过合同金额的</w:t>
      </w:r>
      <w:r>
        <w:rPr>
          <w:rFonts w:hint="eastAsia" w:ascii="宋体" w:hAnsi="宋体" w:eastAsia="宋体" w:cs="宋体"/>
          <w:b/>
          <w:color w:val="auto"/>
          <w:sz w:val="24"/>
          <w:highlight w:val="none"/>
          <w:u w:val="single"/>
        </w:rPr>
        <w:t>1%</w:t>
      </w: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以上违约罚款从项目审计决算或合格计量中扣除</w:t>
      </w:r>
      <w:r>
        <w:rPr>
          <w:rFonts w:hint="eastAsia" w:ascii="宋体" w:hAnsi="宋体" w:eastAsia="宋体" w:cs="宋体"/>
          <w:color w:val="auto"/>
          <w:sz w:val="24"/>
          <w:highlight w:val="none"/>
        </w:rPr>
        <w:t>。竣工归档资料需提供纸质资料</w:t>
      </w:r>
      <w:r>
        <w:rPr>
          <w:rFonts w:hint="eastAsia" w:ascii="宋体" w:hAnsi="宋体" w:eastAsia="宋体" w:cs="宋体"/>
          <w:b/>
          <w:color w:val="auto"/>
          <w:sz w:val="24"/>
          <w:highlight w:val="none"/>
        </w:rPr>
        <w:t>2</w:t>
      </w:r>
      <w:r>
        <w:rPr>
          <w:rFonts w:hint="eastAsia" w:ascii="宋体" w:hAnsi="宋体" w:eastAsia="宋体" w:cs="宋体"/>
          <w:color w:val="auto"/>
          <w:sz w:val="24"/>
          <w:highlight w:val="none"/>
        </w:rPr>
        <w:t>份（一正一副），签字盖章后的扫描件PDF电子版</w:t>
      </w:r>
      <w:r>
        <w:rPr>
          <w:rFonts w:hint="eastAsia" w:ascii="宋体" w:hAnsi="宋体" w:eastAsia="宋体" w:cs="宋体"/>
          <w:b/>
          <w:color w:val="auto"/>
          <w:sz w:val="24"/>
          <w:highlight w:val="none"/>
        </w:rPr>
        <w:t>1</w:t>
      </w:r>
      <w:r>
        <w:rPr>
          <w:rFonts w:hint="eastAsia" w:ascii="宋体" w:hAnsi="宋体" w:eastAsia="宋体" w:cs="宋体"/>
          <w:color w:val="auto"/>
          <w:sz w:val="24"/>
          <w:highlight w:val="none"/>
        </w:rPr>
        <w:t>份。</w:t>
      </w:r>
    </w:p>
    <w:p>
      <w:pPr>
        <w:pStyle w:val="4"/>
        <w:ind w:firstLine="240" w:firstLineChars="100"/>
        <w:rPr>
          <w:rFonts w:hint="eastAsia" w:ascii="宋体" w:hAnsi="宋体" w:eastAsia="宋体" w:cs="宋体"/>
          <w:b w:val="0"/>
          <w:color w:val="auto"/>
          <w:highlight w:val="none"/>
        </w:rPr>
      </w:pPr>
      <w:r>
        <w:rPr>
          <w:rFonts w:hint="eastAsia" w:ascii="宋体" w:hAnsi="宋体" w:eastAsia="宋体" w:cs="宋体"/>
          <w:b w:val="0"/>
          <w:color w:val="auto"/>
          <w:highlight w:val="none"/>
        </w:rPr>
        <w:t>（10）</w:t>
      </w:r>
      <w:r>
        <w:rPr>
          <w:rFonts w:hint="eastAsia" w:ascii="宋体" w:hAnsi="宋体" w:eastAsia="宋体" w:cs="宋体"/>
          <w:color w:val="auto"/>
          <w:highlight w:val="none"/>
        </w:rPr>
        <w:t>根据《海南省公路管理局关于加强参建单位信用评价及施工合同、施工监理合同和勘察设计合同管理的通知》（琼路管工[2021]516号）要求，</w:t>
      </w:r>
      <w:r>
        <w:rPr>
          <w:rFonts w:hint="eastAsia" w:ascii="宋体" w:hAnsi="宋体" w:eastAsia="宋体" w:cs="宋体"/>
          <w:b w:val="0"/>
          <w:color w:val="auto"/>
          <w:highlight w:val="none"/>
        </w:rPr>
        <w:t>如承包单位未能按照合同约定工期完成施工任务的，每超工期</w:t>
      </w:r>
      <w:r>
        <w:rPr>
          <w:rFonts w:hint="eastAsia" w:ascii="宋体" w:hAnsi="宋体" w:eastAsia="宋体" w:cs="宋体"/>
          <w:color w:val="auto"/>
          <w:highlight w:val="none"/>
        </w:rPr>
        <w:t>1</w:t>
      </w:r>
      <w:r>
        <w:rPr>
          <w:rFonts w:hint="eastAsia" w:ascii="宋体" w:hAnsi="宋体" w:eastAsia="宋体" w:cs="宋体"/>
          <w:b w:val="0"/>
          <w:color w:val="auto"/>
          <w:highlight w:val="none"/>
        </w:rPr>
        <w:t>天处以违约金</w:t>
      </w:r>
      <w:r>
        <w:rPr>
          <w:rFonts w:hint="eastAsia" w:ascii="宋体" w:hAnsi="宋体" w:eastAsia="宋体" w:cs="宋体"/>
          <w:color w:val="auto"/>
          <w:highlight w:val="none"/>
        </w:rPr>
        <w:t>500</w:t>
      </w:r>
      <w:r>
        <w:rPr>
          <w:rFonts w:hint="eastAsia" w:ascii="宋体" w:hAnsi="宋体" w:eastAsia="宋体" w:cs="宋体"/>
          <w:b w:val="0"/>
          <w:color w:val="auto"/>
          <w:highlight w:val="none"/>
        </w:rPr>
        <w:t>元，如因发包人、政府或不可抗力原因导致工期延期的，承包人应立即书面报告发包人，并采取积极的补救措施，经发包人同意后工期相应顺延，否则工期不顺延，同时承包人承担因此造成的全部损失，工期违约罚款不超过合同金额的</w:t>
      </w:r>
      <w:r>
        <w:rPr>
          <w:rFonts w:hint="eastAsia" w:ascii="宋体" w:hAnsi="宋体" w:eastAsia="宋体" w:cs="宋体"/>
          <w:b w:val="0"/>
          <w:color w:val="auto"/>
          <w:highlight w:val="none"/>
          <w:u w:val="single"/>
        </w:rPr>
        <w:t>5%</w:t>
      </w:r>
      <w:r>
        <w:rPr>
          <w:rFonts w:hint="eastAsia" w:ascii="宋体" w:hAnsi="宋体" w:eastAsia="宋体" w:cs="宋体"/>
          <w:b w:val="0"/>
          <w:color w:val="auto"/>
          <w:highlight w:val="none"/>
        </w:rPr>
        <w:t>，违约罚款从项目审计决算或合格计量中扣除。</w:t>
      </w:r>
    </w:p>
    <w:p>
      <w:pPr>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r>
        <w:rPr>
          <w:rFonts w:hint="eastAsia" w:ascii="宋体" w:hAnsi="宋体" w:eastAsia="宋体" w:cs="宋体"/>
          <w:b/>
          <w:color w:val="auto"/>
          <w:sz w:val="24"/>
          <w:highlight w:val="none"/>
        </w:rPr>
        <w:t>根据《海南省公路管理局关于加强参建单位信用评价及施工合同、施工监理合同和勘察设计合同管理的通知》（琼路管工〔2021〕516号）要求，</w:t>
      </w:r>
      <w:r>
        <w:rPr>
          <w:rFonts w:hint="eastAsia" w:ascii="宋体" w:hAnsi="宋体" w:eastAsia="宋体" w:cs="宋体"/>
          <w:color w:val="auto"/>
          <w:sz w:val="24"/>
          <w:highlight w:val="none"/>
        </w:rPr>
        <w:t>施工期间原则上不允许更换，若由于人员职务升迁（需提供任职文件）、离职（需提供解除终止劳动合同证明）、疾病（需提供三甲医院证明）等特殊情况需更换的，承包人要书面报发包人审批，且拟更换后项目经理、项目总工资格条件不得低于被更换人员，经发包人书面批准后方可更换。即使承包人已获得发包人书面批准，发包人仍然有权对承包人在施工合同签订1 年内以职务升迁、离职为由申请项目经理、项目总工更换的行为作出违约处罚，违约罚金为</w:t>
      </w:r>
      <w:r>
        <w:rPr>
          <w:rFonts w:hint="eastAsia" w:ascii="宋体" w:hAnsi="宋体" w:eastAsia="宋体" w:cs="宋体"/>
          <w:b/>
          <w:color w:val="auto"/>
          <w:sz w:val="24"/>
          <w:highlight w:val="none"/>
        </w:rPr>
        <w:t xml:space="preserve"> 5000</w:t>
      </w:r>
      <w:r>
        <w:rPr>
          <w:rFonts w:hint="eastAsia" w:ascii="宋体" w:hAnsi="宋体" w:eastAsia="宋体" w:cs="宋体"/>
          <w:color w:val="auto"/>
          <w:sz w:val="24"/>
          <w:highlight w:val="none"/>
        </w:rPr>
        <w:t>元/人次。若未经发包人批准，承包人更换主要管理人员，则违约罚款为</w:t>
      </w:r>
      <w:r>
        <w:rPr>
          <w:rFonts w:hint="eastAsia" w:ascii="宋体" w:hAnsi="宋体" w:eastAsia="宋体" w:cs="宋体"/>
          <w:b/>
          <w:color w:val="auto"/>
          <w:sz w:val="24"/>
          <w:highlight w:val="none"/>
        </w:rPr>
        <w:t>10000</w:t>
      </w:r>
      <w:r>
        <w:rPr>
          <w:rFonts w:hint="eastAsia" w:ascii="宋体" w:hAnsi="宋体" w:eastAsia="宋体" w:cs="宋体"/>
          <w:color w:val="auto"/>
          <w:sz w:val="24"/>
          <w:highlight w:val="none"/>
        </w:rPr>
        <w:t>元至</w:t>
      </w:r>
      <w:r>
        <w:rPr>
          <w:rFonts w:hint="eastAsia" w:ascii="宋体" w:hAnsi="宋体" w:eastAsia="宋体" w:cs="宋体"/>
          <w:b/>
          <w:color w:val="auto"/>
          <w:sz w:val="24"/>
          <w:highlight w:val="none"/>
        </w:rPr>
        <w:t>20000</w:t>
      </w:r>
      <w:r>
        <w:rPr>
          <w:rFonts w:hint="eastAsia" w:ascii="宋体" w:hAnsi="宋体" w:eastAsia="宋体" w:cs="宋体"/>
          <w:color w:val="auto"/>
          <w:sz w:val="24"/>
          <w:highlight w:val="none"/>
        </w:rPr>
        <w:t>元/人次，纳入省厅及省局的动态信用评价管理；违约罚款不超过合同金额的</w:t>
      </w:r>
      <w:r>
        <w:rPr>
          <w:rFonts w:hint="eastAsia" w:ascii="宋体" w:hAnsi="宋体" w:eastAsia="宋体" w:cs="宋体"/>
          <w:b/>
          <w:color w:val="auto"/>
          <w:sz w:val="24"/>
          <w:highlight w:val="none"/>
        </w:rPr>
        <w:t>10%</w:t>
      </w:r>
      <w:r>
        <w:rPr>
          <w:rFonts w:hint="eastAsia" w:ascii="宋体" w:hAnsi="宋体" w:eastAsia="宋体" w:cs="宋体"/>
          <w:color w:val="auto"/>
          <w:sz w:val="24"/>
          <w:highlight w:val="none"/>
        </w:rPr>
        <w:t>，以上违约罚款从项目审计决算或合格计量中扣除。</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注：履约时间自项目报监完成之日起计算，至项目业主出具交工验收质量检测报告之日止</w:t>
      </w:r>
    </w:p>
    <w:p>
      <w:pPr>
        <w:pStyle w:val="4"/>
        <w:rPr>
          <w:rFonts w:hint="eastAsia" w:ascii="宋体" w:hAnsi="宋体" w:eastAsia="宋体" w:cs="宋体"/>
          <w:color w:val="auto"/>
          <w:highlight w:val="none"/>
        </w:rPr>
      </w:pPr>
      <w:r>
        <w:rPr>
          <w:rFonts w:hint="eastAsia" w:ascii="宋体" w:hAnsi="宋体" w:eastAsia="宋体" w:cs="宋体"/>
          <w:color w:val="auto"/>
          <w:highlight w:val="none"/>
        </w:rPr>
        <w:t>25 增加的专用合同条款</w:t>
      </w:r>
    </w:p>
    <w:p>
      <w:pPr>
        <w:pStyle w:val="4"/>
        <w:rPr>
          <w:rFonts w:hint="eastAsia" w:ascii="宋体" w:hAnsi="宋体" w:eastAsia="宋体" w:cs="宋体"/>
          <w:color w:val="auto"/>
          <w:highlight w:val="none"/>
        </w:rPr>
      </w:pPr>
      <w:r>
        <w:rPr>
          <w:rFonts w:hint="eastAsia" w:ascii="宋体" w:hAnsi="宋体" w:eastAsia="宋体" w:cs="宋体"/>
          <w:color w:val="auto"/>
          <w:highlight w:val="none"/>
        </w:rPr>
        <w:t>25.1 保留权利</w:t>
      </w:r>
    </w:p>
    <w:p>
      <w:pPr>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对承包人投标文件中工程量清单中所列的明显低于合理单价的细目均由承包人承诺，保质保量完成该项工作，并出具承诺函。</w:t>
      </w:r>
    </w:p>
    <w:p>
      <w:pPr>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涉及不平衡报价的清单子目，当投标报价高出施工图预算单价的 15%且变更工程数量超出该清单子目数量的 15%时，变更超出该清单子目工程数量 15%的部分，发包人保留调整不平衡报价的权利。</w:t>
      </w:r>
    </w:p>
    <w:p>
      <w:pPr>
        <w:pStyle w:val="4"/>
        <w:rPr>
          <w:rFonts w:hint="eastAsia" w:ascii="宋体" w:hAnsi="宋体" w:eastAsia="宋体" w:cs="宋体"/>
          <w:color w:val="auto"/>
          <w:highlight w:val="none"/>
        </w:rPr>
      </w:pPr>
      <w:r>
        <w:rPr>
          <w:rFonts w:hint="eastAsia" w:ascii="宋体" w:hAnsi="宋体" w:eastAsia="宋体" w:cs="宋体"/>
          <w:color w:val="auto"/>
          <w:highlight w:val="none"/>
        </w:rPr>
        <w:t>25.2 资料的份数与送交时限</w:t>
      </w:r>
    </w:p>
    <w:p>
      <w:pPr>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监理人或发包人可能需要增加承包人送交资料的份数和提前或延长递交的时间，承包人需满足此类要求，并不以此为增加费用的理由，如承包人拒不配合，视同承包人违约，按22.1 款相关规定处理。</w:t>
      </w:r>
    </w:p>
    <w:p>
      <w:pPr>
        <w:pStyle w:val="4"/>
        <w:rPr>
          <w:rFonts w:hint="eastAsia" w:ascii="宋体" w:hAnsi="宋体" w:eastAsia="宋体" w:cs="宋体"/>
          <w:color w:val="auto"/>
          <w:highlight w:val="none"/>
        </w:rPr>
      </w:pPr>
      <w:r>
        <w:rPr>
          <w:rFonts w:hint="eastAsia" w:ascii="宋体" w:hAnsi="宋体" w:eastAsia="宋体" w:cs="宋体"/>
          <w:color w:val="auto"/>
          <w:highlight w:val="none"/>
        </w:rPr>
        <w:t>25.3 工程质量</w:t>
      </w:r>
    </w:p>
    <w:p>
      <w:pPr>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承包人在施工过程中，应该预见到可能造成工期延误或工程质量问题的情况而没有预见到，或预见到了但采取的处理方法不当，造成不良后果的，根据情节，每次按 0.2-10 万元处罚。</w:t>
      </w:r>
    </w:p>
    <w:p>
      <w:pPr>
        <w:pStyle w:val="4"/>
        <w:rPr>
          <w:rFonts w:hint="eastAsia" w:ascii="宋体" w:hAnsi="宋体" w:eastAsia="宋体" w:cs="宋体"/>
          <w:color w:val="auto"/>
          <w:highlight w:val="none"/>
        </w:rPr>
      </w:pPr>
      <w:r>
        <w:rPr>
          <w:rFonts w:hint="eastAsia" w:ascii="宋体" w:hAnsi="宋体" w:eastAsia="宋体" w:cs="宋体"/>
          <w:color w:val="auto"/>
          <w:highlight w:val="none"/>
        </w:rPr>
        <w:t>25.4 增值税发票</w:t>
      </w:r>
    </w:p>
    <w:p>
      <w:pPr>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承包人办理结算时必须派专人或使用挂号信件或特快专递等方式在增值税专用发票开具后及时送达发包人，如逾期未送达导致发包人损失的，由承包人承担违约赔偿责任。如果承包人提供的增值税专用发票不规范、不合法或涉嫌虚开，不仅要承担赔偿责任，而且不免除承包人开具合法发票的义务。发包人只有在经过认证确认取得了合规的增值税专用发票后才支付款项。</w:t>
      </w:r>
    </w:p>
    <w:p>
      <w:pPr>
        <w:pStyle w:val="4"/>
        <w:rPr>
          <w:rFonts w:hint="eastAsia" w:ascii="宋体" w:hAnsi="宋体" w:eastAsia="宋体" w:cs="宋体"/>
          <w:color w:val="auto"/>
          <w:highlight w:val="none"/>
        </w:rPr>
      </w:pPr>
      <w:r>
        <w:rPr>
          <w:rFonts w:hint="eastAsia" w:ascii="宋体" w:hAnsi="宋体" w:eastAsia="宋体" w:cs="宋体"/>
          <w:color w:val="auto"/>
          <w:highlight w:val="none"/>
        </w:rPr>
        <w:t>25.5 合同签订</w:t>
      </w:r>
    </w:p>
    <w:p>
      <w:pPr>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如承包人不能在中标通知书</w:t>
      </w:r>
      <w:r>
        <w:rPr>
          <w:rFonts w:hint="eastAsia" w:ascii="宋体" w:hAnsi="宋体" w:eastAsia="宋体" w:cs="宋体"/>
          <w:color w:val="auto"/>
          <w:sz w:val="24"/>
          <w:highlight w:val="none"/>
          <w:lang w:eastAsia="zh-CN"/>
        </w:rPr>
        <w:t>发出之日起5个工作日内完成合同签订的</w:t>
      </w:r>
      <w:r>
        <w:rPr>
          <w:rFonts w:hint="eastAsia" w:ascii="宋体" w:hAnsi="宋体" w:eastAsia="宋体" w:cs="宋体"/>
          <w:color w:val="auto"/>
          <w:sz w:val="24"/>
          <w:highlight w:val="none"/>
        </w:rPr>
        <w:t>，必须出具相关书面说明材料，并征得发包人同意。</w:t>
      </w:r>
    </w:p>
    <w:p>
      <w:pPr>
        <w:pStyle w:val="4"/>
        <w:rPr>
          <w:rFonts w:hint="eastAsia" w:ascii="宋体" w:hAnsi="宋体" w:eastAsia="宋体" w:cs="宋体"/>
          <w:color w:val="auto"/>
          <w:highlight w:val="none"/>
        </w:rPr>
      </w:pPr>
      <w:r>
        <w:rPr>
          <w:rFonts w:hint="eastAsia" w:ascii="宋体" w:hAnsi="宋体" w:eastAsia="宋体" w:cs="宋体"/>
          <w:color w:val="auto"/>
          <w:highlight w:val="none"/>
        </w:rPr>
        <w:t>25.6 本地务工人员招录</w:t>
      </w:r>
    </w:p>
    <w:p>
      <w:pPr>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承包人应按照海南省打赢脱贫攻坚战指挥部《关于印发&lt;海南省组织贫困劳动力积极务工专项行动工作方案&gt;的通知》（琼脱贫指〔2020〕5 号）文件要求，落实本项目用工优先招录本地贫困劳动力，其中劳动密集技术含量较低的工种录用本地贫困劳动力比例不得低于该工种新招录人员数量的 10%。</w:t>
      </w:r>
    </w:p>
    <w:p>
      <w:pPr>
        <w:pStyle w:val="4"/>
        <w:rPr>
          <w:rFonts w:hint="eastAsia" w:ascii="宋体" w:hAnsi="宋体" w:eastAsia="宋体" w:cs="宋体"/>
          <w:color w:val="auto"/>
          <w:highlight w:val="none"/>
        </w:rPr>
      </w:pPr>
      <w:r>
        <w:rPr>
          <w:rFonts w:hint="eastAsia" w:ascii="宋体" w:hAnsi="宋体" w:eastAsia="宋体" w:cs="宋体"/>
          <w:color w:val="auto"/>
          <w:highlight w:val="none"/>
        </w:rPr>
        <w:t>25.7 中标廉洁预警谈话</w:t>
      </w:r>
    </w:p>
    <w:p>
      <w:pPr>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承包人在合同签订前应按照海南省交通运输厅印发的《海南省政府投资公路水运工程项目中标廉洁预警谈话工作规则》（琼交公路〔2020〕239 号）要求参加中标廉洁预警谈话，谈话对象包括承包人法人代表或其授权委托代理人、项目主要负责人及相关人员。</w:t>
      </w:r>
    </w:p>
    <w:p>
      <w:pPr>
        <w:pStyle w:val="4"/>
        <w:rPr>
          <w:rFonts w:hint="eastAsia" w:ascii="宋体" w:hAnsi="宋体" w:eastAsia="宋体" w:cs="宋体"/>
          <w:color w:val="auto"/>
          <w:highlight w:val="none"/>
        </w:rPr>
      </w:pPr>
      <w:r>
        <w:rPr>
          <w:rFonts w:hint="eastAsia" w:ascii="宋体" w:hAnsi="宋体" w:eastAsia="宋体" w:cs="宋体"/>
          <w:color w:val="auto"/>
          <w:highlight w:val="none"/>
        </w:rPr>
        <w:t>25.8 本合同未尽事宜</w:t>
      </w:r>
    </w:p>
    <w:p>
      <w:pPr>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若承包人在发包人规定的期限内不能妥善处理上述问题，根据监理人对上述问题的处理意见，发包人有权委托其他单位进行处理，发生的费用由发包人从承包人履约保证金或应支付给承包人的任意一款项中扣回，相关责任由承包人独自、完全承担。</w:t>
      </w:r>
    </w:p>
    <w:p>
      <w:pPr>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海南省公路管理局制订的所有项目实施管理办法、实施细则等，视为合同文件的一部分，承包人必须严格遵守</w:t>
      </w:r>
    </w:p>
    <w:p>
      <w:pPr>
        <w:pStyle w:val="2"/>
        <w:rPr>
          <w:rFonts w:hint="eastAsia" w:ascii="宋体" w:hAnsi="宋体" w:eastAsia="宋体" w:cs="宋体"/>
          <w:color w:val="auto"/>
          <w:highlight w:val="none"/>
        </w:rPr>
      </w:pPr>
    </w:p>
    <w:p>
      <w:pPr>
        <w:pStyle w:val="14"/>
        <w:tabs>
          <w:tab w:val="right" w:leader="dot" w:pos="8958"/>
        </w:tabs>
        <w:spacing w:line="500" w:lineRule="exact"/>
        <w:ind w:firstLine="480" w:firstLineChars="200"/>
        <w:rPr>
          <w:rFonts w:hint="eastAsia" w:ascii="宋体" w:hAnsi="宋体" w:eastAsia="宋体" w:cs="宋体"/>
          <w:color w:val="auto"/>
          <w:sz w:val="24"/>
          <w:highlight w:val="none"/>
        </w:rPr>
      </w:pPr>
    </w:p>
    <w:p>
      <w:pPr>
        <w:pageBreakBefore/>
        <w:spacing w:line="360" w:lineRule="auto"/>
        <w:jc w:val="center"/>
        <w:rPr>
          <w:rFonts w:hint="eastAsia" w:ascii="宋体" w:hAnsi="宋体" w:eastAsia="宋体" w:cs="宋体"/>
          <w:b/>
          <w:color w:val="auto"/>
          <w:sz w:val="42"/>
          <w:szCs w:val="42"/>
          <w:highlight w:val="none"/>
        </w:rPr>
      </w:pPr>
      <w:r>
        <w:rPr>
          <w:rFonts w:hint="eastAsia" w:ascii="宋体" w:hAnsi="宋体" w:eastAsia="宋体" w:cs="宋体"/>
          <w:b/>
          <w:color w:val="auto"/>
          <w:sz w:val="42"/>
          <w:szCs w:val="42"/>
          <w:highlight w:val="none"/>
        </w:rPr>
        <w:t>第三节  合同附件格式</w:t>
      </w:r>
    </w:p>
    <w:p>
      <w:pPr>
        <w:pStyle w:val="5"/>
        <w:ind w:firstLine="560"/>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（仅供参考，具体内容由双方在合同中约定）</w:t>
      </w:r>
    </w:p>
    <w:p>
      <w:pPr>
        <w:tabs>
          <w:tab w:val="left" w:pos="1455"/>
        </w:tabs>
        <w:spacing w:line="360" w:lineRule="auto"/>
        <w:jc w:val="center"/>
        <w:rPr>
          <w:rFonts w:hint="eastAsia" w:ascii="宋体" w:hAnsi="宋体" w:eastAsia="宋体" w:cs="宋体"/>
          <w:b/>
          <w:color w:val="auto"/>
          <w:sz w:val="52"/>
          <w:szCs w:val="48"/>
          <w:highlight w:val="none"/>
          <w:lang w:eastAsia="zh-CN"/>
        </w:rPr>
      </w:pPr>
      <w:r>
        <w:rPr>
          <w:rFonts w:hint="eastAsia" w:ascii="宋体" w:hAnsi="宋体" w:eastAsia="宋体" w:cs="宋体"/>
          <w:b/>
          <w:bCs/>
          <w:color w:val="auto"/>
          <w:sz w:val="36"/>
          <w:szCs w:val="36"/>
          <w:highlight w:val="none"/>
          <w:lang w:eastAsia="zh-CN"/>
        </w:rPr>
        <w:t>G223海榆东线安全设施精细化提升工程（K276+350-K307+000)</w:t>
      </w:r>
    </w:p>
    <w:p>
      <w:pPr>
        <w:tabs>
          <w:tab w:val="left" w:pos="1455"/>
        </w:tabs>
        <w:spacing w:line="360" w:lineRule="auto"/>
        <w:jc w:val="center"/>
        <w:rPr>
          <w:rFonts w:hint="eastAsia" w:ascii="宋体" w:hAnsi="宋体" w:eastAsia="宋体" w:cs="宋体"/>
          <w:b/>
          <w:color w:val="auto"/>
          <w:sz w:val="52"/>
          <w:szCs w:val="48"/>
          <w:highlight w:val="none"/>
        </w:rPr>
      </w:pPr>
    </w:p>
    <w:p>
      <w:pPr>
        <w:tabs>
          <w:tab w:val="left" w:pos="1455"/>
        </w:tabs>
        <w:spacing w:line="360" w:lineRule="auto"/>
        <w:jc w:val="center"/>
        <w:rPr>
          <w:rFonts w:hint="eastAsia" w:ascii="宋体" w:hAnsi="宋体" w:eastAsia="宋体" w:cs="宋体"/>
          <w:b/>
          <w:color w:val="auto"/>
          <w:sz w:val="52"/>
          <w:szCs w:val="48"/>
          <w:highlight w:val="none"/>
        </w:rPr>
      </w:pPr>
    </w:p>
    <w:p>
      <w:pPr>
        <w:tabs>
          <w:tab w:val="left" w:pos="1455"/>
        </w:tabs>
        <w:spacing w:line="360" w:lineRule="auto"/>
        <w:jc w:val="center"/>
        <w:rPr>
          <w:rFonts w:hint="eastAsia" w:ascii="宋体" w:hAnsi="宋体" w:eastAsia="宋体" w:cs="宋体"/>
          <w:b/>
          <w:color w:val="auto"/>
          <w:sz w:val="52"/>
          <w:szCs w:val="48"/>
          <w:highlight w:val="none"/>
        </w:rPr>
      </w:pPr>
    </w:p>
    <w:p>
      <w:pPr>
        <w:tabs>
          <w:tab w:val="left" w:pos="1455"/>
        </w:tabs>
        <w:spacing w:line="360" w:lineRule="auto"/>
        <w:jc w:val="center"/>
        <w:rPr>
          <w:rFonts w:hint="eastAsia" w:ascii="宋体" w:hAnsi="宋体" w:eastAsia="宋体" w:cs="宋体"/>
          <w:color w:val="auto"/>
          <w:highlight w:val="none"/>
        </w:rPr>
      </w:pPr>
      <w:r>
        <w:rPr>
          <w:rFonts w:hint="eastAsia" w:ascii="宋体" w:hAnsi="宋体" w:eastAsia="宋体" w:cs="宋体"/>
          <w:b/>
          <w:color w:val="auto"/>
          <w:sz w:val="52"/>
          <w:szCs w:val="52"/>
          <w:highlight w:val="none"/>
        </w:rPr>
        <w:t>承包合同书</w:t>
      </w:r>
    </w:p>
    <w:p>
      <w:pPr>
        <w:spacing w:line="360" w:lineRule="auto"/>
        <w:rPr>
          <w:rFonts w:hint="eastAsia" w:ascii="宋体" w:hAnsi="宋体" w:eastAsia="宋体" w:cs="宋体"/>
          <w:b/>
          <w:color w:val="auto"/>
          <w:sz w:val="48"/>
          <w:szCs w:val="48"/>
          <w:highlight w:val="none"/>
        </w:rPr>
      </w:pPr>
    </w:p>
    <w:p>
      <w:pPr>
        <w:spacing w:line="360" w:lineRule="auto"/>
        <w:rPr>
          <w:rFonts w:hint="eastAsia" w:ascii="宋体" w:hAnsi="宋体" w:eastAsia="宋体" w:cs="宋体"/>
          <w:b/>
          <w:color w:val="auto"/>
          <w:spacing w:val="-20"/>
          <w:w w:val="80"/>
          <w:sz w:val="32"/>
          <w:szCs w:val="48"/>
          <w:highlight w:val="none"/>
        </w:rPr>
      </w:pPr>
    </w:p>
    <w:p>
      <w:pPr>
        <w:spacing w:line="360" w:lineRule="auto"/>
        <w:rPr>
          <w:rFonts w:hint="eastAsia" w:ascii="宋体" w:hAnsi="宋体" w:eastAsia="宋体" w:cs="宋体"/>
          <w:color w:val="auto"/>
          <w:spacing w:val="-20"/>
          <w:w w:val="80"/>
          <w:sz w:val="32"/>
          <w:highlight w:val="none"/>
        </w:rPr>
      </w:pPr>
    </w:p>
    <w:p>
      <w:pPr>
        <w:spacing w:line="360" w:lineRule="auto"/>
        <w:rPr>
          <w:rFonts w:hint="eastAsia" w:ascii="宋体" w:hAnsi="宋体" w:eastAsia="宋体" w:cs="宋体"/>
          <w:color w:val="auto"/>
          <w:spacing w:val="-20"/>
          <w:w w:val="80"/>
          <w:sz w:val="32"/>
          <w:highlight w:val="none"/>
        </w:rPr>
      </w:pPr>
    </w:p>
    <w:p>
      <w:pPr>
        <w:spacing w:line="360" w:lineRule="auto"/>
        <w:rPr>
          <w:rFonts w:hint="eastAsia" w:ascii="宋体" w:hAnsi="宋体" w:eastAsia="宋体" w:cs="宋体"/>
          <w:color w:val="auto"/>
          <w:spacing w:val="-20"/>
          <w:w w:val="80"/>
          <w:sz w:val="32"/>
          <w:highlight w:val="none"/>
        </w:rPr>
      </w:pPr>
    </w:p>
    <w:p>
      <w:pPr>
        <w:spacing w:line="360" w:lineRule="auto"/>
        <w:rPr>
          <w:rFonts w:hint="eastAsia" w:ascii="宋体" w:hAnsi="宋体" w:eastAsia="宋体" w:cs="宋体"/>
          <w:color w:val="auto"/>
          <w:spacing w:val="-20"/>
          <w:w w:val="80"/>
          <w:sz w:val="32"/>
          <w:highlight w:val="none"/>
        </w:rPr>
      </w:pPr>
    </w:p>
    <w:p>
      <w:pPr>
        <w:spacing w:line="360" w:lineRule="auto"/>
        <w:rPr>
          <w:rFonts w:hint="eastAsia" w:ascii="宋体" w:hAnsi="宋体" w:eastAsia="宋体" w:cs="宋体"/>
          <w:color w:val="auto"/>
          <w:spacing w:val="-20"/>
          <w:w w:val="80"/>
          <w:sz w:val="36"/>
          <w:highlight w:val="none"/>
        </w:rPr>
      </w:pPr>
    </w:p>
    <w:p>
      <w:pPr>
        <w:spacing w:line="360" w:lineRule="auto"/>
        <w:rPr>
          <w:rFonts w:hint="eastAsia" w:ascii="宋体" w:hAnsi="宋体" w:eastAsia="宋体" w:cs="宋体"/>
          <w:color w:val="auto"/>
          <w:spacing w:val="-20"/>
          <w:w w:val="80"/>
          <w:sz w:val="36"/>
          <w:highlight w:val="none"/>
        </w:rPr>
      </w:pPr>
    </w:p>
    <w:p>
      <w:pPr>
        <w:spacing w:line="360" w:lineRule="auto"/>
        <w:rPr>
          <w:rFonts w:hint="eastAsia" w:ascii="宋体" w:hAnsi="宋体" w:eastAsia="宋体" w:cs="宋体"/>
          <w:color w:val="auto"/>
          <w:spacing w:val="-20"/>
          <w:w w:val="80"/>
          <w:sz w:val="34"/>
          <w:highlight w:val="none"/>
        </w:rPr>
      </w:pPr>
    </w:p>
    <w:p>
      <w:pPr>
        <w:spacing w:line="360" w:lineRule="auto"/>
        <w:ind w:firstLine="960"/>
        <w:rPr>
          <w:rFonts w:hint="eastAsia" w:ascii="宋体" w:hAnsi="宋体" w:eastAsia="宋体" w:cs="宋体"/>
          <w:color w:val="auto"/>
          <w:highlight w:val="none"/>
        </w:rPr>
      </w:pPr>
      <w:r>
        <w:rPr>
          <w:rFonts w:hint="eastAsia" w:ascii="宋体" w:hAnsi="宋体" w:eastAsia="宋体" w:cs="宋体"/>
          <w:color w:val="auto"/>
          <w:sz w:val="32"/>
          <w:szCs w:val="32"/>
          <w:highlight w:val="none"/>
        </w:rPr>
        <w:t>建设单位</w:t>
      </w:r>
      <w:r>
        <w:rPr>
          <w:rFonts w:hint="eastAsia" w:ascii="宋体" w:hAnsi="宋体" w:eastAsia="宋体" w:cs="宋体"/>
          <w:color w:val="auto"/>
          <w:sz w:val="32"/>
          <w:szCs w:val="32"/>
          <w:highlight w:val="none"/>
          <w:u w:val="single"/>
        </w:rPr>
        <w:t>：海南省公路管理局三亚公路局</w:t>
      </w:r>
    </w:p>
    <w:p>
      <w:pPr>
        <w:spacing w:line="360" w:lineRule="auto"/>
        <w:ind w:firstLine="960"/>
        <w:rPr>
          <w:rFonts w:hint="eastAsia" w:ascii="宋体" w:hAnsi="宋体" w:eastAsia="宋体" w:cs="宋体"/>
          <w:color w:val="auto"/>
          <w:highlight w:val="none"/>
        </w:rPr>
      </w:pPr>
      <w:r>
        <w:rPr>
          <w:rFonts w:hint="eastAsia" w:ascii="宋体" w:hAnsi="宋体" w:eastAsia="宋体" w:cs="宋体"/>
          <w:color w:val="auto"/>
          <w:sz w:val="32"/>
          <w:szCs w:val="32"/>
          <w:highlight w:val="none"/>
        </w:rPr>
        <w:t xml:space="preserve">施工单位：     </w:t>
      </w:r>
    </w:p>
    <w:p>
      <w:pPr>
        <w:spacing w:line="360" w:lineRule="auto"/>
        <w:ind w:firstLine="960"/>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rPr>
        <w:t>签订地点：</w:t>
      </w:r>
      <w:r>
        <w:rPr>
          <w:rFonts w:hint="eastAsia" w:ascii="宋体" w:hAnsi="宋体" w:eastAsia="宋体" w:cs="宋体"/>
          <w:color w:val="auto"/>
          <w:sz w:val="32"/>
          <w:szCs w:val="32"/>
          <w:highlight w:val="none"/>
          <w:u w:val="single"/>
        </w:rPr>
        <w:t>海南省三亚市</w:t>
      </w:r>
    </w:p>
    <w:p>
      <w:pPr>
        <w:tabs>
          <w:tab w:val="left" w:pos="1455"/>
        </w:tabs>
        <w:spacing w:line="360" w:lineRule="auto"/>
        <w:jc w:val="center"/>
        <w:rPr>
          <w:rFonts w:hint="eastAsia" w:ascii="宋体" w:hAnsi="宋体" w:eastAsia="宋体" w:cs="宋体"/>
          <w:b/>
          <w:color w:val="auto"/>
          <w:sz w:val="30"/>
          <w:szCs w:val="30"/>
          <w:highlight w:val="none"/>
        </w:rPr>
      </w:pPr>
    </w:p>
    <w:p>
      <w:pPr>
        <w:tabs>
          <w:tab w:val="left" w:pos="1455"/>
        </w:tabs>
        <w:spacing w:line="360" w:lineRule="auto"/>
        <w:jc w:val="center"/>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0"/>
          <w:szCs w:val="30"/>
          <w:highlight w:val="none"/>
          <w:lang w:eastAsia="zh-CN"/>
        </w:rPr>
        <w:t>G223海榆东线安全设施精细化提升工程（K276+350-K307+000)</w:t>
      </w:r>
    </w:p>
    <w:p>
      <w:pPr>
        <w:tabs>
          <w:tab w:val="left" w:pos="1455"/>
        </w:tabs>
        <w:spacing w:line="360" w:lineRule="auto"/>
        <w:jc w:val="center"/>
        <w:rPr>
          <w:rFonts w:hint="eastAsia" w:ascii="宋体" w:hAnsi="宋体" w:eastAsia="宋体" w:cs="宋体"/>
          <w:color w:val="auto"/>
          <w:highlight w:val="none"/>
        </w:rPr>
      </w:pPr>
      <w:r>
        <w:rPr>
          <w:rFonts w:hint="eastAsia" w:ascii="宋体" w:hAnsi="宋体" w:eastAsia="宋体" w:cs="宋体"/>
          <w:b/>
          <w:color w:val="auto"/>
          <w:sz w:val="36"/>
          <w:szCs w:val="36"/>
          <w:highlight w:val="none"/>
        </w:rPr>
        <w:t>承 包 合 同</w:t>
      </w:r>
    </w:p>
    <w:p>
      <w:pPr>
        <w:tabs>
          <w:tab w:val="left" w:pos="1455"/>
        </w:tabs>
        <w:spacing w:line="360" w:lineRule="auto"/>
        <w:ind w:firstLine="562"/>
        <w:jc w:val="left"/>
        <w:rPr>
          <w:rFonts w:hint="eastAsia" w:ascii="宋体" w:hAnsi="宋体" w:eastAsia="宋体" w:cs="宋体"/>
          <w:b/>
          <w:color w:val="auto"/>
          <w:sz w:val="28"/>
          <w:szCs w:val="28"/>
          <w:highlight w:val="none"/>
          <w:u w:val="single"/>
        </w:rPr>
      </w:pPr>
    </w:p>
    <w:p>
      <w:pPr>
        <w:tabs>
          <w:tab w:val="left" w:pos="1455"/>
        </w:tabs>
        <w:spacing w:line="360" w:lineRule="auto"/>
        <w:ind w:firstLine="560"/>
        <w:jc w:val="left"/>
        <w:rPr>
          <w:rFonts w:hint="eastAsia" w:ascii="宋体" w:hAnsi="宋体" w:eastAsia="宋体" w:cs="宋体"/>
          <w:color w:val="auto"/>
          <w:highlight w:val="none"/>
        </w:rPr>
      </w:pPr>
      <w:r>
        <w:rPr>
          <w:rFonts w:hint="eastAsia" w:ascii="宋体" w:hAnsi="宋体" w:eastAsia="宋体" w:cs="宋体"/>
          <w:color w:val="auto"/>
          <w:sz w:val="28"/>
          <w:szCs w:val="28"/>
          <w:highlight w:val="none"/>
        </w:rPr>
        <w:t>海南省公路管理局三亚公路局（以下简称发包人）系</w:t>
      </w:r>
      <w:r>
        <w:rPr>
          <w:rFonts w:hint="eastAsia" w:ascii="宋体" w:hAnsi="宋体" w:eastAsia="宋体" w:cs="宋体"/>
          <w:color w:val="auto"/>
          <w:sz w:val="28"/>
          <w:szCs w:val="28"/>
          <w:highlight w:val="none"/>
          <w:u w:val="single"/>
          <w:lang w:eastAsia="zh-CN"/>
        </w:rPr>
        <w:t>G223海榆东线安全设施精细化提升工程（K276+350-K307+000)</w:t>
      </w:r>
      <w:r>
        <w:rPr>
          <w:rFonts w:hint="eastAsia" w:ascii="宋体" w:hAnsi="宋体" w:eastAsia="宋体" w:cs="宋体"/>
          <w:color w:val="auto"/>
          <w:sz w:val="28"/>
          <w:szCs w:val="28"/>
          <w:highlight w:val="none"/>
        </w:rPr>
        <w:t>业主，</w:t>
      </w:r>
      <w:r>
        <w:rPr>
          <w:rFonts w:hint="eastAsia" w:ascii="宋体" w:hAnsi="宋体" w:eastAsia="宋体" w:cs="宋体"/>
          <w:color w:val="auto"/>
          <w:sz w:val="28"/>
          <w:szCs w:val="28"/>
          <w:highlight w:val="none"/>
          <w:u w:val="single"/>
        </w:rPr>
        <w:t>*****有限公司</w:t>
      </w:r>
      <w:r>
        <w:rPr>
          <w:rFonts w:hint="eastAsia" w:ascii="宋体" w:hAnsi="宋体" w:eastAsia="宋体" w:cs="宋体"/>
          <w:color w:val="auto"/>
          <w:sz w:val="28"/>
          <w:szCs w:val="28"/>
          <w:highlight w:val="none"/>
        </w:rPr>
        <w:t>（以下简称承包人）同意承担本项目的施工。为明确双方责任，确保本项目保质保量按时完成施工任务，参照有关法律法规之规定，结合本项目具体情况，经双方友好协商达成如下条款，以资双方共同遵守执行。</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一、项目范围及内容</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主要内容为：</w:t>
      </w:r>
      <w:r>
        <w:rPr>
          <w:rFonts w:hint="eastAsia" w:ascii="宋体" w:hAnsi="宋体" w:eastAsia="宋体" w:cs="宋体"/>
          <w:color w:val="auto"/>
          <w:sz w:val="28"/>
          <w:szCs w:val="28"/>
          <w:highlight w:val="none"/>
          <w:u w:val="single"/>
        </w:rPr>
        <w:t>*********************</w:t>
      </w:r>
    </w:p>
    <w:p>
      <w:pPr>
        <w:spacing w:line="360" w:lineRule="auto"/>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承包项目范围为：</w:t>
      </w:r>
      <w:r>
        <w:rPr>
          <w:rFonts w:hint="eastAsia" w:ascii="宋体" w:hAnsi="宋体" w:eastAsia="宋体" w:cs="宋体"/>
          <w:color w:val="auto"/>
          <w:sz w:val="28"/>
          <w:szCs w:val="28"/>
          <w:highlight w:val="none"/>
          <w:u w:val="single"/>
        </w:rPr>
        <w:t>*********************</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二、下列文件应视为构成并阅读和理解本合同的组成部分。即：</w:t>
      </w:r>
    </w:p>
    <w:p>
      <w:pPr>
        <w:spacing w:line="360" w:lineRule="auto"/>
        <w:ind w:left="420" w:firstLine="140"/>
        <w:rPr>
          <w:rFonts w:hint="eastAsia" w:ascii="宋体" w:hAnsi="宋体" w:eastAsia="宋体" w:cs="宋体"/>
          <w:color w:val="auto"/>
          <w:highlight w:val="none"/>
        </w:rPr>
      </w:pPr>
      <w:r>
        <w:rPr>
          <w:rFonts w:hint="eastAsia" w:ascii="宋体" w:hAnsi="宋体" w:eastAsia="宋体" w:cs="宋体"/>
          <w:color w:val="auto"/>
          <w:sz w:val="28"/>
          <w:szCs w:val="28"/>
          <w:highlight w:val="none"/>
        </w:rPr>
        <w:t>1、本合同书及其附件；</w:t>
      </w:r>
    </w:p>
    <w:p>
      <w:pPr>
        <w:spacing w:line="360" w:lineRule="auto"/>
        <w:ind w:left="420" w:firstLine="140"/>
        <w:rPr>
          <w:rFonts w:hint="eastAsia" w:ascii="宋体" w:hAnsi="宋体" w:eastAsia="宋体" w:cs="宋体"/>
          <w:color w:val="auto"/>
          <w:highlight w:val="none"/>
        </w:rPr>
      </w:pPr>
      <w:r>
        <w:rPr>
          <w:rFonts w:hint="eastAsia" w:ascii="宋体" w:hAnsi="宋体" w:eastAsia="宋体" w:cs="宋体"/>
          <w:color w:val="auto"/>
          <w:sz w:val="28"/>
          <w:szCs w:val="28"/>
          <w:highlight w:val="none"/>
        </w:rPr>
        <w:t>2、本项目工程量清单；</w:t>
      </w:r>
    </w:p>
    <w:p>
      <w:pPr>
        <w:spacing w:line="360" w:lineRule="auto"/>
        <w:ind w:left="420" w:firstLine="140"/>
        <w:rPr>
          <w:rFonts w:hint="eastAsia" w:ascii="宋体" w:hAnsi="宋体" w:eastAsia="宋体" w:cs="宋体"/>
          <w:color w:val="auto"/>
          <w:highlight w:val="none"/>
        </w:rPr>
      </w:pPr>
      <w:r>
        <w:rPr>
          <w:rFonts w:hint="eastAsia" w:ascii="宋体" w:hAnsi="宋体" w:eastAsia="宋体" w:cs="宋体"/>
          <w:color w:val="auto"/>
          <w:sz w:val="28"/>
          <w:szCs w:val="28"/>
          <w:highlight w:val="none"/>
        </w:rPr>
        <w:t>3、本项目施工图设计文件；</w:t>
      </w:r>
    </w:p>
    <w:p>
      <w:pPr>
        <w:spacing w:line="360" w:lineRule="auto"/>
        <w:ind w:left="420" w:firstLine="140"/>
        <w:rPr>
          <w:rFonts w:hint="eastAsia" w:ascii="宋体" w:hAnsi="宋体" w:eastAsia="宋体" w:cs="宋体"/>
          <w:color w:val="auto"/>
          <w:highlight w:val="none"/>
        </w:rPr>
      </w:pPr>
      <w:r>
        <w:rPr>
          <w:rFonts w:hint="eastAsia" w:ascii="宋体" w:hAnsi="宋体" w:eastAsia="宋体" w:cs="宋体"/>
          <w:color w:val="auto"/>
          <w:sz w:val="28"/>
          <w:szCs w:val="28"/>
          <w:highlight w:val="none"/>
        </w:rPr>
        <w:t>4、现行技术标准及规范。</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 w:val="28"/>
          <w:szCs w:val="28"/>
          <w:highlight w:val="none"/>
        </w:rPr>
        <w:t>上述文件互相补充和解释，如有不明确或不一致之处，以合同约定次序在先者为准。</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三、本项目造价：本合同为含人工、机械、材料及税费的单价承包，合同金额为（人民币）：人民币（大写）</w:t>
      </w:r>
      <w:r>
        <w:rPr>
          <w:rFonts w:hint="eastAsia" w:ascii="宋体" w:hAnsi="宋体" w:eastAsia="宋体" w:cs="宋体"/>
          <w:color w:val="auto"/>
          <w:sz w:val="28"/>
          <w:szCs w:val="28"/>
          <w:highlight w:val="none"/>
          <w:u w:val="single"/>
        </w:rPr>
        <w:t>********</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u w:val="single"/>
        </w:rPr>
        <w:t>*******</w:t>
      </w:r>
      <w:r>
        <w:rPr>
          <w:rFonts w:hint="eastAsia" w:ascii="宋体" w:hAnsi="宋体" w:eastAsia="宋体" w:cs="宋体"/>
          <w:color w:val="auto"/>
          <w:sz w:val="28"/>
          <w:szCs w:val="28"/>
          <w:highlight w:val="none"/>
        </w:rPr>
        <w:t>元)，结算时以实际发生工程量为准。</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承包人项目经理：</w:t>
      </w:r>
      <w:r>
        <w:rPr>
          <w:rFonts w:hint="eastAsia" w:ascii="宋体" w:hAnsi="宋体" w:eastAsia="宋体" w:cs="宋体"/>
          <w:color w:val="auto"/>
          <w:sz w:val="24"/>
          <w:highlight w:val="none"/>
          <w:u w:val="single"/>
        </w:rPr>
        <w:t>*****</w:t>
      </w:r>
    </w:p>
    <w:p>
      <w:pPr>
        <w:numPr>
          <w:ilvl w:val="0"/>
          <w:numId w:val="2"/>
        </w:num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履约担保</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1、履约担保金额为合同价5% 。</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2、担保有效期自发包人与承包人签订的合同生效之日起至发包人签发竣工验收证书之日止。</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五、施工工期</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1、承包人应按照监理人指示开工，工期为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日历天。</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2、如果出现以下情况：</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（1）额外的工程量变化；</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（2）异常恶劣的气候条件；</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（3）发包人责任造成的延误；</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（4）其他人力不可预见的特殊原因。</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如有上述情况，承包人应书面申请，报发包人批准后， 发包人以书面形式认可工期顺延。</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六、质量要求</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 xml:space="preserve">工程质量符合 </w:t>
      </w:r>
      <w:r>
        <w:rPr>
          <w:rFonts w:hint="eastAsia" w:ascii="宋体" w:hAnsi="宋体" w:eastAsia="宋体" w:cs="宋体"/>
          <w:color w:val="auto"/>
          <w:sz w:val="28"/>
          <w:szCs w:val="28"/>
          <w:highlight w:val="none"/>
          <w:u w:val="single"/>
        </w:rPr>
        <w:t>合格</w:t>
      </w:r>
      <w:r>
        <w:rPr>
          <w:rFonts w:hint="eastAsia" w:ascii="宋体" w:hAnsi="宋体" w:eastAsia="宋体" w:cs="宋体"/>
          <w:color w:val="auto"/>
          <w:sz w:val="28"/>
          <w:szCs w:val="28"/>
          <w:highlight w:val="none"/>
        </w:rPr>
        <w:t xml:space="preserve"> 标准。有国家标准的，满足国家标准；无国家标准但有行业标准的，满足行业标准；既无国家标准又无行业标准的，按照企业标准执行。无论执行何种标准，均须满足发包人实际要求。</w:t>
      </w:r>
    </w:p>
    <w:p>
      <w:pPr>
        <w:spacing w:line="360" w:lineRule="auto"/>
        <w:ind w:left="560"/>
        <w:rPr>
          <w:rFonts w:hint="eastAsia" w:ascii="宋体" w:hAnsi="宋体" w:eastAsia="宋体" w:cs="宋体"/>
          <w:color w:val="auto"/>
          <w:highlight w:val="none"/>
        </w:rPr>
      </w:pPr>
      <w:r>
        <w:rPr>
          <w:rFonts w:hint="eastAsia" w:ascii="宋体" w:hAnsi="宋体" w:eastAsia="宋体" w:cs="宋体"/>
          <w:color w:val="auto"/>
          <w:sz w:val="28"/>
          <w:szCs w:val="28"/>
          <w:highlight w:val="none"/>
        </w:rPr>
        <w:t>七、变更</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1、发包人有权对本项目任何部分做出变更，并按程序以书面形式指示承包人实施。变更发生时，双方均不应以任何方式终止合同。</w:t>
      </w:r>
    </w:p>
    <w:p>
      <w:pPr>
        <w:spacing w:line="360" w:lineRule="auto"/>
        <w:ind w:firstLine="560"/>
        <w:jc w:val="left"/>
        <w:rPr>
          <w:rFonts w:hint="eastAsia" w:ascii="宋体" w:hAnsi="宋体" w:eastAsia="宋体" w:cs="宋体"/>
          <w:color w:val="auto"/>
          <w:highlight w:val="none"/>
        </w:rPr>
      </w:pPr>
      <w:r>
        <w:rPr>
          <w:rFonts w:hint="eastAsia" w:ascii="宋体" w:hAnsi="宋体" w:eastAsia="宋体" w:cs="宋体"/>
          <w:color w:val="auto"/>
          <w:sz w:val="28"/>
          <w:szCs w:val="28"/>
          <w:highlight w:val="none"/>
        </w:rPr>
        <w:t>2、项目清单与实际不符时，由承包人以书面形式向发包人提出变更申请，经发包人及监理工程师现场核实签认后，由监理工程师签发变更令，承包人根据变更令组织施工。没有变更令承包人不得自行施工，否则由此产生的工程量，以及造成的损失均由承包人自负。</w:t>
      </w:r>
    </w:p>
    <w:p>
      <w:pPr>
        <w:spacing w:line="360" w:lineRule="auto"/>
        <w:ind w:left="560"/>
        <w:rPr>
          <w:rFonts w:hint="eastAsia" w:ascii="宋体" w:hAnsi="宋体" w:eastAsia="宋体" w:cs="宋体"/>
          <w:color w:val="auto"/>
          <w:highlight w:val="none"/>
        </w:rPr>
      </w:pPr>
      <w:r>
        <w:rPr>
          <w:rFonts w:hint="eastAsia" w:ascii="宋体" w:hAnsi="宋体" w:eastAsia="宋体" w:cs="宋体"/>
          <w:color w:val="auto"/>
          <w:sz w:val="28"/>
          <w:szCs w:val="28"/>
          <w:highlight w:val="none"/>
        </w:rPr>
        <w:t>八、质量事故及返工整改处理</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1、承包人如果在施工过程中，由于质保措施或安全生产措施缺乏，造成特大质量事故，除承包人承担全部责任及经济损失外，发包人立即终止合同，并责令承包人退场。</w:t>
      </w:r>
    </w:p>
    <w:p>
      <w:pPr>
        <w:spacing w:line="360" w:lineRule="auto"/>
        <w:ind w:firstLine="560"/>
        <w:jc w:val="left"/>
        <w:rPr>
          <w:rFonts w:hint="eastAsia" w:ascii="宋体" w:hAnsi="宋体" w:eastAsia="宋体" w:cs="宋体"/>
          <w:color w:val="auto"/>
          <w:highlight w:val="none"/>
        </w:rPr>
      </w:pPr>
      <w:r>
        <w:rPr>
          <w:rFonts w:hint="eastAsia" w:ascii="宋体" w:hAnsi="宋体" w:eastAsia="宋体" w:cs="宋体"/>
          <w:color w:val="auto"/>
          <w:sz w:val="28"/>
          <w:szCs w:val="28"/>
          <w:highlight w:val="none"/>
        </w:rPr>
        <w:t>2、承包人如果在施工过程中，由于质保措施欠佳，造成一次返工整改后，未能达到规定要求，则发包人立即终止合同，并责令承包人退场,承包人承担相应的责任和发生的费用，无权就已完成的工程部分向发包人主张工程款。</w:t>
      </w:r>
    </w:p>
    <w:p>
      <w:pPr>
        <w:spacing w:line="360" w:lineRule="auto"/>
        <w:ind w:firstLine="560"/>
        <w:jc w:val="left"/>
        <w:rPr>
          <w:rFonts w:hint="eastAsia" w:ascii="宋体" w:hAnsi="宋体" w:eastAsia="宋体" w:cs="宋体"/>
          <w:color w:val="auto"/>
          <w:highlight w:val="none"/>
        </w:rPr>
      </w:pPr>
      <w:r>
        <w:rPr>
          <w:rFonts w:hint="eastAsia" w:ascii="宋体" w:hAnsi="宋体" w:eastAsia="宋体" w:cs="宋体"/>
          <w:color w:val="auto"/>
          <w:sz w:val="28"/>
          <w:szCs w:val="28"/>
          <w:highlight w:val="none"/>
        </w:rPr>
        <w:t>3、承包人现场施工人员不负责任造成质量事故的，发包人有权驱逐出场，并由承包人承担全部责任及经济损失。</w:t>
      </w:r>
    </w:p>
    <w:p>
      <w:pPr>
        <w:spacing w:line="360" w:lineRule="auto"/>
        <w:ind w:firstLine="560"/>
        <w:jc w:val="left"/>
        <w:rPr>
          <w:rFonts w:hint="eastAsia" w:ascii="宋体" w:hAnsi="宋体" w:eastAsia="宋体" w:cs="宋体"/>
          <w:color w:val="auto"/>
          <w:highlight w:val="none"/>
        </w:rPr>
      </w:pPr>
      <w:r>
        <w:rPr>
          <w:rFonts w:hint="eastAsia" w:ascii="宋体" w:hAnsi="宋体" w:eastAsia="宋体" w:cs="宋体"/>
          <w:color w:val="auto"/>
          <w:sz w:val="28"/>
          <w:szCs w:val="28"/>
          <w:highlight w:val="none"/>
        </w:rPr>
        <w:t>九、合同款支付</w:t>
      </w:r>
    </w:p>
    <w:p>
      <w:pPr>
        <w:spacing w:line="360" w:lineRule="auto"/>
        <w:ind w:firstLine="560"/>
        <w:jc w:val="left"/>
        <w:rPr>
          <w:rFonts w:hint="eastAsia" w:ascii="宋体" w:hAnsi="宋体" w:eastAsia="宋体" w:cs="宋体"/>
          <w:color w:val="auto"/>
          <w:highlight w:val="none"/>
        </w:rPr>
      </w:pPr>
      <w:r>
        <w:rPr>
          <w:rFonts w:hint="eastAsia" w:ascii="宋体" w:hAnsi="宋体" w:eastAsia="宋体" w:cs="宋体"/>
          <w:color w:val="auto"/>
          <w:sz w:val="28"/>
          <w:szCs w:val="28"/>
          <w:highlight w:val="none"/>
        </w:rPr>
        <w:t>动员预付款支付比例或金额：合同价</w:t>
      </w:r>
      <w:r>
        <w:rPr>
          <w:rFonts w:hint="eastAsia" w:ascii="宋体" w:hAnsi="宋体" w:eastAsia="宋体" w:cs="宋体"/>
          <w:color w:val="auto"/>
          <w:sz w:val="28"/>
          <w:szCs w:val="28"/>
          <w:highlight w:val="none"/>
          <w:u w:val="single"/>
        </w:rPr>
        <w:t>30%</w:t>
      </w:r>
      <w:r>
        <w:rPr>
          <w:rFonts w:hint="eastAsia" w:ascii="宋体" w:hAnsi="宋体" w:eastAsia="宋体" w:cs="宋体"/>
          <w:color w:val="auto"/>
          <w:sz w:val="28"/>
          <w:szCs w:val="28"/>
          <w:highlight w:val="none"/>
        </w:rPr>
        <w:t xml:space="preserve"> 。</w:t>
      </w:r>
    </w:p>
    <w:p>
      <w:pPr>
        <w:spacing w:line="360" w:lineRule="auto"/>
        <w:ind w:firstLine="560"/>
        <w:jc w:val="left"/>
        <w:rPr>
          <w:rFonts w:hint="eastAsia" w:ascii="宋体" w:hAnsi="宋体" w:eastAsia="宋体" w:cs="宋体"/>
          <w:color w:val="auto"/>
          <w:highlight w:val="none"/>
        </w:rPr>
      </w:pPr>
      <w:r>
        <w:rPr>
          <w:rFonts w:hint="eastAsia" w:ascii="宋体" w:hAnsi="宋体" w:eastAsia="宋体" w:cs="宋体"/>
          <w:color w:val="auto"/>
          <w:sz w:val="28"/>
          <w:szCs w:val="28"/>
          <w:highlight w:val="none"/>
        </w:rPr>
        <w:t>计量周期末指每月25日，按每月进度付款证书支付；整个工程完工后，累计支付工程款达合同价款的</w:t>
      </w:r>
      <w:r>
        <w:rPr>
          <w:rFonts w:hint="eastAsia" w:ascii="宋体" w:hAnsi="宋体" w:eastAsia="宋体" w:cs="宋体"/>
          <w:color w:val="auto"/>
          <w:sz w:val="28"/>
          <w:szCs w:val="28"/>
          <w:highlight w:val="none"/>
          <w:u w:val="single"/>
        </w:rPr>
        <w:t>90%</w:t>
      </w:r>
      <w:r>
        <w:rPr>
          <w:rFonts w:hint="eastAsia" w:ascii="宋体" w:hAnsi="宋体" w:eastAsia="宋体" w:cs="宋体"/>
          <w:color w:val="auto"/>
          <w:sz w:val="28"/>
          <w:szCs w:val="28"/>
          <w:highlight w:val="none"/>
        </w:rPr>
        <w:t>，即停止支付；整个工程竣（交）工验收合格，资料完备并合格后，累计支付工程款达合同价款的</w:t>
      </w:r>
      <w:r>
        <w:rPr>
          <w:rFonts w:hint="eastAsia" w:ascii="宋体" w:hAnsi="宋体" w:eastAsia="宋体" w:cs="宋体"/>
          <w:color w:val="auto"/>
          <w:sz w:val="28"/>
          <w:szCs w:val="28"/>
          <w:highlight w:val="none"/>
          <w:u w:val="single"/>
        </w:rPr>
        <w:t>97%</w:t>
      </w:r>
      <w:r>
        <w:rPr>
          <w:rFonts w:hint="eastAsia" w:ascii="宋体" w:hAnsi="宋体" w:eastAsia="宋体" w:cs="宋体"/>
          <w:color w:val="auto"/>
          <w:sz w:val="28"/>
          <w:szCs w:val="28"/>
          <w:highlight w:val="none"/>
        </w:rPr>
        <w:t>，扣除实际完成的工程款的3%作为工程质量保证金，6个月缺陷质保期届满后无利息一次性支付。</w:t>
      </w:r>
    </w:p>
    <w:p>
      <w:pPr>
        <w:spacing w:line="360" w:lineRule="auto"/>
        <w:ind w:firstLine="560"/>
        <w:jc w:val="left"/>
        <w:rPr>
          <w:rFonts w:hint="eastAsia" w:ascii="宋体" w:hAnsi="宋体" w:eastAsia="宋体" w:cs="宋体"/>
          <w:color w:val="auto"/>
          <w:highlight w:val="none"/>
        </w:rPr>
      </w:pPr>
      <w:r>
        <w:rPr>
          <w:rFonts w:hint="eastAsia" w:ascii="宋体" w:hAnsi="宋体" w:eastAsia="宋体" w:cs="宋体"/>
          <w:color w:val="auto"/>
          <w:sz w:val="28"/>
          <w:szCs w:val="28"/>
          <w:highlight w:val="none"/>
        </w:rPr>
        <w:t>十、双方责任</w:t>
      </w:r>
    </w:p>
    <w:p>
      <w:pPr>
        <w:spacing w:line="360" w:lineRule="auto"/>
        <w:ind w:firstLine="560"/>
        <w:jc w:val="left"/>
        <w:rPr>
          <w:rFonts w:hint="eastAsia" w:ascii="宋体" w:hAnsi="宋体" w:eastAsia="宋体" w:cs="宋体"/>
          <w:color w:val="auto"/>
          <w:highlight w:val="none"/>
        </w:rPr>
      </w:pPr>
      <w:r>
        <w:rPr>
          <w:rFonts w:hint="eastAsia" w:ascii="宋体" w:hAnsi="宋体" w:eastAsia="宋体" w:cs="宋体"/>
          <w:color w:val="auto"/>
          <w:sz w:val="28"/>
          <w:szCs w:val="28"/>
          <w:highlight w:val="none"/>
        </w:rPr>
        <w:t>1、发包人责任</w:t>
      </w:r>
    </w:p>
    <w:p>
      <w:pPr>
        <w:spacing w:line="360" w:lineRule="auto"/>
        <w:ind w:firstLine="280"/>
        <w:rPr>
          <w:rFonts w:hint="eastAsia" w:ascii="宋体" w:hAnsi="宋体" w:eastAsia="宋体" w:cs="宋体"/>
          <w:color w:val="auto"/>
          <w:highlight w:val="none"/>
        </w:rPr>
      </w:pPr>
      <w:r>
        <w:rPr>
          <w:rFonts w:hint="eastAsia" w:ascii="宋体" w:hAnsi="宋体" w:eastAsia="宋体" w:cs="宋体"/>
          <w:color w:val="auto"/>
          <w:sz w:val="28"/>
          <w:szCs w:val="28"/>
          <w:highlight w:val="none"/>
        </w:rPr>
        <w:t>（1）负责与有关方面协调办理本项目的征地拆迁、安置工作，协助解决水源、电源及施工临时用地；</w:t>
      </w:r>
    </w:p>
    <w:p>
      <w:pPr>
        <w:spacing w:line="360" w:lineRule="auto"/>
        <w:ind w:firstLine="280"/>
        <w:rPr>
          <w:rFonts w:hint="eastAsia" w:ascii="宋体" w:hAnsi="宋体" w:eastAsia="宋体" w:cs="宋体"/>
          <w:color w:val="auto"/>
          <w:highlight w:val="none"/>
        </w:rPr>
      </w:pPr>
      <w:r>
        <w:rPr>
          <w:rFonts w:hint="eastAsia" w:ascii="宋体" w:hAnsi="宋体" w:eastAsia="宋体" w:cs="宋体"/>
          <w:color w:val="auto"/>
          <w:sz w:val="28"/>
          <w:szCs w:val="28"/>
          <w:highlight w:val="none"/>
        </w:rPr>
        <w:t>（2）负责协调处理本项目建设与地方政府、居民或施工单位的协调关系；</w:t>
      </w:r>
    </w:p>
    <w:p>
      <w:pPr>
        <w:spacing w:line="360" w:lineRule="auto"/>
        <w:ind w:firstLine="280"/>
        <w:rPr>
          <w:rFonts w:hint="eastAsia" w:ascii="宋体" w:hAnsi="宋体" w:eastAsia="宋体" w:cs="宋体"/>
          <w:color w:val="auto"/>
          <w:highlight w:val="none"/>
        </w:rPr>
      </w:pPr>
      <w:r>
        <w:rPr>
          <w:rFonts w:hint="eastAsia" w:ascii="宋体" w:hAnsi="宋体" w:eastAsia="宋体" w:cs="宋体"/>
          <w:color w:val="auto"/>
          <w:sz w:val="28"/>
          <w:szCs w:val="28"/>
          <w:highlight w:val="none"/>
        </w:rPr>
        <w:t>（3）及时组织验收。</w:t>
      </w:r>
    </w:p>
    <w:p>
      <w:pPr>
        <w:spacing w:line="360" w:lineRule="auto"/>
        <w:ind w:firstLine="280"/>
        <w:rPr>
          <w:rFonts w:hint="eastAsia" w:ascii="宋体" w:hAnsi="宋体" w:eastAsia="宋体" w:cs="宋体"/>
          <w:color w:val="auto"/>
          <w:highlight w:val="none"/>
        </w:rPr>
      </w:pPr>
      <w:r>
        <w:rPr>
          <w:rFonts w:hint="eastAsia" w:ascii="宋体" w:hAnsi="宋体" w:eastAsia="宋体" w:cs="宋体"/>
          <w:color w:val="auto"/>
          <w:sz w:val="28"/>
          <w:szCs w:val="28"/>
          <w:highlight w:val="none"/>
        </w:rPr>
        <w:t>2、承包人责任</w:t>
      </w:r>
    </w:p>
    <w:p>
      <w:pPr>
        <w:spacing w:line="360" w:lineRule="auto"/>
        <w:ind w:firstLine="280"/>
        <w:rPr>
          <w:rFonts w:hint="eastAsia" w:ascii="宋体" w:hAnsi="宋体" w:eastAsia="宋体" w:cs="宋体"/>
          <w:color w:val="auto"/>
          <w:highlight w:val="none"/>
        </w:rPr>
      </w:pPr>
      <w:r>
        <w:rPr>
          <w:rFonts w:hint="eastAsia" w:ascii="宋体" w:hAnsi="宋体" w:eastAsia="宋体" w:cs="宋体"/>
          <w:color w:val="auto"/>
          <w:sz w:val="28"/>
          <w:szCs w:val="28"/>
          <w:highlight w:val="none"/>
        </w:rPr>
        <w:t>（1）应遵守国家的法律、法规及地方性法规、规章；</w:t>
      </w:r>
    </w:p>
    <w:p>
      <w:pPr>
        <w:spacing w:line="360" w:lineRule="auto"/>
        <w:ind w:firstLine="280"/>
        <w:rPr>
          <w:rFonts w:hint="eastAsia" w:ascii="宋体" w:hAnsi="宋体" w:eastAsia="宋体" w:cs="宋体"/>
          <w:color w:val="auto"/>
          <w:highlight w:val="none"/>
        </w:rPr>
      </w:pPr>
      <w:r>
        <w:rPr>
          <w:rFonts w:hint="eastAsia" w:ascii="宋体" w:hAnsi="宋体" w:eastAsia="宋体" w:cs="宋体"/>
          <w:color w:val="auto"/>
          <w:sz w:val="28"/>
          <w:szCs w:val="28"/>
          <w:highlight w:val="none"/>
        </w:rPr>
        <w:t>（2）应对全部现场作业和施工方法的适应性、稳定性和安全性完全负责，乙方应采取一切合理有效措施保护施工内外的环境，负责现场建筑垃圾的全面清理、弃运。承包人施工过程中，做好现场管线、电缆、桥梁附属设施等保护工作，如造成毁损，承包人承担赔偿责任；</w:t>
      </w:r>
    </w:p>
    <w:p>
      <w:pPr>
        <w:spacing w:line="360" w:lineRule="auto"/>
        <w:ind w:firstLine="280"/>
        <w:rPr>
          <w:rFonts w:hint="eastAsia" w:ascii="宋体" w:hAnsi="宋体" w:eastAsia="宋体" w:cs="宋体"/>
          <w:color w:val="auto"/>
          <w:highlight w:val="none"/>
        </w:rPr>
      </w:pPr>
      <w:r>
        <w:rPr>
          <w:rFonts w:hint="eastAsia" w:ascii="宋体" w:hAnsi="宋体" w:eastAsia="宋体" w:cs="宋体"/>
          <w:color w:val="auto"/>
          <w:sz w:val="28"/>
          <w:szCs w:val="28"/>
          <w:highlight w:val="none"/>
        </w:rPr>
        <w:t>（3）按照合同要求负责质量保证和缺陷责任；</w:t>
      </w:r>
    </w:p>
    <w:p>
      <w:pPr>
        <w:spacing w:line="360" w:lineRule="auto"/>
        <w:ind w:firstLine="280"/>
        <w:rPr>
          <w:rFonts w:hint="eastAsia" w:ascii="宋体" w:hAnsi="宋体" w:eastAsia="宋体" w:cs="宋体"/>
          <w:color w:val="auto"/>
          <w:highlight w:val="none"/>
        </w:rPr>
      </w:pPr>
      <w:r>
        <w:rPr>
          <w:rFonts w:hint="eastAsia" w:ascii="宋体" w:hAnsi="宋体" w:eastAsia="宋体" w:cs="宋体"/>
          <w:color w:val="auto"/>
          <w:sz w:val="28"/>
          <w:szCs w:val="28"/>
          <w:highlight w:val="none"/>
        </w:rPr>
        <w:t>（4）在实施本项目的整个过程中，应保障所有现场工作人员的施工安全，保障公众或他人安全不受本项目作业威胁；</w:t>
      </w:r>
    </w:p>
    <w:p>
      <w:pPr>
        <w:spacing w:line="360" w:lineRule="auto"/>
        <w:ind w:firstLine="280"/>
        <w:rPr>
          <w:rFonts w:hint="eastAsia" w:ascii="宋体" w:hAnsi="宋体" w:eastAsia="宋体" w:cs="宋体"/>
          <w:color w:val="auto"/>
          <w:highlight w:val="none"/>
        </w:rPr>
      </w:pPr>
      <w:r>
        <w:rPr>
          <w:rFonts w:hint="eastAsia" w:ascii="宋体" w:hAnsi="宋体" w:eastAsia="宋体" w:cs="宋体"/>
          <w:color w:val="auto"/>
          <w:sz w:val="28"/>
          <w:szCs w:val="28"/>
          <w:highlight w:val="none"/>
        </w:rPr>
        <w:t>（5）负责本项目实施过程中的安全责任，对发生的所有安全责任及事故负全责（因发包人原因造成的除外）；与甲方无关，由乙方负全责；</w:t>
      </w:r>
    </w:p>
    <w:p>
      <w:pPr>
        <w:pStyle w:val="39"/>
        <w:spacing w:line="360" w:lineRule="auto"/>
        <w:ind w:firstLine="280"/>
        <w:rPr>
          <w:rFonts w:hint="eastAsia" w:ascii="宋体" w:hAnsi="宋体" w:eastAsia="宋体" w:cs="宋体"/>
          <w:color w:val="auto"/>
          <w:highlight w:val="none"/>
        </w:rPr>
      </w:pPr>
      <w:r>
        <w:rPr>
          <w:rFonts w:hint="eastAsia" w:ascii="宋体" w:hAnsi="宋体" w:eastAsia="宋体" w:cs="宋体"/>
          <w:color w:val="auto"/>
          <w:sz w:val="28"/>
          <w:szCs w:val="28"/>
          <w:highlight w:val="none"/>
        </w:rPr>
        <w:t>（6）缺陷责任保修期内，承包人负责无偿维修、更换等，以保证本项目质量符合前款要求。如承包人无故不履行保修义务，发包人可委托第三方维修、更换等，因此产生的费用由承包人承担。</w:t>
      </w:r>
    </w:p>
    <w:p>
      <w:pPr>
        <w:pStyle w:val="39"/>
        <w:spacing w:line="360" w:lineRule="auto"/>
        <w:ind w:firstLine="280"/>
        <w:rPr>
          <w:rFonts w:hint="eastAsia" w:ascii="宋体" w:hAnsi="宋体" w:eastAsia="宋体" w:cs="宋体"/>
          <w:color w:val="auto"/>
          <w:highlight w:val="none"/>
        </w:rPr>
      </w:pPr>
      <w:r>
        <w:rPr>
          <w:rFonts w:hint="eastAsia" w:ascii="宋体" w:hAnsi="宋体" w:eastAsia="宋体" w:cs="宋体"/>
          <w:color w:val="auto"/>
          <w:sz w:val="28"/>
          <w:szCs w:val="28"/>
          <w:highlight w:val="none"/>
        </w:rPr>
        <w:t>（7）承包人在施工过程中，其工作人员遭受一切人身及财产损失，由承包人自行承担。</w:t>
      </w:r>
    </w:p>
    <w:p>
      <w:pPr>
        <w:pStyle w:val="39"/>
        <w:spacing w:line="360" w:lineRule="auto"/>
        <w:ind w:firstLine="420"/>
        <w:rPr>
          <w:rFonts w:hint="eastAsia" w:ascii="宋体" w:hAnsi="宋体" w:eastAsia="宋体" w:cs="宋体"/>
          <w:color w:val="auto"/>
          <w:highlight w:val="none"/>
        </w:rPr>
      </w:pPr>
      <w:r>
        <w:rPr>
          <w:rFonts w:hint="eastAsia" w:ascii="宋体" w:hAnsi="宋体" w:eastAsia="宋体" w:cs="宋体"/>
          <w:color w:val="auto"/>
          <w:sz w:val="28"/>
          <w:szCs w:val="28"/>
          <w:highlight w:val="none"/>
        </w:rPr>
        <w:t>十一、承包人的违约</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当承包人发生以下违约情况时，有权向承包人课以合同价款的10%的违约金，造成发包人损失的，还需承担赔偿责任，包括但不限于律师费、诉讼费、鉴定费等费用。如承包人违约被发包人终止合同，发包人则将该标段未完成的工程交由终止合同时工程进度前3名的其他标段承包人来完成，违约的承包人必须无条件配合：</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1、承包人以各种理由减少或降低合同约定的工程质量、工程内容，拖延施工工期；</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2、因承包人的行为造成重大或者特大质量和安全事故；</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3、承包人不签订劳动用工合同、非法使用农民工的，或者拖延和克扣农民工工资的；</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3、未经发包人许可，承包人将本项目的任何部位转包或分包第三人；</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5、承包人不按合同约定履行义务的其他情况。</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十二、项目验收</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满足下列条件者，承包人可书面向发包人提出验收要求：</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（1）结算资料文件已按要求完成并经发包人相关负责人审定认可；</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（2）施工现场已经清理干净，无任何障碍物，满足发包人相应要求。</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十三、其他条款</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1、在合同履行过程中，如有未尽事宜，由双方协商解决，如协商未能解决争议，任何一方可在合同协议书签订地（海口）的人民法院提起诉讼。</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十四、本合同一式六份，双方各执三份，经发包人、承包人双方盖章并签字后生效。</w:t>
      </w: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发包人：</w:t>
      </w:r>
      <w:r>
        <w:rPr>
          <w:rFonts w:hint="eastAsia" w:ascii="宋体" w:hAnsi="宋体" w:eastAsia="宋体" w:cs="宋体"/>
          <w:color w:val="auto"/>
          <w:sz w:val="28"/>
          <w:szCs w:val="28"/>
          <w:highlight w:val="none"/>
          <w:u w:val="single"/>
        </w:rPr>
        <w:t>海南省公路管理局三亚公路局</w:t>
      </w:r>
      <w:r>
        <w:rPr>
          <w:rFonts w:hint="eastAsia" w:ascii="宋体" w:hAnsi="宋体" w:eastAsia="宋体" w:cs="宋体"/>
          <w:color w:val="auto"/>
          <w:sz w:val="28"/>
          <w:szCs w:val="28"/>
          <w:highlight w:val="none"/>
        </w:rPr>
        <w:t xml:space="preserve">  （盖章）         </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 xml:space="preserve">法定代表人或委托代理人：                </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日  </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承包人：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（盖章）</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法定代表人或委托代理人：</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日  </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 xml:space="preserve">开户行：*******  </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账 号：**********</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30"/>
          <w:szCs w:val="30"/>
          <w:highlight w:val="none"/>
        </w:rPr>
        <w:br w:type="page"/>
      </w:r>
      <w:r>
        <w:rPr>
          <w:rFonts w:hint="eastAsia" w:ascii="宋体" w:hAnsi="宋体" w:eastAsia="宋体" w:cs="宋体"/>
          <w:b/>
          <w:color w:val="auto"/>
          <w:sz w:val="30"/>
          <w:szCs w:val="30"/>
          <w:highlight w:val="none"/>
        </w:rPr>
        <w:t>附件一廉政合同</w:t>
      </w:r>
    </w:p>
    <w:p>
      <w:pPr>
        <w:spacing w:line="360" w:lineRule="auto"/>
        <w:rPr>
          <w:rFonts w:hint="eastAsia" w:ascii="宋体" w:hAnsi="宋体" w:eastAsia="宋体" w:cs="宋体"/>
          <w:b/>
          <w:color w:val="auto"/>
          <w:sz w:val="30"/>
          <w:szCs w:val="30"/>
          <w:highlight w:val="none"/>
        </w:rPr>
      </w:pPr>
    </w:p>
    <w:p>
      <w:pPr>
        <w:spacing w:line="360" w:lineRule="auto"/>
        <w:jc w:val="center"/>
        <w:rPr>
          <w:rFonts w:hint="eastAsia" w:ascii="宋体" w:hAnsi="宋体" w:eastAsia="宋体" w:cs="宋体"/>
          <w:color w:val="auto"/>
          <w:highlight w:val="none"/>
        </w:rPr>
      </w:pPr>
      <w:r>
        <w:rPr>
          <w:rFonts w:hint="eastAsia" w:ascii="宋体" w:hAnsi="宋体" w:eastAsia="宋体" w:cs="宋体"/>
          <w:b/>
          <w:color w:val="auto"/>
          <w:sz w:val="30"/>
          <w:szCs w:val="30"/>
          <w:highlight w:val="none"/>
        </w:rPr>
        <w:t>廉政合同</w:t>
      </w:r>
    </w:p>
    <w:p>
      <w:pPr>
        <w:spacing w:line="360" w:lineRule="auto"/>
        <w:rPr>
          <w:rFonts w:hint="eastAsia" w:ascii="宋体" w:hAnsi="宋体" w:eastAsia="宋体" w:cs="宋体"/>
          <w:b/>
          <w:color w:val="auto"/>
          <w:sz w:val="28"/>
          <w:szCs w:val="28"/>
          <w:highlight w:val="none"/>
        </w:rPr>
      </w:pPr>
    </w:p>
    <w:p>
      <w:pPr>
        <w:pStyle w:val="7"/>
        <w:spacing w:line="360" w:lineRule="auto"/>
        <w:ind w:firstLine="560"/>
        <w:jc w:val="left"/>
        <w:rPr>
          <w:rFonts w:hint="eastAsia" w:ascii="宋体" w:hAnsi="宋体" w:eastAsia="宋体" w:cs="宋体"/>
          <w:color w:val="auto"/>
          <w:highlight w:val="none"/>
        </w:rPr>
      </w:pPr>
      <w:r>
        <w:rPr>
          <w:rFonts w:hint="eastAsia" w:ascii="宋体" w:hAnsi="宋体" w:eastAsia="宋体" w:cs="宋体"/>
          <w:color w:val="auto"/>
          <w:sz w:val="28"/>
          <w:szCs w:val="28"/>
          <w:highlight w:val="none"/>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eastAsia="宋体" w:cs="宋体"/>
          <w:b/>
          <w:color w:val="auto"/>
          <w:sz w:val="28"/>
          <w:szCs w:val="28"/>
          <w:highlight w:val="none"/>
          <w:u w:val="single"/>
          <w:lang w:eastAsia="zh-CN"/>
        </w:rPr>
        <w:t>G223海榆东线安全设施精细化提升工程（K276+350-K307+000)</w:t>
      </w:r>
      <w:r>
        <w:rPr>
          <w:rFonts w:hint="eastAsia" w:ascii="宋体" w:hAnsi="宋体" w:eastAsia="宋体" w:cs="宋体"/>
          <w:color w:val="auto"/>
          <w:sz w:val="28"/>
          <w:szCs w:val="28"/>
          <w:highlight w:val="none"/>
        </w:rPr>
        <w:t>（项目名称）的项目法人</w:t>
      </w:r>
      <w:r>
        <w:rPr>
          <w:rFonts w:hint="eastAsia" w:ascii="宋体" w:hAnsi="宋体" w:eastAsia="宋体" w:cs="宋体"/>
          <w:b/>
          <w:bCs/>
          <w:color w:val="auto"/>
          <w:sz w:val="28"/>
          <w:szCs w:val="28"/>
          <w:highlight w:val="none"/>
          <w:u w:val="single"/>
        </w:rPr>
        <w:t>海南省公路管理局三亚公路局</w:t>
      </w:r>
      <w:r>
        <w:rPr>
          <w:rFonts w:hint="eastAsia" w:ascii="宋体" w:hAnsi="宋体" w:eastAsia="宋体" w:cs="宋体"/>
          <w:color w:val="auto"/>
          <w:sz w:val="28"/>
          <w:szCs w:val="28"/>
          <w:highlight w:val="none"/>
        </w:rPr>
        <w:t>（项目法人名称，以下简称“发包人”）与该项目</w:t>
      </w:r>
      <w:r>
        <w:rPr>
          <w:rFonts w:hint="eastAsia" w:ascii="宋体" w:hAnsi="宋体" w:eastAsia="宋体" w:cs="宋体"/>
          <w:color w:val="auto"/>
          <w:sz w:val="28"/>
          <w:szCs w:val="28"/>
          <w:highlight w:val="none"/>
          <w:u w:val="single"/>
        </w:rPr>
        <w:t xml:space="preserve"> 施工 </w:t>
      </w:r>
      <w:r>
        <w:rPr>
          <w:rFonts w:hint="eastAsia" w:ascii="宋体" w:hAnsi="宋体" w:eastAsia="宋体" w:cs="宋体"/>
          <w:color w:val="auto"/>
          <w:sz w:val="28"/>
          <w:szCs w:val="28"/>
          <w:highlight w:val="none"/>
        </w:rPr>
        <w:t>标段的施工单位</w:t>
      </w:r>
      <w:r>
        <w:rPr>
          <w:rFonts w:hint="eastAsia" w:ascii="宋体" w:hAnsi="宋体" w:eastAsia="宋体" w:cs="宋体"/>
          <w:b/>
          <w:color w:val="auto"/>
          <w:sz w:val="28"/>
          <w:szCs w:val="28"/>
          <w:highlight w:val="none"/>
          <w:u w:val="single"/>
        </w:rPr>
        <w:t>*****有限公司</w:t>
      </w:r>
      <w:r>
        <w:rPr>
          <w:rFonts w:hint="eastAsia" w:ascii="宋体" w:hAnsi="宋体" w:eastAsia="宋体" w:cs="宋体"/>
          <w:color w:val="auto"/>
          <w:sz w:val="28"/>
          <w:szCs w:val="28"/>
          <w:highlight w:val="none"/>
        </w:rPr>
        <w:t>（施工单位名称，以下简称“承包人”），特订立如下合同。</w:t>
      </w:r>
    </w:p>
    <w:p>
      <w:pPr>
        <w:spacing w:line="360" w:lineRule="auto"/>
        <w:ind w:firstLine="579"/>
        <w:rPr>
          <w:rFonts w:hint="eastAsia" w:ascii="宋体" w:hAnsi="宋体" w:eastAsia="宋体" w:cs="宋体"/>
          <w:color w:val="auto"/>
          <w:highlight w:val="none"/>
        </w:rPr>
      </w:pPr>
      <w:r>
        <w:rPr>
          <w:rFonts w:hint="eastAsia" w:ascii="宋体" w:hAnsi="宋体" w:eastAsia="宋体" w:cs="宋体"/>
          <w:color w:val="auto"/>
          <w:sz w:val="28"/>
          <w:szCs w:val="28"/>
          <w:highlight w:val="none"/>
        </w:rPr>
        <w:t>1.发包人和承包人双方的权利和义务</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（1）严格遵守党的政策规定和国家有关法律法规及交通运输部的有关规定。</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（2）严格执行</w:t>
      </w:r>
      <w:r>
        <w:rPr>
          <w:rFonts w:hint="eastAsia" w:ascii="宋体" w:hAnsi="宋体" w:eastAsia="宋体" w:cs="宋体"/>
          <w:b/>
          <w:color w:val="auto"/>
          <w:sz w:val="28"/>
          <w:szCs w:val="28"/>
          <w:highlight w:val="none"/>
          <w:u w:val="single"/>
          <w:lang w:eastAsia="zh-CN"/>
        </w:rPr>
        <w:t>G223海榆东线安全设施精细化提升工程（K276+350-K307+000)</w:t>
      </w:r>
      <w:r>
        <w:rPr>
          <w:rFonts w:hint="eastAsia" w:ascii="宋体" w:hAnsi="宋体" w:eastAsia="宋体" w:cs="宋体"/>
          <w:color w:val="auto"/>
          <w:sz w:val="28"/>
          <w:szCs w:val="28"/>
          <w:highlight w:val="none"/>
        </w:rPr>
        <w:t>（项目名称）</w:t>
      </w:r>
      <w:r>
        <w:rPr>
          <w:rFonts w:hint="eastAsia" w:ascii="宋体" w:hAnsi="宋体" w:eastAsia="宋体" w:cs="宋体"/>
          <w:color w:val="auto"/>
          <w:sz w:val="28"/>
          <w:szCs w:val="28"/>
          <w:highlight w:val="none"/>
          <w:u w:val="single"/>
        </w:rPr>
        <w:t xml:space="preserve"> 施工 </w:t>
      </w:r>
      <w:r>
        <w:rPr>
          <w:rFonts w:hint="eastAsia" w:ascii="宋体" w:hAnsi="宋体" w:eastAsia="宋体" w:cs="宋体"/>
          <w:color w:val="auto"/>
          <w:sz w:val="28"/>
          <w:szCs w:val="28"/>
          <w:highlight w:val="none"/>
        </w:rPr>
        <w:t>标段施工合同文件，自觉按合同办事。</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（3）双方的业务活动坚持公开、公正、诚信、透明的原则（法律认定的商业秘密和合同文件另有规定除外），不得损害国家和集体利益，不得违反工程建设管理规章制度。</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（4）建立健全廉政制度，开展廉政教育，设立廉政告示牌，公布举报电话，监督并认真查处违法违纪行为。</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（5）发现对方在业务活动中有违反廉政规定的行为，有及时提醒对方纠正的权利和义务。</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（6）发现对方严重违反本合同义务条款的行为，有向其上级有关部门举报、建议给予处理并要求告知处理结果的权利。</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2.发包人的义务</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（1）发包人及其工作人员不得索要或接受承包人的礼金、有价证券和贵重物品，不得让承包人报销任何应由发包人或发包人工作人员个人支付的费用等。</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（2）发包人工作人员不得参加承包人安排的超标准宴请和娱乐活动；不得接受承包人提供的通讯工具、交通工具和高档办公用品等。</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（3）发包人及其工作人员不得要求或者接受承包人为其住房装修、婚丧嫁娶活动、配偶子女的工作安排以及出国出境、旅游等提供方便等。</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（4）发包人工作人员及其配偶、子女不得从事与发包人工程有关的材料设备供应、工程分包、劳务等经济活动等。</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（5）发包人及其工作人员不得以任何理由向承包人推荐分包单位或推销材料，不得要求承包人购买合同规定外的材料和设备。</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（6）发包人工作人员要秉公办事，不准营私舞弊，不准利用职权从事各种个人有偿中介活动和安排个人施工队伍。</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3.承包人的义务</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（1）承包人不得以任何理由向发包人及其工作人员行贿或馈赠礼金、有价证券、贵重礼品。</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（2）承包人不得以任何名义为发包人及其工作人员报销应由发包人单位或个人支付的任何费用。</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（3）承包人不得以任何理由安排发包人工作人员参加超标准宴请及娱乐活动。</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（4）承包人不得为发包人单位和个人购置或提供通讯工具、交通工具和高档办公用品等。</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4.违约责任</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（1）发包人及其工作人员违反本合同第1、2条，按管理权限，依据有关规定给予党纪、政纪或组织处理；涉嫌犯罪的，移交司法机关追究刑事责任；给承包人单位造成经济损失的，应予以赔偿。</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2）承包人及其工作人员违反本合同第1、3条，按管理权限，依据有关规定给予党纪、政纪或组织处理；给发包人单位造成经济损失的，应予以赔偿；情节严重的，发包人建议交通主管部门给予承包人一至三年内不得进入其主管的公路建设市场的处罚。</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5.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6.本合同有效期为发包人和承包人签署之日起至该工程项目竣工验收后止。</w:t>
      </w:r>
    </w:p>
    <w:p>
      <w:pPr>
        <w:spacing w:line="360" w:lineRule="auto"/>
        <w:ind w:firstLine="439"/>
        <w:rPr>
          <w:rFonts w:hint="eastAsia" w:ascii="宋体" w:hAnsi="宋体" w:eastAsia="宋体" w:cs="宋体"/>
          <w:color w:val="auto"/>
          <w:highlight w:val="none"/>
        </w:rPr>
      </w:pPr>
      <w:r>
        <w:rPr>
          <w:rFonts w:hint="eastAsia" w:ascii="宋体" w:hAnsi="宋体" w:eastAsia="宋体" w:cs="宋体"/>
          <w:color w:val="auto"/>
          <w:sz w:val="28"/>
          <w:szCs w:val="28"/>
          <w:highlight w:val="none"/>
        </w:rPr>
        <w:t>7.本合同作为</w:t>
      </w:r>
      <w:r>
        <w:rPr>
          <w:rFonts w:hint="eastAsia" w:ascii="宋体" w:hAnsi="宋体" w:eastAsia="宋体" w:cs="宋体"/>
          <w:b/>
          <w:color w:val="auto"/>
          <w:sz w:val="28"/>
          <w:szCs w:val="28"/>
          <w:highlight w:val="none"/>
          <w:u w:val="single"/>
          <w:lang w:eastAsia="zh-CN"/>
        </w:rPr>
        <w:t>G223海榆东线安全设施精细化提升工程（K276+350-K307+000)</w:t>
      </w:r>
      <w:r>
        <w:rPr>
          <w:rFonts w:hint="eastAsia" w:ascii="宋体" w:hAnsi="宋体" w:eastAsia="宋体" w:cs="宋体"/>
          <w:color w:val="auto"/>
          <w:sz w:val="28"/>
          <w:szCs w:val="28"/>
          <w:highlight w:val="none"/>
        </w:rPr>
        <w:t>（项目名称）</w:t>
      </w:r>
      <w:r>
        <w:rPr>
          <w:rFonts w:hint="eastAsia" w:ascii="宋体" w:hAnsi="宋体" w:eastAsia="宋体" w:cs="宋体"/>
          <w:color w:val="auto"/>
          <w:sz w:val="28"/>
          <w:szCs w:val="28"/>
          <w:highlight w:val="none"/>
          <w:u w:val="single"/>
        </w:rPr>
        <w:t xml:space="preserve"> 施工  </w:t>
      </w:r>
      <w:r>
        <w:rPr>
          <w:rFonts w:hint="eastAsia" w:ascii="宋体" w:hAnsi="宋体" w:eastAsia="宋体" w:cs="宋体"/>
          <w:color w:val="auto"/>
          <w:sz w:val="28"/>
          <w:szCs w:val="28"/>
          <w:highlight w:val="none"/>
        </w:rPr>
        <w:t>标段施工合同的附件，与工程施工合同具有同等的法律效力，经合同双方签署后立即生效。</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8.本合同一式六份，双方各执三份，经发包人、承包人双方盖章并签字后生效。</w:t>
      </w: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发包人：</w:t>
      </w:r>
      <w:r>
        <w:rPr>
          <w:rFonts w:hint="eastAsia" w:ascii="宋体" w:hAnsi="宋体" w:eastAsia="宋体" w:cs="宋体"/>
          <w:color w:val="auto"/>
          <w:sz w:val="28"/>
          <w:szCs w:val="28"/>
          <w:highlight w:val="none"/>
          <w:u w:val="single"/>
        </w:rPr>
        <w:t>海南省公路管理局三亚公路局</w:t>
      </w:r>
      <w:r>
        <w:rPr>
          <w:rFonts w:hint="eastAsia" w:ascii="宋体" w:hAnsi="宋体" w:eastAsia="宋体" w:cs="宋体"/>
          <w:color w:val="auto"/>
          <w:sz w:val="28"/>
          <w:szCs w:val="28"/>
          <w:highlight w:val="none"/>
        </w:rPr>
        <w:t xml:space="preserve">（盖单位章）  </w:t>
      </w: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法定代表人或其委托代理人：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（签字）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 xml:space="preserve"> </w:t>
      </w: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承包人：</w:t>
      </w:r>
      <w:r>
        <w:rPr>
          <w:rFonts w:hint="eastAsia" w:ascii="宋体" w:hAnsi="宋体" w:eastAsia="宋体" w:cs="宋体"/>
          <w:b/>
          <w:bCs/>
          <w:color w:val="auto"/>
          <w:sz w:val="28"/>
          <w:szCs w:val="28"/>
          <w:highlight w:val="none"/>
          <w:u w:val="single"/>
        </w:rPr>
        <w:t>**********</w:t>
      </w:r>
      <w:r>
        <w:rPr>
          <w:rFonts w:hint="eastAsia" w:ascii="宋体" w:hAnsi="宋体" w:eastAsia="宋体" w:cs="宋体"/>
          <w:color w:val="auto"/>
          <w:sz w:val="28"/>
          <w:szCs w:val="28"/>
          <w:highlight w:val="none"/>
        </w:rPr>
        <w:t>（盖单位章）</w:t>
      </w: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法定代表人或其委托代理人：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（签字）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spacing w:line="360" w:lineRule="auto"/>
        <w:rPr>
          <w:rFonts w:hint="eastAsia" w:ascii="宋体" w:hAnsi="宋体" w:eastAsia="宋体" w:cs="宋体"/>
          <w:b/>
          <w:color w:val="auto"/>
          <w:sz w:val="30"/>
          <w:szCs w:val="30"/>
          <w:highlight w:val="none"/>
        </w:rPr>
      </w:pPr>
    </w:p>
    <w:p>
      <w:pPr>
        <w:spacing w:line="360" w:lineRule="auto"/>
        <w:rPr>
          <w:rFonts w:hint="eastAsia" w:ascii="宋体" w:hAnsi="宋体" w:eastAsia="宋体" w:cs="宋体"/>
          <w:b/>
          <w:color w:val="auto"/>
          <w:sz w:val="30"/>
          <w:szCs w:val="30"/>
          <w:highlight w:val="none"/>
        </w:rPr>
      </w:pPr>
    </w:p>
    <w:p>
      <w:pPr>
        <w:spacing w:line="360" w:lineRule="auto"/>
        <w:rPr>
          <w:rFonts w:hint="eastAsia" w:ascii="宋体" w:hAnsi="宋体" w:eastAsia="宋体" w:cs="宋体"/>
          <w:b/>
          <w:color w:val="auto"/>
          <w:sz w:val="30"/>
          <w:szCs w:val="30"/>
          <w:highlight w:val="none"/>
        </w:rPr>
      </w:pPr>
    </w:p>
    <w:p>
      <w:pPr>
        <w:spacing w:line="360" w:lineRule="auto"/>
        <w:rPr>
          <w:rFonts w:hint="eastAsia" w:ascii="宋体" w:hAnsi="宋体" w:eastAsia="宋体" w:cs="宋体"/>
          <w:b/>
          <w:color w:val="auto"/>
          <w:sz w:val="30"/>
          <w:szCs w:val="30"/>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b/>
          <w:color w:val="auto"/>
          <w:sz w:val="30"/>
          <w:szCs w:val="30"/>
          <w:highlight w:val="none"/>
        </w:rPr>
        <w:br w:type="page"/>
      </w:r>
      <w:r>
        <w:rPr>
          <w:rFonts w:hint="eastAsia" w:ascii="宋体" w:hAnsi="宋体" w:eastAsia="宋体" w:cs="宋体"/>
          <w:b/>
          <w:color w:val="auto"/>
          <w:sz w:val="30"/>
          <w:szCs w:val="30"/>
          <w:highlight w:val="none"/>
        </w:rPr>
        <w:t>附件二安全生产合同</w:t>
      </w:r>
    </w:p>
    <w:p>
      <w:pPr>
        <w:spacing w:line="360" w:lineRule="auto"/>
        <w:jc w:val="center"/>
        <w:rPr>
          <w:rFonts w:hint="eastAsia" w:ascii="宋体" w:hAnsi="宋体" w:eastAsia="宋体" w:cs="宋体"/>
          <w:color w:val="auto"/>
          <w:highlight w:val="none"/>
        </w:rPr>
      </w:pPr>
      <w:r>
        <w:rPr>
          <w:rFonts w:hint="eastAsia" w:ascii="宋体" w:hAnsi="宋体" w:eastAsia="宋体" w:cs="宋体"/>
          <w:b/>
          <w:color w:val="auto"/>
          <w:sz w:val="30"/>
          <w:szCs w:val="30"/>
          <w:highlight w:val="none"/>
        </w:rPr>
        <w:t>安全生产合同</w:t>
      </w:r>
    </w:p>
    <w:p>
      <w:pPr>
        <w:spacing w:line="360" w:lineRule="auto"/>
        <w:jc w:val="center"/>
        <w:rPr>
          <w:rFonts w:hint="eastAsia" w:ascii="宋体" w:hAnsi="宋体" w:eastAsia="宋体" w:cs="宋体"/>
          <w:b/>
          <w:color w:val="auto"/>
          <w:sz w:val="28"/>
          <w:szCs w:val="28"/>
          <w:highlight w:val="none"/>
        </w:rPr>
      </w:pPr>
    </w:p>
    <w:p>
      <w:pPr>
        <w:spacing w:line="360" w:lineRule="auto"/>
        <w:ind w:firstLine="652"/>
        <w:rPr>
          <w:rFonts w:hint="eastAsia" w:ascii="宋体" w:hAnsi="宋体" w:eastAsia="宋体" w:cs="宋体"/>
          <w:color w:val="auto"/>
          <w:highlight w:val="none"/>
        </w:rPr>
      </w:pPr>
      <w:r>
        <w:rPr>
          <w:rFonts w:hint="eastAsia" w:ascii="宋体" w:hAnsi="宋体" w:eastAsia="宋体" w:cs="宋体"/>
          <w:color w:val="auto"/>
          <w:sz w:val="28"/>
          <w:szCs w:val="28"/>
          <w:highlight w:val="none"/>
        </w:rPr>
        <w:t>为在</w:t>
      </w:r>
      <w:r>
        <w:rPr>
          <w:rFonts w:hint="eastAsia" w:ascii="宋体" w:hAnsi="宋体" w:eastAsia="宋体" w:cs="宋体"/>
          <w:b/>
          <w:color w:val="auto"/>
          <w:sz w:val="28"/>
          <w:szCs w:val="28"/>
          <w:highlight w:val="none"/>
          <w:u w:val="single"/>
          <w:lang w:eastAsia="zh-CN"/>
        </w:rPr>
        <w:t>G223海榆东线安全设施精细化提升工程（K276+350-K307+000)</w:t>
      </w:r>
      <w:r>
        <w:rPr>
          <w:rFonts w:hint="eastAsia" w:ascii="宋体" w:hAnsi="宋体" w:eastAsia="宋体" w:cs="宋体"/>
          <w:color w:val="auto"/>
          <w:sz w:val="28"/>
          <w:szCs w:val="28"/>
          <w:highlight w:val="none"/>
        </w:rPr>
        <w:t>（项目名称）</w:t>
      </w:r>
      <w:r>
        <w:rPr>
          <w:rFonts w:hint="eastAsia" w:ascii="宋体" w:hAnsi="宋体" w:eastAsia="宋体" w:cs="宋体"/>
          <w:color w:val="auto"/>
          <w:sz w:val="28"/>
          <w:szCs w:val="28"/>
          <w:highlight w:val="none"/>
          <w:u w:val="single"/>
        </w:rPr>
        <w:t xml:space="preserve"> 施工 </w:t>
      </w:r>
      <w:r>
        <w:rPr>
          <w:rFonts w:hint="eastAsia" w:ascii="宋体" w:hAnsi="宋体" w:eastAsia="宋体" w:cs="宋体"/>
          <w:color w:val="auto"/>
          <w:sz w:val="28"/>
          <w:szCs w:val="28"/>
          <w:highlight w:val="none"/>
        </w:rPr>
        <w:t>标段施工合同的实施过程中创造安全、高效的施工环境，切实搞好本项目的安全管理工作，本项目发包人</w:t>
      </w:r>
      <w:r>
        <w:rPr>
          <w:rFonts w:hint="eastAsia" w:ascii="宋体" w:hAnsi="宋体" w:eastAsia="宋体" w:cs="宋体"/>
          <w:color w:val="auto"/>
          <w:sz w:val="28"/>
          <w:szCs w:val="28"/>
          <w:highlight w:val="none"/>
          <w:u w:val="single"/>
        </w:rPr>
        <w:t>海南省公路管理局三亚公路局</w:t>
      </w:r>
      <w:r>
        <w:rPr>
          <w:rFonts w:hint="eastAsia" w:ascii="宋体" w:hAnsi="宋体" w:eastAsia="宋体" w:cs="宋体"/>
          <w:color w:val="auto"/>
          <w:sz w:val="28"/>
          <w:szCs w:val="28"/>
          <w:highlight w:val="none"/>
        </w:rPr>
        <w:t>（发包人名称，以下简称“发包人”）与承包人</w:t>
      </w:r>
      <w:r>
        <w:rPr>
          <w:rFonts w:hint="eastAsia" w:ascii="宋体" w:hAnsi="宋体" w:eastAsia="宋体" w:cs="宋体"/>
          <w:b/>
          <w:bCs/>
          <w:color w:val="auto"/>
          <w:sz w:val="28"/>
          <w:szCs w:val="28"/>
          <w:highlight w:val="none"/>
          <w:u w:val="single"/>
        </w:rPr>
        <w:t>*******公司</w:t>
      </w:r>
      <w:r>
        <w:rPr>
          <w:rFonts w:hint="eastAsia" w:ascii="宋体" w:hAnsi="宋体" w:eastAsia="宋体" w:cs="宋体"/>
          <w:color w:val="auto"/>
          <w:sz w:val="28"/>
          <w:szCs w:val="28"/>
          <w:highlight w:val="none"/>
        </w:rPr>
        <w:t>（承包人名称，以下简称“承包人”）特此签订安全生产合同：</w:t>
      </w:r>
    </w:p>
    <w:p>
      <w:pPr>
        <w:spacing w:line="360" w:lineRule="auto"/>
        <w:ind w:firstLine="652"/>
        <w:rPr>
          <w:rFonts w:hint="eastAsia" w:ascii="宋体" w:hAnsi="宋体" w:eastAsia="宋体" w:cs="宋体"/>
          <w:color w:val="auto"/>
          <w:highlight w:val="none"/>
        </w:rPr>
      </w:pPr>
      <w:r>
        <w:rPr>
          <w:rFonts w:hint="eastAsia" w:ascii="宋体" w:hAnsi="宋体" w:eastAsia="宋体" w:cs="宋体"/>
          <w:color w:val="auto"/>
          <w:sz w:val="28"/>
          <w:szCs w:val="28"/>
          <w:highlight w:val="none"/>
        </w:rPr>
        <w:t>1. 发包人职责</w:t>
      </w:r>
    </w:p>
    <w:p>
      <w:pPr>
        <w:spacing w:line="360" w:lineRule="auto"/>
        <w:ind w:firstLine="652"/>
        <w:rPr>
          <w:rFonts w:hint="eastAsia" w:ascii="宋体" w:hAnsi="宋体" w:eastAsia="宋体" w:cs="宋体"/>
          <w:color w:val="auto"/>
          <w:highlight w:val="none"/>
        </w:rPr>
      </w:pPr>
      <w:r>
        <w:rPr>
          <w:rFonts w:hint="eastAsia" w:ascii="宋体" w:hAnsi="宋体" w:eastAsia="宋体" w:cs="宋体"/>
          <w:color w:val="auto"/>
          <w:sz w:val="28"/>
          <w:szCs w:val="28"/>
          <w:highlight w:val="none"/>
        </w:rPr>
        <w:t>（1）严格遵守国家有关安全生产的法律法规，认真执行工程承包合同中的有关安全要求。</w:t>
      </w:r>
    </w:p>
    <w:p>
      <w:pPr>
        <w:spacing w:line="360" w:lineRule="auto"/>
        <w:ind w:firstLine="652"/>
        <w:rPr>
          <w:rFonts w:hint="eastAsia" w:ascii="宋体" w:hAnsi="宋体" w:eastAsia="宋体" w:cs="宋体"/>
          <w:color w:val="auto"/>
          <w:highlight w:val="none"/>
        </w:rPr>
      </w:pPr>
      <w:r>
        <w:rPr>
          <w:rFonts w:hint="eastAsia" w:ascii="宋体" w:hAnsi="宋体" w:eastAsia="宋体" w:cs="宋体"/>
          <w:color w:val="auto"/>
          <w:sz w:val="28"/>
          <w:szCs w:val="28"/>
          <w:highlight w:val="none"/>
        </w:rPr>
        <w:t>（2）按照“安全第一、预防为主”和坚持“管生产必须管安全”的原则进行安全生产管理，做到生产与安全工作同时计划、布置、检查、总结和评比。</w:t>
      </w:r>
    </w:p>
    <w:p>
      <w:pPr>
        <w:spacing w:line="360" w:lineRule="auto"/>
        <w:ind w:firstLine="652"/>
        <w:rPr>
          <w:rFonts w:hint="eastAsia" w:ascii="宋体" w:hAnsi="宋体" w:eastAsia="宋体" w:cs="宋体"/>
          <w:color w:val="auto"/>
          <w:highlight w:val="none"/>
        </w:rPr>
      </w:pPr>
      <w:r>
        <w:rPr>
          <w:rFonts w:hint="eastAsia" w:ascii="宋体" w:hAnsi="宋体" w:eastAsia="宋体" w:cs="宋体"/>
          <w:color w:val="auto"/>
          <w:sz w:val="28"/>
          <w:szCs w:val="28"/>
          <w:highlight w:val="none"/>
        </w:rPr>
        <w:t>（3）重要的安全设施必须坚持与主体工程“三同时”的原则，即：同时设计、审批，同时施工，同时验收，投入使用。</w:t>
      </w:r>
    </w:p>
    <w:p>
      <w:pPr>
        <w:spacing w:line="360" w:lineRule="auto"/>
        <w:ind w:firstLine="652"/>
        <w:rPr>
          <w:rFonts w:hint="eastAsia" w:ascii="宋体" w:hAnsi="宋体" w:eastAsia="宋体" w:cs="宋体"/>
          <w:color w:val="auto"/>
          <w:highlight w:val="none"/>
        </w:rPr>
      </w:pPr>
      <w:r>
        <w:rPr>
          <w:rFonts w:hint="eastAsia" w:ascii="宋体" w:hAnsi="宋体" w:eastAsia="宋体" w:cs="宋体"/>
          <w:color w:val="auto"/>
          <w:sz w:val="28"/>
          <w:szCs w:val="28"/>
          <w:highlight w:val="none"/>
        </w:rPr>
        <w:t>（4）定期召开安全生产调度会，及时传达中央及地方有关安全生产的精神。</w:t>
      </w:r>
    </w:p>
    <w:p>
      <w:pPr>
        <w:spacing w:line="360" w:lineRule="auto"/>
        <w:ind w:firstLine="652"/>
        <w:rPr>
          <w:rFonts w:hint="eastAsia" w:ascii="宋体" w:hAnsi="宋体" w:eastAsia="宋体" w:cs="宋体"/>
          <w:color w:val="auto"/>
          <w:highlight w:val="none"/>
        </w:rPr>
      </w:pPr>
      <w:r>
        <w:rPr>
          <w:rFonts w:hint="eastAsia" w:ascii="宋体" w:hAnsi="宋体" w:eastAsia="宋体" w:cs="宋体"/>
          <w:color w:val="auto"/>
          <w:sz w:val="28"/>
          <w:szCs w:val="28"/>
          <w:highlight w:val="none"/>
        </w:rPr>
        <w:t>（5）组织对承包人施工现场进行安全生产检查，监督承包人及时处理发现的各种安全隐患。</w:t>
      </w:r>
    </w:p>
    <w:p>
      <w:pPr>
        <w:spacing w:line="360" w:lineRule="auto"/>
        <w:ind w:firstLine="652"/>
        <w:rPr>
          <w:rFonts w:hint="eastAsia" w:ascii="宋体" w:hAnsi="宋体" w:eastAsia="宋体" w:cs="宋体"/>
          <w:color w:val="auto"/>
          <w:highlight w:val="none"/>
        </w:rPr>
      </w:pPr>
      <w:r>
        <w:rPr>
          <w:rFonts w:hint="eastAsia" w:ascii="宋体" w:hAnsi="宋体" w:eastAsia="宋体" w:cs="宋体"/>
          <w:color w:val="auto"/>
          <w:sz w:val="28"/>
          <w:szCs w:val="28"/>
          <w:highlight w:val="none"/>
        </w:rPr>
        <w:t>2.承包人职责</w:t>
      </w:r>
    </w:p>
    <w:p>
      <w:pPr>
        <w:spacing w:line="360" w:lineRule="auto"/>
        <w:ind w:firstLine="652"/>
        <w:rPr>
          <w:rFonts w:hint="eastAsia" w:ascii="宋体" w:hAnsi="宋体" w:eastAsia="宋体" w:cs="宋体"/>
          <w:color w:val="auto"/>
          <w:highlight w:val="none"/>
        </w:rPr>
      </w:pPr>
      <w:r>
        <w:rPr>
          <w:rFonts w:hint="eastAsia" w:ascii="宋体" w:hAnsi="宋体" w:eastAsia="宋体" w:cs="宋体"/>
          <w:color w:val="auto"/>
          <w:sz w:val="28"/>
          <w:szCs w:val="28"/>
          <w:highlight w:val="none"/>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spacing w:line="360" w:lineRule="auto"/>
        <w:ind w:firstLine="652"/>
        <w:rPr>
          <w:rFonts w:hint="eastAsia" w:ascii="宋体" w:hAnsi="宋体" w:eastAsia="宋体" w:cs="宋体"/>
          <w:color w:val="auto"/>
          <w:highlight w:val="none"/>
        </w:rPr>
      </w:pPr>
      <w:r>
        <w:rPr>
          <w:rFonts w:hint="eastAsia" w:ascii="宋体" w:hAnsi="宋体" w:eastAsia="宋体" w:cs="宋体"/>
          <w:color w:val="auto"/>
          <w:sz w:val="28"/>
          <w:szCs w:val="28"/>
          <w:highlight w:val="none"/>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360" w:lineRule="auto"/>
        <w:ind w:firstLine="652"/>
        <w:rPr>
          <w:rFonts w:hint="eastAsia" w:ascii="宋体" w:hAnsi="宋体" w:eastAsia="宋体" w:cs="宋体"/>
          <w:color w:val="auto"/>
          <w:highlight w:val="none"/>
        </w:rPr>
      </w:pPr>
      <w:r>
        <w:rPr>
          <w:rFonts w:hint="eastAsia" w:ascii="宋体" w:hAnsi="宋体" w:eastAsia="宋体" w:cs="宋体"/>
          <w:color w:val="auto"/>
          <w:sz w:val="28"/>
          <w:szCs w:val="28"/>
          <w:highlight w:val="none"/>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spacing w:line="360" w:lineRule="auto"/>
        <w:ind w:firstLine="652"/>
        <w:rPr>
          <w:rFonts w:hint="eastAsia" w:ascii="宋体" w:hAnsi="宋体" w:eastAsia="宋体" w:cs="宋体"/>
          <w:color w:val="auto"/>
          <w:highlight w:val="none"/>
        </w:rPr>
      </w:pPr>
      <w:r>
        <w:rPr>
          <w:rFonts w:hint="eastAsia" w:ascii="宋体" w:hAnsi="宋体" w:eastAsia="宋体" w:cs="宋体"/>
          <w:color w:val="auto"/>
          <w:sz w:val="28"/>
          <w:szCs w:val="28"/>
          <w:highlight w:val="none"/>
        </w:rPr>
        <w:t>（4）承包人在任何时候都应采取各种合理的预防措施，防止其员工发生任何违法、违禁、暴力或妨碍治安的行为。</w:t>
      </w:r>
    </w:p>
    <w:p>
      <w:pPr>
        <w:spacing w:line="360" w:lineRule="auto"/>
        <w:ind w:firstLine="652"/>
        <w:rPr>
          <w:rFonts w:hint="eastAsia" w:ascii="宋体" w:hAnsi="宋体" w:eastAsia="宋体" w:cs="宋体"/>
          <w:color w:val="auto"/>
          <w:highlight w:val="none"/>
        </w:rPr>
      </w:pPr>
      <w:r>
        <w:rPr>
          <w:rFonts w:hint="eastAsia" w:ascii="宋体" w:hAnsi="宋体" w:eastAsia="宋体" w:cs="宋体"/>
          <w:color w:val="auto"/>
          <w:sz w:val="28"/>
          <w:szCs w:val="28"/>
          <w:highlight w:val="none"/>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查等特殊工种的人员，经过专业培训，获得《安全操作合格证》后，方准持证上岗。施工现场如出现特殊作业无证操作现象时，项目经理必须承担管理责任。</w:t>
      </w:r>
    </w:p>
    <w:p>
      <w:pPr>
        <w:spacing w:line="360" w:lineRule="auto"/>
        <w:ind w:firstLine="652"/>
        <w:rPr>
          <w:rFonts w:hint="eastAsia" w:ascii="宋体" w:hAnsi="宋体" w:eastAsia="宋体" w:cs="宋体"/>
          <w:color w:val="auto"/>
          <w:highlight w:val="none"/>
        </w:rPr>
      </w:pPr>
      <w:r>
        <w:rPr>
          <w:rFonts w:hint="eastAsia" w:ascii="宋体" w:hAnsi="宋体" w:eastAsia="宋体" w:cs="宋体"/>
          <w:color w:val="auto"/>
          <w:sz w:val="28"/>
          <w:szCs w:val="28"/>
          <w:highlight w:val="none"/>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360" w:lineRule="auto"/>
        <w:ind w:firstLine="652"/>
        <w:rPr>
          <w:rFonts w:hint="eastAsia" w:ascii="宋体" w:hAnsi="宋体" w:eastAsia="宋体" w:cs="宋体"/>
          <w:color w:val="auto"/>
          <w:highlight w:val="none"/>
        </w:rPr>
      </w:pPr>
      <w:r>
        <w:rPr>
          <w:rFonts w:hint="eastAsia" w:ascii="宋体" w:hAnsi="宋体" w:eastAsia="宋体" w:cs="宋体"/>
          <w:color w:val="auto"/>
          <w:sz w:val="28"/>
          <w:szCs w:val="28"/>
          <w:highlight w:val="none"/>
        </w:rPr>
        <w:t>（7）操作人员上岗，必须按规定穿戴防护用品。施工负责人和安全检查员应随时检查劳动防护用品的穿戴情况，不按规定穿戴防护用品的人员不得上岗。</w:t>
      </w:r>
    </w:p>
    <w:p>
      <w:pPr>
        <w:spacing w:line="360" w:lineRule="auto"/>
        <w:ind w:firstLine="652"/>
        <w:rPr>
          <w:rFonts w:hint="eastAsia" w:ascii="宋体" w:hAnsi="宋体" w:eastAsia="宋体" w:cs="宋体"/>
          <w:color w:val="auto"/>
          <w:highlight w:val="none"/>
        </w:rPr>
      </w:pPr>
      <w:r>
        <w:rPr>
          <w:rFonts w:hint="eastAsia" w:ascii="宋体" w:hAnsi="宋体" w:eastAsia="宋体" w:cs="宋体"/>
          <w:color w:val="auto"/>
          <w:sz w:val="28"/>
          <w:szCs w:val="28"/>
          <w:highlight w:val="none"/>
        </w:rPr>
        <w:t>（8）所有施工机具设备和高空作业的设备均应定期检查，并有安全员的签字记录，保证其经常处于完好状态；不合格的机具、设备和劳动保护用品严禁使用。</w:t>
      </w:r>
    </w:p>
    <w:p>
      <w:pPr>
        <w:spacing w:line="360" w:lineRule="auto"/>
        <w:ind w:firstLine="652"/>
        <w:rPr>
          <w:rFonts w:hint="eastAsia" w:ascii="宋体" w:hAnsi="宋体" w:eastAsia="宋体" w:cs="宋体"/>
          <w:color w:val="auto"/>
          <w:highlight w:val="none"/>
        </w:rPr>
      </w:pPr>
      <w:r>
        <w:rPr>
          <w:rFonts w:hint="eastAsia" w:ascii="宋体" w:hAnsi="宋体" w:eastAsia="宋体" w:cs="宋体"/>
          <w:color w:val="auto"/>
          <w:sz w:val="28"/>
          <w:szCs w:val="28"/>
          <w:highlight w:val="none"/>
        </w:rPr>
        <w:t>（9）施工中采用新技术、新工艺、新设备、新材料时，必须制定相应的安全技术措施，施工现场必须具有相关的安全标志牌。</w:t>
      </w:r>
    </w:p>
    <w:p>
      <w:pPr>
        <w:spacing w:line="360" w:lineRule="auto"/>
        <w:ind w:firstLine="652"/>
        <w:rPr>
          <w:rFonts w:hint="eastAsia" w:ascii="宋体" w:hAnsi="宋体" w:eastAsia="宋体" w:cs="宋体"/>
          <w:color w:val="auto"/>
          <w:highlight w:val="none"/>
        </w:rPr>
      </w:pPr>
      <w:r>
        <w:rPr>
          <w:rFonts w:hint="eastAsia" w:ascii="宋体" w:hAnsi="宋体" w:eastAsia="宋体" w:cs="宋体"/>
          <w:color w:val="auto"/>
          <w:sz w:val="28"/>
          <w:szCs w:val="28"/>
          <w:highlight w:val="none"/>
        </w:rPr>
        <w:t>（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spacing w:line="360" w:lineRule="auto"/>
        <w:ind w:firstLine="652"/>
        <w:rPr>
          <w:rFonts w:hint="eastAsia" w:ascii="宋体" w:hAnsi="宋体" w:eastAsia="宋体" w:cs="宋体"/>
          <w:color w:val="auto"/>
          <w:highlight w:val="none"/>
        </w:rPr>
      </w:pPr>
      <w:r>
        <w:rPr>
          <w:rFonts w:hint="eastAsia" w:ascii="宋体" w:hAnsi="宋体" w:eastAsia="宋体" w:cs="宋体"/>
          <w:color w:val="auto"/>
          <w:sz w:val="28"/>
          <w:szCs w:val="28"/>
          <w:highlight w:val="none"/>
        </w:rPr>
        <w:t>（11）安全生产费用按照《公路水运工程安全生产监督管理办法》的相关规定使用和管理。</w:t>
      </w:r>
    </w:p>
    <w:p>
      <w:pPr>
        <w:spacing w:line="360" w:lineRule="auto"/>
        <w:ind w:firstLine="652"/>
        <w:rPr>
          <w:rFonts w:hint="eastAsia" w:ascii="宋体" w:hAnsi="宋体" w:eastAsia="宋体" w:cs="宋体"/>
          <w:color w:val="auto"/>
          <w:highlight w:val="none"/>
        </w:rPr>
      </w:pPr>
      <w:r>
        <w:rPr>
          <w:rFonts w:hint="eastAsia" w:ascii="宋体" w:hAnsi="宋体" w:eastAsia="宋体" w:cs="宋体"/>
          <w:color w:val="auto"/>
          <w:sz w:val="28"/>
          <w:szCs w:val="28"/>
          <w:highlight w:val="none"/>
        </w:rPr>
        <w:t>3.违约责任</w:t>
      </w:r>
    </w:p>
    <w:p>
      <w:pPr>
        <w:spacing w:line="360" w:lineRule="auto"/>
        <w:ind w:firstLine="652"/>
        <w:rPr>
          <w:rFonts w:hint="eastAsia" w:ascii="宋体" w:hAnsi="宋体" w:eastAsia="宋体" w:cs="宋体"/>
          <w:color w:val="auto"/>
          <w:highlight w:val="none"/>
        </w:rPr>
      </w:pPr>
      <w:r>
        <w:rPr>
          <w:rFonts w:hint="eastAsia" w:ascii="宋体" w:hAnsi="宋体" w:eastAsia="宋体" w:cs="宋体"/>
          <w:color w:val="auto"/>
          <w:sz w:val="28"/>
          <w:szCs w:val="28"/>
          <w:highlight w:val="none"/>
        </w:rPr>
        <w:t>如因发包人或承包人违约造成安全事故，将依法追究责任。</w:t>
      </w:r>
    </w:p>
    <w:p>
      <w:pPr>
        <w:spacing w:line="360" w:lineRule="auto"/>
        <w:ind w:firstLine="652"/>
        <w:rPr>
          <w:rFonts w:hint="eastAsia" w:ascii="宋体" w:hAnsi="宋体" w:eastAsia="宋体" w:cs="宋体"/>
          <w:color w:val="auto"/>
          <w:highlight w:val="none"/>
        </w:rPr>
      </w:pPr>
      <w:r>
        <w:rPr>
          <w:rFonts w:hint="eastAsia" w:ascii="宋体" w:hAnsi="宋体" w:eastAsia="宋体" w:cs="宋体"/>
          <w:color w:val="auto"/>
          <w:sz w:val="28"/>
          <w:szCs w:val="28"/>
          <w:highlight w:val="none"/>
        </w:rPr>
        <w:t>4. 本合同一式六份，本合同由双方法定代表人或其授权的代理人签署并加盖单位章后生效，全部工程竣工验收后失效。。</w:t>
      </w: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发包人：海南省公路管理局三亚公路局</w:t>
      </w:r>
      <w:r>
        <w:rPr>
          <w:rFonts w:hint="eastAsia" w:ascii="宋体" w:hAnsi="宋体" w:eastAsia="宋体" w:cs="宋体"/>
          <w:b/>
          <w:color w:val="auto"/>
          <w:sz w:val="28"/>
          <w:szCs w:val="28"/>
          <w:highlight w:val="none"/>
        </w:rPr>
        <w:t xml:space="preserve"> </w:t>
      </w:r>
      <w:r>
        <w:rPr>
          <w:rFonts w:hint="eastAsia" w:ascii="宋体" w:hAnsi="宋体" w:eastAsia="宋体" w:cs="宋体"/>
          <w:color w:val="auto"/>
          <w:sz w:val="28"/>
          <w:szCs w:val="28"/>
          <w:highlight w:val="none"/>
        </w:rPr>
        <w:t xml:space="preserve">（盖单位章）        </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法定代表人或其委托代理人：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（签字）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 xml:space="preserve">  </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承包人：</w:t>
      </w:r>
      <w:r>
        <w:rPr>
          <w:rFonts w:hint="eastAsia" w:ascii="宋体" w:hAnsi="宋体" w:eastAsia="宋体" w:cs="宋体"/>
          <w:b/>
          <w:bCs/>
          <w:color w:val="auto"/>
          <w:sz w:val="28"/>
          <w:szCs w:val="28"/>
          <w:highlight w:val="none"/>
          <w:u w:val="single"/>
        </w:rPr>
        <w:t>*******公司</w:t>
      </w:r>
      <w:r>
        <w:rPr>
          <w:rFonts w:hint="eastAsia" w:ascii="宋体" w:hAnsi="宋体" w:eastAsia="宋体" w:cs="宋体"/>
          <w:color w:val="auto"/>
          <w:sz w:val="28"/>
          <w:szCs w:val="28"/>
          <w:highlight w:val="none"/>
        </w:rPr>
        <w:t>（盖单位章）</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法定代表人或其委托代理人：</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sz w:val="28"/>
          <w:szCs w:val="28"/>
          <w:highlight w:val="none"/>
        </w:rPr>
        <w:t xml:space="preserve">（签字）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b/>
          <w:color w:val="auto"/>
          <w:sz w:val="30"/>
          <w:szCs w:val="30"/>
          <w:highlight w:val="none"/>
        </w:rPr>
      </w:pPr>
    </w:p>
    <w:p>
      <w:pPr>
        <w:spacing w:line="360" w:lineRule="auto"/>
        <w:rPr>
          <w:rFonts w:hint="eastAsia" w:ascii="宋体" w:hAnsi="宋体" w:eastAsia="宋体" w:cs="宋体"/>
          <w:b/>
          <w:color w:val="auto"/>
          <w:sz w:val="30"/>
          <w:szCs w:val="30"/>
          <w:highlight w:val="none"/>
        </w:rPr>
      </w:pPr>
    </w:p>
    <w:p>
      <w:pPr>
        <w:spacing w:line="360" w:lineRule="auto"/>
        <w:rPr>
          <w:rFonts w:hint="eastAsia" w:ascii="宋体" w:hAnsi="宋体" w:eastAsia="宋体" w:cs="宋体"/>
          <w:b/>
          <w:color w:val="auto"/>
          <w:sz w:val="30"/>
          <w:szCs w:val="30"/>
          <w:highlight w:val="none"/>
        </w:rPr>
      </w:pPr>
    </w:p>
    <w:p>
      <w:pPr>
        <w:spacing w:line="360" w:lineRule="auto"/>
        <w:rPr>
          <w:rFonts w:hint="eastAsia" w:ascii="宋体" w:hAnsi="宋体" w:eastAsia="宋体" w:cs="宋体"/>
          <w:b/>
          <w:color w:val="auto"/>
          <w:sz w:val="30"/>
          <w:szCs w:val="30"/>
          <w:highlight w:val="none"/>
        </w:rPr>
      </w:pPr>
    </w:p>
    <w:p>
      <w:pPr>
        <w:spacing w:line="360" w:lineRule="auto"/>
        <w:rPr>
          <w:rFonts w:hint="eastAsia" w:ascii="宋体" w:hAnsi="宋体" w:eastAsia="宋体" w:cs="宋体"/>
          <w:b/>
          <w:color w:val="auto"/>
          <w:sz w:val="30"/>
          <w:szCs w:val="30"/>
          <w:highlight w:val="none"/>
        </w:rPr>
      </w:pPr>
    </w:p>
    <w:p>
      <w:pPr>
        <w:pageBreakBefore/>
        <w:spacing w:line="360" w:lineRule="auto"/>
        <w:rPr>
          <w:rFonts w:hint="eastAsia" w:ascii="宋体" w:hAnsi="宋体" w:eastAsia="宋体" w:cs="宋体"/>
          <w:color w:val="auto"/>
          <w:highlight w:val="none"/>
        </w:rPr>
      </w:pPr>
      <w:r>
        <w:rPr>
          <w:rFonts w:hint="eastAsia" w:ascii="宋体" w:hAnsi="宋体" w:eastAsia="宋体" w:cs="宋体"/>
          <w:b/>
          <w:color w:val="auto"/>
          <w:sz w:val="30"/>
          <w:szCs w:val="30"/>
          <w:highlight w:val="none"/>
        </w:rPr>
        <w:t>附件三</w:t>
      </w:r>
    </w:p>
    <w:p>
      <w:pPr>
        <w:spacing w:line="360" w:lineRule="auto"/>
        <w:jc w:val="center"/>
        <w:rPr>
          <w:rFonts w:hint="eastAsia" w:ascii="宋体" w:hAnsi="宋体" w:eastAsia="宋体" w:cs="宋体"/>
          <w:color w:val="auto"/>
          <w:highlight w:val="none"/>
        </w:rPr>
      </w:pPr>
      <w:r>
        <w:rPr>
          <w:rFonts w:hint="eastAsia" w:ascii="宋体" w:hAnsi="宋体" w:eastAsia="宋体" w:cs="宋体"/>
          <w:b/>
          <w:color w:val="auto"/>
          <w:sz w:val="30"/>
          <w:szCs w:val="30"/>
          <w:highlight w:val="none"/>
        </w:rPr>
        <w:t>民工工资管理承诺书</w:t>
      </w:r>
    </w:p>
    <w:p>
      <w:pPr>
        <w:spacing w:line="360" w:lineRule="auto"/>
        <w:rPr>
          <w:rFonts w:hint="eastAsia" w:ascii="宋体" w:hAnsi="宋体" w:eastAsia="宋体" w:cs="宋体"/>
          <w:b/>
          <w:color w:val="auto"/>
          <w:sz w:val="28"/>
          <w:szCs w:val="28"/>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 xml:space="preserve">致：海南省公路管理局三亚公路局 </w:t>
      </w:r>
    </w:p>
    <w:p>
      <w:pPr>
        <w:spacing w:line="360" w:lineRule="auto"/>
        <w:ind w:firstLine="560"/>
        <w:jc w:val="left"/>
        <w:rPr>
          <w:rFonts w:hint="eastAsia" w:ascii="宋体" w:hAnsi="宋体" w:eastAsia="宋体" w:cs="宋体"/>
          <w:color w:val="auto"/>
          <w:highlight w:val="none"/>
        </w:rPr>
      </w:pPr>
      <w:r>
        <w:rPr>
          <w:rFonts w:hint="eastAsia" w:ascii="宋体" w:hAnsi="宋体" w:eastAsia="宋体" w:cs="宋体"/>
          <w:color w:val="auto"/>
          <w:sz w:val="28"/>
          <w:szCs w:val="28"/>
          <w:highlight w:val="none"/>
        </w:rPr>
        <w:t>我单位在承接</w:t>
      </w:r>
      <w:r>
        <w:rPr>
          <w:rFonts w:hint="eastAsia" w:ascii="宋体" w:hAnsi="宋体" w:eastAsia="宋体" w:cs="宋体"/>
          <w:b/>
          <w:color w:val="auto"/>
          <w:sz w:val="28"/>
          <w:szCs w:val="28"/>
          <w:highlight w:val="none"/>
          <w:u w:val="single"/>
          <w:lang w:eastAsia="zh-CN"/>
        </w:rPr>
        <w:t>G223海榆东线安全设施精细化提升工程（K276+350-K307+000)</w:t>
      </w:r>
      <w:r>
        <w:rPr>
          <w:rFonts w:hint="eastAsia" w:ascii="宋体" w:hAnsi="宋体" w:eastAsia="宋体" w:cs="宋体"/>
          <w:color w:val="auto"/>
          <w:sz w:val="28"/>
          <w:szCs w:val="28"/>
          <w:highlight w:val="none"/>
        </w:rPr>
        <w:t>项目实施过程中，我单位保证在施工过程中，合理使用工程建设资金，坚决杜绝拖欠民工工资的现象，绝不以任何理由为借口，拖欠农民工工资。此项工作将由项目部监督进行。如因此发生劳资纠纷等事宜，均由我单位负责处理并予以解决，同时保证不会因此而影响后续施工。</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t>无论何种原因，如果发生我方人员、农民工（不论该人是否直接受雇于我方）或我方供货商集体上访、冲击政府、政府派出机构或业主单位的，每发生一次，贵单位有权对我方处以20万元的罚款。由贵单位直接从工程进度款中扣除，我方无条件予以认可。</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特此承诺!</w:t>
      </w: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单位：</w:t>
      </w:r>
      <w:r>
        <w:rPr>
          <w:rFonts w:hint="eastAsia" w:ascii="宋体" w:hAnsi="宋体" w:eastAsia="宋体" w:cs="宋体"/>
          <w:b/>
          <w:bCs/>
          <w:color w:val="auto"/>
          <w:sz w:val="28"/>
          <w:szCs w:val="28"/>
          <w:highlight w:val="none"/>
          <w:u w:val="single"/>
        </w:rPr>
        <w:t>***********</w:t>
      </w:r>
      <w:r>
        <w:rPr>
          <w:rFonts w:hint="eastAsia" w:ascii="宋体" w:hAnsi="宋体" w:eastAsia="宋体" w:cs="宋体"/>
          <w:color w:val="auto"/>
          <w:sz w:val="28"/>
          <w:szCs w:val="28"/>
          <w:highlight w:val="none"/>
        </w:rPr>
        <w:t>（盖单位章）</w:t>
      </w: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 xml:space="preserve">法定代表人或其委托代理人：             （签字）  </w:t>
      </w: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日期：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spacing w:line="360" w:lineRule="auto"/>
        <w:rPr>
          <w:rFonts w:hint="eastAsia" w:ascii="宋体" w:hAnsi="宋体" w:eastAsia="宋体" w:cs="宋体"/>
          <w:color w:val="auto"/>
          <w:sz w:val="28"/>
          <w:szCs w:val="28"/>
          <w:highlight w:val="none"/>
        </w:rPr>
      </w:pPr>
    </w:p>
    <w:p>
      <w:pPr>
        <w:pStyle w:val="3"/>
        <w:spacing w:line="360" w:lineRule="auto"/>
        <w:jc w:val="center"/>
        <w:rPr>
          <w:rFonts w:hint="eastAsia" w:ascii="宋体" w:hAnsi="宋体" w:eastAsia="宋体" w:cs="宋体"/>
          <w:color w:val="auto"/>
          <w:highlight w:val="none"/>
        </w:rPr>
      </w:pPr>
      <w:bookmarkStart w:id="295" w:name="_Toc7448"/>
      <w:r>
        <w:rPr>
          <w:rFonts w:hint="eastAsia" w:ascii="宋体" w:hAnsi="宋体" w:eastAsia="宋体" w:cs="宋体"/>
          <w:color w:val="auto"/>
          <w:highlight w:val="none"/>
        </w:rPr>
        <w:t>第六章 响应文件内容及格式</w:t>
      </w:r>
      <w:bookmarkEnd w:id="295"/>
    </w:p>
    <w:p>
      <w:pPr>
        <w:spacing w:before="156" w:after="156" w:line="360" w:lineRule="auto"/>
        <w:jc w:val="center"/>
        <w:rPr>
          <w:rFonts w:hint="eastAsia" w:ascii="宋体" w:hAnsi="宋体" w:eastAsia="宋体" w:cs="宋体"/>
          <w:b/>
          <w:color w:val="auto"/>
          <w:sz w:val="44"/>
          <w:szCs w:val="44"/>
          <w:highlight w:val="none"/>
        </w:rPr>
      </w:pPr>
    </w:p>
    <w:p>
      <w:pPr>
        <w:spacing w:before="156" w:after="156" w:line="360" w:lineRule="auto"/>
        <w:jc w:val="left"/>
        <w:rPr>
          <w:rFonts w:hint="eastAsia" w:ascii="宋体" w:hAnsi="宋体" w:eastAsia="宋体" w:cs="宋体"/>
          <w:color w:val="auto"/>
          <w:highlight w:val="none"/>
        </w:rPr>
      </w:pPr>
      <w:r>
        <w:rPr>
          <w:rFonts w:hint="eastAsia" w:ascii="宋体" w:hAnsi="宋体" w:eastAsia="宋体" w:cs="宋体"/>
          <w:b/>
          <w:color w:val="auto"/>
          <w:sz w:val="24"/>
          <w:highlight w:val="none"/>
        </w:rPr>
        <w:t>请供应商按照文件要求的格式、内容制作响应文件，并按顺序编制目录及页码。</w:t>
      </w:r>
    </w:p>
    <w:p>
      <w:pPr>
        <w:spacing w:before="156" w:after="156" w:line="360" w:lineRule="auto"/>
        <w:jc w:val="center"/>
        <w:rPr>
          <w:rFonts w:hint="eastAsia" w:ascii="宋体" w:hAnsi="宋体" w:eastAsia="宋体" w:cs="宋体"/>
          <w:b/>
          <w:color w:val="auto"/>
          <w:sz w:val="44"/>
          <w:szCs w:val="44"/>
          <w:highlight w:val="none"/>
        </w:rPr>
      </w:pPr>
    </w:p>
    <w:p>
      <w:pPr>
        <w:spacing w:before="156" w:after="156" w:line="360" w:lineRule="auto"/>
        <w:jc w:val="center"/>
        <w:rPr>
          <w:rFonts w:hint="eastAsia" w:ascii="宋体" w:hAnsi="宋体" w:eastAsia="宋体" w:cs="宋体"/>
          <w:b/>
          <w:color w:val="auto"/>
          <w:sz w:val="44"/>
          <w:szCs w:val="44"/>
          <w:highlight w:val="none"/>
        </w:rPr>
      </w:pPr>
    </w:p>
    <w:p>
      <w:pPr>
        <w:spacing w:before="156" w:after="156" w:line="360" w:lineRule="auto"/>
        <w:jc w:val="center"/>
        <w:rPr>
          <w:rFonts w:hint="eastAsia" w:ascii="宋体" w:hAnsi="宋体" w:eastAsia="宋体" w:cs="宋体"/>
          <w:b/>
          <w:color w:val="auto"/>
          <w:sz w:val="44"/>
          <w:szCs w:val="44"/>
          <w:highlight w:val="none"/>
        </w:rPr>
      </w:pPr>
    </w:p>
    <w:p>
      <w:pPr>
        <w:spacing w:before="156" w:after="156" w:line="360" w:lineRule="auto"/>
        <w:jc w:val="center"/>
        <w:rPr>
          <w:rFonts w:hint="eastAsia" w:ascii="宋体" w:hAnsi="宋体" w:eastAsia="宋体" w:cs="宋体"/>
          <w:b/>
          <w:color w:val="auto"/>
          <w:sz w:val="44"/>
          <w:szCs w:val="44"/>
          <w:highlight w:val="none"/>
        </w:rPr>
      </w:pPr>
    </w:p>
    <w:p>
      <w:pPr>
        <w:spacing w:before="156" w:after="156" w:line="360" w:lineRule="auto"/>
        <w:jc w:val="center"/>
        <w:rPr>
          <w:rFonts w:hint="eastAsia" w:ascii="宋体" w:hAnsi="宋体" w:eastAsia="宋体" w:cs="宋体"/>
          <w:b/>
          <w:color w:val="auto"/>
          <w:sz w:val="44"/>
          <w:szCs w:val="44"/>
          <w:highlight w:val="none"/>
        </w:rPr>
      </w:pPr>
    </w:p>
    <w:p>
      <w:pPr>
        <w:spacing w:before="156" w:after="156" w:line="360" w:lineRule="auto"/>
        <w:rPr>
          <w:rFonts w:hint="eastAsia" w:ascii="宋体" w:hAnsi="宋体" w:eastAsia="宋体" w:cs="宋体"/>
          <w:b/>
          <w:color w:val="auto"/>
          <w:sz w:val="52"/>
          <w:szCs w:val="52"/>
          <w:highlight w:val="none"/>
        </w:rPr>
      </w:pPr>
    </w:p>
    <w:p>
      <w:pPr>
        <w:pageBreakBefore/>
        <w:spacing w:line="360" w:lineRule="auto"/>
        <w:jc w:val="center"/>
        <w:rPr>
          <w:rFonts w:hint="eastAsia" w:ascii="宋体" w:hAnsi="宋体" w:eastAsia="宋体" w:cs="宋体"/>
          <w:b/>
          <w:color w:val="auto"/>
          <w:sz w:val="40"/>
          <w:szCs w:val="40"/>
          <w:highlight w:val="none"/>
          <w:u w:val="single"/>
        </w:rPr>
      </w:pPr>
    </w:p>
    <w:p>
      <w:pPr>
        <w:spacing w:line="360" w:lineRule="auto"/>
        <w:jc w:val="center"/>
        <w:rPr>
          <w:rFonts w:hint="eastAsia" w:ascii="宋体" w:hAnsi="宋体" w:eastAsia="宋体" w:cs="宋体"/>
          <w:b/>
          <w:color w:val="auto"/>
          <w:sz w:val="72"/>
          <w:szCs w:val="72"/>
          <w:highlight w:val="none"/>
          <w:lang w:eastAsia="zh-CN"/>
        </w:rPr>
      </w:pPr>
      <w:r>
        <w:rPr>
          <w:rFonts w:hint="eastAsia" w:ascii="宋体" w:hAnsi="宋体" w:eastAsia="宋体" w:cs="宋体"/>
          <w:b/>
          <w:color w:val="auto"/>
          <w:sz w:val="40"/>
          <w:szCs w:val="40"/>
          <w:highlight w:val="none"/>
          <w:lang w:eastAsia="zh-CN"/>
        </w:rPr>
        <w:t>G223海榆东线安全设施精细化提升工程（K276+350-K307+000)</w:t>
      </w:r>
    </w:p>
    <w:p>
      <w:pPr>
        <w:spacing w:line="360" w:lineRule="auto"/>
        <w:ind w:firstLine="2160"/>
        <w:rPr>
          <w:rFonts w:hint="eastAsia" w:ascii="宋体" w:hAnsi="宋体" w:eastAsia="宋体" w:cs="宋体"/>
          <w:color w:val="auto"/>
          <w:highlight w:val="none"/>
        </w:rPr>
      </w:pPr>
      <w:r>
        <w:rPr>
          <w:rFonts w:hint="eastAsia" w:ascii="宋体" w:hAnsi="宋体" w:eastAsia="宋体" w:cs="宋体"/>
          <w:color w:val="auto"/>
          <w:sz w:val="72"/>
          <w:szCs w:val="72"/>
          <w:highlight w:val="none"/>
        </w:rPr>
        <w:t xml:space="preserve">  </w:t>
      </w:r>
    </w:p>
    <w:p>
      <w:pPr>
        <w:spacing w:line="360" w:lineRule="auto"/>
        <w:ind w:firstLine="2160"/>
        <w:rPr>
          <w:rFonts w:hint="eastAsia" w:ascii="宋体" w:hAnsi="宋体" w:eastAsia="宋体" w:cs="宋体"/>
          <w:color w:val="auto"/>
          <w:sz w:val="72"/>
          <w:szCs w:val="72"/>
          <w:highlight w:val="none"/>
        </w:rPr>
      </w:pPr>
    </w:p>
    <w:p>
      <w:pPr>
        <w:spacing w:line="360" w:lineRule="auto"/>
        <w:ind w:firstLine="2880"/>
        <w:rPr>
          <w:rFonts w:hint="eastAsia" w:ascii="宋体" w:hAnsi="宋体" w:eastAsia="宋体" w:cs="宋体"/>
          <w:color w:val="auto"/>
          <w:highlight w:val="none"/>
        </w:rPr>
      </w:pPr>
      <w:r>
        <w:rPr>
          <w:rFonts w:hint="eastAsia" w:ascii="宋体" w:hAnsi="宋体" w:eastAsia="宋体" w:cs="宋体"/>
          <w:color w:val="auto"/>
          <w:sz w:val="72"/>
          <w:szCs w:val="72"/>
          <w:highlight w:val="none"/>
        </w:rPr>
        <w:t>响应文件</w:t>
      </w:r>
    </w:p>
    <w:p>
      <w:pPr>
        <w:spacing w:line="360" w:lineRule="auto"/>
        <w:rPr>
          <w:rFonts w:hint="eastAsia" w:ascii="宋体" w:hAnsi="宋体" w:eastAsia="宋体" w:cs="宋体"/>
          <w:color w:val="auto"/>
          <w:sz w:val="72"/>
          <w:szCs w:val="21"/>
          <w:highlight w:val="none"/>
        </w:rPr>
      </w:pPr>
    </w:p>
    <w:p>
      <w:pPr>
        <w:spacing w:line="360" w:lineRule="auto"/>
        <w:ind w:firstLine="420"/>
        <w:rPr>
          <w:rFonts w:hint="eastAsia" w:ascii="宋体" w:hAnsi="宋体" w:eastAsia="宋体" w:cs="宋体"/>
          <w:color w:val="auto"/>
          <w:szCs w:val="21"/>
          <w:highlight w:val="none"/>
        </w:rPr>
      </w:pPr>
    </w:p>
    <w:p>
      <w:pPr>
        <w:spacing w:line="360" w:lineRule="auto"/>
        <w:ind w:firstLine="420"/>
        <w:rPr>
          <w:rFonts w:hint="eastAsia" w:ascii="宋体" w:hAnsi="宋体" w:eastAsia="宋体" w:cs="宋体"/>
          <w:color w:val="auto"/>
          <w:szCs w:val="21"/>
          <w:highlight w:val="none"/>
        </w:rPr>
      </w:pPr>
    </w:p>
    <w:p>
      <w:pPr>
        <w:spacing w:line="360" w:lineRule="auto"/>
        <w:ind w:firstLine="420"/>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spacing w:line="360" w:lineRule="auto"/>
        <w:ind w:firstLine="420"/>
        <w:rPr>
          <w:rFonts w:hint="eastAsia" w:ascii="宋体" w:hAnsi="宋体" w:eastAsia="宋体" w:cs="宋体"/>
          <w:color w:val="auto"/>
          <w:szCs w:val="21"/>
          <w:highlight w:val="none"/>
        </w:rPr>
      </w:pPr>
    </w:p>
    <w:p>
      <w:pPr>
        <w:spacing w:line="360" w:lineRule="auto"/>
        <w:ind w:firstLine="420"/>
        <w:rPr>
          <w:rFonts w:hint="eastAsia" w:ascii="宋体" w:hAnsi="宋体" w:eastAsia="宋体" w:cs="宋体"/>
          <w:color w:val="auto"/>
          <w:szCs w:val="21"/>
          <w:highlight w:val="none"/>
        </w:rPr>
      </w:pPr>
    </w:p>
    <w:p>
      <w:pPr>
        <w:spacing w:line="360" w:lineRule="auto"/>
        <w:ind w:firstLine="420"/>
        <w:rPr>
          <w:rFonts w:hint="eastAsia" w:ascii="宋体" w:hAnsi="宋体" w:eastAsia="宋体" w:cs="宋体"/>
          <w:color w:val="auto"/>
          <w:szCs w:val="21"/>
          <w:highlight w:val="none"/>
        </w:rPr>
      </w:pPr>
    </w:p>
    <w:p>
      <w:pPr>
        <w:spacing w:line="360" w:lineRule="auto"/>
        <w:ind w:firstLine="420"/>
        <w:rPr>
          <w:rFonts w:hint="eastAsia" w:ascii="宋体" w:hAnsi="宋体" w:eastAsia="宋体" w:cs="宋体"/>
          <w:color w:val="auto"/>
          <w:szCs w:val="21"/>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供应商名称：</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（盖单位章）</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法定代表人或其委托代理人：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（签字或盖章）</w:t>
      </w:r>
    </w:p>
    <w:p>
      <w:pPr>
        <w:spacing w:before="156" w:after="156"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日期：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spacing w:line="360" w:lineRule="auto"/>
        <w:jc w:val="center"/>
        <w:rPr>
          <w:rFonts w:hint="eastAsia" w:ascii="宋体" w:hAnsi="宋体" w:eastAsia="宋体" w:cs="宋体"/>
          <w:b/>
          <w:color w:val="auto"/>
          <w:sz w:val="40"/>
          <w:szCs w:val="40"/>
          <w:highlight w:val="none"/>
        </w:rPr>
      </w:pPr>
    </w:p>
    <w:p>
      <w:pPr>
        <w:pageBreakBefore/>
        <w:spacing w:line="360" w:lineRule="auto"/>
        <w:jc w:val="center"/>
        <w:rPr>
          <w:rFonts w:hint="eastAsia" w:ascii="宋体" w:hAnsi="宋体" w:eastAsia="宋体" w:cs="宋体"/>
          <w:color w:val="auto"/>
          <w:highlight w:val="none"/>
        </w:rPr>
      </w:pPr>
      <w:r>
        <w:rPr>
          <w:rFonts w:hint="eastAsia" w:ascii="宋体" w:hAnsi="宋体" w:eastAsia="宋体" w:cs="宋体"/>
          <w:b/>
          <w:color w:val="auto"/>
          <w:sz w:val="40"/>
          <w:szCs w:val="40"/>
          <w:highlight w:val="none"/>
        </w:rPr>
        <w:t>目 录</w:t>
      </w:r>
    </w:p>
    <w:p>
      <w:pPr>
        <w:spacing w:line="360" w:lineRule="auto"/>
        <w:jc w:val="left"/>
        <w:rPr>
          <w:rFonts w:hint="eastAsia" w:ascii="宋体" w:hAnsi="宋体" w:eastAsia="宋体" w:cs="宋体"/>
          <w:color w:val="auto"/>
          <w:highlight w:val="none"/>
        </w:rPr>
      </w:pPr>
      <w:r>
        <w:rPr>
          <w:rFonts w:hint="eastAsia" w:ascii="宋体" w:hAnsi="宋体" w:eastAsia="宋体" w:cs="宋体"/>
          <w:b/>
          <w:color w:val="auto"/>
          <w:sz w:val="28"/>
          <w:szCs w:val="28"/>
          <w:highlight w:val="none"/>
        </w:rPr>
        <w:t>一、投标函及投标函附录</w:t>
      </w:r>
    </w:p>
    <w:p>
      <w:pPr>
        <w:spacing w:line="360" w:lineRule="auto"/>
        <w:jc w:val="left"/>
        <w:rPr>
          <w:rFonts w:hint="eastAsia" w:ascii="宋体" w:hAnsi="宋体" w:eastAsia="宋体" w:cs="宋体"/>
          <w:color w:val="auto"/>
          <w:highlight w:val="none"/>
        </w:rPr>
      </w:pPr>
      <w:r>
        <w:rPr>
          <w:rFonts w:hint="eastAsia" w:ascii="宋体" w:hAnsi="宋体" w:eastAsia="宋体" w:cs="宋体"/>
          <w:b/>
          <w:color w:val="auto"/>
          <w:sz w:val="28"/>
          <w:szCs w:val="28"/>
          <w:highlight w:val="none"/>
        </w:rPr>
        <w:t>二、法定代表人身份证明及授权委托书</w:t>
      </w:r>
    </w:p>
    <w:p>
      <w:pPr>
        <w:spacing w:line="360" w:lineRule="auto"/>
        <w:jc w:val="left"/>
        <w:rPr>
          <w:rFonts w:hint="eastAsia" w:ascii="宋体" w:hAnsi="宋体" w:eastAsia="宋体" w:cs="宋体"/>
          <w:color w:val="auto"/>
          <w:highlight w:val="none"/>
        </w:rPr>
      </w:pPr>
      <w:r>
        <w:rPr>
          <w:rFonts w:hint="eastAsia" w:ascii="宋体" w:hAnsi="宋体" w:eastAsia="宋体" w:cs="宋体"/>
          <w:b/>
          <w:color w:val="auto"/>
          <w:sz w:val="28"/>
          <w:szCs w:val="28"/>
          <w:highlight w:val="none"/>
        </w:rPr>
        <w:t xml:space="preserve">三、施工组织设计 </w:t>
      </w:r>
    </w:p>
    <w:p>
      <w:pPr>
        <w:spacing w:line="360" w:lineRule="auto"/>
        <w:jc w:val="left"/>
        <w:rPr>
          <w:rFonts w:hint="eastAsia" w:ascii="宋体" w:hAnsi="宋体" w:eastAsia="宋体" w:cs="宋体"/>
          <w:color w:val="auto"/>
          <w:highlight w:val="none"/>
        </w:rPr>
      </w:pPr>
      <w:r>
        <w:rPr>
          <w:rFonts w:hint="eastAsia" w:ascii="宋体" w:hAnsi="宋体" w:eastAsia="宋体" w:cs="宋体"/>
          <w:b/>
          <w:color w:val="auto"/>
          <w:sz w:val="28"/>
          <w:szCs w:val="28"/>
          <w:highlight w:val="none"/>
        </w:rPr>
        <w:t xml:space="preserve">四、项目管理机构 </w:t>
      </w:r>
    </w:p>
    <w:p>
      <w:pPr>
        <w:spacing w:line="360" w:lineRule="auto"/>
        <w:jc w:val="left"/>
        <w:rPr>
          <w:rFonts w:hint="eastAsia" w:ascii="宋体" w:hAnsi="宋体" w:eastAsia="宋体" w:cs="宋体"/>
          <w:color w:val="auto"/>
          <w:highlight w:val="none"/>
        </w:rPr>
      </w:pPr>
      <w:r>
        <w:rPr>
          <w:rFonts w:hint="eastAsia" w:ascii="宋体" w:hAnsi="宋体" w:eastAsia="宋体" w:cs="宋体"/>
          <w:b/>
          <w:color w:val="auto"/>
          <w:sz w:val="28"/>
          <w:szCs w:val="28"/>
          <w:highlight w:val="none"/>
        </w:rPr>
        <w:t>五、资格审查资料（适用于未进行资格预审的）</w:t>
      </w:r>
    </w:p>
    <w:p>
      <w:pPr>
        <w:spacing w:line="360" w:lineRule="auto"/>
        <w:jc w:val="left"/>
        <w:rPr>
          <w:rFonts w:hint="eastAsia" w:ascii="宋体" w:hAnsi="宋体" w:eastAsia="宋体" w:cs="宋体"/>
          <w:color w:val="auto"/>
          <w:highlight w:val="none"/>
        </w:rPr>
      </w:pPr>
      <w:r>
        <w:rPr>
          <w:rFonts w:hint="eastAsia" w:ascii="宋体" w:hAnsi="宋体" w:eastAsia="宋体" w:cs="宋体"/>
          <w:b/>
          <w:color w:val="auto"/>
          <w:sz w:val="28"/>
          <w:szCs w:val="28"/>
          <w:highlight w:val="none"/>
        </w:rPr>
        <w:t>六、其他材料</w:t>
      </w:r>
    </w:p>
    <w:p>
      <w:pPr>
        <w:spacing w:line="360" w:lineRule="auto"/>
        <w:jc w:val="center"/>
        <w:rPr>
          <w:rFonts w:hint="eastAsia" w:ascii="宋体" w:hAnsi="宋体" w:eastAsia="宋体" w:cs="宋体"/>
          <w:b/>
          <w:color w:val="auto"/>
          <w:sz w:val="28"/>
          <w:szCs w:val="28"/>
          <w:highlight w:val="none"/>
        </w:rPr>
      </w:pPr>
    </w:p>
    <w:p>
      <w:pPr>
        <w:spacing w:line="360" w:lineRule="auto"/>
        <w:jc w:val="center"/>
        <w:rPr>
          <w:rFonts w:hint="eastAsia" w:ascii="宋体" w:hAnsi="宋体" w:eastAsia="宋体" w:cs="宋体"/>
          <w:b/>
          <w:color w:val="auto"/>
          <w:sz w:val="28"/>
          <w:szCs w:val="28"/>
          <w:highlight w:val="none"/>
        </w:rPr>
      </w:pPr>
    </w:p>
    <w:p>
      <w:pPr>
        <w:spacing w:line="360" w:lineRule="auto"/>
        <w:jc w:val="center"/>
        <w:rPr>
          <w:rFonts w:hint="eastAsia" w:ascii="宋体" w:hAnsi="宋体" w:eastAsia="宋体" w:cs="宋体"/>
          <w:b/>
          <w:color w:val="auto"/>
          <w:sz w:val="28"/>
          <w:szCs w:val="28"/>
          <w:highlight w:val="none"/>
        </w:rPr>
      </w:pPr>
    </w:p>
    <w:p>
      <w:pPr>
        <w:spacing w:line="360" w:lineRule="auto"/>
        <w:jc w:val="center"/>
        <w:rPr>
          <w:rFonts w:hint="eastAsia" w:ascii="宋体" w:hAnsi="宋体" w:eastAsia="宋体" w:cs="宋体"/>
          <w:b/>
          <w:color w:val="auto"/>
          <w:sz w:val="28"/>
          <w:szCs w:val="28"/>
          <w:highlight w:val="none"/>
        </w:rPr>
      </w:pPr>
    </w:p>
    <w:p>
      <w:pPr>
        <w:spacing w:line="360" w:lineRule="auto"/>
        <w:jc w:val="center"/>
        <w:rPr>
          <w:rFonts w:hint="eastAsia" w:ascii="宋体" w:hAnsi="宋体" w:eastAsia="宋体" w:cs="宋体"/>
          <w:b/>
          <w:color w:val="auto"/>
          <w:sz w:val="28"/>
          <w:szCs w:val="28"/>
          <w:highlight w:val="none"/>
        </w:rPr>
      </w:pPr>
    </w:p>
    <w:p>
      <w:pPr>
        <w:spacing w:line="360" w:lineRule="auto"/>
        <w:jc w:val="center"/>
        <w:rPr>
          <w:rFonts w:hint="eastAsia" w:ascii="宋体" w:hAnsi="宋体" w:eastAsia="宋体" w:cs="宋体"/>
          <w:b/>
          <w:color w:val="auto"/>
          <w:sz w:val="28"/>
          <w:szCs w:val="28"/>
          <w:highlight w:val="none"/>
        </w:rPr>
      </w:pPr>
    </w:p>
    <w:p>
      <w:pPr>
        <w:spacing w:line="360" w:lineRule="auto"/>
        <w:jc w:val="center"/>
        <w:rPr>
          <w:rFonts w:hint="eastAsia" w:ascii="宋体" w:hAnsi="宋体" w:eastAsia="宋体" w:cs="宋体"/>
          <w:b/>
          <w:color w:val="auto"/>
          <w:sz w:val="28"/>
          <w:szCs w:val="28"/>
          <w:highlight w:val="none"/>
        </w:rPr>
      </w:pPr>
    </w:p>
    <w:p>
      <w:pPr>
        <w:spacing w:line="360" w:lineRule="auto"/>
        <w:jc w:val="center"/>
        <w:rPr>
          <w:rFonts w:hint="eastAsia" w:ascii="宋体" w:hAnsi="宋体" w:eastAsia="宋体" w:cs="宋体"/>
          <w:b/>
          <w:color w:val="auto"/>
          <w:sz w:val="28"/>
          <w:szCs w:val="28"/>
          <w:highlight w:val="none"/>
        </w:rPr>
      </w:pPr>
    </w:p>
    <w:p>
      <w:pPr>
        <w:spacing w:line="360" w:lineRule="auto"/>
        <w:jc w:val="center"/>
        <w:rPr>
          <w:rFonts w:hint="eastAsia" w:ascii="宋体" w:hAnsi="宋体" w:eastAsia="宋体" w:cs="宋体"/>
          <w:b/>
          <w:color w:val="auto"/>
          <w:sz w:val="28"/>
          <w:szCs w:val="28"/>
          <w:highlight w:val="none"/>
        </w:rPr>
      </w:pPr>
    </w:p>
    <w:p>
      <w:pPr>
        <w:spacing w:line="360" w:lineRule="auto"/>
        <w:jc w:val="center"/>
        <w:rPr>
          <w:rFonts w:hint="eastAsia" w:ascii="宋体" w:hAnsi="宋体" w:eastAsia="宋体" w:cs="宋体"/>
          <w:b/>
          <w:color w:val="auto"/>
          <w:sz w:val="28"/>
          <w:szCs w:val="28"/>
          <w:highlight w:val="none"/>
        </w:rPr>
      </w:pPr>
    </w:p>
    <w:p>
      <w:pPr>
        <w:spacing w:line="360" w:lineRule="auto"/>
        <w:rPr>
          <w:rFonts w:hint="eastAsia" w:ascii="宋体" w:hAnsi="宋体" w:eastAsia="宋体" w:cs="宋体"/>
          <w:b/>
          <w:color w:val="auto"/>
          <w:sz w:val="28"/>
          <w:szCs w:val="28"/>
          <w:highlight w:val="none"/>
        </w:rPr>
      </w:pPr>
    </w:p>
    <w:p>
      <w:pPr>
        <w:pageBreakBefore/>
        <w:spacing w:line="360" w:lineRule="auto"/>
        <w:jc w:val="center"/>
        <w:rPr>
          <w:rFonts w:hint="eastAsia" w:ascii="宋体" w:hAnsi="宋体" w:eastAsia="宋体" w:cs="宋体"/>
          <w:color w:val="auto"/>
          <w:highlight w:val="none"/>
        </w:rPr>
      </w:pPr>
      <w:r>
        <w:rPr>
          <w:rFonts w:hint="eastAsia" w:ascii="宋体" w:hAnsi="宋体" w:eastAsia="宋体" w:cs="宋体"/>
          <w:b/>
          <w:color w:val="auto"/>
          <w:sz w:val="28"/>
          <w:szCs w:val="28"/>
          <w:highlight w:val="none"/>
        </w:rPr>
        <w:t>一.投标函及投标函附录</w:t>
      </w:r>
    </w:p>
    <w:p>
      <w:pPr>
        <w:spacing w:line="360" w:lineRule="auto"/>
        <w:jc w:val="center"/>
        <w:rPr>
          <w:rFonts w:hint="eastAsia" w:ascii="宋体" w:hAnsi="宋体" w:eastAsia="宋体" w:cs="宋体"/>
          <w:color w:val="auto"/>
          <w:highlight w:val="none"/>
        </w:rPr>
      </w:pPr>
      <w:r>
        <w:rPr>
          <w:rFonts w:hint="eastAsia" w:ascii="宋体" w:hAnsi="宋体" w:eastAsia="宋体" w:cs="宋体"/>
          <w:b/>
          <w:color w:val="auto"/>
          <w:sz w:val="28"/>
          <w:szCs w:val="28"/>
          <w:highlight w:val="none"/>
        </w:rPr>
        <w:t>（一）投标函</w:t>
      </w:r>
    </w:p>
    <w:p>
      <w:pPr>
        <w:pStyle w:val="42"/>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致：</w:t>
      </w: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rPr>
        <w:t xml:space="preserve">（采购人名称） </w:t>
      </w:r>
    </w:p>
    <w:p>
      <w:pPr>
        <w:pStyle w:val="37"/>
        <w:spacing w:after="0" w:line="360" w:lineRule="auto"/>
        <w:ind w:firstLine="443"/>
        <w:rPr>
          <w:rFonts w:hint="eastAsia" w:ascii="宋体" w:hAnsi="宋体" w:eastAsia="宋体" w:cs="宋体"/>
          <w:b w:val="0"/>
          <w:bCs w:val="0"/>
          <w:color w:val="auto"/>
          <w:highlight w:val="none"/>
        </w:rPr>
      </w:pPr>
      <w:r>
        <w:rPr>
          <w:rFonts w:hint="eastAsia" w:ascii="宋体" w:hAnsi="宋体" w:eastAsia="宋体" w:cs="宋体"/>
          <w:color w:val="auto"/>
          <w:sz w:val="22"/>
          <w:szCs w:val="22"/>
          <w:highlight w:val="none"/>
        </w:rPr>
        <w:t>1.在考察现场并充分研究</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（项目名称）（以下简称“本工程”）竞争性磋商文件的全部内容后，愿意以人民币（大写）</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元（¥</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）的投标总报价(或根据竞争性磋商文件规定修正核实后确定</w:t>
      </w:r>
      <w:r>
        <w:rPr>
          <w:rFonts w:hint="eastAsia" w:ascii="宋体" w:hAnsi="宋体" w:eastAsia="宋体" w:cs="宋体"/>
          <w:b w:val="0"/>
          <w:bCs w:val="0"/>
          <w:color w:val="auto"/>
          <w:sz w:val="22"/>
          <w:szCs w:val="22"/>
          <w:highlight w:val="none"/>
        </w:rPr>
        <w:t>的另一金额），工期</w:t>
      </w:r>
      <w:r>
        <w:rPr>
          <w:rFonts w:hint="eastAsia" w:ascii="宋体" w:hAnsi="宋体" w:eastAsia="宋体" w:cs="宋体"/>
          <w:b w:val="0"/>
          <w:bCs w:val="0"/>
          <w:color w:val="auto"/>
          <w:sz w:val="22"/>
          <w:szCs w:val="22"/>
          <w:highlight w:val="none"/>
          <w:u w:val="single"/>
        </w:rPr>
        <w:t xml:space="preserve">     </w:t>
      </w:r>
      <w:r>
        <w:rPr>
          <w:rFonts w:hint="eastAsia" w:ascii="宋体" w:hAnsi="宋体" w:eastAsia="宋体" w:cs="宋体"/>
          <w:b w:val="0"/>
          <w:bCs w:val="0"/>
          <w:color w:val="auto"/>
          <w:sz w:val="22"/>
          <w:szCs w:val="22"/>
          <w:highlight w:val="none"/>
        </w:rPr>
        <w:t>日历天，按合同约定实施和完成承包工程，修补工程中的任何缺陷，工程质量达到</w:t>
      </w:r>
      <w:r>
        <w:rPr>
          <w:rFonts w:hint="eastAsia" w:ascii="宋体" w:hAnsi="宋体" w:eastAsia="宋体" w:cs="宋体"/>
          <w:b w:val="0"/>
          <w:bCs w:val="0"/>
          <w:color w:val="auto"/>
          <w:sz w:val="22"/>
          <w:szCs w:val="22"/>
          <w:highlight w:val="none"/>
          <w:u w:val="single"/>
        </w:rPr>
        <w:t xml:space="preserve">     </w:t>
      </w:r>
      <w:r>
        <w:rPr>
          <w:rFonts w:hint="eastAsia" w:ascii="宋体" w:hAnsi="宋体" w:eastAsia="宋体" w:cs="宋体"/>
          <w:b w:val="0"/>
          <w:bCs w:val="0"/>
          <w:color w:val="auto"/>
          <w:sz w:val="22"/>
          <w:szCs w:val="22"/>
          <w:highlight w:val="none"/>
        </w:rPr>
        <w:t>。</w:t>
      </w:r>
    </w:p>
    <w:p>
      <w:pPr>
        <w:pStyle w:val="42"/>
        <w:spacing w:line="360" w:lineRule="auto"/>
        <w:ind w:left="105" w:firstLine="440"/>
        <w:rPr>
          <w:rFonts w:hint="eastAsia" w:ascii="宋体" w:hAnsi="宋体" w:eastAsia="宋体" w:cs="宋体"/>
          <w:b w:val="0"/>
          <w:bCs w:val="0"/>
          <w:color w:val="auto"/>
          <w:highlight w:val="none"/>
        </w:rPr>
      </w:pPr>
      <w:r>
        <w:rPr>
          <w:rFonts w:hint="eastAsia" w:ascii="宋体" w:hAnsi="宋体" w:eastAsia="宋体" w:cs="宋体"/>
          <w:b w:val="0"/>
          <w:bCs w:val="0"/>
          <w:color w:val="auto"/>
          <w:sz w:val="22"/>
          <w:szCs w:val="22"/>
          <w:highlight w:val="none"/>
        </w:rPr>
        <w:t>2.我方承诺在投标有效期内不修改、撤销响应文件。</w:t>
      </w:r>
    </w:p>
    <w:p>
      <w:pPr>
        <w:pStyle w:val="42"/>
        <w:spacing w:line="360" w:lineRule="auto"/>
        <w:ind w:left="105" w:firstLine="440"/>
        <w:rPr>
          <w:rFonts w:hint="eastAsia" w:ascii="宋体" w:hAnsi="宋体" w:eastAsia="宋体" w:cs="宋体"/>
          <w:color w:val="auto"/>
          <w:highlight w:val="none"/>
        </w:rPr>
      </w:pPr>
      <w:r>
        <w:rPr>
          <w:rFonts w:hint="eastAsia" w:ascii="宋体" w:hAnsi="宋体" w:eastAsia="宋体" w:cs="宋体"/>
          <w:color w:val="auto"/>
          <w:sz w:val="22"/>
          <w:szCs w:val="22"/>
          <w:highlight w:val="none"/>
        </w:rPr>
        <w:t>3.随同本投标函提交投标保证金一份，金额为人民币（大写）</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元（¥ </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w:t>
      </w:r>
    </w:p>
    <w:p>
      <w:pPr>
        <w:pStyle w:val="42"/>
        <w:spacing w:line="360" w:lineRule="auto"/>
        <w:ind w:left="105" w:firstLine="440"/>
        <w:rPr>
          <w:rFonts w:hint="eastAsia" w:ascii="宋体" w:hAnsi="宋体" w:eastAsia="宋体" w:cs="宋体"/>
          <w:color w:val="auto"/>
          <w:highlight w:val="none"/>
        </w:rPr>
      </w:pPr>
      <w:r>
        <w:rPr>
          <w:rFonts w:hint="eastAsia" w:ascii="宋体" w:hAnsi="宋体" w:eastAsia="宋体" w:cs="宋体"/>
          <w:color w:val="auto"/>
          <w:sz w:val="22"/>
          <w:szCs w:val="22"/>
          <w:highlight w:val="none"/>
        </w:rPr>
        <w:t>4.如我方中标：</w:t>
      </w:r>
    </w:p>
    <w:p>
      <w:pPr>
        <w:pStyle w:val="42"/>
        <w:spacing w:line="360" w:lineRule="auto"/>
        <w:ind w:left="105" w:firstLine="440"/>
        <w:rPr>
          <w:rFonts w:hint="eastAsia" w:ascii="宋体" w:hAnsi="宋体" w:eastAsia="宋体" w:cs="宋体"/>
          <w:color w:val="auto"/>
          <w:highlight w:val="none"/>
        </w:rPr>
      </w:pPr>
      <w:r>
        <w:rPr>
          <w:rFonts w:hint="eastAsia" w:ascii="宋体" w:hAnsi="宋体" w:eastAsia="宋体" w:cs="宋体"/>
          <w:color w:val="auto"/>
          <w:sz w:val="22"/>
          <w:szCs w:val="22"/>
          <w:highlight w:val="none"/>
        </w:rPr>
        <w:t>（1）我方承诺在收到成交通知书后，在成交通知书规定的期限内与你方签订合同。</w:t>
      </w:r>
    </w:p>
    <w:p>
      <w:pPr>
        <w:pStyle w:val="42"/>
        <w:spacing w:line="360" w:lineRule="auto"/>
        <w:ind w:left="105" w:firstLine="440"/>
        <w:rPr>
          <w:rFonts w:hint="eastAsia" w:ascii="宋体" w:hAnsi="宋体" w:eastAsia="宋体" w:cs="宋体"/>
          <w:color w:val="auto"/>
          <w:highlight w:val="none"/>
        </w:rPr>
      </w:pPr>
      <w:r>
        <w:rPr>
          <w:rFonts w:hint="eastAsia" w:ascii="宋体" w:hAnsi="宋体" w:eastAsia="宋体" w:cs="宋体"/>
          <w:color w:val="auto"/>
          <w:sz w:val="22"/>
          <w:szCs w:val="22"/>
          <w:highlight w:val="none"/>
        </w:rPr>
        <w:t>（2）随同本投标函递交的投标函附录属于合同文件的组成部分。</w:t>
      </w:r>
    </w:p>
    <w:p>
      <w:pPr>
        <w:pStyle w:val="42"/>
        <w:spacing w:line="360" w:lineRule="auto"/>
        <w:ind w:left="105" w:firstLine="440"/>
        <w:rPr>
          <w:rFonts w:hint="eastAsia" w:ascii="宋体" w:hAnsi="宋体" w:eastAsia="宋体" w:cs="宋体"/>
          <w:color w:val="auto"/>
          <w:highlight w:val="none"/>
        </w:rPr>
      </w:pPr>
      <w:r>
        <w:rPr>
          <w:rFonts w:hint="eastAsia" w:ascii="宋体" w:hAnsi="宋体" w:eastAsia="宋体" w:cs="宋体"/>
          <w:color w:val="auto"/>
          <w:sz w:val="22"/>
          <w:szCs w:val="22"/>
          <w:highlight w:val="none"/>
        </w:rPr>
        <w:t>（3）我方承诺按照竞争性磋商文件规定向你方递交履约担保。</w:t>
      </w:r>
    </w:p>
    <w:p>
      <w:pPr>
        <w:pStyle w:val="42"/>
        <w:spacing w:line="360" w:lineRule="auto"/>
        <w:ind w:left="105" w:firstLine="440"/>
        <w:rPr>
          <w:rFonts w:hint="eastAsia" w:ascii="宋体" w:hAnsi="宋体" w:eastAsia="宋体" w:cs="宋体"/>
          <w:color w:val="auto"/>
          <w:highlight w:val="none"/>
        </w:rPr>
      </w:pPr>
      <w:r>
        <w:rPr>
          <w:rFonts w:hint="eastAsia" w:ascii="宋体" w:hAnsi="宋体" w:eastAsia="宋体" w:cs="宋体"/>
          <w:color w:val="auto"/>
          <w:sz w:val="22"/>
          <w:szCs w:val="22"/>
          <w:highlight w:val="none"/>
        </w:rPr>
        <w:t>（4）我方承诺在合同约定的期限内完成并移交全部合同工程。</w:t>
      </w:r>
    </w:p>
    <w:p>
      <w:pPr>
        <w:pStyle w:val="42"/>
        <w:spacing w:line="360" w:lineRule="auto"/>
        <w:ind w:left="105" w:firstLine="440"/>
        <w:rPr>
          <w:rFonts w:hint="eastAsia" w:ascii="宋体" w:hAnsi="宋体" w:eastAsia="宋体" w:cs="宋体"/>
          <w:color w:val="auto"/>
          <w:highlight w:val="none"/>
        </w:rPr>
      </w:pPr>
      <w:r>
        <w:rPr>
          <w:rFonts w:hint="eastAsia" w:ascii="宋体" w:hAnsi="宋体" w:eastAsia="宋体" w:cs="宋体"/>
          <w:color w:val="auto"/>
          <w:sz w:val="22"/>
          <w:szCs w:val="22"/>
          <w:highlight w:val="none"/>
        </w:rPr>
        <w:t>5.我方在此声明，所递交的响应文件及有关资料内容完整、真实和准确，且不存在第二章“供应商须知”第3项规定的任何一种情形。</w:t>
      </w:r>
    </w:p>
    <w:p>
      <w:pPr>
        <w:pStyle w:val="42"/>
        <w:spacing w:line="360" w:lineRule="auto"/>
        <w:ind w:left="105" w:firstLine="440"/>
        <w:rPr>
          <w:rFonts w:hint="eastAsia" w:ascii="宋体" w:hAnsi="宋体" w:eastAsia="宋体" w:cs="宋体"/>
          <w:color w:val="auto"/>
          <w:highlight w:val="none"/>
        </w:rPr>
      </w:pPr>
      <w:r>
        <w:rPr>
          <w:rFonts w:hint="eastAsia" w:ascii="宋体" w:hAnsi="宋体" w:eastAsia="宋体" w:cs="宋体"/>
          <w:color w:val="auto"/>
          <w:sz w:val="22"/>
          <w:szCs w:val="22"/>
          <w:highlight w:val="none"/>
        </w:rPr>
        <w:t>6.在合同协议书正式签署生效之前，本投标函连同你方的成交通知书将构成我们双方之间共同遵守的文件，对双方具有约束力。</w:t>
      </w:r>
    </w:p>
    <w:p>
      <w:pPr>
        <w:pStyle w:val="42"/>
        <w:spacing w:line="360" w:lineRule="auto"/>
        <w:ind w:left="105" w:firstLine="440"/>
        <w:rPr>
          <w:rFonts w:hint="eastAsia" w:ascii="宋体" w:hAnsi="宋体" w:eastAsia="宋体" w:cs="宋体"/>
          <w:color w:val="auto"/>
          <w:highlight w:val="none"/>
        </w:rPr>
      </w:pPr>
      <w:r>
        <w:rPr>
          <w:rFonts w:hint="eastAsia" w:ascii="宋体" w:hAnsi="宋体" w:eastAsia="宋体" w:cs="宋体"/>
          <w:color w:val="auto"/>
          <w:sz w:val="22"/>
          <w:szCs w:val="22"/>
          <w:highlight w:val="none"/>
        </w:rPr>
        <w:t xml:space="preserve">7.   </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（其他补充说明）。</w:t>
      </w:r>
    </w:p>
    <w:p>
      <w:pPr>
        <w:pStyle w:val="42"/>
        <w:spacing w:line="360" w:lineRule="auto"/>
        <w:ind w:left="105" w:firstLine="440"/>
        <w:rPr>
          <w:rFonts w:hint="eastAsia" w:ascii="宋体" w:hAnsi="宋体" w:eastAsia="宋体" w:cs="宋体"/>
          <w:color w:val="auto"/>
          <w:sz w:val="22"/>
          <w:szCs w:val="22"/>
          <w:highlight w:val="none"/>
        </w:rPr>
      </w:pPr>
    </w:p>
    <w:p>
      <w:pPr>
        <w:pStyle w:val="42"/>
        <w:spacing w:line="360" w:lineRule="auto"/>
        <w:ind w:left="105" w:firstLine="440"/>
        <w:jc w:val="right"/>
        <w:rPr>
          <w:rFonts w:hint="eastAsia" w:ascii="宋体" w:hAnsi="宋体" w:eastAsia="宋体" w:cs="宋体"/>
          <w:color w:val="auto"/>
          <w:highlight w:val="none"/>
        </w:rPr>
      </w:pPr>
      <w:r>
        <w:rPr>
          <w:rFonts w:hint="eastAsia" w:ascii="宋体" w:hAnsi="宋体" w:eastAsia="宋体" w:cs="宋体"/>
          <w:color w:val="auto"/>
          <w:sz w:val="22"/>
          <w:szCs w:val="22"/>
          <w:highlight w:val="none"/>
        </w:rPr>
        <w:br w:type="textWrapping"/>
      </w:r>
      <w:r>
        <w:rPr>
          <w:rFonts w:hint="eastAsia" w:ascii="宋体" w:hAnsi="宋体" w:eastAsia="宋体" w:cs="宋体"/>
          <w:color w:val="auto"/>
          <w:sz w:val="22"/>
          <w:szCs w:val="22"/>
          <w:highlight w:val="none"/>
        </w:rPr>
        <w:t>供应商：</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（盖单位章）</w:t>
      </w:r>
      <w:r>
        <w:rPr>
          <w:rFonts w:hint="eastAsia" w:ascii="宋体" w:hAnsi="宋体" w:eastAsia="宋体" w:cs="宋体"/>
          <w:color w:val="auto"/>
          <w:sz w:val="22"/>
          <w:szCs w:val="22"/>
          <w:highlight w:val="none"/>
        </w:rPr>
        <w:br w:type="textWrapping"/>
      </w:r>
      <w:r>
        <w:rPr>
          <w:rFonts w:hint="eastAsia" w:ascii="宋体" w:hAnsi="宋体" w:eastAsia="宋体" w:cs="宋体"/>
          <w:color w:val="auto"/>
          <w:sz w:val="22"/>
          <w:szCs w:val="22"/>
          <w:highlight w:val="none"/>
        </w:rPr>
        <w:t>法人代表或委托代理人：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（签字或盖章）</w:t>
      </w:r>
      <w:r>
        <w:rPr>
          <w:rFonts w:hint="eastAsia" w:ascii="宋体" w:hAnsi="宋体" w:eastAsia="宋体" w:cs="宋体"/>
          <w:color w:val="auto"/>
          <w:sz w:val="22"/>
          <w:szCs w:val="22"/>
          <w:highlight w:val="none"/>
        </w:rPr>
        <w:br w:type="textWrapping"/>
      </w:r>
      <w:r>
        <w:rPr>
          <w:rFonts w:hint="eastAsia" w:ascii="宋体" w:hAnsi="宋体" w:eastAsia="宋体" w:cs="宋体"/>
          <w:color w:val="auto"/>
          <w:sz w:val="22"/>
          <w:szCs w:val="22"/>
          <w:highlight w:val="none"/>
        </w:rPr>
        <w:t xml:space="preserve"> 日期：    年  月   日</w:t>
      </w:r>
    </w:p>
    <w:p>
      <w:pPr>
        <w:pStyle w:val="42"/>
        <w:spacing w:line="360" w:lineRule="auto"/>
        <w:ind w:left="105" w:firstLine="440"/>
        <w:rPr>
          <w:rFonts w:hint="eastAsia" w:ascii="宋体" w:hAnsi="宋体" w:eastAsia="宋体" w:cs="宋体"/>
          <w:color w:val="auto"/>
          <w:sz w:val="22"/>
          <w:szCs w:val="22"/>
          <w:highlight w:val="none"/>
        </w:rPr>
      </w:pPr>
    </w:p>
    <w:p>
      <w:pPr>
        <w:spacing w:line="360" w:lineRule="auto"/>
        <w:rPr>
          <w:rFonts w:hint="eastAsia" w:ascii="宋体" w:hAnsi="宋体" w:eastAsia="宋体" w:cs="宋体"/>
          <w:b/>
          <w:color w:val="auto"/>
          <w:sz w:val="30"/>
          <w:szCs w:val="30"/>
          <w:highlight w:val="none"/>
          <w:lang w:val="en-GB"/>
        </w:rPr>
      </w:pPr>
    </w:p>
    <w:p>
      <w:pPr>
        <w:pageBreakBefore/>
        <w:spacing w:line="360" w:lineRule="auto"/>
        <w:jc w:val="left"/>
        <w:rPr>
          <w:rFonts w:hint="eastAsia" w:ascii="宋体" w:hAnsi="宋体" w:eastAsia="宋体" w:cs="宋体"/>
          <w:color w:val="auto"/>
          <w:highlight w:val="none"/>
        </w:rPr>
      </w:pPr>
      <w:r>
        <w:rPr>
          <w:rFonts w:hint="eastAsia" w:ascii="宋体" w:hAnsi="宋体" w:eastAsia="宋体" w:cs="宋体"/>
          <w:b/>
          <w:color w:val="auto"/>
          <w:sz w:val="28"/>
          <w:szCs w:val="28"/>
          <w:highlight w:val="none"/>
        </w:rPr>
        <w:t>（二）投标函附录</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8"/>
          <w:szCs w:val="28"/>
          <w:highlight w:val="none"/>
        </w:rPr>
        <w:t>工程名称：</w:t>
      </w:r>
    </w:p>
    <w:tbl>
      <w:tblPr>
        <w:tblStyle w:val="18"/>
        <w:tblW w:w="0" w:type="auto"/>
        <w:tblInd w:w="108" w:type="dxa"/>
        <w:tblLayout w:type="fixed"/>
        <w:tblCellMar>
          <w:top w:w="0" w:type="dxa"/>
          <w:left w:w="108" w:type="dxa"/>
          <w:bottom w:w="0" w:type="dxa"/>
          <w:right w:w="108" w:type="dxa"/>
        </w:tblCellMar>
      </w:tblPr>
      <w:tblGrid>
        <w:gridCol w:w="709"/>
        <w:gridCol w:w="1701"/>
        <w:gridCol w:w="1418"/>
        <w:gridCol w:w="3685"/>
        <w:gridCol w:w="861"/>
      </w:tblGrid>
      <w:tr>
        <w:tblPrEx>
          <w:tblCellMar>
            <w:top w:w="0" w:type="dxa"/>
            <w:left w:w="108" w:type="dxa"/>
            <w:bottom w:w="0" w:type="dxa"/>
            <w:right w:w="108" w:type="dxa"/>
          </w:tblCellMar>
        </w:tblPrEx>
        <w:trPr>
          <w:trHeight w:val="725" w:hRule="atLeast"/>
        </w:trPr>
        <w:tc>
          <w:tcPr>
            <w:tcW w:w="709"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序号</w:t>
            </w:r>
          </w:p>
        </w:tc>
        <w:tc>
          <w:tcPr>
            <w:tcW w:w="170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条款名称</w:t>
            </w:r>
          </w:p>
        </w:tc>
        <w:tc>
          <w:tcPr>
            <w:tcW w:w="141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合同条款号</w:t>
            </w:r>
          </w:p>
        </w:tc>
        <w:tc>
          <w:tcPr>
            <w:tcW w:w="3685"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约定内容</w:t>
            </w:r>
          </w:p>
        </w:tc>
        <w:tc>
          <w:tcPr>
            <w:tcW w:w="86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备注</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1</w:t>
            </w:r>
          </w:p>
        </w:tc>
        <w:tc>
          <w:tcPr>
            <w:tcW w:w="170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项目负责人（项目经理）</w:t>
            </w:r>
          </w:p>
        </w:tc>
        <w:tc>
          <w:tcPr>
            <w:tcW w:w="141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w:t>
            </w:r>
          </w:p>
        </w:tc>
        <w:tc>
          <w:tcPr>
            <w:tcW w:w="3685" w:type="dxa"/>
            <w:tcBorders>
              <w:top w:val="single" w:color="000000" w:sz="4" w:space="0"/>
              <w:left w:val="single" w:color="000000" w:sz="4" w:space="0"/>
              <w:bottom w:val="single" w:color="000000" w:sz="4" w:space="0"/>
              <w:right w:val="single" w:color="000000" w:sz="4" w:space="0"/>
            </w:tcBorders>
          </w:tcPr>
          <w:p>
            <w:pPr>
              <w:spacing w:line="360" w:lineRule="auto"/>
              <w:jc w:val="left"/>
              <w:rPr>
                <w:rFonts w:hint="eastAsia" w:ascii="宋体" w:hAnsi="宋体" w:eastAsia="宋体" w:cs="宋体"/>
                <w:color w:val="auto"/>
                <w:highlight w:val="none"/>
              </w:rPr>
            </w:pPr>
            <w:r>
              <w:rPr>
                <w:rFonts w:hint="eastAsia" w:ascii="宋体" w:hAnsi="宋体" w:eastAsia="宋体" w:cs="宋体"/>
                <w:color w:val="auto"/>
                <w:spacing w:val="8"/>
                <w:sz w:val="24"/>
                <w:highlight w:val="none"/>
              </w:rPr>
              <w:t>姓名：……</w:t>
            </w:r>
          </w:p>
          <w:p>
            <w:pPr>
              <w:spacing w:line="360" w:lineRule="auto"/>
              <w:ind w:left="1245"/>
              <w:jc w:val="left"/>
              <w:rPr>
                <w:rFonts w:hint="eastAsia" w:ascii="宋体" w:hAnsi="宋体" w:eastAsia="宋体" w:cs="宋体"/>
                <w:color w:val="auto"/>
                <w:spacing w:val="8"/>
                <w:sz w:val="24"/>
                <w:highlight w:val="none"/>
              </w:rPr>
            </w:pPr>
          </w:p>
        </w:tc>
        <w:tc>
          <w:tcPr>
            <w:tcW w:w="861"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Fonts w:hint="eastAsia" w:ascii="宋体" w:hAnsi="宋体" w:eastAsia="宋体" w:cs="宋体"/>
                <w:color w:val="auto"/>
                <w:spacing w:val="8"/>
                <w:sz w:val="24"/>
                <w:highlight w:val="none"/>
                <w:u w:val="single"/>
              </w:rPr>
            </w:pPr>
          </w:p>
        </w:tc>
      </w:tr>
      <w:tr>
        <w:tblPrEx>
          <w:tblCellMar>
            <w:top w:w="0" w:type="dxa"/>
            <w:left w:w="108" w:type="dxa"/>
            <w:bottom w:w="0" w:type="dxa"/>
            <w:right w:w="108" w:type="dxa"/>
          </w:tblCellMar>
        </w:tblPrEx>
        <w:trPr>
          <w:trHeight w:val="691" w:hRule="atLeast"/>
        </w:trPr>
        <w:tc>
          <w:tcPr>
            <w:tcW w:w="709"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1.1</w:t>
            </w:r>
          </w:p>
        </w:tc>
        <w:tc>
          <w:tcPr>
            <w:tcW w:w="170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项目负责人（项目经理）注册证号</w:t>
            </w:r>
          </w:p>
        </w:tc>
        <w:tc>
          <w:tcPr>
            <w:tcW w:w="141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w:t>
            </w:r>
          </w:p>
        </w:tc>
        <w:tc>
          <w:tcPr>
            <w:tcW w:w="3685" w:type="dxa"/>
            <w:tcBorders>
              <w:top w:val="single" w:color="000000" w:sz="4" w:space="0"/>
              <w:left w:val="single" w:color="000000" w:sz="4" w:space="0"/>
              <w:bottom w:val="single" w:color="000000" w:sz="4" w:space="0"/>
              <w:right w:val="single" w:color="000000" w:sz="4" w:space="0"/>
            </w:tcBorders>
          </w:tcPr>
          <w:p>
            <w:pPr>
              <w:spacing w:line="360" w:lineRule="auto"/>
              <w:ind w:left="210"/>
              <w:jc w:val="left"/>
              <w:rPr>
                <w:rFonts w:hint="eastAsia" w:ascii="宋体" w:hAnsi="宋体" w:eastAsia="宋体" w:cs="宋体"/>
                <w:color w:val="auto"/>
                <w:highlight w:val="none"/>
              </w:rPr>
            </w:pPr>
            <w:r>
              <w:rPr>
                <w:rFonts w:hint="eastAsia" w:ascii="宋体" w:hAnsi="宋体" w:eastAsia="宋体" w:cs="宋体"/>
                <w:color w:val="auto"/>
                <w:spacing w:val="8"/>
                <w:sz w:val="24"/>
                <w:highlight w:val="none"/>
              </w:rPr>
              <w:t>………</w:t>
            </w:r>
          </w:p>
        </w:tc>
        <w:tc>
          <w:tcPr>
            <w:tcW w:w="861"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Fonts w:hint="eastAsia" w:ascii="宋体" w:hAnsi="宋体" w:eastAsia="宋体" w:cs="宋体"/>
                <w:color w:val="auto"/>
                <w:spacing w:val="8"/>
                <w:sz w:val="24"/>
                <w:highlight w:val="none"/>
                <w:u w:val="single"/>
              </w:rPr>
            </w:pPr>
          </w:p>
        </w:tc>
      </w:tr>
      <w:tr>
        <w:tblPrEx>
          <w:tblCellMar>
            <w:top w:w="0" w:type="dxa"/>
            <w:left w:w="108" w:type="dxa"/>
            <w:bottom w:w="0" w:type="dxa"/>
            <w:right w:w="108" w:type="dxa"/>
          </w:tblCellMar>
        </w:tblPrEx>
        <w:trPr>
          <w:trHeight w:val="1379" w:hRule="atLeast"/>
        </w:trPr>
        <w:tc>
          <w:tcPr>
            <w:tcW w:w="709"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1.2</w:t>
            </w:r>
          </w:p>
        </w:tc>
        <w:tc>
          <w:tcPr>
            <w:tcW w:w="170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项目负责人（项目经理）身份证号码</w:t>
            </w:r>
          </w:p>
        </w:tc>
        <w:tc>
          <w:tcPr>
            <w:tcW w:w="141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w:t>
            </w:r>
          </w:p>
        </w:tc>
        <w:tc>
          <w:tcPr>
            <w:tcW w:w="3685" w:type="dxa"/>
            <w:tcBorders>
              <w:top w:val="single" w:color="000000" w:sz="4" w:space="0"/>
              <w:left w:val="single" w:color="000000" w:sz="4" w:space="0"/>
              <w:bottom w:val="single" w:color="000000" w:sz="4" w:space="0"/>
              <w:right w:val="single" w:color="000000" w:sz="4" w:space="0"/>
            </w:tcBorders>
          </w:tcPr>
          <w:p>
            <w:pPr>
              <w:spacing w:line="360" w:lineRule="auto"/>
              <w:ind w:left="210"/>
              <w:jc w:val="left"/>
              <w:rPr>
                <w:rFonts w:hint="eastAsia" w:ascii="宋体" w:hAnsi="宋体" w:eastAsia="宋体" w:cs="宋体"/>
                <w:color w:val="auto"/>
                <w:highlight w:val="none"/>
              </w:rPr>
            </w:pPr>
            <w:r>
              <w:rPr>
                <w:rFonts w:hint="eastAsia" w:ascii="宋体" w:hAnsi="宋体" w:eastAsia="宋体" w:cs="宋体"/>
                <w:color w:val="auto"/>
                <w:spacing w:val="8"/>
                <w:sz w:val="24"/>
                <w:highlight w:val="none"/>
              </w:rPr>
              <w:t>………</w:t>
            </w:r>
          </w:p>
        </w:tc>
        <w:tc>
          <w:tcPr>
            <w:tcW w:w="861"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Fonts w:hint="eastAsia" w:ascii="宋体" w:hAnsi="宋体" w:eastAsia="宋体" w:cs="宋体"/>
                <w:color w:val="auto"/>
                <w:spacing w:val="8"/>
                <w:sz w:val="24"/>
                <w:highlight w:val="none"/>
                <w:u w:val="single"/>
              </w:rPr>
            </w:pPr>
          </w:p>
        </w:tc>
      </w:tr>
      <w:tr>
        <w:tblPrEx>
          <w:tblCellMar>
            <w:top w:w="0" w:type="dxa"/>
            <w:left w:w="108" w:type="dxa"/>
            <w:bottom w:w="0" w:type="dxa"/>
            <w:right w:w="108" w:type="dxa"/>
          </w:tblCellMar>
        </w:tblPrEx>
        <w:trPr>
          <w:trHeight w:val="614" w:hRule="atLeast"/>
        </w:trPr>
        <w:tc>
          <w:tcPr>
            <w:tcW w:w="709"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2</w:t>
            </w:r>
          </w:p>
        </w:tc>
        <w:tc>
          <w:tcPr>
            <w:tcW w:w="170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合同履行期限</w:t>
            </w:r>
          </w:p>
        </w:tc>
        <w:tc>
          <w:tcPr>
            <w:tcW w:w="141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w:t>
            </w:r>
          </w:p>
        </w:tc>
        <w:tc>
          <w:tcPr>
            <w:tcW w:w="3685" w:type="dxa"/>
            <w:tcBorders>
              <w:top w:val="single" w:color="000000" w:sz="4" w:space="0"/>
              <w:left w:val="single" w:color="000000" w:sz="4" w:space="0"/>
              <w:bottom w:val="single" w:color="000000" w:sz="4" w:space="0"/>
              <w:right w:val="single" w:color="000000" w:sz="4" w:space="0"/>
            </w:tcBorders>
          </w:tcPr>
          <w:p>
            <w:pPr>
              <w:spacing w:line="360" w:lineRule="auto"/>
              <w:ind w:left="210"/>
              <w:jc w:val="left"/>
              <w:rPr>
                <w:rFonts w:hint="eastAsia" w:ascii="宋体" w:hAnsi="宋体" w:eastAsia="宋体" w:cs="宋体"/>
                <w:color w:val="auto"/>
                <w:highlight w:val="none"/>
              </w:rPr>
            </w:pPr>
            <w:r>
              <w:rPr>
                <w:rFonts w:hint="eastAsia" w:ascii="宋体" w:hAnsi="宋体" w:eastAsia="宋体" w:cs="宋体"/>
                <w:color w:val="auto"/>
                <w:spacing w:val="8"/>
                <w:sz w:val="24"/>
                <w:highlight w:val="none"/>
              </w:rPr>
              <w:t>……日历天</w:t>
            </w:r>
          </w:p>
        </w:tc>
        <w:tc>
          <w:tcPr>
            <w:tcW w:w="861"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Fonts w:hint="eastAsia" w:ascii="宋体" w:hAnsi="宋体" w:eastAsia="宋体" w:cs="宋体"/>
                <w:color w:val="auto"/>
                <w:spacing w:val="8"/>
                <w:sz w:val="24"/>
                <w:highlight w:val="none"/>
                <w:u w:val="single"/>
              </w:rPr>
            </w:pPr>
          </w:p>
        </w:tc>
      </w:tr>
      <w:tr>
        <w:tblPrEx>
          <w:tblCellMar>
            <w:top w:w="0" w:type="dxa"/>
            <w:left w:w="108" w:type="dxa"/>
            <w:bottom w:w="0" w:type="dxa"/>
            <w:right w:w="108" w:type="dxa"/>
          </w:tblCellMar>
        </w:tblPrEx>
        <w:trPr>
          <w:trHeight w:val="614" w:hRule="atLeast"/>
        </w:trPr>
        <w:tc>
          <w:tcPr>
            <w:tcW w:w="709"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3</w:t>
            </w:r>
          </w:p>
        </w:tc>
        <w:tc>
          <w:tcPr>
            <w:tcW w:w="170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质量标准</w:t>
            </w:r>
          </w:p>
        </w:tc>
        <w:tc>
          <w:tcPr>
            <w:tcW w:w="141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w:t>
            </w:r>
          </w:p>
        </w:tc>
        <w:tc>
          <w:tcPr>
            <w:tcW w:w="3685" w:type="dxa"/>
            <w:tcBorders>
              <w:top w:val="single" w:color="000000" w:sz="4" w:space="0"/>
              <w:left w:val="single" w:color="000000" w:sz="4" w:space="0"/>
              <w:bottom w:val="single" w:color="000000" w:sz="4" w:space="0"/>
              <w:right w:val="single" w:color="000000" w:sz="4" w:space="0"/>
            </w:tcBorders>
          </w:tcPr>
          <w:p>
            <w:pPr>
              <w:spacing w:line="360" w:lineRule="auto"/>
              <w:ind w:left="210"/>
              <w:jc w:val="left"/>
              <w:rPr>
                <w:rFonts w:hint="eastAsia" w:ascii="宋体" w:hAnsi="宋体" w:eastAsia="宋体" w:cs="宋体"/>
                <w:color w:val="auto"/>
                <w:highlight w:val="none"/>
              </w:rPr>
            </w:pPr>
            <w:r>
              <w:rPr>
                <w:rFonts w:hint="eastAsia" w:ascii="宋体" w:hAnsi="宋体" w:eastAsia="宋体" w:cs="宋体"/>
                <w:color w:val="auto"/>
                <w:spacing w:val="8"/>
                <w:sz w:val="24"/>
                <w:highlight w:val="none"/>
              </w:rPr>
              <w:t>合格</w:t>
            </w:r>
          </w:p>
        </w:tc>
        <w:tc>
          <w:tcPr>
            <w:tcW w:w="861"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Fonts w:hint="eastAsia" w:ascii="宋体" w:hAnsi="宋体" w:eastAsia="宋体" w:cs="宋体"/>
                <w:color w:val="auto"/>
                <w:spacing w:val="8"/>
                <w:sz w:val="24"/>
                <w:highlight w:val="none"/>
                <w:u w:val="single"/>
              </w:rPr>
            </w:pPr>
          </w:p>
        </w:tc>
      </w:tr>
      <w:tr>
        <w:tblPrEx>
          <w:tblCellMar>
            <w:top w:w="0" w:type="dxa"/>
            <w:left w:w="108" w:type="dxa"/>
            <w:bottom w:w="0" w:type="dxa"/>
            <w:right w:w="108" w:type="dxa"/>
          </w:tblCellMar>
        </w:tblPrEx>
        <w:trPr>
          <w:trHeight w:val="614" w:hRule="atLeast"/>
        </w:trPr>
        <w:tc>
          <w:tcPr>
            <w:tcW w:w="709"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4</w:t>
            </w:r>
          </w:p>
        </w:tc>
        <w:tc>
          <w:tcPr>
            <w:tcW w:w="170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投标有效期</w:t>
            </w:r>
          </w:p>
        </w:tc>
        <w:tc>
          <w:tcPr>
            <w:tcW w:w="141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w:t>
            </w:r>
          </w:p>
        </w:tc>
        <w:tc>
          <w:tcPr>
            <w:tcW w:w="3685" w:type="dxa"/>
            <w:tcBorders>
              <w:top w:val="single" w:color="000000" w:sz="4" w:space="0"/>
              <w:left w:val="single" w:color="000000" w:sz="4" w:space="0"/>
              <w:bottom w:val="single" w:color="000000" w:sz="4" w:space="0"/>
              <w:right w:val="single" w:color="000000" w:sz="4" w:space="0"/>
            </w:tcBorders>
          </w:tcPr>
          <w:p>
            <w:pPr>
              <w:spacing w:line="360" w:lineRule="auto"/>
              <w:ind w:left="210"/>
              <w:jc w:val="left"/>
              <w:rPr>
                <w:rFonts w:hint="eastAsia" w:ascii="宋体" w:hAnsi="宋体" w:eastAsia="宋体" w:cs="宋体"/>
                <w:color w:val="auto"/>
                <w:highlight w:val="none"/>
              </w:rPr>
            </w:pPr>
            <w:r>
              <w:rPr>
                <w:rFonts w:hint="eastAsia" w:ascii="宋体" w:hAnsi="宋体" w:eastAsia="宋体" w:cs="宋体"/>
                <w:color w:val="auto"/>
                <w:sz w:val="24"/>
                <w:highlight w:val="none"/>
              </w:rPr>
              <w:t>投标截止之日起 90 日历天</w:t>
            </w:r>
          </w:p>
        </w:tc>
        <w:tc>
          <w:tcPr>
            <w:tcW w:w="861"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Fonts w:hint="eastAsia" w:ascii="宋体" w:hAnsi="宋体" w:eastAsia="宋体" w:cs="宋体"/>
                <w:color w:val="auto"/>
                <w:spacing w:val="8"/>
                <w:sz w:val="24"/>
                <w:highlight w:val="none"/>
                <w:u w:val="single"/>
              </w:rPr>
            </w:pPr>
          </w:p>
        </w:tc>
      </w:tr>
      <w:tr>
        <w:tblPrEx>
          <w:tblCellMar>
            <w:top w:w="0" w:type="dxa"/>
            <w:left w:w="108" w:type="dxa"/>
            <w:bottom w:w="0" w:type="dxa"/>
            <w:right w:w="108" w:type="dxa"/>
          </w:tblCellMar>
        </w:tblPrEx>
        <w:trPr>
          <w:trHeight w:val="614" w:hRule="atLeast"/>
        </w:trPr>
        <w:tc>
          <w:tcPr>
            <w:tcW w:w="709"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w:t>
            </w:r>
          </w:p>
        </w:tc>
        <w:tc>
          <w:tcPr>
            <w:tcW w:w="170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w:t>
            </w:r>
          </w:p>
        </w:tc>
        <w:tc>
          <w:tcPr>
            <w:tcW w:w="141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pacing w:val="8"/>
                <w:sz w:val="24"/>
                <w:highlight w:val="none"/>
              </w:rPr>
              <w:t>……</w:t>
            </w:r>
          </w:p>
        </w:tc>
        <w:tc>
          <w:tcPr>
            <w:tcW w:w="3685" w:type="dxa"/>
            <w:tcBorders>
              <w:top w:val="single" w:color="000000" w:sz="4" w:space="0"/>
              <w:left w:val="single" w:color="000000" w:sz="4" w:space="0"/>
              <w:bottom w:val="single" w:color="000000" w:sz="4" w:space="0"/>
              <w:right w:val="single" w:color="000000" w:sz="4" w:space="0"/>
            </w:tcBorders>
          </w:tcPr>
          <w:p>
            <w:pPr>
              <w:spacing w:line="360" w:lineRule="auto"/>
              <w:ind w:left="210"/>
              <w:jc w:val="left"/>
              <w:rPr>
                <w:rFonts w:hint="eastAsia" w:ascii="宋体" w:hAnsi="宋体" w:eastAsia="宋体" w:cs="宋体"/>
                <w:color w:val="auto"/>
                <w:highlight w:val="none"/>
              </w:rPr>
            </w:pPr>
            <w:r>
              <w:rPr>
                <w:rFonts w:hint="eastAsia" w:ascii="宋体" w:hAnsi="宋体" w:eastAsia="宋体" w:cs="宋体"/>
                <w:color w:val="auto"/>
                <w:spacing w:val="8"/>
                <w:sz w:val="24"/>
                <w:highlight w:val="none"/>
              </w:rPr>
              <w:t>…………</w:t>
            </w:r>
          </w:p>
        </w:tc>
        <w:tc>
          <w:tcPr>
            <w:tcW w:w="861"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Fonts w:hint="eastAsia" w:ascii="宋体" w:hAnsi="宋体" w:eastAsia="宋体" w:cs="宋体"/>
                <w:color w:val="auto"/>
                <w:spacing w:val="8"/>
                <w:sz w:val="24"/>
                <w:highlight w:val="none"/>
                <w:u w:val="single"/>
              </w:rPr>
            </w:pPr>
          </w:p>
        </w:tc>
      </w:tr>
      <w:tr>
        <w:tblPrEx>
          <w:tblCellMar>
            <w:top w:w="0" w:type="dxa"/>
            <w:left w:w="108" w:type="dxa"/>
            <w:bottom w:w="0" w:type="dxa"/>
            <w:right w:w="108" w:type="dxa"/>
          </w:tblCellMar>
        </w:tblPrEx>
        <w:trPr>
          <w:trHeight w:val="614" w:hRule="atLeast"/>
        </w:trPr>
        <w:tc>
          <w:tcPr>
            <w:tcW w:w="8374" w:type="dxa"/>
            <w:gridSpan w:val="5"/>
            <w:tcBorders>
              <w:top w:val="single" w:color="000000" w:sz="4" w:space="0"/>
              <w:left w:val="single" w:color="000000" w:sz="4" w:space="0"/>
              <w:bottom w:val="single" w:color="000000" w:sz="4" w:space="0"/>
              <w:right w:val="single" w:color="000000" w:sz="4" w:space="0"/>
            </w:tcBorders>
          </w:tcPr>
          <w:p>
            <w:pPr>
              <w:spacing w:line="360" w:lineRule="auto"/>
              <w:jc w:val="left"/>
              <w:rPr>
                <w:rFonts w:hint="eastAsia" w:ascii="宋体" w:hAnsi="宋体" w:eastAsia="宋体" w:cs="宋体"/>
                <w:color w:val="auto"/>
                <w:highlight w:val="none"/>
              </w:rPr>
            </w:pPr>
            <w:r>
              <w:rPr>
                <w:rFonts w:hint="eastAsia" w:ascii="宋体" w:hAnsi="宋体" w:eastAsia="宋体" w:cs="宋体"/>
                <w:color w:val="auto"/>
                <w:spacing w:val="8"/>
                <w:sz w:val="24"/>
                <w:highlight w:val="none"/>
              </w:rPr>
              <w:t>备注：供应商在响应竞争性磋商文件中规定的实质性要求和条件的基础上，可做出其他有利于采购人的承诺。此类承诺可在本表中予以补充填写。</w:t>
            </w:r>
          </w:p>
        </w:tc>
      </w:tr>
    </w:tbl>
    <w:p>
      <w:pPr>
        <w:spacing w:line="360" w:lineRule="auto"/>
        <w:jc w:val="center"/>
        <w:rPr>
          <w:rFonts w:hint="eastAsia" w:ascii="宋体" w:hAnsi="宋体" w:eastAsia="宋体" w:cs="宋体"/>
          <w:b/>
          <w:color w:val="auto"/>
          <w:sz w:val="28"/>
          <w:szCs w:val="28"/>
          <w:highlight w:val="none"/>
        </w:rPr>
      </w:pPr>
    </w:p>
    <w:p>
      <w:pPr>
        <w:spacing w:line="360" w:lineRule="auto"/>
        <w:rPr>
          <w:rFonts w:hint="eastAsia" w:ascii="宋体" w:hAnsi="宋体" w:eastAsia="宋体" w:cs="宋体"/>
          <w:b/>
          <w:color w:val="auto"/>
          <w:sz w:val="28"/>
          <w:szCs w:val="28"/>
          <w:highlight w:val="none"/>
        </w:rPr>
      </w:pP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sz w:val="22"/>
          <w:szCs w:val="22"/>
          <w:highlight w:val="none"/>
        </w:rPr>
        <w:t>供应商：</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（盖单位章）</w:t>
      </w:r>
      <w:r>
        <w:rPr>
          <w:rFonts w:hint="eastAsia" w:ascii="宋体" w:hAnsi="宋体" w:eastAsia="宋体" w:cs="宋体"/>
          <w:color w:val="auto"/>
          <w:sz w:val="22"/>
          <w:szCs w:val="22"/>
          <w:highlight w:val="none"/>
        </w:rPr>
        <w:br w:type="textWrapping"/>
      </w:r>
      <w:r>
        <w:rPr>
          <w:rFonts w:hint="eastAsia" w:ascii="宋体" w:hAnsi="宋体" w:eastAsia="宋体" w:cs="宋体"/>
          <w:color w:val="auto"/>
          <w:sz w:val="22"/>
          <w:szCs w:val="22"/>
          <w:highlight w:val="none"/>
        </w:rPr>
        <w:t xml:space="preserve">  法人代表或委托代理人：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（签字或盖章）</w:t>
      </w:r>
    </w:p>
    <w:p>
      <w:pPr>
        <w:spacing w:line="360" w:lineRule="auto"/>
        <w:ind w:firstLine="1256" w:firstLineChars="571"/>
        <w:jc w:val="right"/>
        <w:rPr>
          <w:rFonts w:hint="eastAsia" w:ascii="宋体" w:hAnsi="宋体" w:eastAsia="宋体" w:cs="宋体"/>
          <w:color w:val="auto"/>
          <w:highlight w:val="none"/>
        </w:rPr>
      </w:pPr>
      <w:r>
        <w:rPr>
          <w:rFonts w:hint="eastAsia" w:ascii="宋体" w:hAnsi="宋体" w:eastAsia="宋体" w:cs="宋体"/>
          <w:color w:val="auto"/>
          <w:sz w:val="22"/>
          <w:szCs w:val="22"/>
          <w:highlight w:val="none"/>
        </w:rPr>
        <w:t>日期：    年  月   日</w:t>
      </w:r>
    </w:p>
    <w:p>
      <w:pPr>
        <w:keepNext/>
        <w:keepLines/>
        <w:spacing w:before="260" w:after="260" w:line="360" w:lineRule="auto"/>
        <w:jc w:val="center"/>
        <w:rPr>
          <w:rFonts w:hint="eastAsia" w:ascii="宋体" w:hAnsi="宋体" w:eastAsia="宋体" w:cs="宋体"/>
          <w:color w:val="auto"/>
          <w:highlight w:val="none"/>
        </w:rPr>
      </w:pPr>
      <w:r>
        <w:rPr>
          <w:rFonts w:hint="eastAsia" w:ascii="宋体" w:hAnsi="宋体" w:eastAsia="宋体" w:cs="宋体"/>
          <w:b/>
          <w:color w:val="auto"/>
          <w:sz w:val="28"/>
          <w:szCs w:val="28"/>
          <w:highlight w:val="none"/>
        </w:rPr>
        <w:t>二.</w:t>
      </w:r>
      <w:r>
        <w:rPr>
          <w:rFonts w:hint="eastAsia" w:ascii="宋体" w:hAnsi="宋体" w:eastAsia="宋体" w:cs="宋体"/>
          <w:color w:val="auto"/>
          <w:highlight w:val="none"/>
        </w:rPr>
        <w:t xml:space="preserve"> </w:t>
      </w:r>
      <w:r>
        <w:rPr>
          <w:rFonts w:hint="eastAsia" w:ascii="宋体" w:hAnsi="宋体" w:eastAsia="宋体" w:cs="宋体"/>
          <w:b/>
          <w:bCs/>
          <w:color w:val="auto"/>
          <w:sz w:val="30"/>
          <w:szCs w:val="30"/>
          <w:highlight w:val="none"/>
        </w:rPr>
        <w:t>法定代表人身份证明及授权委托书</w:t>
      </w:r>
    </w:p>
    <w:p>
      <w:pPr>
        <w:keepNext/>
        <w:keepLines/>
        <w:spacing w:before="260" w:after="260" w:line="360" w:lineRule="auto"/>
        <w:jc w:val="center"/>
        <w:rPr>
          <w:rFonts w:hint="eastAsia" w:ascii="宋体" w:hAnsi="宋体" w:eastAsia="宋体" w:cs="宋体"/>
          <w:color w:val="auto"/>
          <w:highlight w:val="none"/>
        </w:rPr>
      </w:pPr>
      <w:r>
        <w:rPr>
          <w:rFonts w:hint="eastAsia" w:ascii="宋体" w:hAnsi="宋体" w:eastAsia="宋体" w:cs="宋体"/>
          <w:b/>
          <w:bCs/>
          <w:color w:val="auto"/>
          <w:sz w:val="30"/>
          <w:szCs w:val="30"/>
          <w:highlight w:val="none"/>
        </w:rPr>
        <w:t>（一）法定代表人身份证明</w:t>
      </w:r>
    </w:p>
    <w:p>
      <w:pPr>
        <w:spacing w:line="360" w:lineRule="auto"/>
        <w:ind w:firstLine="420"/>
        <w:rPr>
          <w:rFonts w:hint="eastAsia" w:ascii="宋体" w:hAnsi="宋体" w:eastAsia="宋体" w:cs="宋体"/>
          <w:b/>
          <w:bCs/>
          <w:color w:val="auto"/>
          <w:sz w:val="30"/>
          <w:szCs w:val="21"/>
          <w:highlight w:val="none"/>
        </w:rPr>
      </w:pP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Cs w:val="21"/>
          <w:highlight w:val="none"/>
        </w:rPr>
        <w:t>供应商名称：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Cs w:val="21"/>
          <w:highlight w:val="none"/>
        </w:rPr>
        <w:t>单位性质：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Cs w:val="21"/>
          <w:highlight w:val="none"/>
        </w:rPr>
        <w:t>成立时间：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Cs w:val="21"/>
          <w:highlight w:val="none"/>
        </w:rPr>
        <w:t>经营期限：</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Cs w:val="21"/>
          <w:highlight w:val="none"/>
        </w:rPr>
        <w:t>姓名：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性别：</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职务：</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Cs w:val="21"/>
          <w:highlight w:val="none"/>
        </w:rPr>
        <w:t>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（供应商名称）的法定代表人。</w:t>
      </w:r>
    </w:p>
    <w:p>
      <w:pPr>
        <w:spacing w:line="360" w:lineRule="auto"/>
        <w:ind w:firstLine="840"/>
        <w:rPr>
          <w:rFonts w:hint="eastAsia" w:ascii="宋体" w:hAnsi="宋体" w:eastAsia="宋体" w:cs="宋体"/>
          <w:color w:val="auto"/>
          <w:highlight w:val="none"/>
        </w:rPr>
      </w:pPr>
      <w:r>
        <w:rPr>
          <w:rFonts w:hint="eastAsia" w:ascii="宋体" w:hAnsi="宋体" w:eastAsia="宋体" w:cs="宋体"/>
          <w:color w:val="auto"/>
          <w:szCs w:val="21"/>
          <w:highlight w:val="none"/>
        </w:rPr>
        <w:t>特此证明。</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Cs w:val="21"/>
          <w:highlight w:val="none"/>
        </w:rPr>
        <w:t>附：法定代表人身份证复印件</w:t>
      </w:r>
    </w:p>
    <w:p>
      <w:pPr>
        <w:spacing w:line="360" w:lineRule="auto"/>
        <w:ind w:firstLine="420"/>
        <w:rPr>
          <w:rFonts w:hint="eastAsia" w:ascii="宋体" w:hAnsi="宋体" w:eastAsia="宋体" w:cs="宋体"/>
          <w:color w:val="auto"/>
          <w:szCs w:val="21"/>
          <w:highlight w:val="none"/>
        </w:rPr>
      </w:pPr>
    </w:p>
    <w:p>
      <w:pPr>
        <w:spacing w:line="360" w:lineRule="auto"/>
        <w:ind w:firstLine="420"/>
        <w:rPr>
          <w:rFonts w:hint="eastAsia" w:ascii="宋体" w:hAnsi="宋体" w:eastAsia="宋体" w:cs="宋体"/>
          <w:color w:val="auto"/>
          <w:szCs w:val="21"/>
          <w:highlight w:val="none"/>
        </w:rPr>
      </w:pP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sz w:val="22"/>
          <w:szCs w:val="22"/>
          <w:highlight w:val="none"/>
        </w:rPr>
        <w:t>供应商：</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（盖单位章）</w:t>
      </w:r>
      <w:r>
        <w:rPr>
          <w:rFonts w:hint="eastAsia" w:ascii="宋体" w:hAnsi="宋体" w:eastAsia="宋体" w:cs="宋体"/>
          <w:color w:val="auto"/>
          <w:sz w:val="22"/>
          <w:szCs w:val="22"/>
          <w:highlight w:val="none"/>
        </w:rPr>
        <w:br w:type="textWrapping"/>
      </w:r>
      <w:r>
        <w:rPr>
          <w:rFonts w:hint="eastAsia" w:ascii="宋体" w:hAnsi="宋体" w:eastAsia="宋体" w:cs="宋体"/>
          <w:color w:val="auto"/>
          <w:sz w:val="22"/>
          <w:szCs w:val="22"/>
          <w:highlight w:val="none"/>
        </w:rPr>
        <w:t>日期：    年  月   日</w:t>
      </w: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tabs>
          <w:tab w:val="left" w:pos="5580"/>
        </w:tabs>
        <w:spacing w:line="360" w:lineRule="auto"/>
        <w:ind w:firstLine="562"/>
        <w:jc w:val="center"/>
        <w:rPr>
          <w:rFonts w:hint="eastAsia" w:ascii="宋体" w:hAnsi="宋体" w:eastAsia="宋体" w:cs="宋体"/>
          <w:b/>
          <w:color w:val="auto"/>
          <w:sz w:val="28"/>
          <w:szCs w:val="28"/>
          <w:highlight w:val="none"/>
        </w:rPr>
      </w:pPr>
    </w:p>
    <w:p>
      <w:pPr>
        <w:tabs>
          <w:tab w:val="left" w:pos="5580"/>
        </w:tabs>
        <w:spacing w:line="360" w:lineRule="auto"/>
        <w:ind w:firstLine="562"/>
        <w:jc w:val="center"/>
        <w:rPr>
          <w:rFonts w:hint="eastAsia" w:ascii="宋体" w:hAnsi="宋体" w:eastAsia="宋体" w:cs="宋体"/>
          <w:b/>
          <w:color w:val="auto"/>
          <w:sz w:val="28"/>
          <w:szCs w:val="28"/>
          <w:highlight w:val="none"/>
        </w:rPr>
      </w:pPr>
    </w:p>
    <w:p>
      <w:pPr>
        <w:tabs>
          <w:tab w:val="left" w:pos="5580"/>
        </w:tabs>
        <w:spacing w:line="360" w:lineRule="auto"/>
        <w:ind w:firstLine="562"/>
        <w:jc w:val="center"/>
        <w:rPr>
          <w:rFonts w:hint="eastAsia" w:ascii="宋体" w:hAnsi="宋体" w:eastAsia="宋体" w:cs="宋体"/>
          <w:b/>
          <w:color w:val="auto"/>
          <w:sz w:val="28"/>
          <w:szCs w:val="28"/>
          <w:highlight w:val="none"/>
        </w:rPr>
      </w:pPr>
    </w:p>
    <w:p>
      <w:pPr>
        <w:tabs>
          <w:tab w:val="left" w:pos="5580"/>
        </w:tabs>
        <w:spacing w:line="360" w:lineRule="auto"/>
        <w:ind w:firstLine="562"/>
        <w:jc w:val="center"/>
        <w:rPr>
          <w:rFonts w:hint="eastAsia" w:ascii="宋体" w:hAnsi="宋体" w:eastAsia="宋体" w:cs="宋体"/>
          <w:b/>
          <w:color w:val="auto"/>
          <w:sz w:val="28"/>
          <w:szCs w:val="28"/>
          <w:highlight w:val="none"/>
        </w:rPr>
      </w:pPr>
    </w:p>
    <w:p>
      <w:pPr>
        <w:tabs>
          <w:tab w:val="left" w:pos="5580"/>
        </w:tabs>
        <w:spacing w:line="360" w:lineRule="auto"/>
        <w:ind w:firstLine="562"/>
        <w:jc w:val="center"/>
        <w:rPr>
          <w:rFonts w:hint="eastAsia" w:ascii="宋体" w:hAnsi="宋体" w:eastAsia="宋体" w:cs="宋体"/>
          <w:color w:val="auto"/>
          <w:highlight w:val="none"/>
        </w:rPr>
      </w:pPr>
      <w:r>
        <w:rPr>
          <w:rFonts w:hint="eastAsia" w:ascii="宋体" w:hAnsi="宋体" w:eastAsia="宋体" w:cs="宋体"/>
          <w:b/>
          <w:color w:val="auto"/>
          <w:sz w:val="28"/>
          <w:szCs w:val="28"/>
          <w:highlight w:val="none"/>
        </w:rPr>
        <w:br w:type="page"/>
      </w:r>
      <w:r>
        <w:rPr>
          <w:rFonts w:hint="eastAsia" w:ascii="宋体" w:hAnsi="宋体" w:eastAsia="宋体" w:cs="宋体"/>
          <w:b/>
          <w:color w:val="auto"/>
          <w:sz w:val="28"/>
          <w:szCs w:val="28"/>
          <w:highlight w:val="none"/>
        </w:rPr>
        <w:t>（二）法定代表人授权书</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Cs w:val="21"/>
          <w:highlight w:val="none"/>
        </w:rPr>
        <w:t>本人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（姓名）系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（供应商名称）的法定代表人，现委托</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（姓名）为我方代理人。代理人根据授权，以我方名义签署、澄清、说明、补正、递交、撤回、修改</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（项目名称）响应文件、签订合同和处理有关事宜，其法律后果由我方承担。</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Cs w:val="21"/>
          <w:highlight w:val="none"/>
        </w:rPr>
        <w:t>委托期限：</w:t>
      </w:r>
      <w:r>
        <w:rPr>
          <w:rFonts w:hint="eastAsia" w:ascii="宋体" w:hAnsi="宋体" w:eastAsia="宋体" w:cs="宋体"/>
          <w:color w:val="auto"/>
          <w:szCs w:val="21"/>
          <w:highlight w:val="none"/>
          <w:u w:val="single"/>
        </w:rPr>
        <w:t xml:space="preserve">                                </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Cs w:val="21"/>
          <w:highlight w:val="none"/>
        </w:rPr>
        <w:t>代理人无转委托权。</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szCs w:val="21"/>
          <w:highlight w:val="none"/>
        </w:rPr>
        <w:t>附：代理人身份证复印件</w:t>
      </w:r>
    </w:p>
    <w:p>
      <w:pPr>
        <w:spacing w:line="360" w:lineRule="auto"/>
        <w:ind w:firstLine="420"/>
        <w:rPr>
          <w:rFonts w:hint="eastAsia" w:ascii="宋体" w:hAnsi="宋体" w:eastAsia="宋体" w:cs="宋体"/>
          <w:color w:val="auto"/>
          <w:szCs w:val="21"/>
          <w:highlight w:val="none"/>
        </w:rPr>
      </w:pPr>
    </w:p>
    <w:p>
      <w:pPr>
        <w:spacing w:line="360" w:lineRule="auto"/>
        <w:ind w:firstLine="420"/>
        <w:rPr>
          <w:rFonts w:hint="eastAsia" w:ascii="宋体" w:hAnsi="宋体" w:eastAsia="宋体" w:cs="宋体"/>
          <w:color w:val="auto"/>
          <w:szCs w:val="21"/>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供应商：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（盖单位章）</w:t>
      </w:r>
    </w:p>
    <w:p>
      <w:pPr>
        <w:spacing w:line="360" w:lineRule="auto"/>
        <w:ind w:firstLine="3958"/>
        <w:rPr>
          <w:rFonts w:hint="eastAsia" w:ascii="宋体" w:hAnsi="宋体" w:eastAsia="宋体" w:cs="宋体"/>
          <w:color w:val="auto"/>
          <w:szCs w:val="21"/>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法定代表人：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（签字或盖章）</w:t>
      </w:r>
    </w:p>
    <w:p>
      <w:pPr>
        <w:spacing w:line="360" w:lineRule="auto"/>
        <w:ind w:firstLine="3958"/>
        <w:rPr>
          <w:rFonts w:hint="eastAsia" w:ascii="宋体" w:hAnsi="宋体" w:eastAsia="宋体" w:cs="宋体"/>
          <w:color w:val="auto"/>
          <w:szCs w:val="21"/>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身份证号码：</w:t>
      </w:r>
      <w:r>
        <w:rPr>
          <w:rFonts w:hint="eastAsia" w:ascii="宋体" w:hAnsi="宋体" w:eastAsia="宋体" w:cs="宋体"/>
          <w:color w:val="auto"/>
          <w:szCs w:val="21"/>
          <w:highlight w:val="none"/>
          <w:u w:val="single"/>
        </w:rPr>
        <w:t xml:space="preserve">                                </w:t>
      </w:r>
    </w:p>
    <w:p>
      <w:pPr>
        <w:spacing w:line="360" w:lineRule="auto"/>
        <w:ind w:firstLine="3958"/>
        <w:rPr>
          <w:rFonts w:hint="eastAsia" w:ascii="宋体" w:hAnsi="宋体" w:eastAsia="宋体" w:cs="宋体"/>
          <w:color w:val="auto"/>
          <w:szCs w:val="21"/>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委托代理人：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（签字或盖章）</w:t>
      </w:r>
    </w:p>
    <w:p>
      <w:pPr>
        <w:spacing w:line="360" w:lineRule="auto"/>
        <w:ind w:firstLine="3958"/>
        <w:rPr>
          <w:rFonts w:hint="eastAsia" w:ascii="宋体" w:hAnsi="宋体" w:eastAsia="宋体" w:cs="宋体"/>
          <w:color w:val="auto"/>
          <w:szCs w:val="21"/>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身份证号码：</w:t>
      </w:r>
      <w:r>
        <w:rPr>
          <w:rFonts w:hint="eastAsia" w:ascii="宋体" w:hAnsi="宋体" w:eastAsia="宋体" w:cs="宋体"/>
          <w:color w:val="auto"/>
          <w:szCs w:val="21"/>
          <w:highlight w:val="none"/>
          <w:u w:val="single"/>
        </w:rPr>
        <w:t xml:space="preserve">                                </w:t>
      </w:r>
    </w:p>
    <w:p>
      <w:pPr>
        <w:spacing w:line="360" w:lineRule="auto"/>
        <w:ind w:firstLine="5355"/>
        <w:rPr>
          <w:rFonts w:hint="eastAsia" w:ascii="宋体" w:hAnsi="宋体" w:eastAsia="宋体" w:cs="宋体"/>
          <w:color w:val="auto"/>
          <w:szCs w:val="21"/>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360" w:lineRule="auto"/>
        <w:rPr>
          <w:rFonts w:hint="eastAsia" w:ascii="宋体" w:hAnsi="宋体" w:eastAsia="宋体" w:cs="宋体"/>
          <w:color w:val="auto"/>
          <w:sz w:val="24"/>
          <w:szCs w:val="21"/>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center"/>
        <w:rPr>
          <w:rFonts w:hint="eastAsia" w:ascii="宋体" w:hAnsi="宋体" w:eastAsia="宋体" w:cs="宋体"/>
          <w:color w:val="auto"/>
          <w:highlight w:val="none"/>
        </w:rPr>
      </w:pPr>
      <w:bookmarkStart w:id="296" w:name="_Toc25172"/>
      <w:r>
        <w:rPr>
          <w:rFonts w:hint="eastAsia" w:ascii="宋体" w:hAnsi="宋体" w:eastAsia="宋体" w:cs="宋体"/>
          <w:bCs/>
          <w:color w:val="auto"/>
          <w:sz w:val="28"/>
          <w:szCs w:val="28"/>
          <w:highlight w:val="none"/>
        </w:rPr>
        <w:br w:type="page"/>
      </w:r>
      <w:bookmarkEnd w:id="296"/>
      <w:r>
        <w:rPr>
          <w:rFonts w:hint="eastAsia" w:ascii="宋体" w:hAnsi="宋体" w:eastAsia="宋体" w:cs="宋体"/>
          <w:b/>
          <w:bCs/>
          <w:color w:val="auto"/>
          <w:sz w:val="30"/>
          <w:szCs w:val="30"/>
          <w:highlight w:val="none"/>
        </w:rPr>
        <w:t>三.施工组织设计</w:t>
      </w:r>
    </w:p>
    <w:p>
      <w:pPr>
        <w:spacing w:line="360" w:lineRule="auto"/>
        <w:jc w:val="center"/>
        <w:rPr>
          <w:rFonts w:hint="eastAsia" w:ascii="宋体" w:hAnsi="宋体" w:eastAsia="宋体" w:cs="宋体"/>
          <w:b/>
          <w:bCs/>
          <w:color w:val="auto"/>
          <w:sz w:val="30"/>
          <w:szCs w:val="30"/>
          <w:highlight w:val="none"/>
        </w:rPr>
      </w:pPr>
    </w:p>
    <w:p>
      <w:pPr>
        <w:spacing w:line="360" w:lineRule="auto"/>
        <w:jc w:val="center"/>
        <w:rPr>
          <w:rFonts w:hint="eastAsia" w:ascii="宋体" w:hAnsi="宋体" w:eastAsia="宋体" w:cs="宋体"/>
          <w:b/>
          <w:bCs/>
          <w:color w:val="auto"/>
          <w:sz w:val="30"/>
          <w:szCs w:val="30"/>
          <w:highlight w:val="none"/>
        </w:rPr>
      </w:pPr>
    </w:p>
    <w:p>
      <w:pPr>
        <w:spacing w:line="360" w:lineRule="auto"/>
        <w:jc w:val="center"/>
        <w:rPr>
          <w:rFonts w:hint="eastAsia" w:ascii="宋体" w:hAnsi="宋体" w:eastAsia="宋体" w:cs="宋体"/>
          <w:b/>
          <w:bCs/>
          <w:color w:val="auto"/>
          <w:sz w:val="30"/>
          <w:szCs w:val="30"/>
          <w:highlight w:val="none"/>
        </w:rPr>
      </w:pPr>
    </w:p>
    <w:p>
      <w:pPr>
        <w:spacing w:line="360" w:lineRule="auto"/>
        <w:jc w:val="center"/>
        <w:rPr>
          <w:rFonts w:hint="eastAsia" w:ascii="宋体" w:hAnsi="宋体" w:eastAsia="宋体" w:cs="宋体"/>
          <w:b/>
          <w:bCs/>
          <w:color w:val="auto"/>
          <w:sz w:val="30"/>
          <w:szCs w:val="30"/>
          <w:highlight w:val="none"/>
        </w:rPr>
      </w:pPr>
    </w:p>
    <w:p>
      <w:pPr>
        <w:spacing w:line="360" w:lineRule="auto"/>
        <w:jc w:val="center"/>
        <w:rPr>
          <w:rFonts w:hint="eastAsia" w:ascii="宋体" w:hAnsi="宋体" w:eastAsia="宋体" w:cs="宋体"/>
          <w:b/>
          <w:bCs/>
          <w:color w:val="auto"/>
          <w:sz w:val="30"/>
          <w:szCs w:val="30"/>
          <w:highlight w:val="none"/>
        </w:rPr>
      </w:pPr>
    </w:p>
    <w:p>
      <w:pPr>
        <w:spacing w:line="360" w:lineRule="auto"/>
        <w:jc w:val="center"/>
        <w:rPr>
          <w:rFonts w:hint="eastAsia" w:ascii="宋体" w:hAnsi="宋体" w:eastAsia="宋体" w:cs="宋体"/>
          <w:b/>
          <w:bCs/>
          <w:color w:val="auto"/>
          <w:sz w:val="30"/>
          <w:szCs w:val="30"/>
          <w:highlight w:val="none"/>
        </w:rPr>
      </w:pPr>
    </w:p>
    <w:p>
      <w:pPr>
        <w:spacing w:line="360" w:lineRule="auto"/>
        <w:jc w:val="center"/>
        <w:rPr>
          <w:rFonts w:hint="eastAsia" w:ascii="宋体" w:hAnsi="宋体" w:eastAsia="宋体" w:cs="宋体"/>
          <w:b/>
          <w:bCs/>
          <w:color w:val="auto"/>
          <w:sz w:val="30"/>
          <w:szCs w:val="30"/>
          <w:highlight w:val="none"/>
        </w:rPr>
      </w:pPr>
    </w:p>
    <w:p>
      <w:pPr>
        <w:spacing w:line="360" w:lineRule="auto"/>
        <w:jc w:val="center"/>
        <w:rPr>
          <w:rFonts w:hint="eastAsia" w:ascii="宋体" w:hAnsi="宋体" w:eastAsia="宋体" w:cs="宋体"/>
          <w:b/>
          <w:bCs/>
          <w:color w:val="auto"/>
          <w:sz w:val="30"/>
          <w:szCs w:val="30"/>
          <w:highlight w:val="none"/>
        </w:rPr>
      </w:pPr>
    </w:p>
    <w:p>
      <w:pPr>
        <w:spacing w:line="360" w:lineRule="auto"/>
        <w:jc w:val="center"/>
        <w:rPr>
          <w:rFonts w:hint="eastAsia" w:ascii="宋体" w:hAnsi="宋体" w:eastAsia="宋体" w:cs="宋体"/>
          <w:b/>
          <w:bCs/>
          <w:color w:val="auto"/>
          <w:sz w:val="30"/>
          <w:szCs w:val="30"/>
          <w:highlight w:val="none"/>
        </w:rPr>
      </w:pPr>
    </w:p>
    <w:p>
      <w:pPr>
        <w:spacing w:line="360" w:lineRule="auto"/>
        <w:jc w:val="center"/>
        <w:rPr>
          <w:rFonts w:hint="eastAsia" w:ascii="宋体" w:hAnsi="宋体" w:eastAsia="宋体" w:cs="宋体"/>
          <w:b/>
          <w:bCs/>
          <w:color w:val="auto"/>
          <w:sz w:val="30"/>
          <w:szCs w:val="30"/>
          <w:highlight w:val="none"/>
        </w:rPr>
      </w:pPr>
    </w:p>
    <w:p>
      <w:pPr>
        <w:spacing w:line="360" w:lineRule="auto"/>
        <w:jc w:val="center"/>
        <w:rPr>
          <w:rFonts w:hint="eastAsia" w:ascii="宋体" w:hAnsi="宋体" w:eastAsia="宋体" w:cs="宋体"/>
          <w:b/>
          <w:bCs/>
          <w:color w:val="auto"/>
          <w:sz w:val="30"/>
          <w:szCs w:val="30"/>
          <w:highlight w:val="none"/>
        </w:rPr>
      </w:pPr>
    </w:p>
    <w:p>
      <w:pPr>
        <w:spacing w:line="360" w:lineRule="auto"/>
        <w:jc w:val="center"/>
        <w:rPr>
          <w:rFonts w:hint="eastAsia" w:ascii="宋体" w:hAnsi="宋体" w:eastAsia="宋体" w:cs="宋体"/>
          <w:b/>
          <w:bCs/>
          <w:color w:val="auto"/>
          <w:sz w:val="30"/>
          <w:szCs w:val="30"/>
          <w:highlight w:val="none"/>
        </w:rPr>
      </w:pPr>
    </w:p>
    <w:p>
      <w:pPr>
        <w:spacing w:line="360" w:lineRule="auto"/>
        <w:jc w:val="center"/>
        <w:rPr>
          <w:rFonts w:hint="eastAsia" w:ascii="宋体" w:hAnsi="宋体" w:eastAsia="宋体" w:cs="宋体"/>
          <w:b/>
          <w:bCs/>
          <w:color w:val="auto"/>
          <w:sz w:val="30"/>
          <w:szCs w:val="30"/>
          <w:highlight w:val="none"/>
        </w:rPr>
      </w:pPr>
    </w:p>
    <w:p>
      <w:pPr>
        <w:spacing w:line="360" w:lineRule="auto"/>
        <w:jc w:val="center"/>
        <w:rPr>
          <w:rFonts w:hint="eastAsia" w:ascii="宋体" w:hAnsi="宋体" w:eastAsia="宋体" w:cs="宋体"/>
          <w:b/>
          <w:bCs/>
          <w:color w:val="auto"/>
          <w:sz w:val="30"/>
          <w:szCs w:val="30"/>
          <w:highlight w:val="none"/>
        </w:rPr>
      </w:pPr>
    </w:p>
    <w:p>
      <w:pPr>
        <w:spacing w:line="360" w:lineRule="auto"/>
        <w:jc w:val="center"/>
        <w:rPr>
          <w:rFonts w:hint="eastAsia" w:ascii="宋体" w:hAnsi="宋体" w:eastAsia="宋体" w:cs="宋体"/>
          <w:b/>
          <w:bCs/>
          <w:color w:val="auto"/>
          <w:sz w:val="30"/>
          <w:szCs w:val="30"/>
          <w:highlight w:val="none"/>
        </w:rPr>
      </w:pPr>
    </w:p>
    <w:p>
      <w:pPr>
        <w:spacing w:line="360" w:lineRule="auto"/>
        <w:jc w:val="center"/>
        <w:rPr>
          <w:rFonts w:hint="eastAsia" w:ascii="宋体" w:hAnsi="宋体" w:eastAsia="宋体" w:cs="宋体"/>
          <w:b/>
          <w:bCs/>
          <w:color w:val="auto"/>
          <w:sz w:val="30"/>
          <w:szCs w:val="30"/>
          <w:highlight w:val="none"/>
        </w:rPr>
      </w:pPr>
    </w:p>
    <w:p>
      <w:pPr>
        <w:spacing w:line="360" w:lineRule="auto"/>
        <w:jc w:val="center"/>
        <w:rPr>
          <w:rFonts w:hint="eastAsia" w:ascii="宋体" w:hAnsi="宋体" w:eastAsia="宋体" w:cs="宋体"/>
          <w:b/>
          <w:bCs/>
          <w:color w:val="auto"/>
          <w:sz w:val="30"/>
          <w:szCs w:val="30"/>
          <w:highlight w:val="none"/>
        </w:rPr>
      </w:pPr>
    </w:p>
    <w:p>
      <w:pPr>
        <w:spacing w:line="360" w:lineRule="auto"/>
        <w:jc w:val="center"/>
        <w:rPr>
          <w:rFonts w:hint="eastAsia" w:ascii="宋体" w:hAnsi="宋体" w:eastAsia="宋体" w:cs="宋体"/>
          <w:b/>
          <w:bCs/>
          <w:color w:val="auto"/>
          <w:sz w:val="30"/>
          <w:szCs w:val="30"/>
          <w:highlight w:val="none"/>
        </w:rPr>
      </w:pPr>
    </w:p>
    <w:p>
      <w:pPr>
        <w:spacing w:line="360" w:lineRule="auto"/>
        <w:jc w:val="center"/>
        <w:rPr>
          <w:rFonts w:hint="eastAsia" w:ascii="宋体" w:hAnsi="宋体" w:eastAsia="宋体" w:cs="宋体"/>
          <w:b/>
          <w:bCs/>
          <w:color w:val="auto"/>
          <w:sz w:val="30"/>
          <w:szCs w:val="30"/>
          <w:highlight w:val="none"/>
        </w:rPr>
      </w:pPr>
    </w:p>
    <w:p>
      <w:pPr>
        <w:pageBreakBefore/>
        <w:spacing w:line="360" w:lineRule="auto"/>
        <w:jc w:val="center"/>
        <w:rPr>
          <w:rFonts w:hint="eastAsia" w:ascii="宋体" w:hAnsi="宋体" w:eastAsia="宋体" w:cs="宋体"/>
          <w:color w:val="auto"/>
          <w:highlight w:val="none"/>
        </w:rPr>
      </w:pPr>
      <w:r>
        <w:rPr>
          <w:rFonts w:hint="eastAsia" w:ascii="宋体" w:hAnsi="宋体" w:eastAsia="宋体" w:cs="宋体"/>
          <w:b/>
          <w:bCs/>
          <w:color w:val="auto"/>
          <w:sz w:val="30"/>
          <w:szCs w:val="30"/>
          <w:highlight w:val="none"/>
        </w:rPr>
        <w:t>四.项目管理机构</w:t>
      </w:r>
    </w:p>
    <w:p>
      <w:pPr>
        <w:spacing w:line="360" w:lineRule="auto"/>
        <w:ind w:left="463"/>
        <w:rPr>
          <w:rFonts w:hint="eastAsia" w:ascii="宋体" w:hAnsi="宋体" w:eastAsia="宋体" w:cs="宋体"/>
          <w:color w:val="auto"/>
          <w:highlight w:val="none"/>
        </w:rPr>
      </w:pPr>
      <w:r>
        <w:rPr>
          <w:rFonts w:hint="eastAsia" w:ascii="宋体" w:hAnsi="宋体" w:eastAsia="宋体" w:cs="宋体"/>
          <w:color w:val="auto"/>
          <w:sz w:val="24"/>
          <w:highlight w:val="none"/>
        </w:rPr>
        <w:t>（一）拟委任的项目经理和项目总工资历表</w:t>
      </w:r>
    </w:p>
    <w:tbl>
      <w:tblPr>
        <w:tblStyle w:val="18"/>
        <w:tblW w:w="0" w:type="auto"/>
        <w:jc w:val="center"/>
        <w:tblLayout w:type="fixed"/>
        <w:tblCellMar>
          <w:top w:w="0" w:type="dxa"/>
          <w:left w:w="108" w:type="dxa"/>
          <w:bottom w:w="0" w:type="dxa"/>
          <w:right w:w="108" w:type="dxa"/>
        </w:tblCellMar>
      </w:tblPr>
      <w:tblGrid>
        <w:gridCol w:w="1288"/>
        <w:gridCol w:w="13"/>
        <w:gridCol w:w="1300"/>
        <w:gridCol w:w="1171"/>
        <w:gridCol w:w="126"/>
        <w:gridCol w:w="1825"/>
        <w:gridCol w:w="355"/>
        <w:gridCol w:w="1198"/>
        <w:gridCol w:w="1451"/>
      </w:tblGrid>
      <w:tr>
        <w:tblPrEx>
          <w:tblCellMar>
            <w:top w:w="0" w:type="dxa"/>
            <w:left w:w="108" w:type="dxa"/>
            <w:bottom w:w="0" w:type="dxa"/>
            <w:right w:w="108" w:type="dxa"/>
          </w:tblCellMar>
        </w:tblPrEx>
        <w:trPr>
          <w:trHeight w:val="475" w:hRule="atLeast"/>
          <w:jc w:val="center"/>
        </w:trPr>
        <w:tc>
          <w:tcPr>
            <w:tcW w:w="130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姓名</w:t>
            </w:r>
          </w:p>
        </w:tc>
        <w:tc>
          <w:tcPr>
            <w:tcW w:w="13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年龄</w:t>
            </w:r>
          </w:p>
        </w:tc>
        <w:tc>
          <w:tcPr>
            <w:tcW w:w="1951"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专业</w:t>
            </w:r>
          </w:p>
        </w:tc>
        <w:tc>
          <w:tcPr>
            <w:tcW w:w="145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939" w:hRule="atLeast"/>
          <w:jc w:val="center"/>
        </w:trPr>
        <w:tc>
          <w:tcPr>
            <w:tcW w:w="130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职称</w:t>
            </w:r>
          </w:p>
        </w:tc>
        <w:tc>
          <w:tcPr>
            <w:tcW w:w="13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公司单</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位职务</w:t>
            </w:r>
          </w:p>
        </w:tc>
        <w:tc>
          <w:tcPr>
            <w:tcW w:w="1951"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拟在本标段工程担任职务</w:t>
            </w:r>
          </w:p>
        </w:tc>
        <w:tc>
          <w:tcPr>
            <w:tcW w:w="145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586" w:hRule="atLeast"/>
          <w:jc w:val="center"/>
        </w:trPr>
        <w:tc>
          <w:tcPr>
            <w:tcW w:w="130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毕业学校</w:t>
            </w:r>
          </w:p>
        </w:tc>
        <w:tc>
          <w:tcPr>
            <w:tcW w:w="7426" w:type="dxa"/>
            <w:gridSpan w:val="7"/>
            <w:tcBorders>
              <w:top w:val="single" w:color="000000" w:sz="4" w:space="0"/>
              <w:left w:val="single" w:color="000000" w:sz="4" w:space="0"/>
              <w:bottom w:val="single" w:color="000000" w:sz="4" w:space="0"/>
              <w:right w:val="single" w:color="000000" w:sz="4" w:space="0"/>
            </w:tcBorders>
            <w:vAlign w:val="center"/>
          </w:tcPr>
          <w:p>
            <w:pPr>
              <w:spacing w:line="360" w:lineRule="auto"/>
              <w:ind w:firstLine="720"/>
              <w:jc w:val="center"/>
              <w:rPr>
                <w:rFonts w:hint="eastAsia" w:ascii="宋体" w:hAnsi="宋体" w:eastAsia="宋体" w:cs="宋体"/>
                <w:color w:val="auto"/>
                <w:highlight w:val="none"/>
              </w:rPr>
            </w:pPr>
            <w:r>
              <w:rPr>
                <w:rFonts w:hint="eastAsia" w:ascii="宋体" w:hAnsi="宋体" w:eastAsia="宋体" w:cs="宋体"/>
                <w:color w:val="auto"/>
                <w:sz w:val="24"/>
                <w:highlight w:val="none"/>
              </w:rPr>
              <w:t>年   月毕业于             学校       专业，学制      年</w:t>
            </w:r>
          </w:p>
        </w:tc>
      </w:tr>
      <w:tr>
        <w:tblPrEx>
          <w:tblCellMar>
            <w:top w:w="0" w:type="dxa"/>
            <w:left w:w="108" w:type="dxa"/>
            <w:bottom w:w="0" w:type="dxa"/>
            <w:right w:w="108" w:type="dxa"/>
          </w:tblCellMar>
        </w:tblPrEx>
        <w:trPr>
          <w:trHeight w:val="624" w:hRule="atLeast"/>
          <w:jc w:val="center"/>
        </w:trPr>
        <w:tc>
          <w:tcPr>
            <w:tcW w:w="8727" w:type="dxa"/>
            <w:gridSpan w:val="9"/>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经历</w:t>
            </w:r>
          </w:p>
        </w:tc>
      </w:tr>
      <w:tr>
        <w:tblPrEx>
          <w:tblCellMar>
            <w:top w:w="0" w:type="dxa"/>
            <w:left w:w="108" w:type="dxa"/>
            <w:bottom w:w="0" w:type="dxa"/>
            <w:right w:w="108" w:type="dxa"/>
          </w:tblCellMar>
        </w:tblPrEx>
        <w:trPr>
          <w:trHeight w:val="939" w:hRule="atLeast"/>
          <w:jc w:val="center"/>
        </w:trPr>
        <w:tc>
          <w:tcPr>
            <w:tcW w:w="128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360"/>
              <w:jc w:val="center"/>
              <w:rPr>
                <w:rFonts w:hint="eastAsia" w:ascii="宋体" w:hAnsi="宋体" w:eastAsia="宋体" w:cs="宋体"/>
                <w:color w:val="auto"/>
                <w:highlight w:val="none"/>
              </w:rPr>
            </w:pPr>
            <w:r>
              <w:rPr>
                <w:rFonts w:hint="eastAsia" w:ascii="宋体" w:hAnsi="宋体" w:eastAsia="宋体" w:cs="宋体"/>
                <w:color w:val="auto"/>
                <w:sz w:val="24"/>
                <w:highlight w:val="none"/>
              </w:rPr>
              <w:t>年~年</w:t>
            </w:r>
          </w:p>
        </w:tc>
        <w:tc>
          <w:tcPr>
            <w:tcW w:w="261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参加过的工程项目名称</w:t>
            </w:r>
          </w:p>
        </w:tc>
        <w:tc>
          <w:tcPr>
            <w:tcW w:w="218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担任何职</w:t>
            </w:r>
          </w:p>
        </w:tc>
        <w:tc>
          <w:tcPr>
            <w:tcW w:w="26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发包人及联系电话</w:t>
            </w:r>
          </w:p>
        </w:tc>
      </w:tr>
      <w:tr>
        <w:tblPrEx>
          <w:tblCellMar>
            <w:top w:w="0" w:type="dxa"/>
            <w:left w:w="108" w:type="dxa"/>
            <w:bottom w:w="0" w:type="dxa"/>
            <w:right w:w="108" w:type="dxa"/>
          </w:tblCellMar>
        </w:tblPrEx>
        <w:trPr>
          <w:trHeight w:val="771" w:hRule="atLeast"/>
          <w:jc w:val="center"/>
        </w:trPr>
        <w:tc>
          <w:tcPr>
            <w:tcW w:w="128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360"/>
              <w:jc w:val="center"/>
              <w:rPr>
                <w:rFonts w:hint="eastAsia" w:ascii="宋体" w:hAnsi="宋体" w:eastAsia="宋体" w:cs="宋体"/>
                <w:color w:val="auto"/>
                <w:sz w:val="24"/>
                <w:highlight w:val="none"/>
              </w:rPr>
            </w:pPr>
          </w:p>
        </w:tc>
        <w:tc>
          <w:tcPr>
            <w:tcW w:w="2610"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18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64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jc w:val="center"/>
              <w:rPr>
                <w:rFonts w:hint="eastAsia" w:ascii="宋体" w:hAnsi="宋体" w:eastAsia="宋体" w:cs="宋体"/>
                <w:color w:val="auto"/>
                <w:kern w:val="0"/>
                <w:sz w:val="24"/>
                <w:highlight w:val="none"/>
              </w:rPr>
            </w:pPr>
          </w:p>
        </w:tc>
      </w:tr>
      <w:tr>
        <w:tblPrEx>
          <w:tblCellMar>
            <w:top w:w="0" w:type="dxa"/>
            <w:left w:w="108" w:type="dxa"/>
            <w:bottom w:w="0" w:type="dxa"/>
            <w:right w:w="108" w:type="dxa"/>
          </w:tblCellMar>
        </w:tblPrEx>
        <w:trPr>
          <w:trHeight w:val="771" w:hRule="atLeast"/>
          <w:jc w:val="center"/>
        </w:trPr>
        <w:tc>
          <w:tcPr>
            <w:tcW w:w="128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360"/>
              <w:jc w:val="center"/>
              <w:rPr>
                <w:rFonts w:hint="eastAsia" w:ascii="宋体" w:hAnsi="宋体" w:eastAsia="宋体" w:cs="宋体"/>
                <w:color w:val="auto"/>
                <w:kern w:val="0"/>
                <w:sz w:val="24"/>
                <w:highlight w:val="none"/>
              </w:rPr>
            </w:pPr>
          </w:p>
        </w:tc>
        <w:tc>
          <w:tcPr>
            <w:tcW w:w="2610"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18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64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jc w:val="center"/>
              <w:rPr>
                <w:rFonts w:hint="eastAsia" w:ascii="宋体" w:hAnsi="宋体" w:eastAsia="宋体" w:cs="宋体"/>
                <w:color w:val="auto"/>
                <w:kern w:val="0"/>
                <w:sz w:val="24"/>
                <w:highlight w:val="none"/>
              </w:rPr>
            </w:pPr>
          </w:p>
        </w:tc>
      </w:tr>
      <w:tr>
        <w:tblPrEx>
          <w:tblCellMar>
            <w:top w:w="0" w:type="dxa"/>
            <w:left w:w="108" w:type="dxa"/>
            <w:bottom w:w="0" w:type="dxa"/>
            <w:right w:w="108" w:type="dxa"/>
          </w:tblCellMar>
        </w:tblPrEx>
        <w:trPr>
          <w:trHeight w:val="771" w:hRule="atLeast"/>
          <w:jc w:val="center"/>
        </w:trPr>
        <w:tc>
          <w:tcPr>
            <w:tcW w:w="128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360"/>
              <w:jc w:val="center"/>
              <w:rPr>
                <w:rFonts w:hint="eastAsia" w:ascii="宋体" w:hAnsi="宋体" w:eastAsia="宋体" w:cs="宋体"/>
                <w:color w:val="auto"/>
                <w:kern w:val="0"/>
                <w:sz w:val="24"/>
                <w:highlight w:val="none"/>
              </w:rPr>
            </w:pPr>
          </w:p>
        </w:tc>
        <w:tc>
          <w:tcPr>
            <w:tcW w:w="2610"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18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64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jc w:val="center"/>
              <w:rPr>
                <w:rFonts w:hint="eastAsia" w:ascii="宋体" w:hAnsi="宋体" w:eastAsia="宋体" w:cs="宋体"/>
                <w:color w:val="auto"/>
                <w:kern w:val="0"/>
                <w:sz w:val="24"/>
                <w:highlight w:val="none"/>
              </w:rPr>
            </w:pPr>
          </w:p>
        </w:tc>
      </w:tr>
      <w:tr>
        <w:tblPrEx>
          <w:tblCellMar>
            <w:top w:w="0" w:type="dxa"/>
            <w:left w:w="108" w:type="dxa"/>
            <w:bottom w:w="0" w:type="dxa"/>
            <w:right w:w="108" w:type="dxa"/>
          </w:tblCellMar>
        </w:tblPrEx>
        <w:trPr>
          <w:trHeight w:val="771" w:hRule="atLeast"/>
          <w:jc w:val="center"/>
        </w:trPr>
        <w:tc>
          <w:tcPr>
            <w:tcW w:w="3898"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获奖情况</w:t>
            </w:r>
          </w:p>
        </w:tc>
        <w:tc>
          <w:tcPr>
            <w:tcW w:w="218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64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jc w:val="center"/>
              <w:rPr>
                <w:rFonts w:hint="eastAsia" w:ascii="宋体" w:hAnsi="宋体" w:eastAsia="宋体" w:cs="宋体"/>
                <w:color w:val="auto"/>
                <w:kern w:val="0"/>
                <w:sz w:val="24"/>
                <w:highlight w:val="none"/>
              </w:rPr>
            </w:pPr>
          </w:p>
        </w:tc>
      </w:tr>
      <w:tr>
        <w:tblPrEx>
          <w:tblCellMar>
            <w:top w:w="0" w:type="dxa"/>
            <w:left w:w="108" w:type="dxa"/>
            <w:bottom w:w="0" w:type="dxa"/>
            <w:right w:w="108" w:type="dxa"/>
          </w:tblCellMar>
        </w:tblPrEx>
        <w:trPr>
          <w:trHeight w:val="784" w:hRule="atLeast"/>
          <w:jc w:val="center"/>
        </w:trPr>
        <w:tc>
          <w:tcPr>
            <w:tcW w:w="130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目前任职</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项目情况</w:t>
            </w:r>
          </w:p>
        </w:tc>
        <w:tc>
          <w:tcPr>
            <w:tcW w:w="7426" w:type="dxa"/>
            <w:gridSpan w:val="7"/>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jc w:val="center"/>
              <w:rPr>
                <w:rFonts w:hint="eastAsia" w:ascii="宋体" w:hAnsi="宋体" w:eastAsia="宋体" w:cs="宋体"/>
                <w:color w:val="auto"/>
                <w:kern w:val="0"/>
                <w:sz w:val="24"/>
                <w:highlight w:val="none"/>
              </w:rPr>
            </w:pPr>
          </w:p>
        </w:tc>
      </w:tr>
      <w:tr>
        <w:tblPrEx>
          <w:tblCellMar>
            <w:top w:w="0" w:type="dxa"/>
            <w:left w:w="108" w:type="dxa"/>
            <w:bottom w:w="0" w:type="dxa"/>
            <w:right w:w="108" w:type="dxa"/>
          </w:tblCellMar>
        </w:tblPrEx>
        <w:trPr>
          <w:trHeight w:val="485" w:hRule="atLeast"/>
          <w:jc w:val="center"/>
        </w:trPr>
        <w:tc>
          <w:tcPr>
            <w:tcW w:w="130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备注</w:t>
            </w:r>
          </w:p>
        </w:tc>
        <w:tc>
          <w:tcPr>
            <w:tcW w:w="7426" w:type="dxa"/>
            <w:gridSpan w:val="7"/>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jc w:val="center"/>
              <w:rPr>
                <w:rFonts w:hint="eastAsia" w:ascii="宋体" w:hAnsi="宋体" w:eastAsia="宋体" w:cs="宋体"/>
                <w:color w:val="auto"/>
                <w:kern w:val="0"/>
                <w:sz w:val="24"/>
                <w:highlight w:val="none"/>
              </w:rPr>
            </w:pPr>
          </w:p>
        </w:tc>
      </w:tr>
    </w:tbl>
    <w:p>
      <w:pPr>
        <w:widowControl/>
        <w:spacing w:line="360" w:lineRule="auto"/>
        <w:rPr>
          <w:rFonts w:hint="eastAsia" w:ascii="宋体" w:hAnsi="宋体" w:eastAsia="宋体" w:cs="宋体"/>
          <w:color w:val="auto"/>
          <w:sz w:val="22"/>
          <w:highlight w:val="none"/>
        </w:rPr>
      </w:pPr>
      <w:r>
        <w:rPr>
          <w:rFonts w:hint="eastAsia" w:ascii="宋体" w:hAnsi="宋体" w:eastAsia="宋体" w:cs="宋体"/>
          <w:color w:val="auto"/>
          <w:sz w:val="22"/>
          <w:highlight w:val="none"/>
        </w:rPr>
        <w:t>注：本表后应附供应商所属社保机构出具的拟委任的项目经理和项目总工的社保缴费证明、身份证、职称资格证书以及竞争性磋商文件要求其他相关资料的复印件，并应提供其担任类似项目的项目经理和项目总工的相关业绩证明材料复印件（如有）</w:t>
      </w:r>
    </w:p>
    <w:p>
      <w:pPr>
        <w:spacing w:line="360" w:lineRule="auto"/>
        <w:rPr>
          <w:rFonts w:hint="eastAsia" w:ascii="宋体" w:hAnsi="宋体" w:eastAsia="宋体" w:cs="宋体"/>
          <w:color w:val="auto"/>
          <w:sz w:val="24"/>
          <w:szCs w:val="28"/>
          <w:highlight w:val="none"/>
        </w:rPr>
      </w:pPr>
    </w:p>
    <w:p>
      <w:pPr>
        <w:pageBreakBefore/>
        <w:spacing w:line="360" w:lineRule="auto"/>
        <w:ind w:left="463"/>
        <w:rPr>
          <w:rFonts w:hint="eastAsia" w:ascii="宋体" w:hAnsi="宋体" w:eastAsia="宋体" w:cs="宋体"/>
          <w:color w:val="auto"/>
          <w:highlight w:val="none"/>
        </w:rPr>
      </w:pPr>
      <w:r>
        <w:rPr>
          <w:rFonts w:hint="eastAsia" w:ascii="宋体" w:hAnsi="宋体" w:eastAsia="宋体" w:cs="宋体"/>
          <w:color w:val="auto"/>
          <w:sz w:val="24"/>
          <w:highlight w:val="none"/>
        </w:rPr>
        <w:t>（二）拟委任的其他主要管理人员和技术人员汇总表</w:t>
      </w:r>
    </w:p>
    <w:tbl>
      <w:tblPr>
        <w:tblStyle w:val="18"/>
        <w:tblW w:w="0" w:type="auto"/>
        <w:jc w:val="center"/>
        <w:tblLayout w:type="fixed"/>
        <w:tblCellMar>
          <w:top w:w="0" w:type="dxa"/>
          <w:left w:w="108" w:type="dxa"/>
          <w:bottom w:w="0" w:type="dxa"/>
          <w:right w:w="108" w:type="dxa"/>
        </w:tblCellMar>
      </w:tblPr>
      <w:tblGrid>
        <w:gridCol w:w="1130"/>
        <w:gridCol w:w="990"/>
        <w:gridCol w:w="1978"/>
        <w:gridCol w:w="1272"/>
        <w:gridCol w:w="1272"/>
        <w:gridCol w:w="1564"/>
      </w:tblGrid>
      <w:tr>
        <w:tblPrEx>
          <w:tblCellMar>
            <w:top w:w="0" w:type="dxa"/>
            <w:left w:w="108" w:type="dxa"/>
            <w:bottom w:w="0" w:type="dxa"/>
            <w:right w:w="108" w:type="dxa"/>
          </w:tblCellMar>
        </w:tblPrEx>
        <w:trPr>
          <w:trHeight w:val="1105" w:hRule="atLeast"/>
          <w:jc w:val="center"/>
        </w:trPr>
        <w:tc>
          <w:tcPr>
            <w:tcW w:w="11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姓名</w:t>
            </w:r>
          </w:p>
        </w:tc>
        <w:tc>
          <w:tcPr>
            <w:tcW w:w="9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年龄</w:t>
            </w:r>
          </w:p>
        </w:tc>
        <w:tc>
          <w:tcPr>
            <w:tcW w:w="19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拟在本项目中担任的职务</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技术职称</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工作年限</w:t>
            </w:r>
          </w:p>
        </w:tc>
        <w:tc>
          <w:tcPr>
            <w:tcW w:w="156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类似施工经验年限</w:t>
            </w:r>
          </w:p>
        </w:tc>
      </w:tr>
      <w:tr>
        <w:tblPrEx>
          <w:tblCellMar>
            <w:top w:w="0" w:type="dxa"/>
            <w:left w:w="108" w:type="dxa"/>
            <w:bottom w:w="0" w:type="dxa"/>
            <w:right w:w="108" w:type="dxa"/>
          </w:tblCellMar>
        </w:tblPrEx>
        <w:trPr>
          <w:trHeight w:val="558" w:hRule="atLeast"/>
          <w:jc w:val="center"/>
        </w:trPr>
        <w:tc>
          <w:tcPr>
            <w:tcW w:w="113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99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97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56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558" w:hRule="atLeast"/>
          <w:jc w:val="center"/>
        </w:trPr>
        <w:tc>
          <w:tcPr>
            <w:tcW w:w="113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99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97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56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558" w:hRule="atLeast"/>
          <w:jc w:val="center"/>
        </w:trPr>
        <w:tc>
          <w:tcPr>
            <w:tcW w:w="113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99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97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56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558" w:hRule="atLeast"/>
          <w:jc w:val="center"/>
        </w:trPr>
        <w:tc>
          <w:tcPr>
            <w:tcW w:w="113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99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97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56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558" w:hRule="atLeast"/>
          <w:jc w:val="center"/>
        </w:trPr>
        <w:tc>
          <w:tcPr>
            <w:tcW w:w="113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99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97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56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558" w:hRule="atLeast"/>
          <w:jc w:val="center"/>
        </w:trPr>
        <w:tc>
          <w:tcPr>
            <w:tcW w:w="113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99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97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56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570" w:hRule="atLeast"/>
          <w:jc w:val="center"/>
        </w:trPr>
        <w:tc>
          <w:tcPr>
            <w:tcW w:w="113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99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97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7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56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sz w:val="24"/>
                <w:highlight w:val="none"/>
              </w:rPr>
            </w:pPr>
          </w:p>
        </w:tc>
      </w:tr>
    </w:tbl>
    <w:p>
      <w:pPr>
        <w:widowControl/>
        <w:spacing w:line="360" w:lineRule="auto"/>
        <w:rPr>
          <w:rFonts w:hint="eastAsia" w:ascii="宋体" w:hAnsi="宋体" w:eastAsia="宋体" w:cs="宋体"/>
          <w:color w:val="auto"/>
          <w:sz w:val="22"/>
          <w:highlight w:val="none"/>
        </w:rPr>
      </w:pPr>
      <w:r>
        <w:rPr>
          <w:rFonts w:hint="eastAsia" w:ascii="宋体" w:hAnsi="宋体" w:eastAsia="宋体" w:cs="宋体"/>
          <w:color w:val="auto"/>
          <w:sz w:val="22"/>
          <w:highlight w:val="none"/>
        </w:rPr>
        <w:t>注：本表后应附供应商所属社保机构出具的拟委任的其他主要管理人员和技术人员的社保缴费证明、身份证、岗位资格证书以及竞争性磋商文件要求其他相关资料的复印件（如有）</w:t>
      </w:r>
    </w:p>
    <w:p>
      <w:pPr>
        <w:spacing w:line="360" w:lineRule="auto"/>
        <w:ind w:left="463"/>
        <w:rPr>
          <w:rFonts w:hint="eastAsia" w:ascii="宋体" w:hAnsi="宋体" w:eastAsia="宋体" w:cs="宋体"/>
          <w:color w:val="auto"/>
          <w:sz w:val="24"/>
          <w:szCs w:val="28"/>
          <w:highlight w:val="none"/>
        </w:rPr>
      </w:pPr>
    </w:p>
    <w:p>
      <w:pPr>
        <w:spacing w:line="360" w:lineRule="auto"/>
        <w:ind w:left="463"/>
        <w:rPr>
          <w:rFonts w:hint="eastAsia" w:ascii="宋体" w:hAnsi="宋体" w:eastAsia="宋体" w:cs="宋体"/>
          <w:color w:val="auto"/>
          <w:sz w:val="24"/>
          <w:highlight w:val="none"/>
        </w:rPr>
      </w:pPr>
    </w:p>
    <w:p>
      <w:pPr>
        <w:spacing w:line="360" w:lineRule="auto"/>
        <w:ind w:left="463"/>
        <w:rPr>
          <w:rFonts w:hint="eastAsia" w:ascii="宋体" w:hAnsi="宋体" w:eastAsia="宋体" w:cs="宋体"/>
          <w:color w:val="auto"/>
          <w:sz w:val="24"/>
          <w:highlight w:val="none"/>
        </w:rPr>
      </w:pPr>
    </w:p>
    <w:p>
      <w:pPr>
        <w:spacing w:line="360" w:lineRule="auto"/>
        <w:ind w:left="463"/>
        <w:rPr>
          <w:rFonts w:hint="eastAsia" w:ascii="宋体" w:hAnsi="宋体" w:eastAsia="宋体" w:cs="宋体"/>
          <w:color w:val="auto"/>
          <w:sz w:val="24"/>
          <w:highlight w:val="none"/>
        </w:rPr>
      </w:pPr>
    </w:p>
    <w:p>
      <w:pPr>
        <w:spacing w:line="360" w:lineRule="auto"/>
        <w:ind w:left="463"/>
        <w:rPr>
          <w:rFonts w:hint="eastAsia" w:ascii="宋体" w:hAnsi="宋体" w:eastAsia="宋体" w:cs="宋体"/>
          <w:color w:val="auto"/>
          <w:sz w:val="24"/>
          <w:highlight w:val="none"/>
        </w:rPr>
      </w:pPr>
    </w:p>
    <w:p>
      <w:pPr>
        <w:spacing w:line="360" w:lineRule="auto"/>
        <w:ind w:left="463"/>
        <w:rPr>
          <w:rFonts w:hint="eastAsia" w:ascii="宋体" w:hAnsi="宋体" w:eastAsia="宋体" w:cs="宋体"/>
          <w:color w:val="auto"/>
          <w:sz w:val="24"/>
          <w:highlight w:val="none"/>
        </w:rPr>
      </w:pPr>
    </w:p>
    <w:p>
      <w:pPr>
        <w:spacing w:line="360" w:lineRule="auto"/>
        <w:ind w:left="463"/>
        <w:rPr>
          <w:rFonts w:hint="eastAsia" w:ascii="宋体" w:hAnsi="宋体" w:eastAsia="宋体" w:cs="宋体"/>
          <w:color w:val="auto"/>
          <w:sz w:val="24"/>
          <w:highlight w:val="none"/>
        </w:rPr>
      </w:pPr>
    </w:p>
    <w:p>
      <w:pPr>
        <w:spacing w:line="360" w:lineRule="auto"/>
        <w:ind w:left="463"/>
        <w:rPr>
          <w:rFonts w:hint="eastAsia" w:ascii="宋体" w:hAnsi="宋体" w:eastAsia="宋体" w:cs="宋体"/>
          <w:color w:val="auto"/>
          <w:sz w:val="24"/>
          <w:highlight w:val="none"/>
        </w:rPr>
      </w:pPr>
    </w:p>
    <w:p>
      <w:pPr>
        <w:spacing w:line="360" w:lineRule="auto"/>
        <w:ind w:left="463"/>
        <w:rPr>
          <w:rFonts w:hint="eastAsia" w:ascii="宋体" w:hAnsi="宋体" w:eastAsia="宋体" w:cs="宋体"/>
          <w:color w:val="auto"/>
          <w:sz w:val="24"/>
          <w:highlight w:val="none"/>
        </w:rPr>
      </w:pPr>
    </w:p>
    <w:p>
      <w:pPr>
        <w:spacing w:line="360" w:lineRule="auto"/>
        <w:ind w:left="463"/>
        <w:rPr>
          <w:rFonts w:hint="eastAsia" w:ascii="宋体" w:hAnsi="宋体" w:eastAsia="宋体" w:cs="宋体"/>
          <w:color w:val="auto"/>
          <w:sz w:val="24"/>
          <w:highlight w:val="none"/>
        </w:rPr>
      </w:pPr>
    </w:p>
    <w:p>
      <w:pPr>
        <w:spacing w:line="360" w:lineRule="auto"/>
        <w:ind w:left="463"/>
        <w:rPr>
          <w:rFonts w:hint="eastAsia" w:ascii="宋体" w:hAnsi="宋体" w:eastAsia="宋体" w:cs="宋体"/>
          <w:color w:val="auto"/>
          <w:sz w:val="24"/>
          <w:highlight w:val="none"/>
        </w:rPr>
      </w:pPr>
    </w:p>
    <w:p>
      <w:pPr>
        <w:spacing w:line="360" w:lineRule="auto"/>
        <w:ind w:left="463"/>
        <w:rPr>
          <w:rFonts w:hint="eastAsia" w:ascii="宋体" w:hAnsi="宋体" w:eastAsia="宋体" w:cs="宋体"/>
          <w:color w:val="auto"/>
          <w:sz w:val="24"/>
          <w:highlight w:val="none"/>
        </w:rPr>
      </w:pPr>
    </w:p>
    <w:p>
      <w:pPr>
        <w:spacing w:line="360" w:lineRule="auto"/>
        <w:ind w:left="463"/>
        <w:rPr>
          <w:rFonts w:hint="eastAsia" w:ascii="宋体" w:hAnsi="宋体" w:eastAsia="宋体" w:cs="宋体"/>
          <w:color w:val="auto"/>
          <w:sz w:val="24"/>
          <w:highlight w:val="none"/>
        </w:rPr>
      </w:pPr>
    </w:p>
    <w:p>
      <w:pPr>
        <w:tabs>
          <w:tab w:val="left" w:pos="360"/>
        </w:tabs>
        <w:snapToGrid w:val="0"/>
        <w:spacing w:before="67" w:line="360" w:lineRule="auto"/>
        <w:ind w:right="-360"/>
        <w:jc w:val="center"/>
        <w:rPr>
          <w:rFonts w:hint="eastAsia" w:ascii="宋体" w:hAnsi="宋体" w:eastAsia="宋体" w:cs="宋体"/>
          <w:color w:val="auto"/>
          <w:highlight w:val="none"/>
        </w:rPr>
      </w:pPr>
      <w:r>
        <w:rPr>
          <w:rFonts w:hint="eastAsia" w:ascii="宋体" w:hAnsi="宋体" w:eastAsia="宋体" w:cs="宋体"/>
          <w:b/>
          <w:color w:val="auto"/>
          <w:sz w:val="28"/>
          <w:szCs w:val="28"/>
          <w:highlight w:val="none"/>
        </w:rPr>
        <w:br w:type="page"/>
      </w:r>
      <w:r>
        <w:rPr>
          <w:rFonts w:hint="eastAsia" w:ascii="宋体" w:hAnsi="宋体" w:eastAsia="宋体" w:cs="宋体"/>
          <w:b/>
          <w:color w:val="auto"/>
          <w:sz w:val="28"/>
          <w:szCs w:val="28"/>
          <w:highlight w:val="none"/>
        </w:rPr>
        <w:t>五.资格审查资料（适用于未进行资格预审的）</w:t>
      </w:r>
    </w:p>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（一）供应商基本情况表</w:t>
      </w:r>
    </w:p>
    <w:tbl>
      <w:tblPr>
        <w:tblStyle w:val="18"/>
        <w:tblW w:w="0" w:type="auto"/>
        <w:jc w:val="center"/>
        <w:tblLayout w:type="fixed"/>
        <w:tblCellMar>
          <w:top w:w="0" w:type="dxa"/>
          <w:left w:w="108" w:type="dxa"/>
          <w:bottom w:w="0" w:type="dxa"/>
          <w:right w:w="108" w:type="dxa"/>
        </w:tblCellMar>
      </w:tblPr>
      <w:tblGrid>
        <w:gridCol w:w="1795"/>
        <w:gridCol w:w="1556"/>
        <w:gridCol w:w="688"/>
        <w:gridCol w:w="638"/>
        <w:gridCol w:w="528"/>
        <w:gridCol w:w="799"/>
        <w:gridCol w:w="683"/>
        <w:gridCol w:w="331"/>
        <w:gridCol w:w="160"/>
        <w:gridCol w:w="582"/>
        <w:gridCol w:w="989"/>
      </w:tblGrid>
      <w:tr>
        <w:tblPrEx>
          <w:tblCellMar>
            <w:top w:w="0" w:type="dxa"/>
            <w:left w:w="108" w:type="dxa"/>
            <w:bottom w:w="0" w:type="dxa"/>
            <w:right w:w="108" w:type="dxa"/>
          </w:tblCellMar>
        </w:tblPrEx>
        <w:trPr>
          <w:trHeight w:val="489" w:hRule="atLeast"/>
          <w:jc w:val="center"/>
        </w:trPr>
        <w:tc>
          <w:tcPr>
            <w:tcW w:w="1795"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供应商名称</w:t>
            </w:r>
          </w:p>
        </w:tc>
        <w:tc>
          <w:tcPr>
            <w:tcW w:w="6954" w:type="dxa"/>
            <w:gridSpan w:val="10"/>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489" w:hRule="atLeast"/>
          <w:jc w:val="center"/>
        </w:trPr>
        <w:tc>
          <w:tcPr>
            <w:tcW w:w="1795"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注册地址</w:t>
            </w:r>
          </w:p>
        </w:tc>
        <w:tc>
          <w:tcPr>
            <w:tcW w:w="3410" w:type="dxa"/>
            <w:gridSpan w:val="4"/>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c>
          <w:tcPr>
            <w:tcW w:w="181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邮政编码</w:t>
            </w:r>
          </w:p>
        </w:tc>
        <w:tc>
          <w:tcPr>
            <w:tcW w:w="1731"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489" w:hRule="atLeast"/>
          <w:jc w:val="center"/>
        </w:trPr>
        <w:tc>
          <w:tcPr>
            <w:tcW w:w="1795"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联系方式</w:t>
            </w:r>
          </w:p>
        </w:tc>
        <w:tc>
          <w:tcPr>
            <w:tcW w:w="1556"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联系人</w:t>
            </w:r>
          </w:p>
        </w:tc>
        <w:tc>
          <w:tcPr>
            <w:tcW w:w="2653" w:type="dxa"/>
            <w:gridSpan w:val="4"/>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c>
          <w:tcPr>
            <w:tcW w:w="1174"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电话</w:t>
            </w:r>
          </w:p>
        </w:tc>
        <w:tc>
          <w:tcPr>
            <w:tcW w:w="1571" w:type="dxa"/>
            <w:gridSpan w:val="2"/>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489" w:hRule="atLeast"/>
          <w:jc w:val="center"/>
        </w:trPr>
        <w:tc>
          <w:tcPr>
            <w:tcW w:w="1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Cs w:val="21"/>
                <w:highlight w:val="none"/>
              </w:rPr>
            </w:pPr>
          </w:p>
        </w:tc>
        <w:tc>
          <w:tcPr>
            <w:tcW w:w="1556"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传真</w:t>
            </w:r>
          </w:p>
        </w:tc>
        <w:tc>
          <w:tcPr>
            <w:tcW w:w="2653" w:type="dxa"/>
            <w:gridSpan w:val="4"/>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c>
          <w:tcPr>
            <w:tcW w:w="1174"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电子邮件</w:t>
            </w:r>
          </w:p>
        </w:tc>
        <w:tc>
          <w:tcPr>
            <w:tcW w:w="1571" w:type="dxa"/>
            <w:gridSpan w:val="2"/>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489" w:hRule="atLeast"/>
          <w:jc w:val="center"/>
        </w:trPr>
        <w:tc>
          <w:tcPr>
            <w:tcW w:w="1795"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法定代表人</w:t>
            </w:r>
          </w:p>
        </w:tc>
        <w:tc>
          <w:tcPr>
            <w:tcW w:w="1556"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姓名</w:t>
            </w:r>
          </w:p>
        </w:tc>
        <w:tc>
          <w:tcPr>
            <w:tcW w:w="132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c>
          <w:tcPr>
            <w:tcW w:w="1327" w:type="dxa"/>
            <w:gridSpan w:val="2"/>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技术职称</w:t>
            </w:r>
          </w:p>
        </w:tc>
        <w:tc>
          <w:tcPr>
            <w:tcW w:w="1014" w:type="dxa"/>
            <w:gridSpan w:val="2"/>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c>
          <w:tcPr>
            <w:tcW w:w="742" w:type="dxa"/>
            <w:gridSpan w:val="2"/>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电话</w:t>
            </w:r>
          </w:p>
        </w:tc>
        <w:tc>
          <w:tcPr>
            <w:tcW w:w="989"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489" w:hRule="atLeast"/>
          <w:jc w:val="center"/>
        </w:trPr>
        <w:tc>
          <w:tcPr>
            <w:tcW w:w="1795"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技术负责人</w:t>
            </w:r>
          </w:p>
        </w:tc>
        <w:tc>
          <w:tcPr>
            <w:tcW w:w="1556"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姓名</w:t>
            </w:r>
          </w:p>
        </w:tc>
        <w:tc>
          <w:tcPr>
            <w:tcW w:w="132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c>
          <w:tcPr>
            <w:tcW w:w="1327" w:type="dxa"/>
            <w:gridSpan w:val="2"/>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技术职称</w:t>
            </w:r>
          </w:p>
        </w:tc>
        <w:tc>
          <w:tcPr>
            <w:tcW w:w="1014" w:type="dxa"/>
            <w:gridSpan w:val="2"/>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c>
          <w:tcPr>
            <w:tcW w:w="742" w:type="dxa"/>
            <w:gridSpan w:val="2"/>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电话</w:t>
            </w:r>
          </w:p>
        </w:tc>
        <w:tc>
          <w:tcPr>
            <w:tcW w:w="989"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489" w:hRule="atLeast"/>
          <w:jc w:val="center"/>
        </w:trPr>
        <w:tc>
          <w:tcPr>
            <w:tcW w:w="1795"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成立时间</w:t>
            </w:r>
          </w:p>
        </w:tc>
        <w:tc>
          <w:tcPr>
            <w:tcW w:w="1556"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c>
          <w:tcPr>
            <w:tcW w:w="5398" w:type="dxa"/>
            <w:gridSpan w:val="9"/>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员工总人数：</w:t>
            </w:r>
          </w:p>
        </w:tc>
      </w:tr>
      <w:tr>
        <w:tblPrEx>
          <w:tblCellMar>
            <w:top w:w="0" w:type="dxa"/>
            <w:left w:w="108" w:type="dxa"/>
            <w:bottom w:w="0" w:type="dxa"/>
            <w:right w:w="108" w:type="dxa"/>
          </w:tblCellMar>
        </w:tblPrEx>
        <w:trPr>
          <w:trHeight w:val="489" w:hRule="atLeast"/>
          <w:jc w:val="center"/>
        </w:trPr>
        <w:tc>
          <w:tcPr>
            <w:tcW w:w="1795"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企业资质等级</w:t>
            </w:r>
          </w:p>
        </w:tc>
        <w:tc>
          <w:tcPr>
            <w:tcW w:w="1556"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c>
          <w:tcPr>
            <w:tcW w:w="688"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其中</w:t>
            </w:r>
          </w:p>
        </w:tc>
        <w:tc>
          <w:tcPr>
            <w:tcW w:w="264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项目经理</w:t>
            </w:r>
          </w:p>
        </w:tc>
        <w:tc>
          <w:tcPr>
            <w:tcW w:w="2062" w:type="dxa"/>
            <w:gridSpan w:val="4"/>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489" w:hRule="atLeast"/>
          <w:jc w:val="center"/>
        </w:trPr>
        <w:tc>
          <w:tcPr>
            <w:tcW w:w="1795"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营业执照号</w:t>
            </w:r>
          </w:p>
        </w:tc>
        <w:tc>
          <w:tcPr>
            <w:tcW w:w="1556"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Cs w:val="21"/>
                <w:highlight w:val="none"/>
              </w:rPr>
            </w:pPr>
          </w:p>
        </w:tc>
        <w:tc>
          <w:tcPr>
            <w:tcW w:w="264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高级职称人员</w:t>
            </w:r>
          </w:p>
        </w:tc>
        <w:tc>
          <w:tcPr>
            <w:tcW w:w="2062" w:type="dxa"/>
            <w:gridSpan w:val="4"/>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489" w:hRule="atLeast"/>
          <w:jc w:val="center"/>
        </w:trPr>
        <w:tc>
          <w:tcPr>
            <w:tcW w:w="1795"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注册资金</w:t>
            </w:r>
          </w:p>
        </w:tc>
        <w:tc>
          <w:tcPr>
            <w:tcW w:w="1556"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Cs w:val="21"/>
                <w:highlight w:val="none"/>
              </w:rPr>
            </w:pPr>
          </w:p>
        </w:tc>
        <w:tc>
          <w:tcPr>
            <w:tcW w:w="264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中级职称人员</w:t>
            </w:r>
          </w:p>
        </w:tc>
        <w:tc>
          <w:tcPr>
            <w:tcW w:w="2062" w:type="dxa"/>
            <w:gridSpan w:val="4"/>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514" w:hRule="atLeast"/>
          <w:jc w:val="center"/>
        </w:trPr>
        <w:tc>
          <w:tcPr>
            <w:tcW w:w="1795"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基本账户开户银行</w:t>
            </w:r>
          </w:p>
        </w:tc>
        <w:tc>
          <w:tcPr>
            <w:tcW w:w="1556"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Cs w:val="21"/>
                <w:highlight w:val="none"/>
              </w:rPr>
            </w:pPr>
          </w:p>
        </w:tc>
        <w:tc>
          <w:tcPr>
            <w:tcW w:w="264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初级职称人员</w:t>
            </w:r>
          </w:p>
        </w:tc>
        <w:tc>
          <w:tcPr>
            <w:tcW w:w="2062" w:type="dxa"/>
            <w:gridSpan w:val="4"/>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489" w:hRule="atLeast"/>
          <w:jc w:val="center"/>
        </w:trPr>
        <w:tc>
          <w:tcPr>
            <w:tcW w:w="1795"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基本账户账号</w:t>
            </w:r>
          </w:p>
        </w:tc>
        <w:tc>
          <w:tcPr>
            <w:tcW w:w="1556"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Cs w:val="21"/>
                <w:highlight w:val="none"/>
              </w:rPr>
            </w:pPr>
          </w:p>
        </w:tc>
        <w:tc>
          <w:tcPr>
            <w:tcW w:w="264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技工</w:t>
            </w:r>
          </w:p>
        </w:tc>
        <w:tc>
          <w:tcPr>
            <w:tcW w:w="2062" w:type="dxa"/>
            <w:gridSpan w:val="4"/>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1042" w:hRule="atLeast"/>
          <w:jc w:val="center"/>
        </w:trPr>
        <w:tc>
          <w:tcPr>
            <w:tcW w:w="1795"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经营范围</w:t>
            </w:r>
          </w:p>
        </w:tc>
        <w:tc>
          <w:tcPr>
            <w:tcW w:w="6954" w:type="dxa"/>
            <w:gridSpan w:val="10"/>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1449" w:hRule="atLeast"/>
          <w:jc w:val="center"/>
        </w:trPr>
        <w:tc>
          <w:tcPr>
            <w:tcW w:w="1795"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highlight w:val="none"/>
              </w:rPr>
            </w:pPr>
            <w:r>
              <w:rPr>
                <w:rFonts w:hint="eastAsia" w:ascii="宋体" w:hAnsi="宋体" w:eastAsia="宋体" w:cs="宋体"/>
                <w:color w:val="auto"/>
                <w:sz w:val="24"/>
                <w:highlight w:val="none"/>
              </w:rPr>
              <w:t>资产构成情况及申请人投资参股的关联企业情况</w:t>
            </w:r>
          </w:p>
        </w:tc>
        <w:tc>
          <w:tcPr>
            <w:tcW w:w="6954" w:type="dxa"/>
            <w:gridSpan w:val="10"/>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499" w:hRule="atLeast"/>
          <w:jc w:val="center"/>
        </w:trPr>
        <w:tc>
          <w:tcPr>
            <w:tcW w:w="1795" w:type="dxa"/>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jc w:val="center"/>
              <w:rPr>
                <w:rFonts w:hint="eastAsia" w:ascii="宋体" w:hAnsi="宋体" w:eastAsia="宋体" w:cs="宋体"/>
                <w:color w:val="auto"/>
                <w:highlight w:val="none"/>
              </w:rPr>
            </w:pPr>
            <w:r>
              <w:rPr>
                <w:rFonts w:hint="eastAsia" w:ascii="宋体" w:hAnsi="宋体" w:eastAsia="宋体" w:cs="宋体"/>
                <w:color w:val="auto"/>
                <w:sz w:val="24"/>
                <w:highlight w:val="none"/>
              </w:rPr>
              <w:t>备注</w:t>
            </w:r>
          </w:p>
        </w:tc>
        <w:tc>
          <w:tcPr>
            <w:tcW w:w="6954" w:type="dxa"/>
            <w:gridSpan w:val="10"/>
            <w:tcBorders>
              <w:top w:val="single" w:color="000000" w:sz="4" w:space="0"/>
              <w:left w:val="single" w:color="000000" w:sz="4" w:space="0"/>
              <w:bottom w:val="single" w:color="000000" w:sz="4" w:space="0"/>
              <w:right w:val="single" w:color="000000" w:sz="4" w:space="0"/>
            </w:tcBorders>
            <w:vAlign w:val="center"/>
          </w:tcPr>
          <w:p>
            <w:pPr>
              <w:tabs>
                <w:tab w:val="left" w:pos="360"/>
              </w:tabs>
              <w:snapToGrid w:val="0"/>
              <w:spacing w:before="67" w:line="360" w:lineRule="auto"/>
              <w:ind w:right="-360"/>
              <w:jc w:val="center"/>
              <w:rPr>
                <w:rFonts w:hint="eastAsia" w:ascii="宋体" w:hAnsi="宋体" w:eastAsia="宋体" w:cs="宋体"/>
                <w:color w:val="auto"/>
                <w:sz w:val="24"/>
                <w:highlight w:val="none"/>
              </w:rPr>
            </w:pPr>
          </w:p>
        </w:tc>
      </w:tr>
    </w:tbl>
    <w:p>
      <w:pPr>
        <w:widowControl/>
        <w:spacing w:line="360" w:lineRule="auto"/>
        <w:rPr>
          <w:rFonts w:hint="eastAsia" w:ascii="宋体" w:hAnsi="宋体" w:eastAsia="宋体" w:cs="宋体"/>
          <w:color w:val="auto"/>
          <w:sz w:val="22"/>
          <w:highlight w:val="none"/>
        </w:rPr>
      </w:pPr>
      <w:r>
        <w:rPr>
          <w:rFonts w:hint="eastAsia" w:ascii="宋体" w:hAnsi="宋体" w:eastAsia="宋体" w:cs="宋体"/>
          <w:color w:val="auto"/>
          <w:sz w:val="22"/>
          <w:highlight w:val="none"/>
        </w:rPr>
        <w:t>备注：本表后应附企业法人营业执照、企业资质证书副本、安全生产许可证等材料的复印件</w:t>
      </w:r>
    </w:p>
    <w:p>
      <w:pPr>
        <w:tabs>
          <w:tab w:val="left" w:pos="5580"/>
        </w:tabs>
        <w:spacing w:line="360" w:lineRule="auto"/>
        <w:jc w:val="center"/>
        <w:rPr>
          <w:rFonts w:hint="eastAsia" w:ascii="宋体" w:hAnsi="宋体" w:eastAsia="宋体" w:cs="宋体"/>
          <w:b/>
          <w:color w:val="auto"/>
          <w:sz w:val="30"/>
          <w:szCs w:val="30"/>
          <w:highlight w:val="none"/>
        </w:rPr>
      </w:pPr>
    </w:p>
    <w:p>
      <w:pPr>
        <w:tabs>
          <w:tab w:val="left" w:pos="5580"/>
        </w:tabs>
        <w:spacing w:line="360" w:lineRule="auto"/>
        <w:jc w:val="center"/>
        <w:rPr>
          <w:rFonts w:hint="eastAsia" w:ascii="宋体" w:hAnsi="宋体" w:eastAsia="宋体" w:cs="宋体"/>
          <w:b/>
          <w:color w:val="auto"/>
          <w:sz w:val="30"/>
          <w:szCs w:val="30"/>
          <w:highlight w:val="none"/>
        </w:rPr>
      </w:pPr>
    </w:p>
    <w:p>
      <w:pPr>
        <w:widowControl/>
        <w:spacing w:line="360" w:lineRule="auto"/>
        <w:rPr>
          <w:rFonts w:hint="eastAsia" w:ascii="宋体" w:hAnsi="宋体" w:eastAsia="宋体" w:cs="宋体"/>
          <w:b/>
          <w:color w:val="auto"/>
          <w:sz w:val="32"/>
          <w:szCs w:val="32"/>
          <w:highlight w:val="none"/>
        </w:rPr>
      </w:pPr>
    </w:p>
    <w:p>
      <w:pPr>
        <w:widowControl/>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（二）近年财务状况表</w:t>
      </w:r>
      <w:r>
        <w:rPr>
          <w:rFonts w:hint="eastAsia" w:ascii="宋体" w:hAnsi="宋体" w:eastAsia="宋体" w:cs="宋体"/>
          <w:color w:val="auto"/>
          <w:highlight w:val="none"/>
        </w:rPr>
        <w:br w:type="textWrapping"/>
      </w:r>
      <w:r>
        <w:rPr>
          <w:rFonts w:hint="eastAsia" w:ascii="宋体" w:hAnsi="宋体" w:eastAsia="宋体" w:cs="宋体"/>
          <w:color w:val="auto"/>
          <w:sz w:val="22"/>
          <w:highlight w:val="none"/>
        </w:rPr>
        <w:t>备注：包括资产负债表、现金流量表、利润表的复印件，</w:t>
      </w:r>
      <w:r>
        <w:rPr>
          <w:rFonts w:hint="eastAsia" w:ascii="宋体" w:hAnsi="宋体" w:eastAsia="宋体" w:cs="宋体"/>
          <w:color w:val="auto"/>
          <w:sz w:val="22"/>
          <w:szCs w:val="22"/>
          <w:highlight w:val="none"/>
        </w:rPr>
        <w:t>具体年份要求见第一章“竞争性磋商公告”的规定。</w:t>
      </w:r>
    </w:p>
    <w:p>
      <w:pPr>
        <w:widowControl/>
        <w:spacing w:line="360" w:lineRule="auto"/>
        <w:rPr>
          <w:rFonts w:hint="eastAsia" w:ascii="宋体" w:hAnsi="宋体" w:eastAsia="宋体" w:cs="宋体"/>
          <w:color w:val="auto"/>
          <w:sz w:val="22"/>
          <w:highlight w:val="none"/>
        </w:rPr>
      </w:pPr>
    </w:p>
    <w:p>
      <w:pPr>
        <w:widowControl/>
        <w:spacing w:line="360" w:lineRule="auto"/>
        <w:rPr>
          <w:rFonts w:hint="eastAsia" w:ascii="宋体" w:hAnsi="宋体" w:eastAsia="宋体" w:cs="宋体"/>
          <w:color w:val="auto"/>
          <w:sz w:val="22"/>
          <w:highlight w:val="none"/>
        </w:rPr>
      </w:pPr>
    </w:p>
    <w:p>
      <w:pPr>
        <w:widowControl/>
        <w:spacing w:line="360" w:lineRule="auto"/>
        <w:rPr>
          <w:rFonts w:hint="eastAsia" w:ascii="宋体" w:hAnsi="宋体" w:eastAsia="宋体" w:cs="宋体"/>
          <w:b/>
          <w:color w:val="auto"/>
          <w:spacing w:val="-8"/>
          <w:sz w:val="28"/>
          <w:szCs w:val="28"/>
          <w:highlight w:val="none"/>
        </w:rPr>
      </w:pPr>
    </w:p>
    <w:p>
      <w:pPr>
        <w:widowControl/>
        <w:spacing w:line="360" w:lineRule="auto"/>
        <w:jc w:val="center"/>
        <w:rPr>
          <w:rFonts w:hint="eastAsia" w:ascii="宋体" w:hAnsi="宋体" w:eastAsia="宋体" w:cs="宋体"/>
          <w:b/>
          <w:color w:val="auto"/>
          <w:spacing w:val="-8"/>
          <w:sz w:val="28"/>
          <w:szCs w:val="28"/>
          <w:highlight w:val="none"/>
        </w:rPr>
      </w:pPr>
    </w:p>
    <w:p>
      <w:pPr>
        <w:widowControl/>
        <w:spacing w:line="360" w:lineRule="auto"/>
        <w:jc w:val="center"/>
        <w:rPr>
          <w:rFonts w:hint="eastAsia" w:ascii="宋体" w:hAnsi="宋体" w:eastAsia="宋体" w:cs="宋体"/>
          <w:b/>
          <w:color w:val="auto"/>
          <w:spacing w:val="-8"/>
          <w:sz w:val="28"/>
          <w:szCs w:val="28"/>
          <w:highlight w:val="none"/>
        </w:rPr>
      </w:pPr>
    </w:p>
    <w:p>
      <w:pPr>
        <w:widowControl/>
        <w:spacing w:line="360" w:lineRule="auto"/>
        <w:jc w:val="center"/>
        <w:rPr>
          <w:rFonts w:hint="eastAsia" w:ascii="宋体" w:hAnsi="宋体" w:eastAsia="宋体" w:cs="宋体"/>
          <w:b/>
          <w:color w:val="auto"/>
          <w:spacing w:val="-8"/>
          <w:sz w:val="28"/>
          <w:szCs w:val="28"/>
          <w:highlight w:val="none"/>
        </w:rPr>
      </w:pPr>
    </w:p>
    <w:p>
      <w:pPr>
        <w:widowControl/>
        <w:spacing w:line="360" w:lineRule="auto"/>
        <w:jc w:val="center"/>
        <w:rPr>
          <w:rFonts w:hint="eastAsia" w:ascii="宋体" w:hAnsi="宋体" w:eastAsia="宋体" w:cs="宋体"/>
          <w:b/>
          <w:color w:val="auto"/>
          <w:spacing w:val="-8"/>
          <w:sz w:val="28"/>
          <w:szCs w:val="28"/>
          <w:highlight w:val="none"/>
        </w:rPr>
      </w:pPr>
    </w:p>
    <w:p>
      <w:pPr>
        <w:widowControl/>
        <w:spacing w:line="360" w:lineRule="auto"/>
        <w:jc w:val="center"/>
        <w:rPr>
          <w:rFonts w:hint="eastAsia" w:ascii="宋体" w:hAnsi="宋体" w:eastAsia="宋体" w:cs="宋体"/>
          <w:b/>
          <w:color w:val="auto"/>
          <w:spacing w:val="-8"/>
          <w:sz w:val="28"/>
          <w:szCs w:val="28"/>
          <w:highlight w:val="none"/>
        </w:rPr>
      </w:pPr>
    </w:p>
    <w:p>
      <w:pPr>
        <w:widowControl/>
        <w:spacing w:line="360" w:lineRule="auto"/>
        <w:jc w:val="center"/>
        <w:rPr>
          <w:rFonts w:hint="eastAsia" w:ascii="宋体" w:hAnsi="宋体" w:eastAsia="宋体" w:cs="宋体"/>
          <w:b/>
          <w:color w:val="auto"/>
          <w:spacing w:val="-8"/>
          <w:sz w:val="28"/>
          <w:szCs w:val="28"/>
          <w:highlight w:val="none"/>
        </w:rPr>
      </w:pPr>
    </w:p>
    <w:p>
      <w:pPr>
        <w:widowControl/>
        <w:spacing w:line="360" w:lineRule="auto"/>
        <w:jc w:val="center"/>
        <w:rPr>
          <w:rFonts w:hint="eastAsia" w:ascii="宋体" w:hAnsi="宋体" w:eastAsia="宋体" w:cs="宋体"/>
          <w:b/>
          <w:color w:val="auto"/>
          <w:spacing w:val="-8"/>
          <w:sz w:val="28"/>
          <w:szCs w:val="28"/>
          <w:highlight w:val="none"/>
        </w:rPr>
      </w:pPr>
    </w:p>
    <w:p>
      <w:pPr>
        <w:widowControl/>
        <w:spacing w:line="360" w:lineRule="auto"/>
        <w:jc w:val="center"/>
        <w:rPr>
          <w:rFonts w:hint="eastAsia" w:ascii="宋体" w:hAnsi="宋体" w:eastAsia="宋体" w:cs="宋体"/>
          <w:b/>
          <w:color w:val="auto"/>
          <w:spacing w:val="-8"/>
          <w:sz w:val="28"/>
          <w:szCs w:val="28"/>
          <w:highlight w:val="none"/>
        </w:rPr>
      </w:pPr>
    </w:p>
    <w:p>
      <w:pPr>
        <w:widowControl/>
        <w:spacing w:line="360" w:lineRule="auto"/>
        <w:jc w:val="center"/>
        <w:rPr>
          <w:rFonts w:hint="eastAsia" w:ascii="宋体" w:hAnsi="宋体" w:eastAsia="宋体" w:cs="宋体"/>
          <w:b/>
          <w:color w:val="auto"/>
          <w:spacing w:val="-8"/>
          <w:sz w:val="28"/>
          <w:szCs w:val="28"/>
          <w:highlight w:val="none"/>
        </w:rPr>
      </w:pPr>
    </w:p>
    <w:p>
      <w:pPr>
        <w:widowControl/>
        <w:spacing w:line="360" w:lineRule="auto"/>
        <w:jc w:val="center"/>
        <w:rPr>
          <w:rFonts w:hint="eastAsia" w:ascii="宋体" w:hAnsi="宋体" w:eastAsia="宋体" w:cs="宋体"/>
          <w:b/>
          <w:color w:val="auto"/>
          <w:spacing w:val="-8"/>
          <w:sz w:val="28"/>
          <w:szCs w:val="28"/>
          <w:highlight w:val="none"/>
        </w:rPr>
      </w:pPr>
    </w:p>
    <w:p>
      <w:pPr>
        <w:widowControl/>
        <w:spacing w:line="360" w:lineRule="auto"/>
        <w:jc w:val="center"/>
        <w:rPr>
          <w:rFonts w:hint="eastAsia" w:ascii="宋体" w:hAnsi="宋体" w:eastAsia="宋体" w:cs="宋体"/>
          <w:b/>
          <w:color w:val="auto"/>
          <w:spacing w:val="-8"/>
          <w:sz w:val="28"/>
          <w:szCs w:val="28"/>
          <w:highlight w:val="none"/>
        </w:rPr>
      </w:pPr>
    </w:p>
    <w:p>
      <w:pPr>
        <w:widowControl/>
        <w:spacing w:line="360" w:lineRule="auto"/>
        <w:jc w:val="center"/>
        <w:rPr>
          <w:rFonts w:hint="eastAsia" w:ascii="宋体" w:hAnsi="宋体" w:eastAsia="宋体" w:cs="宋体"/>
          <w:b/>
          <w:color w:val="auto"/>
          <w:spacing w:val="-8"/>
          <w:sz w:val="28"/>
          <w:szCs w:val="28"/>
          <w:highlight w:val="none"/>
        </w:rPr>
      </w:pPr>
    </w:p>
    <w:p>
      <w:pPr>
        <w:widowControl/>
        <w:spacing w:line="360" w:lineRule="auto"/>
        <w:jc w:val="center"/>
        <w:rPr>
          <w:rFonts w:hint="eastAsia" w:ascii="宋体" w:hAnsi="宋体" w:eastAsia="宋体" w:cs="宋体"/>
          <w:b/>
          <w:color w:val="auto"/>
          <w:spacing w:val="-8"/>
          <w:sz w:val="28"/>
          <w:szCs w:val="28"/>
          <w:highlight w:val="none"/>
        </w:rPr>
      </w:pPr>
    </w:p>
    <w:p>
      <w:pPr>
        <w:widowControl/>
        <w:spacing w:line="360" w:lineRule="auto"/>
        <w:jc w:val="center"/>
        <w:rPr>
          <w:rFonts w:hint="eastAsia" w:ascii="宋体" w:hAnsi="宋体" w:eastAsia="宋体" w:cs="宋体"/>
          <w:b/>
          <w:color w:val="auto"/>
          <w:spacing w:val="-8"/>
          <w:sz w:val="28"/>
          <w:szCs w:val="28"/>
          <w:highlight w:val="none"/>
        </w:rPr>
      </w:pPr>
    </w:p>
    <w:p>
      <w:pPr>
        <w:widowControl/>
        <w:spacing w:line="360" w:lineRule="auto"/>
        <w:jc w:val="center"/>
        <w:rPr>
          <w:rFonts w:hint="eastAsia" w:ascii="宋体" w:hAnsi="宋体" w:eastAsia="宋体" w:cs="宋体"/>
          <w:b/>
          <w:color w:val="auto"/>
          <w:spacing w:val="-8"/>
          <w:sz w:val="28"/>
          <w:szCs w:val="28"/>
          <w:highlight w:val="none"/>
        </w:rPr>
      </w:pPr>
    </w:p>
    <w:p>
      <w:pPr>
        <w:widowControl/>
        <w:spacing w:line="360" w:lineRule="auto"/>
        <w:jc w:val="center"/>
        <w:rPr>
          <w:rFonts w:hint="eastAsia" w:ascii="宋体" w:hAnsi="宋体" w:eastAsia="宋体" w:cs="宋体"/>
          <w:b/>
          <w:color w:val="auto"/>
          <w:spacing w:val="-8"/>
          <w:sz w:val="28"/>
          <w:szCs w:val="28"/>
          <w:highlight w:val="none"/>
        </w:rPr>
      </w:pPr>
    </w:p>
    <w:p>
      <w:pPr>
        <w:widowControl/>
        <w:spacing w:line="360" w:lineRule="auto"/>
        <w:jc w:val="center"/>
        <w:rPr>
          <w:rFonts w:hint="eastAsia" w:ascii="宋体" w:hAnsi="宋体" w:eastAsia="宋体" w:cs="宋体"/>
          <w:b/>
          <w:color w:val="auto"/>
          <w:spacing w:val="-8"/>
          <w:sz w:val="28"/>
          <w:szCs w:val="28"/>
          <w:highlight w:val="none"/>
        </w:rPr>
      </w:pP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t>（三）中小企业声明函</w:t>
      </w:r>
    </w:p>
    <w:p>
      <w:pPr>
        <w:spacing w:line="360" w:lineRule="auto"/>
        <w:ind w:firstLine="480"/>
        <w:jc w:val="left"/>
        <w:rPr>
          <w:rFonts w:hint="eastAsia" w:ascii="宋体" w:hAnsi="宋体" w:eastAsia="宋体" w:cs="宋体"/>
          <w:color w:val="auto"/>
          <w:highlight w:val="none"/>
        </w:rPr>
      </w:pPr>
      <w:r>
        <w:rPr>
          <w:rFonts w:hint="eastAsia" w:ascii="宋体" w:hAnsi="宋体" w:eastAsia="宋体" w:cs="宋体"/>
          <w:color w:val="auto"/>
          <w:sz w:val="24"/>
          <w:highlight w:val="none"/>
        </w:rPr>
        <w:t>本公司（联合体）郑重声明，根据《政府采购促进中小企业发展管理办法》（财库[2020]46号）的规定，本公司（联合体）参加</w:t>
      </w:r>
      <w:r>
        <w:rPr>
          <w:rFonts w:hint="eastAsia" w:ascii="宋体" w:hAnsi="宋体" w:eastAsia="宋体" w:cs="宋体"/>
          <w:color w:val="auto"/>
          <w:sz w:val="24"/>
          <w:highlight w:val="none"/>
          <w:u w:val="single"/>
        </w:rPr>
        <w:t xml:space="preserve">  （单位名称）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jc w:val="left"/>
        <w:rPr>
          <w:rFonts w:hint="eastAsia" w:ascii="宋体" w:hAnsi="宋体" w:eastAsia="宋体" w:cs="宋体"/>
          <w:color w:val="auto"/>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u w:val="single"/>
        </w:rPr>
        <w:t xml:space="preserve">   （标的名称）   </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 xml:space="preserve">；承建（承接）企业为 </w:t>
      </w:r>
      <w:r>
        <w:rPr>
          <w:rFonts w:hint="eastAsia" w:ascii="宋体" w:hAnsi="宋体" w:eastAsia="宋体" w:cs="宋体"/>
          <w:color w:val="auto"/>
          <w:sz w:val="24"/>
          <w:highlight w:val="none"/>
          <w:u w:val="single"/>
        </w:rPr>
        <w:t xml:space="preserve"> （企业名称）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（请填写：中型企业、小型企业、微型企业）；</w:t>
      </w:r>
    </w:p>
    <w:p>
      <w:pPr>
        <w:spacing w:line="360" w:lineRule="auto"/>
        <w:ind w:firstLine="480"/>
        <w:jc w:val="left"/>
        <w:rPr>
          <w:rFonts w:hint="eastAsia" w:ascii="宋体" w:hAnsi="宋体" w:eastAsia="宋体" w:cs="宋体"/>
          <w:color w:val="auto"/>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 xml:space="preserve">   （标的名称）   </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 xml:space="preserve">；承建（承接）企业为 </w:t>
      </w:r>
      <w:r>
        <w:rPr>
          <w:rFonts w:hint="eastAsia" w:ascii="宋体" w:hAnsi="宋体" w:eastAsia="宋体" w:cs="宋体"/>
          <w:color w:val="auto"/>
          <w:sz w:val="24"/>
          <w:highlight w:val="none"/>
          <w:u w:val="single"/>
        </w:rPr>
        <w:t xml:space="preserve"> （企业名称）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（请填写：中型企业、小型企业、微型企业）；</w:t>
      </w:r>
    </w:p>
    <w:p>
      <w:pPr>
        <w:spacing w:line="360" w:lineRule="auto"/>
        <w:ind w:firstLine="480"/>
        <w:jc w:val="left"/>
        <w:rPr>
          <w:rFonts w:hint="eastAsia" w:ascii="宋体" w:hAnsi="宋体" w:eastAsia="宋体" w:cs="宋体"/>
          <w:color w:val="auto"/>
          <w:highlight w:val="none"/>
        </w:rPr>
      </w:pPr>
      <w:r>
        <w:rPr>
          <w:rFonts w:hint="eastAsia" w:ascii="宋体" w:hAnsi="宋体" w:eastAsia="宋体" w:cs="宋体"/>
          <w:color w:val="auto"/>
          <w:sz w:val="24"/>
          <w:highlight w:val="none"/>
        </w:rPr>
        <w:t>......</w:t>
      </w:r>
    </w:p>
    <w:p>
      <w:pPr>
        <w:spacing w:line="360" w:lineRule="auto"/>
        <w:ind w:firstLine="480"/>
        <w:jc w:val="left"/>
        <w:rPr>
          <w:rFonts w:hint="eastAsia" w:ascii="宋体" w:hAnsi="宋体" w:eastAsia="宋体" w:cs="宋体"/>
          <w:color w:val="auto"/>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jc w:val="left"/>
        <w:rPr>
          <w:rFonts w:hint="eastAsia" w:ascii="宋体" w:hAnsi="宋体" w:eastAsia="宋体" w:cs="宋体"/>
          <w:color w:val="auto"/>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firstLine="480"/>
        <w:jc w:val="left"/>
        <w:rPr>
          <w:rFonts w:hint="eastAsia" w:ascii="宋体" w:hAnsi="宋体" w:eastAsia="宋体" w:cs="宋体"/>
          <w:color w:val="auto"/>
          <w:sz w:val="24"/>
          <w:highlight w:val="none"/>
        </w:rPr>
      </w:pPr>
    </w:p>
    <w:p>
      <w:pPr>
        <w:spacing w:line="360" w:lineRule="auto"/>
        <w:ind w:firstLine="480"/>
        <w:jc w:val="left"/>
        <w:rPr>
          <w:rFonts w:hint="eastAsia" w:ascii="宋体" w:hAnsi="宋体" w:eastAsia="宋体" w:cs="宋体"/>
          <w:color w:val="auto"/>
          <w:sz w:val="24"/>
          <w:highlight w:val="none"/>
        </w:rPr>
      </w:pPr>
    </w:p>
    <w:p>
      <w:pPr>
        <w:spacing w:line="360" w:lineRule="auto"/>
        <w:ind w:firstLine="480"/>
        <w:jc w:val="left"/>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企业名称（盖章）：           </w:t>
      </w:r>
    </w:p>
    <w:p>
      <w:pPr>
        <w:spacing w:line="360" w:lineRule="auto"/>
        <w:ind w:firstLine="480"/>
        <w:jc w:val="left"/>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日 期：                   </w:t>
      </w: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p>
    <w:p>
      <w:pPr>
        <w:spacing w:line="360" w:lineRule="auto"/>
        <w:ind w:firstLine="180"/>
        <w:jc w:val="left"/>
        <w:rPr>
          <w:rFonts w:hint="eastAsia" w:ascii="宋体" w:hAnsi="宋体" w:eastAsia="宋体" w:cs="宋体"/>
          <w:color w:val="auto"/>
          <w:sz w:val="18"/>
          <w:szCs w:val="18"/>
          <w:highlight w:val="none"/>
        </w:rPr>
      </w:pPr>
    </w:p>
    <w:p>
      <w:pPr>
        <w:spacing w:line="360" w:lineRule="auto"/>
        <w:ind w:firstLine="180"/>
        <w:jc w:val="left"/>
        <w:rPr>
          <w:rFonts w:hint="eastAsia" w:ascii="宋体" w:hAnsi="宋体" w:eastAsia="宋体" w:cs="宋体"/>
          <w:color w:val="auto"/>
          <w:sz w:val="18"/>
          <w:szCs w:val="18"/>
          <w:highlight w:val="none"/>
        </w:rPr>
      </w:pPr>
    </w:p>
    <w:p>
      <w:pPr>
        <w:spacing w:line="360" w:lineRule="auto"/>
        <w:ind w:firstLine="180"/>
        <w:jc w:val="left"/>
        <w:rPr>
          <w:rFonts w:hint="eastAsia" w:ascii="宋体" w:hAnsi="宋体" w:eastAsia="宋体" w:cs="宋体"/>
          <w:color w:val="auto"/>
          <w:highlight w:val="none"/>
        </w:rPr>
      </w:pPr>
      <w:r>
        <w:rPr>
          <w:rFonts w:hint="eastAsia" w:ascii="宋体" w:hAnsi="宋体" w:eastAsia="宋体" w:cs="宋体"/>
          <w:color w:val="auto"/>
          <w:sz w:val="18"/>
          <w:szCs w:val="18"/>
          <w:highlight w:val="none"/>
        </w:rPr>
        <w:t>注：1.从业人员、营业收入、资产总额填报上一年度数据，无上一年数据的新成立企业可不填报；</w:t>
      </w:r>
    </w:p>
    <w:p>
      <w:pPr>
        <w:widowControl/>
        <w:spacing w:line="360" w:lineRule="auto"/>
        <w:ind w:firstLine="540"/>
        <w:rPr>
          <w:rFonts w:hint="eastAsia" w:ascii="宋体" w:hAnsi="宋体" w:eastAsia="宋体" w:cs="宋体"/>
          <w:color w:val="auto"/>
          <w:highlight w:val="none"/>
        </w:rPr>
      </w:pPr>
      <w:r>
        <w:rPr>
          <w:rFonts w:hint="eastAsia" w:ascii="宋体" w:hAnsi="宋体" w:eastAsia="宋体" w:cs="宋体"/>
          <w:color w:val="auto"/>
          <w:sz w:val="18"/>
          <w:szCs w:val="18"/>
          <w:highlight w:val="none"/>
        </w:rPr>
        <w:t>2.中型、小型、微型企业请在响应文件中附此函。</w:t>
      </w:r>
    </w:p>
    <w:p>
      <w:pPr>
        <w:widowControl/>
        <w:spacing w:line="360" w:lineRule="auto"/>
        <w:jc w:val="center"/>
        <w:rPr>
          <w:rFonts w:hint="eastAsia" w:ascii="宋体" w:hAnsi="宋体" w:eastAsia="宋体" w:cs="宋体"/>
          <w:color w:val="auto"/>
          <w:spacing w:val="6"/>
          <w:szCs w:val="21"/>
          <w:highlight w:val="none"/>
        </w:rPr>
      </w:pPr>
    </w:p>
    <w:p>
      <w:pPr>
        <w:widowControl/>
        <w:spacing w:line="360" w:lineRule="auto"/>
        <w:jc w:val="center"/>
        <w:rPr>
          <w:rFonts w:hint="eastAsia" w:ascii="宋体" w:hAnsi="宋体" w:eastAsia="宋体" w:cs="宋体"/>
          <w:color w:val="auto"/>
          <w:spacing w:val="6"/>
          <w:szCs w:val="21"/>
          <w:highlight w:val="none"/>
        </w:rPr>
      </w:pPr>
    </w:p>
    <w:p>
      <w:pPr>
        <w:spacing w:line="360" w:lineRule="auto"/>
        <w:jc w:val="center"/>
        <w:rPr>
          <w:rFonts w:hint="eastAsia" w:ascii="宋体" w:hAnsi="宋体" w:eastAsia="宋体" w:cs="宋体"/>
          <w:color w:val="auto"/>
          <w:sz w:val="24"/>
          <w:highlight w:val="none"/>
        </w:rPr>
      </w:pPr>
      <w:bookmarkStart w:id="297" w:name="_Toc10874"/>
      <w:bookmarkStart w:id="298" w:name="_Toc30145"/>
      <w:bookmarkStart w:id="299" w:name="_Toc6141"/>
      <w:r>
        <w:rPr>
          <w:rFonts w:hint="eastAsia" w:ascii="宋体" w:hAnsi="宋体" w:eastAsia="宋体" w:cs="宋体"/>
          <w:color w:val="auto"/>
          <w:sz w:val="24"/>
          <w:highlight w:val="none"/>
        </w:rPr>
        <w:t>（四）监狱企业证明文件</w:t>
      </w:r>
      <w:bookmarkEnd w:id="297"/>
      <w:bookmarkEnd w:id="298"/>
      <w:bookmarkEnd w:id="299"/>
    </w:p>
    <w:p>
      <w:pPr>
        <w:spacing w:before="156" w:beforeLines="50" w:line="360" w:lineRule="auto"/>
        <w:ind w:firstLine="482" w:firstLineChars="200"/>
        <w:rPr>
          <w:rFonts w:hint="eastAsia" w:ascii="宋体" w:hAnsi="宋体" w:eastAsia="宋体" w:cs="宋体"/>
          <w:b/>
          <w:bCs/>
          <w:color w:val="auto"/>
          <w:sz w:val="24"/>
          <w:highlight w:val="none"/>
        </w:rPr>
      </w:pPr>
    </w:p>
    <w:p>
      <w:pPr>
        <w:spacing w:before="156" w:beforeLines="50" w:line="360" w:lineRule="auto"/>
        <w:ind w:firstLine="482" w:firstLineChars="200"/>
        <w:rPr>
          <w:rFonts w:hint="eastAsia" w:ascii="宋体" w:hAnsi="宋体" w:eastAsia="宋体" w:cs="宋体"/>
          <w:b/>
          <w:bCs/>
          <w:color w:val="auto"/>
          <w:sz w:val="24"/>
          <w:highlight w:val="none"/>
        </w:rPr>
      </w:pPr>
    </w:p>
    <w:p>
      <w:pPr>
        <w:spacing w:before="156"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监狱企业参加政府采购活动时，应当提供由省级以上监狱管理局、戒毒管理局（含新疆生产建设兵团）出具的属于监狱企业的证明文件。</w:t>
      </w:r>
    </w:p>
    <w:p>
      <w:pPr>
        <w:spacing w:before="156" w:beforeLines="50" w:line="360" w:lineRule="auto"/>
        <w:rPr>
          <w:rFonts w:hint="eastAsia" w:ascii="宋体" w:hAnsi="宋体" w:eastAsia="宋体" w:cs="宋体"/>
          <w:b/>
          <w:bCs/>
          <w:color w:val="auto"/>
          <w:sz w:val="24"/>
          <w:highlight w:val="none"/>
        </w:rPr>
      </w:pPr>
    </w:p>
    <w:p>
      <w:pPr>
        <w:spacing w:before="156" w:beforeLines="50" w:line="360" w:lineRule="auto"/>
        <w:ind w:firstLine="482" w:firstLineChars="200"/>
        <w:rPr>
          <w:rFonts w:hint="eastAsia" w:ascii="宋体" w:hAnsi="宋体" w:eastAsia="宋体" w:cs="宋体"/>
          <w:b/>
          <w:bCs/>
          <w:color w:val="auto"/>
          <w:sz w:val="24"/>
          <w:highlight w:val="none"/>
        </w:rPr>
      </w:pPr>
    </w:p>
    <w:p>
      <w:pPr>
        <w:spacing w:before="156" w:beforeLines="50"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注：</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1、在政府采购活动中，监狱企业视同小型、微型企业，享受预留份额、评审中价格扣除等政府采购促进中小企业发展的政府采购政策。</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2、供应商为非监狱企业的，可不提供此项证明文件。</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pStyle w:val="2"/>
        <w:keepNext w:val="0"/>
        <w:keepLines w:val="0"/>
        <w:tabs>
          <w:tab w:val="left" w:pos="540"/>
          <w:tab w:val="left" w:pos="720"/>
        </w:tabs>
        <w:spacing w:before="156" w:beforeLines="50" w:after="156" w:afterLines="50" w:line="360" w:lineRule="auto"/>
        <w:jc w:val="center"/>
        <w:rPr>
          <w:rFonts w:hint="eastAsia" w:ascii="宋体" w:hAnsi="宋体" w:eastAsia="宋体" w:cs="宋体"/>
          <w:color w:val="auto"/>
          <w:sz w:val="24"/>
          <w:szCs w:val="24"/>
          <w:highlight w:val="none"/>
        </w:rPr>
      </w:pPr>
      <w:bookmarkStart w:id="300" w:name="_Toc5622469"/>
      <w:bookmarkStart w:id="301" w:name="_Toc80953183"/>
      <w:bookmarkStart w:id="302" w:name="_Toc22906"/>
      <w:bookmarkStart w:id="303" w:name="_Toc23092867"/>
      <w:bookmarkStart w:id="304" w:name="_Toc5622149"/>
      <w:bookmarkStart w:id="305" w:name="_Toc4680073"/>
      <w:bookmarkStart w:id="306" w:name="_Toc23093050"/>
      <w:bookmarkStart w:id="307" w:name="_Toc5621888"/>
      <w:r>
        <w:rPr>
          <w:rFonts w:hint="eastAsia" w:ascii="宋体" w:hAnsi="宋体" w:eastAsia="宋体" w:cs="宋体"/>
          <w:color w:val="auto"/>
          <w:sz w:val="24"/>
          <w:szCs w:val="24"/>
          <w:highlight w:val="none"/>
        </w:rPr>
        <w:br w:type="page"/>
      </w:r>
      <w:r>
        <w:rPr>
          <w:rFonts w:hint="eastAsia" w:ascii="宋体" w:hAnsi="宋体" w:eastAsia="宋体" w:cs="宋体"/>
          <w:b w:val="0"/>
          <w:bCs w:val="0"/>
          <w:color w:val="auto"/>
          <w:sz w:val="24"/>
          <w:szCs w:val="24"/>
          <w:highlight w:val="none"/>
        </w:rPr>
        <w:t>（五）残疾人福利性单位声明函</w:t>
      </w:r>
      <w:bookmarkEnd w:id="300"/>
      <w:bookmarkEnd w:id="301"/>
      <w:bookmarkEnd w:id="302"/>
      <w:bookmarkEnd w:id="303"/>
      <w:bookmarkEnd w:id="304"/>
      <w:bookmarkEnd w:id="305"/>
      <w:bookmarkEnd w:id="306"/>
      <w:bookmarkEnd w:id="307"/>
    </w:p>
    <w:p>
      <w:pPr>
        <w:spacing w:line="360" w:lineRule="auto"/>
        <w:rPr>
          <w:rFonts w:hint="eastAsia" w:ascii="宋体" w:hAnsi="宋体" w:eastAsia="宋体" w:cs="宋体"/>
          <w:color w:val="auto"/>
          <w:sz w:val="24"/>
          <w:highlight w:val="none"/>
        </w:rPr>
      </w:pPr>
    </w:p>
    <w:p>
      <w:pPr>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残疾人福利性单位声明函</w:t>
      </w:r>
    </w:p>
    <w:p>
      <w:pPr>
        <w:spacing w:line="360" w:lineRule="auto"/>
        <w:jc w:val="center"/>
        <w:rPr>
          <w:rFonts w:hint="eastAsia" w:ascii="宋体" w:hAnsi="宋体" w:eastAsia="宋体" w:cs="宋体"/>
          <w:b/>
          <w:bCs/>
          <w:color w:val="auto"/>
          <w:sz w:val="24"/>
          <w:highlight w:val="none"/>
        </w:rPr>
      </w:pPr>
    </w:p>
    <w:p>
      <w:pPr>
        <w:spacing w:before="156"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中国残疾人联合会关促进残疾人就业政府采购的通知》（财库〔2017〕141号）的规定，本单位为符合条件的残疾人福利性单位，且本单位参加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单位的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before="156"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rPr>
          <w:rFonts w:hint="eastAsia" w:ascii="宋体" w:hAnsi="宋体" w:eastAsia="宋体" w:cs="宋体"/>
          <w:color w:val="auto"/>
          <w:sz w:val="24"/>
          <w:highlight w:val="none"/>
        </w:rPr>
      </w:pPr>
    </w:p>
    <w:p>
      <w:pPr>
        <w:spacing w:before="156" w:beforeLines="50" w:line="360" w:lineRule="auto"/>
        <w:ind w:firstLine="480" w:firstLineChars="200"/>
        <w:rPr>
          <w:rFonts w:hint="eastAsia" w:ascii="宋体" w:hAnsi="宋体" w:eastAsia="宋体" w:cs="宋体"/>
          <w:color w:val="auto"/>
          <w:sz w:val="24"/>
          <w:highlight w:val="none"/>
        </w:rPr>
      </w:pPr>
    </w:p>
    <w:p>
      <w:pPr>
        <w:spacing w:before="156" w:beforeLines="50" w:line="360" w:lineRule="auto"/>
        <w:ind w:firstLine="480" w:firstLineChars="200"/>
        <w:jc w:val="right"/>
        <w:rPr>
          <w:rFonts w:hint="eastAsia" w:ascii="宋体" w:hAnsi="宋体" w:eastAsia="宋体" w:cs="宋体"/>
          <w:color w:val="auto"/>
          <w:sz w:val="24"/>
          <w:highlight w:val="none"/>
        </w:rPr>
      </w:pPr>
    </w:p>
    <w:p>
      <w:pPr>
        <w:spacing w:line="360" w:lineRule="auto"/>
        <w:jc w:val="righ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（盖公章）</w:t>
      </w:r>
    </w:p>
    <w:p>
      <w:pPr>
        <w:spacing w:line="360" w:lineRule="auto"/>
        <w:jc w:val="righ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法定代表人或授权代表：</w:t>
      </w:r>
      <w:r>
        <w:rPr>
          <w:rFonts w:hint="eastAsia" w:ascii="宋体" w:hAnsi="宋体" w:eastAsia="宋体" w:cs="宋体"/>
          <w:color w:val="auto"/>
          <w:sz w:val="24"/>
          <w:highlight w:val="none"/>
          <w:u w:val="single"/>
        </w:rPr>
        <w:t xml:space="preserve">      （签字或盖章）</w:t>
      </w:r>
    </w:p>
    <w:p>
      <w:pPr>
        <w:spacing w:line="360" w:lineRule="auto"/>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360" w:lineRule="auto"/>
        <w:rPr>
          <w:rFonts w:hint="eastAsia" w:ascii="宋体" w:hAnsi="宋体" w:eastAsia="宋体" w:cs="宋体"/>
          <w:b/>
          <w:bCs/>
          <w:color w:val="auto"/>
          <w:sz w:val="24"/>
          <w:highlight w:val="none"/>
        </w:rPr>
      </w:pPr>
    </w:p>
    <w:p>
      <w:pPr>
        <w:tabs>
          <w:tab w:val="left" w:pos="360"/>
        </w:tabs>
        <w:snapToGrid w:val="0"/>
        <w:spacing w:before="67" w:line="360" w:lineRule="auto"/>
        <w:ind w:right="-36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r>
        <w:rPr>
          <w:rFonts w:hint="eastAsia" w:ascii="宋体" w:hAnsi="宋体" w:eastAsia="宋体" w:cs="宋体"/>
          <w:b/>
          <w:color w:val="auto"/>
          <w:sz w:val="28"/>
          <w:szCs w:val="28"/>
          <w:highlight w:val="none"/>
        </w:rPr>
        <w:t>六、其他</w:t>
      </w:r>
    </w:p>
    <w:p>
      <w:pPr>
        <w:widowControl/>
        <w:spacing w:line="360" w:lineRule="auto"/>
        <w:ind w:firstLine="560"/>
        <w:jc w:val="left"/>
        <w:rPr>
          <w:rFonts w:hint="eastAsia" w:ascii="宋体" w:hAnsi="宋体" w:eastAsia="宋体" w:cs="宋体"/>
          <w:color w:val="auto"/>
          <w:highlight w:val="none"/>
        </w:rPr>
      </w:pPr>
      <w:r>
        <w:rPr>
          <w:rStyle w:val="27"/>
          <w:rFonts w:hint="eastAsia" w:ascii="宋体" w:hAnsi="宋体" w:eastAsia="宋体" w:cs="宋体"/>
          <w:bCs/>
          <w:color w:val="auto"/>
          <w:sz w:val="28"/>
          <w:szCs w:val="28"/>
          <w:highlight w:val="none"/>
        </w:rPr>
        <w:t>附本项目竞争性磋商文件要求的其他材料和供应商认为有助于本次招投标的其他资料，格式自拟。</w:t>
      </w:r>
    </w:p>
    <w:p>
      <w:pPr>
        <w:spacing w:line="360" w:lineRule="auto"/>
        <w:ind w:firstLine="602"/>
        <w:jc w:val="center"/>
        <w:rPr>
          <w:rFonts w:hint="eastAsia" w:ascii="宋体" w:hAnsi="宋体" w:eastAsia="宋体" w:cs="宋体"/>
          <w:b/>
          <w:bCs/>
          <w:color w:val="auto"/>
          <w:sz w:val="30"/>
          <w:szCs w:val="30"/>
          <w:highlight w:val="none"/>
        </w:rPr>
      </w:pPr>
    </w:p>
    <w:p>
      <w:pPr>
        <w:spacing w:line="360" w:lineRule="auto"/>
        <w:ind w:firstLine="602"/>
        <w:jc w:val="center"/>
        <w:rPr>
          <w:rFonts w:hint="eastAsia" w:ascii="宋体" w:hAnsi="宋体" w:eastAsia="宋体" w:cs="宋体"/>
          <w:b/>
          <w:color w:val="auto"/>
          <w:sz w:val="30"/>
          <w:szCs w:val="30"/>
          <w:highlight w:val="none"/>
        </w:rPr>
      </w:pPr>
    </w:p>
    <w:p>
      <w:pPr>
        <w:spacing w:line="360" w:lineRule="auto"/>
        <w:ind w:firstLine="602"/>
        <w:jc w:val="center"/>
        <w:rPr>
          <w:rFonts w:hint="eastAsia" w:ascii="宋体" w:hAnsi="宋体" w:eastAsia="宋体" w:cs="宋体"/>
          <w:b/>
          <w:color w:val="auto"/>
          <w:sz w:val="30"/>
          <w:szCs w:val="30"/>
          <w:highlight w:val="none"/>
        </w:rPr>
      </w:pPr>
    </w:p>
    <w:p>
      <w:pPr>
        <w:spacing w:line="360" w:lineRule="auto"/>
        <w:ind w:firstLine="602"/>
        <w:jc w:val="center"/>
        <w:rPr>
          <w:rFonts w:hint="eastAsia" w:ascii="宋体" w:hAnsi="宋体" w:eastAsia="宋体" w:cs="宋体"/>
          <w:b/>
          <w:color w:val="auto"/>
          <w:sz w:val="30"/>
          <w:szCs w:val="30"/>
          <w:highlight w:val="none"/>
        </w:rPr>
      </w:pPr>
    </w:p>
    <w:p>
      <w:pPr>
        <w:spacing w:line="360" w:lineRule="auto"/>
        <w:ind w:firstLine="602"/>
        <w:jc w:val="center"/>
        <w:rPr>
          <w:rFonts w:hint="eastAsia" w:ascii="宋体" w:hAnsi="宋体" w:eastAsia="宋体" w:cs="宋体"/>
          <w:b/>
          <w:color w:val="auto"/>
          <w:sz w:val="30"/>
          <w:szCs w:val="30"/>
          <w:highlight w:val="none"/>
        </w:rPr>
      </w:pPr>
    </w:p>
    <w:p>
      <w:pPr>
        <w:spacing w:line="360" w:lineRule="auto"/>
        <w:ind w:firstLine="602"/>
        <w:jc w:val="center"/>
        <w:rPr>
          <w:rFonts w:hint="eastAsia" w:ascii="宋体" w:hAnsi="宋体" w:eastAsia="宋体" w:cs="宋体"/>
          <w:b/>
          <w:color w:val="auto"/>
          <w:sz w:val="30"/>
          <w:szCs w:val="30"/>
          <w:highlight w:val="none"/>
        </w:rPr>
      </w:pPr>
    </w:p>
    <w:p>
      <w:pPr>
        <w:spacing w:line="360" w:lineRule="auto"/>
        <w:ind w:firstLine="602"/>
        <w:jc w:val="center"/>
        <w:rPr>
          <w:rFonts w:hint="eastAsia" w:ascii="宋体" w:hAnsi="宋体" w:eastAsia="宋体" w:cs="宋体"/>
          <w:b/>
          <w:color w:val="auto"/>
          <w:sz w:val="30"/>
          <w:szCs w:val="30"/>
          <w:highlight w:val="none"/>
        </w:rPr>
      </w:pPr>
    </w:p>
    <w:p>
      <w:pPr>
        <w:spacing w:line="360" w:lineRule="auto"/>
        <w:ind w:firstLine="602"/>
        <w:jc w:val="center"/>
        <w:rPr>
          <w:rFonts w:hint="eastAsia" w:ascii="宋体" w:hAnsi="宋体" w:eastAsia="宋体" w:cs="宋体"/>
          <w:b/>
          <w:color w:val="auto"/>
          <w:sz w:val="30"/>
          <w:szCs w:val="30"/>
          <w:highlight w:val="none"/>
        </w:rPr>
      </w:pPr>
    </w:p>
    <w:p>
      <w:pPr>
        <w:spacing w:line="360" w:lineRule="auto"/>
        <w:ind w:firstLine="602"/>
        <w:jc w:val="center"/>
        <w:rPr>
          <w:rFonts w:hint="eastAsia" w:ascii="宋体" w:hAnsi="宋体" w:eastAsia="宋体" w:cs="宋体"/>
          <w:b/>
          <w:color w:val="auto"/>
          <w:sz w:val="30"/>
          <w:szCs w:val="30"/>
          <w:highlight w:val="none"/>
        </w:rPr>
      </w:pPr>
    </w:p>
    <w:p>
      <w:pPr>
        <w:spacing w:line="360" w:lineRule="auto"/>
        <w:ind w:firstLine="602"/>
        <w:jc w:val="center"/>
        <w:rPr>
          <w:rFonts w:hint="eastAsia" w:ascii="宋体" w:hAnsi="宋体" w:eastAsia="宋体" w:cs="宋体"/>
          <w:b/>
          <w:color w:val="auto"/>
          <w:sz w:val="30"/>
          <w:szCs w:val="30"/>
          <w:highlight w:val="none"/>
        </w:rPr>
      </w:pPr>
    </w:p>
    <w:p>
      <w:pPr>
        <w:spacing w:line="360" w:lineRule="auto"/>
        <w:ind w:firstLine="602"/>
        <w:jc w:val="center"/>
        <w:rPr>
          <w:rFonts w:hint="eastAsia" w:ascii="宋体" w:hAnsi="宋体" w:eastAsia="宋体" w:cs="宋体"/>
          <w:b/>
          <w:color w:val="auto"/>
          <w:sz w:val="30"/>
          <w:szCs w:val="30"/>
          <w:highlight w:val="none"/>
        </w:rPr>
      </w:pPr>
    </w:p>
    <w:p>
      <w:pPr>
        <w:spacing w:line="360" w:lineRule="auto"/>
        <w:ind w:firstLine="602"/>
        <w:jc w:val="center"/>
        <w:rPr>
          <w:rFonts w:hint="eastAsia" w:ascii="宋体" w:hAnsi="宋体" w:eastAsia="宋体" w:cs="宋体"/>
          <w:b/>
          <w:color w:val="auto"/>
          <w:sz w:val="30"/>
          <w:szCs w:val="30"/>
          <w:highlight w:val="none"/>
        </w:rPr>
      </w:pPr>
    </w:p>
    <w:p>
      <w:pPr>
        <w:spacing w:line="360" w:lineRule="auto"/>
        <w:ind w:firstLine="602"/>
        <w:jc w:val="center"/>
        <w:rPr>
          <w:rFonts w:hint="eastAsia" w:ascii="宋体" w:hAnsi="宋体" w:eastAsia="宋体" w:cs="宋体"/>
          <w:b/>
          <w:color w:val="auto"/>
          <w:sz w:val="30"/>
          <w:szCs w:val="30"/>
          <w:highlight w:val="none"/>
        </w:rPr>
      </w:pPr>
    </w:p>
    <w:p>
      <w:pPr>
        <w:spacing w:line="360" w:lineRule="auto"/>
        <w:ind w:firstLine="602"/>
        <w:jc w:val="center"/>
        <w:rPr>
          <w:rFonts w:hint="eastAsia" w:ascii="宋体" w:hAnsi="宋体" w:eastAsia="宋体" w:cs="宋体"/>
          <w:b/>
          <w:color w:val="auto"/>
          <w:sz w:val="30"/>
          <w:szCs w:val="30"/>
          <w:highlight w:val="none"/>
        </w:rPr>
      </w:pPr>
    </w:p>
    <w:p>
      <w:pPr>
        <w:spacing w:line="360" w:lineRule="auto"/>
        <w:ind w:firstLine="602"/>
        <w:jc w:val="center"/>
        <w:rPr>
          <w:rFonts w:hint="eastAsia" w:ascii="宋体" w:hAnsi="宋体" w:eastAsia="宋体" w:cs="宋体"/>
          <w:b/>
          <w:color w:val="auto"/>
          <w:sz w:val="30"/>
          <w:szCs w:val="30"/>
          <w:highlight w:val="none"/>
        </w:rPr>
      </w:pPr>
    </w:p>
    <w:p>
      <w:pPr>
        <w:spacing w:line="360" w:lineRule="auto"/>
        <w:ind w:firstLine="602"/>
        <w:jc w:val="center"/>
        <w:rPr>
          <w:rFonts w:hint="eastAsia" w:ascii="宋体" w:hAnsi="宋体" w:eastAsia="宋体" w:cs="宋体"/>
          <w:b/>
          <w:color w:val="auto"/>
          <w:sz w:val="30"/>
          <w:szCs w:val="30"/>
          <w:highlight w:val="none"/>
        </w:rPr>
      </w:pPr>
    </w:p>
    <w:p>
      <w:pPr>
        <w:spacing w:line="360" w:lineRule="auto"/>
        <w:ind w:firstLine="602"/>
        <w:jc w:val="center"/>
        <w:rPr>
          <w:rFonts w:hint="eastAsia" w:ascii="宋体" w:hAnsi="宋体" w:eastAsia="宋体" w:cs="宋体"/>
          <w:b/>
          <w:color w:val="auto"/>
          <w:sz w:val="30"/>
          <w:szCs w:val="30"/>
          <w:highlight w:val="none"/>
        </w:rPr>
      </w:pPr>
    </w:p>
    <w:p>
      <w:pPr>
        <w:spacing w:line="360" w:lineRule="auto"/>
        <w:ind w:firstLine="602"/>
        <w:jc w:val="center"/>
        <w:rPr>
          <w:rFonts w:hint="eastAsia" w:ascii="宋体" w:hAnsi="宋体" w:eastAsia="宋体" w:cs="宋体"/>
          <w:b/>
          <w:color w:val="auto"/>
          <w:sz w:val="30"/>
          <w:szCs w:val="30"/>
          <w:highlight w:val="none"/>
        </w:rPr>
      </w:pPr>
    </w:p>
    <w:p>
      <w:pPr>
        <w:spacing w:line="360" w:lineRule="auto"/>
        <w:ind w:firstLine="602"/>
        <w:jc w:val="center"/>
        <w:rPr>
          <w:rFonts w:hint="eastAsia" w:ascii="宋体" w:hAnsi="宋体" w:eastAsia="宋体" w:cs="宋体"/>
          <w:b/>
          <w:color w:val="auto"/>
          <w:sz w:val="30"/>
          <w:szCs w:val="30"/>
          <w:highlight w:val="none"/>
        </w:rPr>
      </w:pPr>
    </w:p>
    <w:p>
      <w:pPr>
        <w:pageBreakBefore/>
        <w:spacing w:line="360" w:lineRule="auto"/>
        <w:jc w:val="center"/>
        <w:rPr>
          <w:rFonts w:hint="eastAsia" w:ascii="宋体" w:hAnsi="宋体" w:eastAsia="宋体" w:cs="宋体"/>
          <w:color w:val="auto"/>
          <w:highlight w:val="none"/>
        </w:rPr>
      </w:pPr>
      <w:r>
        <w:rPr>
          <w:rFonts w:hint="eastAsia" w:ascii="宋体" w:hAnsi="宋体" w:eastAsia="宋体" w:cs="宋体"/>
          <w:b/>
          <w:color w:val="auto"/>
          <w:sz w:val="28"/>
          <w:szCs w:val="28"/>
          <w:highlight w:val="none"/>
        </w:rPr>
        <w:t>报价一览表（第二次报价）</w:t>
      </w:r>
    </w:p>
    <w:p>
      <w:pPr>
        <w:spacing w:line="360" w:lineRule="auto"/>
        <w:rPr>
          <w:rFonts w:hint="eastAsia" w:ascii="宋体" w:hAnsi="宋体" w:eastAsia="宋体" w:cs="宋体"/>
          <w:color w:val="auto"/>
          <w:highlight w:val="none"/>
        </w:rPr>
      </w:pPr>
      <w:r>
        <w:rPr>
          <w:rFonts w:hint="eastAsia" w:ascii="宋体" w:hAnsi="宋体" w:eastAsia="宋体" w:cs="宋体"/>
          <w:b/>
          <w:color w:val="auto"/>
          <w:sz w:val="28"/>
          <w:szCs w:val="28"/>
          <w:highlight w:val="none"/>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sz w:val="28"/>
          <w:szCs w:val="28"/>
          <w:highlight w:val="none"/>
        </w:rPr>
        <w:t>项目名称：</w:t>
      </w:r>
      <w:r>
        <w:rPr>
          <w:rFonts w:hint="eastAsia" w:ascii="宋体" w:hAnsi="宋体" w:eastAsia="宋体" w:cs="宋体"/>
          <w:color w:val="auto"/>
          <w:sz w:val="28"/>
          <w:szCs w:val="28"/>
          <w:highlight w:val="none"/>
          <w:lang w:eastAsia="zh-CN"/>
        </w:rPr>
        <w:t>G223海榆东线安全设施精细化提升工程（K276+350-K307+000)</w:t>
      </w:r>
    </w:p>
    <w:tbl>
      <w:tblPr>
        <w:tblStyle w:val="18"/>
        <w:tblW w:w="0" w:type="auto"/>
        <w:jc w:val="center"/>
        <w:tblLayout w:type="fixed"/>
        <w:tblCellMar>
          <w:top w:w="0" w:type="dxa"/>
          <w:left w:w="108" w:type="dxa"/>
          <w:bottom w:w="0" w:type="dxa"/>
          <w:right w:w="108" w:type="dxa"/>
        </w:tblCellMar>
      </w:tblPr>
      <w:tblGrid>
        <w:gridCol w:w="992"/>
        <w:gridCol w:w="2349"/>
        <w:gridCol w:w="3156"/>
        <w:gridCol w:w="1796"/>
      </w:tblGrid>
      <w:tr>
        <w:tblPrEx>
          <w:tblCellMar>
            <w:top w:w="0" w:type="dxa"/>
            <w:left w:w="108" w:type="dxa"/>
            <w:bottom w:w="0" w:type="dxa"/>
            <w:right w:w="108" w:type="dxa"/>
          </w:tblCellMar>
        </w:tblPrEx>
        <w:trPr>
          <w:trHeight w:val="1027"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textAlignment w:val="baseline"/>
              <w:rPr>
                <w:rFonts w:hint="eastAsia" w:ascii="宋体" w:hAnsi="宋体" w:eastAsia="宋体" w:cs="宋体"/>
                <w:color w:val="auto"/>
                <w:highlight w:val="none"/>
              </w:rPr>
            </w:pPr>
            <w:r>
              <w:rPr>
                <w:rFonts w:hint="eastAsia" w:ascii="宋体" w:hAnsi="宋体" w:eastAsia="宋体" w:cs="宋体"/>
                <w:b/>
                <w:color w:val="auto"/>
                <w:sz w:val="24"/>
                <w:highlight w:val="none"/>
              </w:rPr>
              <w:t>包号</w:t>
            </w:r>
          </w:p>
        </w:tc>
        <w:tc>
          <w:tcPr>
            <w:tcW w:w="234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textAlignment w:val="baseline"/>
              <w:rPr>
                <w:rFonts w:hint="eastAsia" w:ascii="宋体" w:hAnsi="宋体" w:eastAsia="宋体" w:cs="宋体"/>
                <w:color w:val="auto"/>
                <w:highlight w:val="none"/>
              </w:rPr>
            </w:pPr>
            <w:r>
              <w:rPr>
                <w:rFonts w:hint="eastAsia" w:ascii="宋体" w:hAnsi="宋体" w:eastAsia="宋体" w:cs="宋体"/>
                <w:b/>
                <w:color w:val="auto"/>
                <w:sz w:val="24"/>
                <w:highlight w:val="none"/>
              </w:rPr>
              <w:t>项目内容</w:t>
            </w:r>
          </w:p>
        </w:tc>
        <w:tc>
          <w:tcPr>
            <w:tcW w:w="315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b/>
                <w:color w:val="auto"/>
                <w:sz w:val="24"/>
                <w:highlight w:val="none"/>
              </w:rPr>
              <w:t>投标报价</w:t>
            </w:r>
          </w:p>
          <w:p>
            <w:pPr>
              <w:spacing w:line="360" w:lineRule="auto"/>
              <w:jc w:val="center"/>
              <w:rPr>
                <w:rFonts w:hint="eastAsia" w:ascii="宋体" w:hAnsi="宋体" w:eastAsia="宋体" w:cs="宋体"/>
                <w:color w:val="auto"/>
                <w:highlight w:val="none"/>
              </w:rPr>
            </w:pPr>
            <w:r>
              <w:rPr>
                <w:rFonts w:hint="eastAsia" w:ascii="宋体" w:hAnsi="宋体" w:eastAsia="宋体" w:cs="宋体"/>
                <w:b/>
                <w:color w:val="auto"/>
                <w:sz w:val="24"/>
                <w:highlight w:val="none"/>
              </w:rPr>
              <w:t>（人民币/元）</w:t>
            </w:r>
          </w:p>
        </w:tc>
        <w:tc>
          <w:tcPr>
            <w:tcW w:w="17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b/>
                <w:color w:val="auto"/>
                <w:sz w:val="24"/>
                <w:highlight w:val="none"/>
              </w:rPr>
              <w:t>其他承诺</w:t>
            </w:r>
          </w:p>
        </w:tc>
      </w:tr>
      <w:tr>
        <w:tblPrEx>
          <w:tblCellMar>
            <w:top w:w="0" w:type="dxa"/>
            <w:left w:w="108" w:type="dxa"/>
            <w:bottom w:w="0" w:type="dxa"/>
            <w:right w:w="108" w:type="dxa"/>
          </w:tblCellMar>
        </w:tblPrEx>
        <w:trPr>
          <w:trHeight w:val="5474" w:hRule="atLeast"/>
          <w:jc w:val="center"/>
        </w:trPr>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spacing w:line="360" w:lineRule="auto"/>
              <w:jc w:val="center"/>
              <w:textAlignment w:val="center"/>
              <w:rPr>
                <w:rFonts w:hint="eastAsia" w:ascii="宋体" w:hAnsi="宋体" w:eastAsia="宋体" w:cs="宋体"/>
                <w:color w:val="auto"/>
                <w:highlight w:val="none"/>
              </w:rPr>
            </w:pPr>
            <w:r>
              <w:rPr>
                <w:rFonts w:hint="eastAsia" w:ascii="宋体" w:hAnsi="宋体" w:eastAsia="宋体" w:cs="宋体"/>
                <w:color w:val="auto"/>
                <w:sz w:val="24"/>
                <w:highlight w:val="none"/>
              </w:rPr>
              <w:t>项目本身</w:t>
            </w:r>
          </w:p>
        </w:tc>
        <w:tc>
          <w:tcPr>
            <w:tcW w:w="2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spacing w:line="360" w:lineRule="auto"/>
              <w:jc w:val="center"/>
              <w:textAlignment w:val="center"/>
              <w:rPr>
                <w:rFonts w:hint="eastAsia" w:ascii="宋体" w:hAnsi="宋体" w:eastAsia="宋体" w:cs="宋体"/>
                <w:color w:val="auto"/>
                <w:highlight w:val="none"/>
                <w:lang w:eastAsia="zh-CN"/>
              </w:rPr>
            </w:pPr>
            <w:r>
              <w:rPr>
                <w:rFonts w:hint="eastAsia" w:ascii="宋体" w:hAnsi="宋体" w:eastAsia="宋体" w:cs="宋体"/>
                <w:bCs/>
                <w:color w:val="auto"/>
                <w:sz w:val="24"/>
                <w:highlight w:val="none"/>
                <w:lang w:eastAsia="zh-CN"/>
              </w:rPr>
              <w:t>G223海榆东线安全设施精细化提升工程（K276+350-K307+000)</w:t>
            </w:r>
          </w:p>
        </w:tc>
        <w:tc>
          <w:tcPr>
            <w:tcW w:w="3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spacing w:line="360" w:lineRule="auto"/>
              <w:jc w:val="left"/>
              <w:textAlignment w:val="center"/>
              <w:rPr>
                <w:rFonts w:hint="eastAsia" w:ascii="宋体" w:hAnsi="宋体" w:eastAsia="宋体" w:cs="宋体"/>
                <w:color w:val="auto"/>
                <w:highlight w:val="none"/>
              </w:rPr>
            </w:pPr>
            <w:r>
              <w:rPr>
                <w:rFonts w:hint="eastAsia" w:ascii="宋体" w:hAnsi="宋体" w:eastAsia="宋体" w:cs="宋体"/>
                <w:color w:val="auto"/>
                <w:sz w:val="24"/>
                <w:highlight w:val="none"/>
              </w:rPr>
              <w:t>大写：</w:t>
            </w:r>
          </w:p>
          <w:p>
            <w:pPr>
              <w:shd w:val="clear" w:color="auto" w:fill="FFFFFF"/>
              <w:spacing w:line="360" w:lineRule="auto"/>
              <w:jc w:val="left"/>
              <w:textAlignment w:val="center"/>
              <w:rPr>
                <w:rFonts w:hint="eastAsia" w:ascii="宋体" w:hAnsi="宋体" w:eastAsia="宋体" w:cs="宋体"/>
                <w:color w:val="auto"/>
                <w:sz w:val="27"/>
                <w:szCs w:val="27"/>
                <w:highlight w:val="none"/>
              </w:rPr>
            </w:pPr>
          </w:p>
          <w:p>
            <w:pPr>
              <w:shd w:val="clear" w:color="auto" w:fill="FFFFFF"/>
              <w:spacing w:line="360" w:lineRule="auto"/>
              <w:jc w:val="left"/>
              <w:textAlignment w:val="center"/>
              <w:rPr>
                <w:rFonts w:hint="eastAsia" w:ascii="宋体" w:hAnsi="宋体" w:eastAsia="宋体" w:cs="宋体"/>
                <w:color w:val="auto"/>
                <w:sz w:val="24"/>
                <w:highlight w:val="none"/>
              </w:rPr>
            </w:pPr>
          </w:p>
          <w:p>
            <w:pPr>
              <w:shd w:val="clear" w:color="auto" w:fill="FFFFFF"/>
              <w:spacing w:line="360" w:lineRule="auto"/>
              <w:jc w:val="left"/>
              <w:textAlignment w:val="center"/>
              <w:rPr>
                <w:rFonts w:hint="eastAsia" w:ascii="宋体" w:hAnsi="宋体" w:eastAsia="宋体" w:cs="宋体"/>
                <w:color w:val="auto"/>
                <w:highlight w:val="none"/>
              </w:rPr>
            </w:pPr>
            <w:r>
              <w:rPr>
                <w:rFonts w:hint="eastAsia" w:ascii="宋体" w:hAnsi="宋体" w:eastAsia="宋体" w:cs="宋体"/>
                <w:color w:val="auto"/>
                <w:sz w:val="24"/>
                <w:highlight w:val="none"/>
              </w:rPr>
              <w:t>小写：</w:t>
            </w:r>
          </w:p>
        </w:tc>
        <w:tc>
          <w:tcPr>
            <w:tcW w:w="179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bCs/>
                <w:color w:val="auto"/>
                <w:sz w:val="24"/>
                <w:highlight w:val="none"/>
              </w:rPr>
            </w:pPr>
          </w:p>
        </w:tc>
      </w:tr>
    </w:tbl>
    <w:p>
      <w:pPr>
        <w:spacing w:line="360" w:lineRule="auto"/>
        <w:ind w:left="840" w:hanging="84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注：1.报价应包含</w:t>
      </w:r>
      <w:r>
        <w:rPr>
          <w:rFonts w:hint="eastAsia" w:ascii="宋体" w:hAnsi="宋体" w:eastAsia="宋体" w:cs="宋体"/>
          <w:bCs/>
          <w:color w:val="auto"/>
          <w:sz w:val="24"/>
          <w:highlight w:val="none"/>
        </w:rPr>
        <w:t>磋商文件所规定的全部内容。</w:t>
      </w:r>
      <w:r>
        <w:rPr>
          <w:rFonts w:hint="eastAsia" w:ascii="宋体" w:hAnsi="宋体" w:eastAsia="宋体" w:cs="宋体"/>
          <w:color w:val="auto"/>
          <w:sz w:val="24"/>
          <w:highlight w:val="none"/>
        </w:rPr>
        <w:t xml:space="preserve">    </w:t>
      </w:r>
    </w:p>
    <w:p>
      <w:pPr>
        <w:spacing w:line="360" w:lineRule="auto"/>
        <w:ind w:left="720"/>
        <w:rPr>
          <w:rFonts w:hint="eastAsia" w:ascii="宋体" w:hAnsi="宋体" w:eastAsia="宋体" w:cs="宋体"/>
          <w:color w:val="auto"/>
          <w:sz w:val="24"/>
          <w:highlight w:val="none"/>
        </w:rPr>
      </w:pPr>
      <w:r>
        <w:rPr>
          <w:rFonts w:hint="eastAsia" w:ascii="宋体" w:hAnsi="宋体" w:eastAsia="宋体" w:cs="宋体"/>
          <w:color w:val="auto"/>
          <w:sz w:val="24"/>
          <w:highlight w:val="none"/>
        </w:rPr>
        <w:t>2.此表不装订在响应文件中，供应商签名、盖章后，单独携带到现场，用于通过资格评审的供应商的二次报价。</w:t>
      </w:r>
    </w:p>
    <w:p>
      <w:pPr>
        <w:spacing w:line="360" w:lineRule="auto"/>
        <w:ind w:left="360" w:hanging="36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（盖公章）</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法定代表人或授权代理人：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（签字或盖章）</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日      期：       年      月    日 </w:t>
      </w:r>
    </w:p>
    <w:sectPr>
      <w:pgSz w:w="11906" w:h="16838"/>
      <w:pgMar w:top="1440" w:right="1800" w:bottom="1440" w:left="1440" w:header="720" w:footer="992" w:gutter="0"/>
      <w:pgNumType w:start="1"/>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PMingLiU">
    <w:altName w:val="PMingLiU-ExtB"/>
    <w:panose1 w:val="02020500000000000000"/>
    <w:charset w:val="88"/>
    <w:family w:val="roman"/>
    <w:pitch w:val="default"/>
    <w:sig w:usb0="00000000" w:usb1="00000000" w:usb2="00000016" w:usb3="00000000" w:csb0="00100001" w:csb1="00000000"/>
  </w:font>
  <w:font w:name="Arial Narrow">
    <w:panose1 w:val="020B0606020202030204"/>
    <w:charset w:val="00"/>
    <w:family w:val="auto"/>
    <w:pitch w:val="default"/>
    <w:sig w:usb0="00000287" w:usb1="00000800" w:usb2="00000000" w:usb3="00000000" w:csb0="2000009F" w:csb1="DFD70000"/>
  </w:font>
  <w:font w:name="SansSerif">
    <w:altName w:val="Segoe Print"/>
    <w:panose1 w:val="00000000000000000000"/>
    <w:charset w:val="00"/>
    <w:family w:val="auto"/>
    <w:pitch w:val="default"/>
    <w:sig w:usb0="00000000" w:usb1="00000000" w:usb2="00000000" w:usb3="00000000" w:csb0="00000000" w:csb1="00000000"/>
  </w:font>
  <w:font w:name="Roman">
    <w:altName w:val="Times New Roman"/>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19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4097" o:spid="_x0000_s4097" o:spt="202" type="#_x0000_t202" style="position:absolute;left:0pt;margin-left:205.35pt;margin-top:0.4pt;height:9.6pt;width:13.6pt;z-index:-251657216;mso-width-relative:page;mso-height-relative:page;" fillcolor="#FFFFFF" filled="t" stroked="f" coordsize="21600,21600">
          <v:path/>
          <v:fill on="t" color2="#000000" opacity="0f" focussize="0,0"/>
          <v:stroke on="f"/>
          <v:imagedata o:title=""/>
          <o:lock v:ext="edit"/>
          <v:textbox inset="0.05pt,0.05pt,0.05pt,0.05pt">
            <w:txbxContent>
              <w:p>
                <w:pPr>
                  <w:pStyle w:val="12"/>
                </w:pPr>
                <w:r>
                  <w:fldChar w:fldCharType="begin"/>
                </w:r>
                <w:r>
                  <w:instrText xml:space="preserve"> PAGE </w:instrText>
                </w:r>
                <w:r>
                  <w:fldChar w:fldCharType="separate"/>
                </w:r>
                <w:r>
                  <w:t>158</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0">
    <w:p>
      <w:r>
        <w:separator/>
      </w:r>
    </w:p>
  </w:footnote>
  <w:footnote w:type="continuationSeparator" w:id="21">
    <w:p>
      <w:r>
        <w:continuationSeparator/>
      </w:r>
    </w:p>
  </w:footnote>
  <w:footnote w:id="0">
    <w:p>
      <w:pPr>
        <w:pStyle w:val="16"/>
        <w:spacing w:line="320" w:lineRule="atLeast"/>
        <w:ind w:left="180" w:hanging="180"/>
      </w:pPr>
      <w:r>
        <w:rPr>
          <w:rStyle w:val="28"/>
          <w:rFonts w:ascii="宋体" w:hAnsi="宋体"/>
        </w:rPr>
        <w:footnoteRef/>
      </w:r>
      <w:r>
        <w:tab/>
      </w:r>
      <w:r>
        <w:t xml:space="preserve"> 如果在招标</w:t>
      </w:r>
      <w:r>
        <w:rPr>
          <w:rFonts w:hint="eastAsia"/>
        </w:rPr>
        <w:t>阶段，招标人</w:t>
      </w:r>
      <w:r>
        <w:t>在图纸中直接指定了取土场和弃土场位置</w:t>
      </w:r>
      <w:r>
        <w:rPr>
          <w:rFonts w:hint="eastAsia"/>
        </w:rPr>
        <w:t>，</w:t>
      </w:r>
      <w:r>
        <w:t>且作为</w:t>
      </w:r>
      <w:r>
        <w:rPr>
          <w:rFonts w:hint="eastAsia"/>
        </w:rPr>
        <w:t>供应商</w:t>
      </w:r>
      <w:r>
        <w:t>投标</w:t>
      </w:r>
      <w:r>
        <w:rPr>
          <w:rFonts w:hint="eastAsia"/>
        </w:rPr>
        <w:t>报价</w:t>
      </w:r>
      <w:r>
        <w:t>的依据</w:t>
      </w:r>
      <w:r>
        <w:rPr>
          <w:rFonts w:hint="eastAsia"/>
        </w:rPr>
        <w:t>，则招标人应在项目专用合同条款中对本项规定进行调整。</w:t>
      </w:r>
    </w:p>
  </w:footnote>
  <w:footnote w:id="1">
    <w:p>
      <w:pPr>
        <w:pStyle w:val="16"/>
        <w:spacing w:line="300" w:lineRule="atLeast"/>
        <w:ind w:left="210" w:hanging="210"/>
      </w:pPr>
      <w:r>
        <w:rPr>
          <w:rStyle w:val="28"/>
          <w:rFonts w:ascii="宋体" w:hAnsi="宋体"/>
        </w:rPr>
        <w:footnoteRef/>
      </w:r>
      <w:r>
        <w:rPr>
          <w:rFonts w:hint="eastAsia" w:cs="Roman"/>
        </w:rPr>
        <w:tab/>
      </w:r>
      <w:r>
        <w:rPr>
          <w:rFonts w:hint="eastAsia" w:cs="Roman"/>
        </w:rPr>
        <w:t xml:space="preserve"> </w:t>
      </w:r>
      <w:r>
        <w:rPr>
          <w:rFonts w:cs="Roman"/>
        </w:rPr>
        <w:t>逾期交工违约金限额</w:t>
      </w:r>
      <w:r>
        <w:rPr>
          <w:rFonts w:hint="eastAsia" w:cs="Roman"/>
        </w:rPr>
        <w:t>一般应为10</w:t>
      </w:r>
      <w:r>
        <w:rPr>
          <w:rFonts w:cs="Roman"/>
        </w:rPr>
        <w:t>%签约合同价</w:t>
      </w:r>
      <w:r>
        <w:rPr>
          <w:rFonts w:hint="eastAsia" w:cs="Roman"/>
        </w:rPr>
        <w:t>。</w:t>
      </w:r>
    </w:p>
  </w:footnote>
  <w:footnote w:id="2">
    <w:p>
      <w:pPr>
        <w:pStyle w:val="16"/>
        <w:spacing w:line="280" w:lineRule="atLeast"/>
        <w:ind w:left="210" w:hanging="210"/>
      </w:pPr>
      <w:r>
        <w:rPr>
          <w:rStyle w:val="28"/>
          <w:rFonts w:ascii="宋体" w:hAnsi="宋体"/>
        </w:rPr>
        <w:footnoteRef/>
      </w:r>
      <w:r>
        <w:rPr>
          <w:rFonts w:hint="eastAsia" w:cs="Roman"/>
        </w:rPr>
        <w:tab/>
      </w:r>
      <w:r>
        <w:rPr>
          <w:rFonts w:hint="eastAsia" w:cs="Roman"/>
        </w:rPr>
        <w:t xml:space="preserve">  对于工程规模不大、工期较短的工程（例如工期不超过12个月的），可以不进行调价。</w:t>
      </w:r>
    </w:p>
  </w:footnote>
  <w:footnote w:id="3">
    <w:p>
      <w:pPr>
        <w:pStyle w:val="16"/>
        <w:spacing w:line="280" w:lineRule="atLeast"/>
        <w:ind w:left="210" w:hanging="210"/>
      </w:pPr>
      <w:r>
        <w:rPr>
          <w:rStyle w:val="28"/>
          <w:rFonts w:ascii="宋体" w:hAnsi="宋体"/>
        </w:rPr>
        <w:footnoteRef/>
      </w:r>
      <w:r>
        <w:tab/>
      </w:r>
      <w:r>
        <w:t xml:space="preserve"> </w:t>
      </w:r>
      <w:r>
        <w:rPr>
          <w:rFonts w:hint="eastAsia"/>
        </w:rPr>
        <w:t xml:space="preserve"> </w:t>
      </w:r>
      <w:r>
        <w:rPr>
          <w:rFonts w:hint="eastAsia" w:cs="Roman"/>
        </w:rPr>
        <w:t>开工预付款金额一般应为10％签约合同价。</w:t>
      </w:r>
    </w:p>
  </w:footnote>
  <w:footnote w:id="4">
    <w:p>
      <w:pPr>
        <w:pStyle w:val="16"/>
        <w:spacing w:line="280" w:lineRule="atLeast"/>
        <w:ind w:left="210" w:hanging="210"/>
      </w:pPr>
      <w:r>
        <w:rPr>
          <w:rStyle w:val="28"/>
          <w:rFonts w:ascii="宋体" w:hAnsi="宋体"/>
        </w:rPr>
        <w:footnoteRef/>
      </w:r>
      <w:r>
        <w:rPr>
          <w:rFonts w:hint="eastAsia" w:cs="Roman"/>
        </w:rPr>
        <w:tab/>
      </w:r>
      <w:r>
        <w:rPr>
          <w:rFonts w:hint="eastAsia" w:cs="Roman"/>
        </w:rPr>
        <w:t xml:space="preserve">  指主要材料，一般应为70%～75%，最低不少于60%。</w:t>
      </w:r>
    </w:p>
  </w:footnote>
  <w:footnote w:id="5">
    <w:p>
      <w:pPr>
        <w:pStyle w:val="16"/>
        <w:spacing w:line="280" w:lineRule="atLeast"/>
        <w:ind w:left="210" w:hanging="210"/>
      </w:pPr>
      <w:r>
        <w:rPr>
          <w:rStyle w:val="28"/>
          <w:rFonts w:ascii="宋体" w:hAnsi="宋体"/>
        </w:rPr>
        <w:footnoteRef/>
      </w:r>
      <w:r>
        <w:rPr>
          <w:rFonts w:hint="eastAsia" w:cs="Roman"/>
        </w:rPr>
        <w:tab/>
      </w:r>
      <w:r>
        <w:rPr>
          <w:rFonts w:hint="eastAsia" w:cs="Roman"/>
        </w:rPr>
        <w:t xml:space="preserve">  国际上一般按月平均支付额的0.3</w:t>
      </w:r>
      <w:r>
        <w:rPr>
          <w:rFonts w:hint="eastAsia" w:ascii="Symbol" w:hAnsi="Symbol" w:eastAsia="Symbol" w:cs="Symbol"/>
        </w:rPr>
        <w:t></w:t>
      </w:r>
      <w:r>
        <w:rPr>
          <w:rFonts w:hint="eastAsia" w:cs="Roman"/>
        </w:rPr>
        <w:t>0.5倍计算，我国可按0.2</w:t>
      </w:r>
      <w:r>
        <w:rPr>
          <w:rFonts w:hint="eastAsia" w:ascii="Symbol" w:hAnsi="Symbol" w:eastAsia="Symbol" w:cs="Symbol"/>
        </w:rPr>
        <w:t></w:t>
      </w:r>
      <w:r>
        <w:rPr>
          <w:rFonts w:cs="Roman"/>
        </w:rPr>
        <w:t>0.3倍</w:t>
      </w:r>
      <w:r>
        <w:rPr>
          <w:rFonts w:hint="eastAsia" w:cs="Roman"/>
        </w:rPr>
        <w:t>计，以利承包人资金周转。</w:t>
      </w:r>
    </w:p>
  </w:footnote>
  <w:footnote w:id="6">
    <w:p>
      <w:pPr>
        <w:pStyle w:val="16"/>
        <w:spacing w:line="280" w:lineRule="atLeast"/>
        <w:ind w:left="210" w:hanging="210"/>
      </w:pPr>
      <w:r>
        <w:rPr>
          <w:rStyle w:val="28"/>
          <w:rFonts w:ascii="宋体" w:hAnsi="宋体"/>
        </w:rPr>
        <w:footnoteRef/>
      </w:r>
      <w:r>
        <w:rPr>
          <w:rFonts w:hint="eastAsia" w:cs="Roman"/>
        </w:rPr>
        <w:tab/>
      </w:r>
      <w:r>
        <w:rPr>
          <w:rFonts w:hint="eastAsia" w:cs="Roman"/>
        </w:rPr>
        <w:t xml:space="preserve">  相当于中国人民银行短期贷款利率加手续费。招标人不能自行取消本项内容或降低利率。</w:t>
      </w:r>
    </w:p>
  </w:footnote>
  <w:footnote w:id="7">
    <w:p>
      <w:pPr>
        <w:pStyle w:val="16"/>
        <w:spacing w:line="280" w:lineRule="atLeast"/>
        <w:ind w:left="210" w:hanging="210"/>
      </w:pPr>
      <w:r>
        <w:rPr>
          <w:rStyle w:val="28"/>
          <w:rFonts w:ascii="宋体" w:hAnsi="宋体"/>
        </w:rPr>
        <w:footnoteRef/>
      </w:r>
      <w:r>
        <w:rPr>
          <w:rFonts w:hint="eastAsia" w:cs="Roman"/>
        </w:rPr>
        <w:tab/>
      </w:r>
      <w:r>
        <w:rPr>
          <w:rFonts w:hint="eastAsia" w:cs="Roman"/>
        </w:rPr>
        <w:t xml:space="preserve">  质量保证金最高不超过合同价格的3%。</w:t>
      </w:r>
    </w:p>
  </w:footnote>
  <w:footnote w:id="8">
    <w:p>
      <w:pPr>
        <w:pStyle w:val="16"/>
        <w:spacing w:line="280" w:lineRule="atLeast"/>
        <w:ind w:left="180" w:hanging="180"/>
      </w:pPr>
      <w:r>
        <w:rPr>
          <w:rStyle w:val="28"/>
          <w:rFonts w:ascii="宋体" w:hAnsi="宋体"/>
        </w:rPr>
        <w:footnoteRef/>
      </w:r>
      <w:r>
        <w:rPr>
          <w:rFonts w:hint="eastAsia" w:cs="Roman"/>
        </w:rPr>
        <w:tab/>
      </w:r>
      <w:r>
        <w:rPr>
          <w:rFonts w:hint="eastAsia" w:cs="Roman"/>
        </w:rPr>
        <w:t xml:space="preserve">  若</w:t>
      </w:r>
      <w:r>
        <w:rPr>
          <w:rFonts w:cs="Roman"/>
        </w:rPr>
        <w:t>交工验收时</w:t>
      </w:r>
      <w:r>
        <w:rPr>
          <w:rFonts w:hint="eastAsia" w:cs="Roman"/>
        </w:rPr>
        <w:t>承包人具备</w:t>
      </w:r>
      <w:r>
        <w:rPr>
          <w:rFonts w:cs="Roman"/>
        </w:rPr>
        <w:t>被招标项目所在地省级交通运输主管部门评</w:t>
      </w:r>
      <w:r>
        <w:rPr>
          <w:rFonts w:hint="eastAsia" w:cs="Roman"/>
        </w:rPr>
        <w:t>定的</w:t>
      </w:r>
      <w:r>
        <w:rPr>
          <w:rFonts w:cs="Roman"/>
        </w:rPr>
        <w:t>最高信用等级</w:t>
      </w:r>
      <w:r>
        <w:rPr>
          <w:rFonts w:hint="eastAsia" w:cs="Roman"/>
        </w:rPr>
        <w:t>，发包人可在质量保证金方面给予一定的优惠奖励，例如发包人可给予承包人2%合同价格质量保证金的优惠，具体优惠幅度由发包人自行确定。</w:t>
      </w:r>
    </w:p>
  </w:footnote>
  <w:footnote w:id="9">
    <w:p>
      <w:pPr>
        <w:pStyle w:val="16"/>
        <w:spacing w:line="280" w:lineRule="atLeast"/>
        <w:ind w:left="210" w:hanging="210"/>
      </w:pPr>
      <w:r>
        <w:rPr>
          <w:rStyle w:val="28"/>
          <w:rFonts w:ascii="宋体" w:hAnsi="宋体"/>
        </w:rPr>
        <w:footnoteRef/>
      </w:r>
      <w:r>
        <w:rPr>
          <w:rFonts w:hint="eastAsia"/>
        </w:rPr>
        <w:tab/>
      </w:r>
      <w:r>
        <w:rPr>
          <w:rFonts w:hint="eastAsia"/>
        </w:rPr>
        <w:t xml:space="preserve">  </w:t>
      </w:r>
      <w:r>
        <w:rPr>
          <w:rFonts w:cs="Roman"/>
        </w:rPr>
        <w:t>保修期一般应为自实际交工日期起计算5年</w:t>
      </w:r>
      <w:r>
        <w:rPr>
          <w:rFonts w:hint="eastAsia" w:cs="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3"/>
      <w:suff w:val="nothing"/>
      <w:lvlText w:val=""/>
      <w:lvlJc w:val="left"/>
      <w:pPr>
        <w:tabs>
          <w:tab w:val="left" w:pos="0"/>
        </w:tabs>
        <w:ind w:left="0" w:firstLine="0"/>
      </w:pPr>
    </w:lvl>
    <w:lvl w:ilvl="1" w:tentative="0">
      <w:start w:val="1"/>
      <w:numFmt w:val="none"/>
      <w:pStyle w:val="2"/>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2"/>
    <w:multiLevelType w:val="singleLevel"/>
    <w:tmpl w:val="00000002"/>
    <w:lvl w:ilvl="0" w:tentative="0">
      <w:start w:val="4"/>
      <w:numFmt w:val="chineseCountingThousand"/>
      <w:suff w:val="nothing"/>
      <w:lvlText w:val="%1、"/>
      <w:lvlJc w:val="left"/>
      <w:pPr>
        <w:tabs>
          <w:tab w:val="left" w:pos="0"/>
        </w:tabs>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4"/>
  <w:bordersDoNotSurroundHeader w:val="0"/>
  <w:bordersDoNotSurroundFooter w:val="0"/>
  <w:documentProtection w:enforcement="0"/>
  <w:defaultTabStop w:val="42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compressPunctuation"/>
  <w:noLineBreaksAfter w:lang="zh-CN" w:val="([{·‘“〈《「『【〔〖（．［｛￡￥"/>
  <w:noLineBreaksBefore w:lang="zh-CN" w:val="!),.:;?]}¨·ˇˉ―‖’”…∶、。〃々〉》」』】〕〗！＂＇），．：；？］｀｜｝～￠"/>
  <w:hdrShapeDefaults>
    <o:shapelayout v:ext="edit">
      <o:idmap v:ext="edit" data="3,4"/>
    </o:shapelayout>
  </w:hdrShapeDefaults>
  <w:footnotePr>
    <w:footnote w:id="20"/>
    <w:footnote w:id="21"/>
  </w:footnotePr>
  <w:compat>
    <w:noLeading/>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EwNTM5NzYwMDRjMzkwZTVkZjY2ODkwMGIxNGU0OTUifQ=="/>
  </w:docVars>
  <w:rsids>
    <w:rsidRoot w:val="009C1679"/>
    <w:rsid w:val="00047785"/>
    <w:rsid w:val="0007403C"/>
    <w:rsid w:val="00150BF2"/>
    <w:rsid w:val="00221701"/>
    <w:rsid w:val="00297FA2"/>
    <w:rsid w:val="002A0931"/>
    <w:rsid w:val="002B2B3C"/>
    <w:rsid w:val="002C320D"/>
    <w:rsid w:val="0037077F"/>
    <w:rsid w:val="003A44C4"/>
    <w:rsid w:val="00446046"/>
    <w:rsid w:val="004A1BC1"/>
    <w:rsid w:val="004D3381"/>
    <w:rsid w:val="005856D1"/>
    <w:rsid w:val="005A0865"/>
    <w:rsid w:val="00660080"/>
    <w:rsid w:val="006E41C6"/>
    <w:rsid w:val="0071189E"/>
    <w:rsid w:val="007A5AFA"/>
    <w:rsid w:val="007B4CEF"/>
    <w:rsid w:val="007E035A"/>
    <w:rsid w:val="008013CF"/>
    <w:rsid w:val="00870DCC"/>
    <w:rsid w:val="008C2272"/>
    <w:rsid w:val="009C1679"/>
    <w:rsid w:val="00C654D3"/>
    <w:rsid w:val="00C749B6"/>
    <w:rsid w:val="00C87782"/>
    <w:rsid w:val="00CD43AD"/>
    <w:rsid w:val="00CF1D53"/>
    <w:rsid w:val="00D54B7D"/>
    <w:rsid w:val="00D61DE0"/>
    <w:rsid w:val="00E12F09"/>
    <w:rsid w:val="00E159ED"/>
    <w:rsid w:val="00E3533D"/>
    <w:rsid w:val="00EA6F15"/>
    <w:rsid w:val="00EC1FFF"/>
    <w:rsid w:val="00EC2B72"/>
    <w:rsid w:val="00EC49E2"/>
    <w:rsid w:val="00FB007A"/>
    <w:rsid w:val="011C44BE"/>
    <w:rsid w:val="033267EB"/>
    <w:rsid w:val="03525F75"/>
    <w:rsid w:val="036066B2"/>
    <w:rsid w:val="038F3982"/>
    <w:rsid w:val="04C71D1F"/>
    <w:rsid w:val="04D318DD"/>
    <w:rsid w:val="04FD083C"/>
    <w:rsid w:val="051830FB"/>
    <w:rsid w:val="05297DDC"/>
    <w:rsid w:val="05D769B3"/>
    <w:rsid w:val="06325618"/>
    <w:rsid w:val="06502438"/>
    <w:rsid w:val="06F353FD"/>
    <w:rsid w:val="074B3F13"/>
    <w:rsid w:val="076E30C3"/>
    <w:rsid w:val="0932487E"/>
    <w:rsid w:val="0A237CB5"/>
    <w:rsid w:val="0A262905"/>
    <w:rsid w:val="0A73263F"/>
    <w:rsid w:val="0C6F4CB6"/>
    <w:rsid w:val="0CB72F90"/>
    <w:rsid w:val="0CC05B39"/>
    <w:rsid w:val="0DA6583B"/>
    <w:rsid w:val="0E904283"/>
    <w:rsid w:val="0EF333E0"/>
    <w:rsid w:val="0F2E3534"/>
    <w:rsid w:val="0FCD3F4C"/>
    <w:rsid w:val="106328D8"/>
    <w:rsid w:val="10DD43F1"/>
    <w:rsid w:val="114333C7"/>
    <w:rsid w:val="114B3CDD"/>
    <w:rsid w:val="11A55700"/>
    <w:rsid w:val="11A76346"/>
    <w:rsid w:val="11A93B4C"/>
    <w:rsid w:val="11DF4949"/>
    <w:rsid w:val="12715F04"/>
    <w:rsid w:val="12A22DAA"/>
    <w:rsid w:val="12C2378B"/>
    <w:rsid w:val="12F368C9"/>
    <w:rsid w:val="13024D3D"/>
    <w:rsid w:val="14151EED"/>
    <w:rsid w:val="145D30DB"/>
    <w:rsid w:val="15247205"/>
    <w:rsid w:val="16041D14"/>
    <w:rsid w:val="17436DB3"/>
    <w:rsid w:val="176127D3"/>
    <w:rsid w:val="176E11D5"/>
    <w:rsid w:val="180151BF"/>
    <w:rsid w:val="183C3EC9"/>
    <w:rsid w:val="18CD2C86"/>
    <w:rsid w:val="19636CD6"/>
    <w:rsid w:val="196924C6"/>
    <w:rsid w:val="197B5CB5"/>
    <w:rsid w:val="19AC6F58"/>
    <w:rsid w:val="1AF02E45"/>
    <w:rsid w:val="1CC035BC"/>
    <w:rsid w:val="1D852670"/>
    <w:rsid w:val="1E3824DF"/>
    <w:rsid w:val="1E525A9B"/>
    <w:rsid w:val="1E9970D7"/>
    <w:rsid w:val="1EA95B99"/>
    <w:rsid w:val="1EDB4F18"/>
    <w:rsid w:val="1FD51B0A"/>
    <w:rsid w:val="20021DD7"/>
    <w:rsid w:val="21484270"/>
    <w:rsid w:val="214871AB"/>
    <w:rsid w:val="22B4196A"/>
    <w:rsid w:val="22BE6D2B"/>
    <w:rsid w:val="23452067"/>
    <w:rsid w:val="25122697"/>
    <w:rsid w:val="264D464E"/>
    <w:rsid w:val="26F23A10"/>
    <w:rsid w:val="274D66F9"/>
    <w:rsid w:val="28E31299"/>
    <w:rsid w:val="2957169A"/>
    <w:rsid w:val="29A0488E"/>
    <w:rsid w:val="2A6726C6"/>
    <w:rsid w:val="2A7C33B2"/>
    <w:rsid w:val="2ACE08D8"/>
    <w:rsid w:val="2B812DD9"/>
    <w:rsid w:val="2C162458"/>
    <w:rsid w:val="2D203CC3"/>
    <w:rsid w:val="2DD46BD9"/>
    <w:rsid w:val="2DE15430"/>
    <w:rsid w:val="2DFE1354"/>
    <w:rsid w:val="2E592087"/>
    <w:rsid w:val="2E8E7EF9"/>
    <w:rsid w:val="2EE70486"/>
    <w:rsid w:val="2F3416D5"/>
    <w:rsid w:val="2F6349E1"/>
    <w:rsid w:val="2FC83556"/>
    <w:rsid w:val="2FD81674"/>
    <w:rsid w:val="30A916FB"/>
    <w:rsid w:val="30FE230E"/>
    <w:rsid w:val="31D9148B"/>
    <w:rsid w:val="321E742B"/>
    <w:rsid w:val="33085AB0"/>
    <w:rsid w:val="332A023F"/>
    <w:rsid w:val="33D42114"/>
    <w:rsid w:val="33FE7077"/>
    <w:rsid w:val="34E72111"/>
    <w:rsid w:val="3797430F"/>
    <w:rsid w:val="386728C0"/>
    <w:rsid w:val="387E2D8D"/>
    <w:rsid w:val="38A327F3"/>
    <w:rsid w:val="3950646E"/>
    <w:rsid w:val="395E0B8A"/>
    <w:rsid w:val="39757712"/>
    <w:rsid w:val="39B61336"/>
    <w:rsid w:val="39CE5708"/>
    <w:rsid w:val="3ADF0647"/>
    <w:rsid w:val="3B001415"/>
    <w:rsid w:val="3CC66AB0"/>
    <w:rsid w:val="3EB92D70"/>
    <w:rsid w:val="3FF34060"/>
    <w:rsid w:val="410C174E"/>
    <w:rsid w:val="415154E2"/>
    <w:rsid w:val="41F216B8"/>
    <w:rsid w:val="42EB6EAE"/>
    <w:rsid w:val="438751EB"/>
    <w:rsid w:val="43A36EC6"/>
    <w:rsid w:val="43B9736F"/>
    <w:rsid w:val="4453190D"/>
    <w:rsid w:val="465515D1"/>
    <w:rsid w:val="46864128"/>
    <w:rsid w:val="479954ED"/>
    <w:rsid w:val="48E57C55"/>
    <w:rsid w:val="49294D61"/>
    <w:rsid w:val="497E209A"/>
    <w:rsid w:val="49912643"/>
    <w:rsid w:val="4ACA72FB"/>
    <w:rsid w:val="4D2345F7"/>
    <w:rsid w:val="4DDC653A"/>
    <w:rsid w:val="4DE96145"/>
    <w:rsid w:val="4EA03605"/>
    <w:rsid w:val="4EBC2B1C"/>
    <w:rsid w:val="4ECC39A5"/>
    <w:rsid w:val="51A1498C"/>
    <w:rsid w:val="51EB4FDA"/>
    <w:rsid w:val="52331E0F"/>
    <w:rsid w:val="526760F7"/>
    <w:rsid w:val="52FD06B7"/>
    <w:rsid w:val="55E771D1"/>
    <w:rsid w:val="55F83D27"/>
    <w:rsid w:val="563064E9"/>
    <w:rsid w:val="564D4320"/>
    <w:rsid w:val="564F4F7B"/>
    <w:rsid w:val="57057F5A"/>
    <w:rsid w:val="57191737"/>
    <w:rsid w:val="574D36F7"/>
    <w:rsid w:val="57971413"/>
    <w:rsid w:val="57AC3374"/>
    <w:rsid w:val="5877176A"/>
    <w:rsid w:val="58DB71EA"/>
    <w:rsid w:val="58EA150E"/>
    <w:rsid w:val="5A753B98"/>
    <w:rsid w:val="5B0D5C97"/>
    <w:rsid w:val="5B430722"/>
    <w:rsid w:val="5C544474"/>
    <w:rsid w:val="5CA576D6"/>
    <w:rsid w:val="5D66045B"/>
    <w:rsid w:val="5E0F5049"/>
    <w:rsid w:val="5FB81786"/>
    <w:rsid w:val="60427AA0"/>
    <w:rsid w:val="60895370"/>
    <w:rsid w:val="61E628B7"/>
    <w:rsid w:val="622D336C"/>
    <w:rsid w:val="6299063F"/>
    <w:rsid w:val="62BD239B"/>
    <w:rsid w:val="6398326D"/>
    <w:rsid w:val="63CC712C"/>
    <w:rsid w:val="63DD13F7"/>
    <w:rsid w:val="64DB0A9B"/>
    <w:rsid w:val="651D2E62"/>
    <w:rsid w:val="655433A7"/>
    <w:rsid w:val="667C4051"/>
    <w:rsid w:val="66B94B66"/>
    <w:rsid w:val="679E109A"/>
    <w:rsid w:val="685968A7"/>
    <w:rsid w:val="6861734D"/>
    <w:rsid w:val="68F91E38"/>
    <w:rsid w:val="69FC1BE0"/>
    <w:rsid w:val="6A8631B6"/>
    <w:rsid w:val="6A8B593C"/>
    <w:rsid w:val="6AB0499A"/>
    <w:rsid w:val="6BA33A98"/>
    <w:rsid w:val="6C400F70"/>
    <w:rsid w:val="6CA45802"/>
    <w:rsid w:val="6CB629F7"/>
    <w:rsid w:val="6D604233"/>
    <w:rsid w:val="6D6E7920"/>
    <w:rsid w:val="6D8A7502"/>
    <w:rsid w:val="6DE704B1"/>
    <w:rsid w:val="6DFE5AAD"/>
    <w:rsid w:val="6E9B3BB7"/>
    <w:rsid w:val="6ED3284C"/>
    <w:rsid w:val="6F9460AE"/>
    <w:rsid w:val="6FA355B4"/>
    <w:rsid w:val="6FB24AEE"/>
    <w:rsid w:val="6FC84312"/>
    <w:rsid w:val="6FD0039F"/>
    <w:rsid w:val="708E414E"/>
    <w:rsid w:val="713E3848"/>
    <w:rsid w:val="71597917"/>
    <w:rsid w:val="71687B5B"/>
    <w:rsid w:val="71C13783"/>
    <w:rsid w:val="71F471F8"/>
    <w:rsid w:val="72401188"/>
    <w:rsid w:val="748B36CE"/>
    <w:rsid w:val="75287D2D"/>
    <w:rsid w:val="752D63B9"/>
    <w:rsid w:val="7531236D"/>
    <w:rsid w:val="753B10E2"/>
    <w:rsid w:val="761302E5"/>
    <w:rsid w:val="76743163"/>
    <w:rsid w:val="76AB0C40"/>
    <w:rsid w:val="76B61368"/>
    <w:rsid w:val="76DE4C02"/>
    <w:rsid w:val="77A90633"/>
    <w:rsid w:val="77CD4DBC"/>
    <w:rsid w:val="78C401CB"/>
    <w:rsid w:val="799B001C"/>
    <w:rsid w:val="799B3449"/>
    <w:rsid w:val="79A8373C"/>
    <w:rsid w:val="7AD2143A"/>
    <w:rsid w:val="7B090977"/>
    <w:rsid w:val="7B83566F"/>
    <w:rsid w:val="7B8E7699"/>
    <w:rsid w:val="7CBE2927"/>
    <w:rsid w:val="7D8F021D"/>
    <w:rsid w:val="7E3869AB"/>
    <w:rsid w:val="7EA36288"/>
    <w:rsid w:val="7EAB47A1"/>
    <w:rsid w:val="7F2B4C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2" w:semiHidden="0" w:name="heading 1"/>
    <w:lsdException w:qFormat="1" w:unhideWhenUsed="0" w:uiPriority="2" w:semiHidden="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1624"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2"/>
    <w:qFormat/>
    <w:uiPriority w:val="2"/>
    <w:pPr>
      <w:keepNext/>
      <w:keepLines/>
      <w:numPr>
        <w:ilvl w:val="0"/>
        <w:numId w:val="1"/>
      </w:numPr>
      <w:spacing w:before="340" w:after="330" w:line="576" w:lineRule="auto"/>
      <w:outlineLvl w:val="0"/>
    </w:pPr>
    <w:rPr>
      <w:b/>
      <w:bCs/>
      <w:sz w:val="44"/>
      <w:szCs w:val="44"/>
    </w:rPr>
  </w:style>
  <w:style w:type="paragraph" w:styleId="2">
    <w:name w:val="heading 2"/>
    <w:basedOn w:val="1"/>
    <w:next w:val="1"/>
    <w:qFormat/>
    <w:uiPriority w:val="2"/>
    <w:pPr>
      <w:keepNext/>
      <w:keepLines/>
      <w:numPr>
        <w:ilvl w:val="1"/>
        <w:numId w:val="1"/>
      </w:numPr>
      <w:spacing w:before="260" w:after="260" w:line="412" w:lineRule="auto"/>
      <w:outlineLvl w:val="1"/>
    </w:pPr>
    <w:rPr>
      <w:rFonts w:ascii="Arial" w:hAnsi="Arial" w:eastAsia="黑体" w:cs="Arial"/>
      <w:b/>
      <w:bCs/>
      <w:sz w:val="32"/>
      <w:szCs w:val="32"/>
    </w:rPr>
  </w:style>
  <w:style w:type="paragraph" w:styleId="4">
    <w:name w:val="heading 6"/>
    <w:basedOn w:val="1"/>
    <w:next w:val="1"/>
    <w:link w:val="23"/>
    <w:unhideWhenUsed/>
    <w:qFormat/>
    <w:uiPriority w:val="0"/>
    <w:pPr>
      <w:keepNext/>
      <w:keepLines/>
      <w:spacing w:before="240" w:after="64" w:line="320" w:lineRule="auto"/>
      <w:outlineLvl w:val="5"/>
    </w:pPr>
    <w:rPr>
      <w:rFonts w:ascii="Cambria" w:hAnsi="Cambria" w:eastAsia="宋体" w:cs="Times New Roman"/>
      <w:b/>
      <w:bCs/>
      <w:sz w:val="24"/>
    </w:rPr>
  </w:style>
  <w:style w:type="character" w:default="1" w:styleId="19">
    <w:name w:val="Default Paragraph Font"/>
    <w:semiHidden/>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5">
    <w:name w:val="Normal Indent"/>
    <w:basedOn w:val="1"/>
    <w:link w:val="24"/>
    <w:uiPriority w:val="0"/>
    <w:pPr>
      <w:spacing w:before="60"/>
      <w:ind w:firstLine="420" w:firstLineChars="200"/>
    </w:pPr>
  </w:style>
  <w:style w:type="paragraph" w:styleId="6">
    <w:name w:val="annotation text"/>
    <w:basedOn w:val="1"/>
    <w:link w:val="25"/>
    <w:uiPriority w:val="0"/>
    <w:pPr>
      <w:jc w:val="left"/>
    </w:pPr>
  </w:style>
  <w:style w:type="paragraph" w:styleId="7">
    <w:name w:val="Body Text"/>
    <w:basedOn w:val="1"/>
    <w:next w:val="8"/>
    <w:uiPriority w:val="1624"/>
    <w:pPr>
      <w:spacing w:before="0" w:after="120"/>
    </w:pPr>
  </w:style>
  <w:style w:type="paragraph" w:styleId="8">
    <w:name w:val="Date"/>
    <w:basedOn w:val="1"/>
    <w:next w:val="1"/>
    <w:qFormat/>
    <w:uiPriority w:val="0"/>
    <w:pPr>
      <w:ind w:left="100" w:leftChars="2500"/>
    </w:pPr>
    <w:rPr>
      <w:rFonts w:ascii="宋体" w:hAnsi="Courier New"/>
      <w:sz w:val="28"/>
    </w:rPr>
  </w:style>
  <w:style w:type="paragraph" w:styleId="9">
    <w:name w:val="Body Text Indent"/>
    <w:basedOn w:val="1"/>
    <w:qFormat/>
    <w:uiPriority w:val="0"/>
    <w:pPr>
      <w:spacing w:after="120"/>
      <w:ind w:left="200" w:leftChars="200"/>
    </w:pPr>
    <w:rPr>
      <w:rFonts w:ascii="Verdana" w:hAnsi="Verdana"/>
      <w:kern w:val="2"/>
      <w:sz w:val="21"/>
      <w:szCs w:val="24"/>
      <w:lang w:eastAsia="en-US"/>
    </w:rPr>
  </w:style>
  <w:style w:type="paragraph" w:styleId="10">
    <w:name w:val="Block Text"/>
    <w:basedOn w:val="1"/>
    <w:qFormat/>
    <w:uiPriority w:val="0"/>
    <w:pPr>
      <w:adjustRightInd w:val="0"/>
      <w:ind w:left="420" w:right="33"/>
      <w:jc w:val="left"/>
      <w:textAlignment w:val="baseline"/>
    </w:pPr>
    <w:rPr>
      <w:rFonts w:ascii="宋体"/>
      <w:kern w:val="0"/>
      <w:sz w:val="24"/>
      <w:szCs w:val="20"/>
    </w:rPr>
  </w:style>
  <w:style w:type="paragraph" w:styleId="11">
    <w:name w:val="Balloon Text"/>
    <w:basedOn w:val="1"/>
    <w:link w:val="26"/>
    <w:uiPriority w:val="0"/>
    <w:rPr>
      <w:sz w:val="18"/>
      <w:szCs w:val="18"/>
    </w:rPr>
  </w:style>
  <w:style w:type="paragraph" w:styleId="12">
    <w:name w:val="footer"/>
    <w:basedOn w:val="1"/>
    <w:uiPriority w:val="0"/>
    <w:pPr>
      <w:tabs>
        <w:tab w:val="center" w:pos="4153"/>
        <w:tab w:val="right" w:pos="8306"/>
      </w:tabs>
      <w:snapToGrid w:val="0"/>
      <w:jc w:val="left"/>
    </w:pPr>
    <w:rPr>
      <w:sz w:val="18"/>
    </w:rPr>
  </w:style>
  <w:style w:type="paragraph" w:styleId="13">
    <w:name w:val="header"/>
    <w:basedOn w:val="1"/>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39"/>
  </w:style>
  <w:style w:type="paragraph" w:styleId="15">
    <w:name w:val="Subtitle"/>
    <w:next w:val="1"/>
    <w:qFormat/>
    <w:uiPriority w:val="11"/>
    <w:pPr>
      <w:spacing w:before="100" w:beforeAutospacing="1" w:after="100" w:afterAutospacing="1"/>
      <w:jc w:val="center"/>
    </w:pPr>
    <w:rPr>
      <w:rFonts w:ascii="Cambria" w:hAnsi="Cambria" w:eastAsia="仿宋_GB2312" w:cs="Times New Roman"/>
      <w:bCs/>
      <w:kern w:val="28"/>
      <w:sz w:val="24"/>
      <w:szCs w:val="32"/>
      <w:lang w:val="en-US" w:eastAsia="en-US" w:bidi="ar-SA"/>
    </w:rPr>
  </w:style>
  <w:style w:type="paragraph" w:styleId="16">
    <w:name w:val="footnote text"/>
    <w:basedOn w:val="1"/>
    <w:qFormat/>
    <w:uiPriority w:val="0"/>
    <w:pPr>
      <w:widowControl/>
      <w:snapToGrid w:val="0"/>
      <w:spacing w:line="360" w:lineRule="auto"/>
      <w:jc w:val="left"/>
    </w:pPr>
    <w:rPr>
      <w:kern w:val="0"/>
      <w:sz w:val="18"/>
      <w:szCs w:val="18"/>
    </w:rPr>
  </w:style>
  <w:style w:type="paragraph" w:styleId="17">
    <w:name w:val="toc 2"/>
    <w:basedOn w:val="1"/>
    <w:next w:val="1"/>
    <w:uiPriority w:val="0"/>
    <w:pPr>
      <w:ind w:left="420" w:leftChars="200"/>
    </w:pPr>
  </w:style>
  <w:style w:type="character" w:styleId="20">
    <w:name w:val="page number"/>
    <w:uiPriority w:val="99"/>
    <w:rPr>
      <w:rFonts w:cs="Times New Roman"/>
    </w:rPr>
  </w:style>
  <w:style w:type="character" w:styleId="21">
    <w:name w:val="Hyperlink"/>
    <w:qFormat/>
    <w:uiPriority w:val="7"/>
    <w:rPr>
      <w:color w:val="0000FF"/>
      <w:u w:val="single"/>
    </w:rPr>
  </w:style>
  <w:style w:type="character" w:customStyle="1" w:styleId="22">
    <w:name w:val="标题 1 Char1"/>
    <w:link w:val="3"/>
    <w:uiPriority w:val="2"/>
    <w:rPr>
      <w:b/>
      <w:bCs/>
      <w:kern w:val="2"/>
      <w:sz w:val="44"/>
      <w:szCs w:val="44"/>
    </w:rPr>
  </w:style>
  <w:style w:type="character" w:customStyle="1" w:styleId="23">
    <w:name w:val="标题 6 Char"/>
    <w:basedOn w:val="19"/>
    <w:link w:val="4"/>
    <w:semiHidden/>
    <w:uiPriority w:val="0"/>
    <w:rPr>
      <w:rFonts w:ascii="Cambria" w:hAnsi="Cambria" w:eastAsia="宋体" w:cs="Times New Roman"/>
      <w:b/>
      <w:bCs/>
      <w:kern w:val="2"/>
      <w:sz w:val="24"/>
      <w:szCs w:val="24"/>
    </w:rPr>
  </w:style>
  <w:style w:type="character" w:customStyle="1" w:styleId="24">
    <w:name w:val="正文缩进 Char1"/>
    <w:link w:val="5"/>
    <w:uiPriority w:val="0"/>
    <w:rPr>
      <w:kern w:val="2"/>
      <w:sz w:val="21"/>
      <w:szCs w:val="24"/>
    </w:rPr>
  </w:style>
  <w:style w:type="character" w:customStyle="1" w:styleId="25">
    <w:name w:val="批注文字 Char"/>
    <w:link w:val="6"/>
    <w:uiPriority w:val="0"/>
    <w:rPr>
      <w:kern w:val="2"/>
      <w:sz w:val="21"/>
      <w:szCs w:val="24"/>
    </w:rPr>
  </w:style>
  <w:style w:type="character" w:customStyle="1" w:styleId="26">
    <w:name w:val="批注框文本 Char"/>
    <w:link w:val="11"/>
    <w:qFormat/>
    <w:uiPriority w:val="0"/>
    <w:rPr>
      <w:kern w:val="2"/>
      <w:sz w:val="18"/>
      <w:szCs w:val="18"/>
    </w:rPr>
  </w:style>
  <w:style w:type="character" w:customStyle="1" w:styleId="27">
    <w:name w:val="纯文本 字符"/>
    <w:qFormat/>
    <w:uiPriority w:val="1650"/>
    <w:rPr>
      <w:rFonts w:ascii="宋体" w:hAnsi="宋体" w:cs="Courier New"/>
      <w:kern w:val="2"/>
      <w:sz w:val="21"/>
      <w:szCs w:val="24"/>
    </w:rPr>
  </w:style>
  <w:style w:type="character" w:customStyle="1" w:styleId="28">
    <w:name w:val="脚注符"/>
    <w:qFormat/>
    <w:uiPriority w:val="1970"/>
    <w:rPr>
      <w:vertAlign w:val="superscript"/>
    </w:rPr>
  </w:style>
  <w:style w:type="character" w:customStyle="1" w:styleId="29">
    <w:name w:val="标题 1 Char"/>
    <w:qFormat/>
    <w:uiPriority w:val="2"/>
    <w:rPr>
      <w:rFonts w:hint="default" w:ascii="Arial" w:hAnsi="Arial" w:eastAsia="宋体" w:cs="Arial"/>
      <w:bCs/>
      <w:kern w:val="2"/>
      <w:sz w:val="32"/>
      <w:szCs w:val="32"/>
      <w:lang w:val="en-US" w:eastAsia="zh-CN" w:bidi="ar-SA"/>
    </w:rPr>
  </w:style>
  <w:style w:type="character" w:customStyle="1" w:styleId="30">
    <w:name w:val="默认段落字体1"/>
    <w:qFormat/>
    <w:uiPriority w:val="1723"/>
  </w:style>
  <w:style w:type="character" w:customStyle="1" w:styleId="31">
    <w:name w:val="WW-标题 1 Char"/>
    <w:qFormat/>
    <w:uiPriority w:val="2"/>
    <w:rPr>
      <w:rFonts w:hint="default" w:ascii="Arial" w:hAnsi="Arial" w:eastAsia="宋体" w:cs="Arial"/>
      <w:bCs/>
      <w:kern w:val="2"/>
      <w:sz w:val="32"/>
      <w:szCs w:val="32"/>
      <w:lang w:val="en-US" w:eastAsia="zh-CN" w:bidi="ar-SA"/>
    </w:rPr>
  </w:style>
  <w:style w:type="paragraph" w:customStyle="1" w:styleId="32">
    <w:name w:val="样式2"/>
    <w:basedOn w:val="1"/>
    <w:qFormat/>
    <w:uiPriority w:val="0"/>
    <w:pPr>
      <w:widowControl/>
      <w:jc w:val="center"/>
      <w:outlineLvl w:val="1"/>
    </w:pPr>
    <w:rPr>
      <w:rFonts w:ascii="宋体" w:hAnsi="宋体"/>
      <w:b/>
      <w:kern w:val="0"/>
      <w:sz w:val="36"/>
      <w:szCs w:val="36"/>
    </w:rPr>
  </w:style>
  <w:style w:type="paragraph" w:customStyle="1" w:styleId="33">
    <w:name w:val="文本块1"/>
    <w:basedOn w:val="1"/>
    <w:qFormat/>
    <w:uiPriority w:val="1397"/>
    <w:pPr>
      <w:ind w:left="420" w:right="33" w:firstLine="0"/>
      <w:jc w:val="left"/>
      <w:textAlignment w:val="baseline"/>
    </w:pPr>
    <w:rPr>
      <w:rFonts w:ascii="宋体" w:hAnsi="宋体"/>
      <w:kern w:val="0"/>
      <w:sz w:val="24"/>
      <w:szCs w:val="20"/>
    </w:rPr>
  </w:style>
  <w:style w:type="paragraph" w:customStyle="1" w:styleId="34">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35">
    <w:name w:val="TOC Heading"/>
    <w:basedOn w:val="3"/>
    <w:next w:val="1"/>
    <w:qFormat/>
    <w:uiPriority w:val="4"/>
    <w:pPr>
      <w:widowControl/>
      <w:numPr>
        <w:ilvl w:val="0"/>
        <w:numId w:val="0"/>
      </w:numPr>
      <w:tabs>
        <w:tab w:val="clear" w:pos="0"/>
      </w:tabs>
      <w:spacing w:before="240" w:after="0" w:line="256" w:lineRule="auto"/>
      <w:jc w:val="left"/>
    </w:pPr>
    <w:rPr>
      <w:rFonts w:ascii="Calibri Light" w:hAnsi="Calibri Light" w:eastAsia="宋体" w:cs="Times New Roman"/>
      <w:b w:val="0"/>
      <w:bCs w:val="0"/>
      <w:color w:val="2E74B5"/>
      <w:kern w:val="0"/>
      <w:sz w:val="32"/>
      <w:szCs w:val="32"/>
    </w:rPr>
  </w:style>
  <w:style w:type="paragraph" w:customStyle="1" w:styleId="36">
    <w:name w:val="样式 首行缩进:  2 字符"/>
    <w:basedOn w:val="1"/>
    <w:qFormat/>
    <w:uiPriority w:val="0"/>
    <w:pPr>
      <w:spacing w:line="400" w:lineRule="exact"/>
      <w:ind w:firstLine="200" w:firstLineChars="200"/>
    </w:pPr>
    <w:rPr>
      <w:rFonts w:cs="宋体"/>
      <w:sz w:val="24"/>
    </w:rPr>
  </w:style>
  <w:style w:type="paragraph" w:customStyle="1" w:styleId="37">
    <w:name w:val="普通(网站)1"/>
    <w:basedOn w:val="1"/>
    <w:qFormat/>
    <w:uiPriority w:val="2"/>
    <w:pPr>
      <w:widowControl/>
      <w:spacing w:before="100" w:after="100"/>
      <w:jc w:val="left"/>
    </w:pPr>
    <w:rPr>
      <w:rFonts w:ascii="宋体" w:hAnsi="宋体" w:cs="宋体"/>
      <w:color w:val="000000"/>
      <w:kern w:val="0"/>
      <w:sz w:val="24"/>
    </w:rPr>
  </w:style>
  <w:style w:type="paragraph" w:customStyle="1" w:styleId="38">
    <w:name w:val="正文 A"/>
    <w:qFormat/>
    <w:uiPriority w:val="2"/>
    <w:pPr>
      <w:widowControl w:val="0"/>
      <w:jc w:val="both"/>
    </w:pPr>
    <w:rPr>
      <w:rFonts w:ascii="Times New Roman" w:hAnsi="Times New Roman" w:eastAsia="Arial Unicode MS" w:cs="Arial Unicode MS"/>
      <w:color w:val="000000"/>
      <w:sz w:val="21"/>
      <w:szCs w:val="21"/>
      <w:lang w:val="en-US" w:eastAsia="zh-CN" w:bidi="ar-SA"/>
    </w:rPr>
  </w:style>
  <w:style w:type="paragraph" w:customStyle="1" w:styleId="39">
    <w:name w:val="批注文字1"/>
    <w:basedOn w:val="1"/>
    <w:qFormat/>
    <w:uiPriority w:val="1624"/>
    <w:pPr>
      <w:jc w:val="left"/>
    </w:pPr>
  </w:style>
  <w:style w:type="paragraph" w:customStyle="1" w:styleId="40">
    <w:name w:val="表格文字"/>
    <w:basedOn w:val="1"/>
    <w:qFormat/>
    <w:uiPriority w:val="1624"/>
    <w:pPr>
      <w:spacing w:before="25" w:after="25"/>
      <w:jc w:val="left"/>
    </w:pPr>
    <w:rPr>
      <w:bCs/>
      <w:spacing w:val="10"/>
      <w:kern w:val="0"/>
      <w:sz w:val="24"/>
      <w:szCs w:val="20"/>
    </w:rPr>
  </w:style>
  <w:style w:type="paragraph" w:customStyle="1" w:styleId="41">
    <w:name w:val="表内"/>
    <w:basedOn w:val="1"/>
    <w:qFormat/>
    <w:uiPriority w:val="0"/>
    <w:pPr>
      <w:spacing w:line="300" w:lineRule="auto"/>
    </w:pPr>
    <w:rPr>
      <w:bCs/>
      <w:kern w:val="0"/>
      <w:szCs w:val="21"/>
      <w:lang w:eastAsia="zh-TW"/>
    </w:rPr>
  </w:style>
  <w:style w:type="paragraph" w:customStyle="1" w:styleId="42">
    <w:name w:val="纯文本1"/>
    <w:basedOn w:val="1"/>
    <w:qFormat/>
    <w:uiPriority w:val="1650"/>
    <w:rPr>
      <w:rFonts w:ascii="宋体" w:hAnsi="宋体" w:cs="Courier New"/>
    </w:rPr>
  </w:style>
  <w:style w:type="paragraph" w:customStyle="1" w:styleId="43">
    <w:name w:val="正文文本缩进1"/>
    <w:basedOn w:val="1"/>
    <w:qFormat/>
    <w:uiPriority w:val="1624"/>
    <w:pPr>
      <w:snapToGrid w:val="0"/>
      <w:spacing w:line="360" w:lineRule="auto"/>
      <w:ind w:left="0" w:right="0" w:firstLine="560"/>
    </w:pPr>
    <w:rPr>
      <w:rFonts w:ascii="宋体" w:hAnsi="宋体" w:cs="宋体"/>
      <w:sz w:val="28"/>
    </w:rPr>
  </w:style>
  <w:style w:type="table" w:customStyle="1" w:styleId="44">
    <w:name w:val="Table Normal7"/>
    <w:unhideWhenUsed/>
    <w:qFormat/>
    <w:uiPriority w:val="2"/>
    <w:pPr>
      <w:widowControl w:val="0"/>
      <w:autoSpaceDE w:val="0"/>
      <w:autoSpaceDN w:val="0"/>
    </w:pPr>
    <w:rPr>
      <w:rFonts w:ascii="Times New Roman" w:hAnsi="Times New Roman" w:cs="Times New Roman"/>
      <w:sz w:val="22"/>
      <w:lang w:eastAsia="en-US"/>
    </w:rPr>
    <w:tblPr>
      <w:tblCellMar>
        <w:top w:w="0" w:type="dxa"/>
        <w:left w:w="0" w:type="dxa"/>
        <w:bottom w:w="0" w:type="dxa"/>
        <w:right w:w="0" w:type="dxa"/>
      </w:tblCellMar>
    </w:tblPr>
  </w:style>
  <w:style w:type="character" w:customStyle="1" w:styleId="45">
    <w:name w:val="Body text|2 + 8.5 pt1"/>
    <w:basedOn w:val="46"/>
    <w:unhideWhenUsed/>
    <w:qFormat/>
    <w:uiPriority w:val="0"/>
    <w:rPr>
      <w:rFonts w:ascii="PMingLiU" w:hAnsi="PMingLiU" w:eastAsia="PMingLiU" w:cs="PMingLiU"/>
      <w:color w:val="000000"/>
      <w:spacing w:val="0"/>
      <w:w w:val="100"/>
      <w:position w:val="0"/>
      <w:sz w:val="17"/>
      <w:szCs w:val="17"/>
      <w:u w:val="none"/>
      <w:shd w:val="clear" w:color="auto" w:fill="FFFFFF"/>
      <w:lang w:val="zh-CN" w:eastAsia="zh-CN" w:bidi="zh-CN"/>
    </w:rPr>
  </w:style>
  <w:style w:type="character" w:customStyle="1" w:styleId="46">
    <w:name w:val="Body text|2_"/>
    <w:basedOn w:val="19"/>
    <w:link w:val="47"/>
    <w:qFormat/>
    <w:uiPriority w:val="0"/>
    <w:rPr>
      <w:rFonts w:ascii="PMingLiU" w:hAnsi="PMingLiU" w:eastAsia="PMingLiU" w:cs="PMingLiU"/>
      <w:kern w:val="2"/>
      <w:sz w:val="21"/>
      <w:szCs w:val="21"/>
      <w:lang w:eastAsia="zh-CN"/>
    </w:rPr>
  </w:style>
  <w:style w:type="paragraph" w:customStyle="1" w:styleId="47">
    <w:name w:val="Body text|211"/>
    <w:basedOn w:val="1"/>
    <w:link w:val="46"/>
    <w:qFormat/>
    <w:uiPriority w:val="0"/>
    <w:pPr>
      <w:shd w:val="clear" w:color="auto" w:fill="FFFFFF"/>
      <w:autoSpaceDE/>
      <w:autoSpaceDN/>
      <w:spacing w:before="8160" w:line="210" w:lineRule="exact"/>
      <w:jc w:val="right"/>
    </w:pPr>
    <w:rPr>
      <w:rFonts w:ascii="PMingLiU" w:hAnsi="PMingLiU" w:eastAsia="PMingLiU" w:cs="PMingLiU"/>
      <w:kern w:val="2"/>
      <w:sz w:val="21"/>
      <w:szCs w:val="21"/>
      <w:lang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171</Pages>
  <Words>85287</Words>
  <Characters>91220</Characters>
  <Lines>643</Lines>
  <Paragraphs>181</Paragraphs>
  <TotalTime>4</TotalTime>
  <ScaleCrop>false</ScaleCrop>
  <LinksUpToDate>false</LinksUpToDate>
  <CharactersWithSpaces>93979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2016-03-01T02:55:00Z</dcterms:created>
  <dc:creator>admin</dc:creator>
  <cp:lastModifiedBy>唐姗</cp:lastModifiedBy>
  <cp:lastPrinted>2021-01-26T02:29:00Z</cp:lastPrinted>
  <dcterms:modified xsi:type="dcterms:W3CDTF">2023-03-30T07:12:35Z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B8212CE83D4B4BC4999CBF5E8756878B</vt:lpwstr>
  </property>
  <property fmtid="{D5CDD505-2E9C-101B-9397-08002B2CF9AE}" pid="3" name="KSOProductBuildVer">
    <vt:lpwstr>2052-11.1.0.13703</vt:lpwstr>
  </property>
</Properties>
</file>