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color w:val="000000"/>
          <w:sz w:val="24"/>
        </w:rPr>
      </w:pPr>
      <w:r>
        <w:rPr>
          <w:rFonts w:hint="eastAsia"/>
          <w:b/>
          <w:smallCaps/>
          <w:color w:val="000000"/>
          <w:sz w:val="48"/>
          <w:szCs w:val="48"/>
        </w:rPr>
        <w:t>采购需求</w:t>
      </w:r>
    </w:p>
    <w:p>
      <w:pPr>
        <w:rPr>
          <w:rFonts w:hint="eastAsia" w:ascii="宋体" w:hAnsi="宋体" w:cs="宋体"/>
          <w:color w:val="000000"/>
          <w:sz w:val="24"/>
        </w:rPr>
      </w:pPr>
    </w:p>
    <w:p>
      <w:pPr>
        <w:tabs>
          <w:tab w:val="left" w:pos="1200"/>
        </w:tabs>
        <w:spacing w:line="360" w:lineRule="auto"/>
        <w:outlineLvl w:val="1"/>
        <w:rPr>
          <w:rFonts w:hint="eastAsia" w:ascii="宋体" w:hAnsi="宋体" w:cs="宋体"/>
          <w:b/>
          <w:sz w:val="24"/>
          <w:lang w:bidi="ar"/>
        </w:rPr>
      </w:pPr>
      <w:bookmarkStart w:id="0" w:name="_Toc3027"/>
      <w:r>
        <w:rPr>
          <w:rFonts w:hint="eastAsia" w:ascii="宋体" w:hAnsi="宋体" w:cs="宋体"/>
          <w:b/>
          <w:sz w:val="24"/>
          <w:lang w:bidi="ar"/>
        </w:rPr>
        <w:t>一、项目背景</w:t>
      </w:r>
      <w:bookmarkEnd w:id="0"/>
    </w:p>
    <w:p>
      <w:pPr>
        <w:autoSpaceDE w:val="0"/>
        <w:autoSpaceDN w:val="0"/>
        <w:adjustRightInd w:val="0"/>
        <w:spacing w:line="480" w:lineRule="auto"/>
        <w:ind w:firstLine="480" w:firstLineChars="200"/>
        <w:jc w:val="left"/>
        <w:rPr>
          <w:rFonts w:hint="eastAsia" w:ascii="宋体" w:hAnsi="宋体" w:cs="宋体"/>
          <w:sz w:val="24"/>
          <w:highlight w:val="none"/>
        </w:rPr>
      </w:pPr>
      <w:r>
        <w:rPr>
          <w:rFonts w:hint="eastAsia" w:ascii="宋体" w:hAnsi="宋体" w:cs="宋体"/>
          <w:sz w:val="24"/>
          <w:highlight w:val="none"/>
        </w:rPr>
        <w:t>根据城乡规划法、海南省政府办公厅《关于加强国土空间规划监督管理的若干意见》（琼府办【2021】12号文）、《海南省城镇开发边界内控制性详细规划调整管理办法（试行）》（琼自然资规【2022】3号）、海口市人民政府办公室《关于做好全市国土空间规划编制工作的通知》（海府办函【2021】198号）等文件精神，为满足海口市城市建设需求，在符合国家、省、市相关法律、法规及政策等要求的前提下，结合海口市自然资源和规划局规划调整工作需要，编制项目地块控制性详细规划修改论证报告，对地块控规修改的必要性及合理性进行分析论证，以支撑项目地块的合理开发建设。同时开展项目地块控制性详细规划修改成果入库数据核查工作。</w:t>
      </w:r>
    </w:p>
    <w:p>
      <w:pPr>
        <w:tabs>
          <w:tab w:val="left" w:pos="1200"/>
        </w:tabs>
        <w:spacing w:line="360" w:lineRule="auto"/>
        <w:outlineLvl w:val="1"/>
        <w:rPr>
          <w:rFonts w:hint="eastAsia" w:ascii="宋体" w:hAnsi="宋体" w:cs="宋体"/>
          <w:b/>
          <w:sz w:val="24"/>
          <w:lang w:bidi="ar"/>
        </w:rPr>
      </w:pPr>
      <w:bookmarkStart w:id="1" w:name="_Toc31732"/>
      <w:r>
        <w:rPr>
          <w:rFonts w:hint="eastAsia" w:ascii="宋体" w:hAnsi="宋体" w:cs="宋体"/>
          <w:b/>
          <w:sz w:val="24"/>
          <w:lang w:bidi="ar"/>
        </w:rPr>
        <w:t>二、工作内容</w:t>
      </w:r>
      <w:bookmarkEnd w:id="1"/>
    </w:p>
    <w:p>
      <w:pPr>
        <w:spacing w:line="480" w:lineRule="auto"/>
        <w:ind w:firstLine="480" w:firstLineChars="200"/>
        <w:rPr>
          <w:rFonts w:hint="eastAsia" w:ascii="宋体" w:hAnsi="宋体" w:cs="宋体"/>
          <w:sz w:val="24"/>
        </w:rPr>
      </w:pPr>
      <w:r>
        <w:rPr>
          <w:rFonts w:hint="eastAsia" w:ascii="宋体" w:hAnsi="宋体" w:cs="宋体"/>
          <w:sz w:val="24"/>
        </w:rPr>
        <w:t>2023年控规修改论证报告编制工作（含控规成果入库数据核查工作），共分三个项目包（每个包项目为15个）。</w:t>
      </w:r>
    </w:p>
    <w:p>
      <w:pPr>
        <w:spacing w:line="480" w:lineRule="auto"/>
        <w:ind w:firstLine="482" w:firstLineChars="200"/>
        <w:rPr>
          <w:rFonts w:hint="eastAsia" w:ascii="宋体" w:hAnsi="宋体" w:cs="宋体"/>
          <w:b/>
          <w:bCs/>
          <w:sz w:val="24"/>
        </w:rPr>
      </w:pPr>
      <w:r>
        <w:rPr>
          <w:rFonts w:hint="eastAsia" w:ascii="宋体" w:hAnsi="宋体" w:cs="宋体"/>
          <w:b/>
          <w:bCs/>
          <w:sz w:val="24"/>
        </w:rPr>
        <w:t>内容主要包含：</w:t>
      </w:r>
    </w:p>
    <w:p>
      <w:pPr>
        <w:autoSpaceDE w:val="0"/>
        <w:autoSpaceDN w:val="0"/>
        <w:adjustRightInd w:val="0"/>
        <w:spacing w:line="480" w:lineRule="auto"/>
        <w:ind w:firstLine="480" w:firstLineChars="200"/>
        <w:jc w:val="left"/>
        <w:rPr>
          <w:rFonts w:hint="eastAsia" w:ascii="宋体" w:hAnsi="宋体" w:cs="宋体"/>
          <w:sz w:val="24"/>
          <w:highlight w:val="none"/>
        </w:rPr>
      </w:pPr>
      <w:r>
        <w:rPr>
          <w:rFonts w:hint="eastAsia" w:ascii="宋体" w:hAnsi="宋体" w:cs="宋体"/>
          <w:sz w:val="24"/>
          <w:highlight w:val="none"/>
        </w:rPr>
        <w:t>控规调整论证编制成果内容及深度应达到《城乡规划法》、《城市规划编制办法》等相关法律法规的要求。在编制论证报告中，应重点分析修改的必要性、</w:t>
      </w:r>
      <w:r>
        <w:rPr>
          <w:rFonts w:ascii="宋体" w:hAnsi="宋体" w:cs="宋体"/>
          <w:sz w:val="24"/>
          <w:highlight w:val="none"/>
        </w:rPr>
        <w:t>合理性</w:t>
      </w:r>
      <w:r>
        <w:rPr>
          <w:rFonts w:hint="eastAsia" w:ascii="宋体" w:hAnsi="宋体" w:cs="宋体"/>
          <w:sz w:val="24"/>
          <w:highlight w:val="none"/>
        </w:rPr>
        <w:t>，同时根据修改内容，按需从公共服务设施、交通、市政、消防、周边影响等方面论述分析地块用地性质、规划设计条件修改后对所属片区产生的影响，并提出相应的解决措施。另配合提供简易技术修正服务。</w:t>
      </w:r>
    </w:p>
    <w:p>
      <w:pPr>
        <w:autoSpaceDE w:val="0"/>
        <w:autoSpaceDN w:val="0"/>
        <w:adjustRightInd w:val="0"/>
        <w:spacing w:line="480" w:lineRule="auto"/>
        <w:ind w:firstLine="480" w:firstLineChars="200"/>
        <w:jc w:val="left"/>
        <w:rPr>
          <w:rFonts w:hint="eastAsia" w:ascii="宋体" w:hAnsi="宋体" w:cs="宋体"/>
          <w:color w:val="FF0000"/>
          <w:sz w:val="24"/>
          <w:highlight w:val="none"/>
        </w:rPr>
      </w:pPr>
      <w:r>
        <w:rPr>
          <w:rFonts w:hint="eastAsia" w:ascii="宋体" w:hAnsi="宋体" w:cs="宋体"/>
          <w:sz w:val="24"/>
          <w:highlight w:val="none"/>
        </w:rPr>
        <w:t>控规调整入库数据校核报告应根据《海南省城镇开发边界内控制性详细规划编制技术规定（试行）》和《海南省城镇开发边界内控制性详细规划数据库标准（试行）》等要求提出核查意见，主要对规划入库事项进行技术审查，对已批复单项控规调整地块规划入库数据进行纸质成果与数据库图数一致性核查，对已批复单项控规调整地块规划入库数据进行压覆性检查等，并形成校核报告。根据入库核查的业务需要，每个中标供应商安排一名工作人员常驻甲方负责入库核查工作。</w:t>
      </w:r>
    </w:p>
    <w:p>
      <w:pPr>
        <w:tabs>
          <w:tab w:val="left" w:pos="1200"/>
        </w:tabs>
        <w:spacing w:line="360" w:lineRule="auto"/>
        <w:outlineLvl w:val="1"/>
        <w:rPr>
          <w:rFonts w:hint="eastAsia" w:ascii="宋体" w:hAnsi="宋体" w:cs="宋体"/>
          <w:b/>
          <w:sz w:val="24"/>
          <w:lang w:bidi="ar"/>
        </w:rPr>
      </w:pPr>
      <w:bookmarkStart w:id="2" w:name="_Toc10513"/>
      <w:r>
        <w:rPr>
          <w:rFonts w:hint="eastAsia" w:ascii="宋体" w:hAnsi="宋体" w:cs="宋体"/>
          <w:b/>
          <w:sz w:val="24"/>
          <w:lang w:bidi="ar"/>
        </w:rPr>
        <w:t>三、编制时间要求</w:t>
      </w:r>
      <w:bookmarkEnd w:id="2"/>
    </w:p>
    <w:p>
      <w:pPr>
        <w:spacing w:line="480" w:lineRule="auto"/>
        <w:ind w:firstLine="480" w:firstLineChars="200"/>
        <w:rPr>
          <w:rFonts w:hint="eastAsia" w:ascii="宋体" w:hAnsi="宋体" w:cs="宋体"/>
          <w:sz w:val="24"/>
        </w:rPr>
      </w:pPr>
      <w:r>
        <w:rPr>
          <w:rFonts w:hint="eastAsia" w:ascii="宋体" w:hAnsi="宋体" w:cs="宋体"/>
          <w:sz w:val="24"/>
        </w:rPr>
        <w:t>编制工作时间按每个论证项目一般5-10个工作日控制（不含专家评审会），具体根据任务完成时间结合项目紧迫程度确定，如由于非乙方的原因或不可抗力的影响，使工作受阻，则工作计划顺延。单个项目工作安排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1980"/>
        <w:gridCol w:w="2148"/>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01" w:type="dxa"/>
            <w:noWrap w:val="0"/>
            <w:vAlign w:val="center"/>
          </w:tcPr>
          <w:p>
            <w:pPr>
              <w:jc w:val="center"/>
              <w:rPr>
                <w:rFonts w:hint="eastAsia"/>
              </w:rPr>
            </w:pPr>
          </w:p>
          <w:p>
            <w:pPr>
              <w:jc w:val="center"/>
              <w:rPr>
                <w:rFonts w:hint="eastAsia"/>
              </w:rPr>
            </w:pPr>
            <w:r>
              <w:rPr>
                <w:rFonts w:hint="eastAsia"/>
              </w:rPr>
              <w:t>工作阶段</w:t>
            </w:r>
          </w:p>
          <w:p>
            <w:pPr>
              <w:jc w:val="center"/>
            </w:pPr>
          </w:p>
        </w:tc>
        <w:tc>
          <w:tcPr>
            <w:tcW w:w="1980" w:type="dxa"/>
            <w:noWrap w:val="0"/>
            <w:vAlign w:val="center"/>
          </w:tcPr>
          <w:p>
            <w:pPr>
              <w:jc w:val="center"/>
            </w:pPr>
          </w:p>
          <w:p>
            <w:pPr>
              <w:jc w:val="center"/>
            </w:pPr>
            <w:r>
              <w:t>需时 （工作日）</w:t>
            </w:r>
          </w:p>
          <w:p>
            <w:pPr>
              <w:jc w:val="center"/>
            </w:pPr>
          </w:p>
        </w:tc>
        <w:tc>
          <w:tcPr>
            <w:tcW w:w="2148" w:type="dxa"/>
            <w:noWrap w:val="0"/>
            <w:vAlign w:val="center"/>
          </w:tcPr>
          <w:p>
            <w:pPr>
              <w:jc w:val="center"/>
              <w:rPr>
                <w:rFonts w:hint="eastAsia"/>
              </w:rPr>
            </w:pPr>
          </w:p>
          <w:p>
            <w:pPr>
              <w:jc w:val="center"/>
            </w:pPr>
            <w:r>
              <w:rPr>
                <w:rFonts w:hint="eastAsia"/>
              </w:rPr>
              <w:t>预定开始日期</w:t>
            </w:r>
          </w:p>
          <w:p>
            <w:pPr>
              <w:jc w:val="center"/>
            </w:pPr>
          </w:p>
        </w:tc>
        <w:tc>
          <w:tcPr>
            <w:tcW w:w="3302" w:type="dxa"/>
            <w:noWrap w:val="0"/>
            <w:vAlign w:val="center"/>
          </w:tcPr>
          <w:p>
            <w:pPr>
              <w:jc w:val="center"/>
              <w:rPr>
                <w:rFonts w:hint="eastAsia"/>
              </w:rPr>
            </w:pPr>
          </w:p>
          <w:p>
            <w:pPr>
              <w:jc w:val="center"/>
            </w:pPr>
            <w:r>
              <w:rPr>
                <w:rFonts w:hint="eastAsia"/>
              </w:rPr>
              <w:t>工作内容</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01" w:type="dxa"/>
            <w:noWrap w:val="0"/>
            <w:vAlign w:val="center"/>
          </w:tcPr>
          <w:p>
            <w:pPr>
              <w:jc w:val="center"/>
              <w:rPr>
                <w:rFonts w:hint="eastAsia"/>
              </w:rPr>
            </w:pPr>
          </w:p>
          <w:p>
            <w:pPr>
              <w:jc w:val="center"/>
            </w:pPr>
            <w:r>
              <w:rPr>
                <w:rFonts w:hint="eastAsia"/>
              </w:rPr>
              <w:t>第一阶段</w:t>
            </w:r>
          </w:p>
          <w:p>
            <w:pPr>
              <w:jc w:val="center"/>
            </w:pPr>
          </w:p>
        </w:tc>
        <w:tc>
          <w:tcPr>
            <w:tcW w:w="1980" w:type="dxa"/>
            <w:noWrap w:val="0"/>
            <w:vAlign w:val="center"/>
          </w:tcPr>
          <w:p>
            <w:pPr>
              <w:jc w:val="center"/>
              <w:rPr>
                <w:rFonts w:hint="eastAsia"/>
              </w:rPr>
            </w:pPr>
          </w:p>
          <w:p>
            <w:pPr>
              <w:jc w:val="center"/>
            </w:pPr>
            <w:r>
              <w:rPr>
                <w:rFonts w:hint="eastAsia"/>
              </w:rPr>
              <w:t>1-2</w:t>
            </w:r>
          </w:p>
          <w:p>
            <w:pPr>
              <w:jc w:val="center"/>
            </w:pPr>
          </w:p>
        </w:tc>
        <w:tc>
          <w:tcPr>
            <w:tcW w:w="2148" w:type="dxa"/>
            <w:noWrap w:val="0"/>
            <w:vAlign w:val="center"/>
          </w:tcPr>
          <w:p>
            <w:pPr>
              <w:jc w:val="center"/>
              <w:rPr>
                <w:rFonts w:hint="eastAsia"/>
              </w:rPr>
            </w:pPr>
          </w:p>
          <w:p>
            <w:pPr>
              <w:jc w:val="center"/>
            </w:pPr>
            <w:r>
              <w:rPr>
                <w:rFonts w:hint="eastAsia"/>
              </w:rPr>
              <w:t>甲方下达任务之日起</w:t>
            </w:r>
          </w:p>
          <w:p>
            <w:pPr>
              <w:jc w:val="center"/>
            </w:pPr>
          </w:p>
        </w:tc>
        <w:tc>
          <w:tcPr>
            <w:tcW w:w="3302" w:type="dxa"/>
            <w:noWrap w:val="0"/>
            <w:vAlign w:val="center"/>
          </w:tcPr>
          <w:p>
            <w:pPr>
              <w:jc w:val="center"/>
              <w:rPr>
                <w:rFonts w:hint="eastAsia"/>
              </w:rPr>
            </w:pPr>
          </w:p>
          <w:p>
            <w:pPr>
              <w:jc w:val="center"/>
            </w:pPr>
            <w:r>
              <w:rPr>
                <w:rFonts w:hint="eastAsia"/>
              </w:rPr>
              <w:t>收集资料，整理。</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01" w:type="dxa"/>
            <w:noWrap w:val="0"/>
            <w:vAlign w:val="center"/>
          </w:tcPr>
          <w:p>
            <w:pPr>
              <w:jc w:val="center"/>
            </w:pPr>
            <w:r>
              <w:rPr>
                <w:rFonts w:hint="eastAsia"/>
              </w:rPr>
              <w:t>第二阶段</w:t>
            </w:r>
          </w:p>
          <w:p>
            <w:pPr>
              <w:jc w:val="center"/>
            </w:pPr>
          </w:p>
        </w:tc>
        <w:tc>
          <w:tcPr>
            <w:tcW w:w="1980" w:type="dxa"/>
            <w:noWrap w:val="0"/>
            <w:vAlign w:val="center"/>
          </w:tcPr>
          <w:p>
            <w:pPr>
              <w:jc w:val="center"/>
            </w:pPr>
            <w:r>
              <w:rPr>
                <w:rFonts w:hint="eastAsia"/>
              </w:rPr>
              <w:t>2-4</w:t>
            </w:r>
          </w:p>
          <w:p>
            <w:pPr>
              <w:jc w:val="center"/>
            </w:pPr>
          </w:p>
        </w:tc>
        <w:tc>
          <w:tcPr>
            <w:tcW w:w="2148" w:type="dxa"/>
            <w:noWrap w:val="0"/>
            <w:vAlign w:val="center"/>
          </w:tcPr>
          <w:p>
            <w:pPr>
              <w:jc w:val="center"/>
            </w:pPr>
            <w:r>
              <w:rPr>
                <w:rFonts w:hint="eastAsia"/>
              </w:rPr>
              <w:t>完成资料搜集次日</w:t>
            </w:r>
          </w:p>
          <w:p>
            <w:pPr>
              <w:jc w:val="center"/>
            </w:pPr>
          </w:p>
        </w:tc>
        <w:tc>
          <w:tcPr>
            <w:tcW w:w="3302" w:type="dxa"/>
            <w:noWrap w:val="0"/>
            <w:vAlign w:val="center"/>
          </w:tcPr>
          <w:p>
            <w:pPr>
              <w:jc w:val="left"/>
            </w:pPr>
            <w:r>
              <w:rPr>
                <w:rFonts w:hint="eastAsia"/>
              </w:rPr>
              <w:t>完成初步方案，并根据甲方意见修改完善，形成专家会审议成果。由甲方组织专家评审会审查。</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01" w:type="dxa"/>
            <w:noWrap w:val="0"/>
            <w:vAlign w:val="center"/>
          </w:tcPr>
          <w:p>
            <w:pPr>
              <w:jc w:val="center"/>
            </w:pPr>
            <w:r>
              <w:rPr>
                <w:rFonts w:hint="eastAsia"/>
              </w:rPr>
              <w:t>第三阶段</w:t>
            </w:r>
          </w:p>
          <w:p>
            <w:pPr>
              <w:jc w:val="center"/>
            </w:pPr>
          </w:p>
        </w:tc>
        <w:tc>
          <w:tcPr>
            <w:tcW w:w="1980" w:type="dxa"/>
            <w:noWrap w:val="0"/>
            <w:vAlign w:val="center"/>
          </w:tcPr>
          <w:p>
            <w:pPr>
              <w:jc w:val="center"/>
            </w:pPr>
            <w:r>
              <w:rPr>
                <w:rFonts w:hint="eastAsia"/>
              </w:rPr>
              <w:t>2-4</w:t>
            </w:r>
          </w:p>
        </w:tc>
        <w:tc>
          <w:tcPr>
            <w:tcW w:w="2148" w:type="dxa"/>
            <w:noWrap w:val="0"/>
            <w:vAlign w:val="center"/>
          </w:tcPr>
          <w:p>
            <w:pPr>
              <w:jc w:val="center"/>
            </w:pPr>
            <w:r>
              <w:rPr>
                <w:rFonts w:hint="eastAsia"/>
              </w:rPr>
              <w:t>专家会通过次日</w:t>
            </w:r>
          </w:p>
          <w:p>
            <w:pPr>
              <w:jc w:val="center"/>
            </w:pPr>
          </w:p>
        </w:tc>
        <w:tc>
          <w:tcPr>
            <w:tcW w:w="3302" w:type="dxa"/>
            <w:noWrap w:val="0"/>
            <w:vAlign w:val="center"/>
          </w:tcPr>
          <w:p>
            <w:pPr>
              <w:jc w:val="left"/>
            </w:pPr>
            <w:r>
              <w:rPr>
                <w:rFonts w:hint="eastAsia"/>
              </w:rPr>
              <w:t>根据专家会意见修改方案，形成最终报政府成果。</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01" w:type="dxa"/>
            <w:noWrap w:val="0"/>
            <w:vAlign w:val="center"/>
          </w:tcPr>
          <w:p>
            <w:pPr>
              <w:jc w:val="center"/>
            </w:pPr>
            <w:r>
              <w:rPr>
                <w:rFonts w:hint="eastAsia"/>
              </w:rPr>
              <w:t>第四阶段</w:t>
            </w:r>
          </w:p>
          <w:p>
            <w:pPr>
              <w:jc w:val="center"/>
            </w:pPr>
          </w:p>
        </w:tc>
        <w:tc>
          <w:tcPr>
            <w:tcW w:w="1980" w:type="dxa"/>
            <w:noWrap w:val="0"/>
            <w:vAlign w:val="center"/>
          </w:tcPr>
          <w:p>
            <w:pPr>
              <w:jc w:val="center"/>
            </w:pPr>
            <w:r>
              <w:rPr>
                <w:rFonts w:hint="eastAsia"/>
              </w:rPr>
              <w:t>2-4</w:t>
            </w:r>
          </w:p>
        </w:tc>
        <w:tc>
          <w:tcPr>
            <w:tcW w:w="2148" w:type="dxa"/>
            <w:noWrap w:val="0"/>
            <w:vAlign w:val="center"/>
          </w:tcPr>
          <w:p>
            <w:pPr>
              <w:jc w:val="center"/>
            </w:pPr>
            <w:r>
              <w:rPr>
                <w:rFonts w:hint="eastAsia"/>
              </w:rPr>
              <w:t>控规调整批准次日</w:t>
            </w:r>
          </w:p>
          <w:p>
            <w:pPr>
              <w:jc w:val="center"/>
            </w:pPr>
          </w:p>
        </w:tc>
        <w:tc>
          <w:tcPr>
            <w:tcW w:w="3302" w:type="dxa"/>
            <w:noWrap w:val="0"/>
            <w:vAlign w:val="center"/>
          </w:tcPr>
          <w:p>
            <w:pPr>
              <w:jc w:val="left"/>
            </w:pPr>
            <w:r>
              <w:rPr>
                <w:rFonts w:hint="eastAsia"/>
              </w:rPr>
              <w:t>对规划入库数据进行核查并形成校核报告。</w:t>
            </w:r>
          </w:p>
          <w:p>
            <w:pPr>
              <w:jc w:val="left"/>
            </w:pPr>
          </w:p>
        </w:tc>
      </w:tr>
    </w:tbl>
    <w:p>
      <w:pPr>
        <w:tabs>
          <w:tab w:val="left" w:pos="1200"/>
        </w:tabs>
        <w:spacing w:line="360" w:lineRule="auto"/>
        <w:outlineLvl w:val="1"/>
        <w:rPr>
          <w:rFonts w:hint="eastAsia" w:ascii="宋体" w:hAnsi="宋体" w:cs="宋体"/>
          <w:b/>
          <w:sz w:val="24"/>
          <w:lang w:bidi="ar"/>
        </w:rPr>
      </w:pPr>
      <w:bookmarkStart w:id="3" w:name="_Toc25259"/>
      <w:r>
        <w:rPr>
          <w:rFonts w:hint="eastAsia" w:ascii="宋体" w:hAnsi="宋体" w:cs="宋体"/>
          <w:b/>
          <w:sz w:val="24"/>
          <w:lang w:bidi="ar"/>
        </w:rPr>
        <w:t>四、成果要求</w:t>
      </w:r>
      <w:bookmarkEnd w:id="3"/>
    </w:p>
    <w:p>
      <w:pPr>
        <w:spacing w:line="480" w:lineRule="auto"/>
        <w:ind w:firstLine="480" w:firstLineChars="200"/>
        <w:rPr>
          <w:rFonts w:hint="eastAsia" w:ascii="宋体" w:hAnsi="宋体" w:cs="宋体"/>
          <w:sz w:val="24"/>
        </w:rPr>
      </w:pPr>
      <w:r>
        <w:rPr>
          <w:rFonts w:hint="eastAsia" w:ascii="宋体" w:hAnsi="宋体" w:cs="宋体"/>
          <w:sz w:val="24"/>
        </w:rPr>
        <w:t>（一）规划成果文件形式：</w:t>
      </w:r>
    </w:p>
    <w:p>
      <w:pPr>
        <w:spacing w:line="480" w:lineRule="auto"/>
        <w:ind w:firstLine="480" w:firstLineChars="200"/>
        <w:rPr>
          <w:rFonts w:hint="eastAsia" w:ascii="宋体" w:hAnsi="宋体" w:cs="宋体"/>
          <w:sz w:val="24"/>
        </w:rPr>
      </w:pPr>
      <w:r>
        <w:rPr>
          <w:rFonts w:hint="eastAsia" w:ascii="宋体" w:hAnsi="宋体" w:cs="宋体"/>
          <w:sz w:val="24"/>
        </w:rPr>
        <w:t>1、图文并茂的论证报告符合规划编制技术要求，验收入库图件并达到省资规厅规划成果入库标准要求，校核报告应指导完成规划成果入库工作；</w:t>
      </w:r>
    </w:p>
    <w:p>
      <w:pPr>
        <w:spacing w:line="480" w:lineRule="auto"/>
        <w:ind w:firstLine="480" w:firstLineChars="200"/>
        <w:rPr>
          <w:rFonts w:hint="eastAsia" w:ascii="宋体" w:hAnsi="宋体" w:cs="宋体"/>
          <w:sz w:val="24"/>
        </w:rPr>
      </w:pPr>
      <w:r>
        <w:rPr>
          <w:rFonts w:hint="eastAsia" w:ascii="宋体" w:hAnsi="宋体" w:cs="宋体"/>
          <w:sz w:val="24"/>
        </w:rPr>
        <w:t>2、电子文件格式：PDF和JPG存入光盘。</w:t>
      </w:r>
    </w:p>
    <w:p>
      <w:pPr>
        <w:spacing w:line="480" w:lineRule="auto"/>
        <w:ind w:firstLine="480" w:firstLineChars="200"/>
        <w:rPr>
          <w:rFonts w:hint="eastAsia" w:ascii="宋体" w:hAnsi="宋体" w:cs="宋体"/>
          <w:sz w:val="24"/>
        </w:rPr>
      </w:pPr>
      <w:r>
        <w:rPr>
          <w:rFonts w:hint="eastAsia" w:ascii="宋体" w:hAnsi="宋体" w:cs="宋体"/>
          <w:sz w:val="24"/>
        </w:rPr>
        <w:t>（二）成果文件数量：</w:t>
      </w:r>
    </w:p>
    <w:p>
      <w:pPr>
        <w:spacing w:line="480" w:lineRule="auto"/>
        <w:ind w:firstLine="480" w:firstLineChars="200"/>
        <w:rPr>
          <w:rFonts w:hint="eastAsia" w:ascii="宋体" w:hAnsi="宋体" w:cs="宋体"/>
          <w:sz w:val="24"/>
        </w:rPr>
      </w:pPr>
      <w:r>
        <w:rPr>
          <w:rFonts w:hint="eastAsia" w:ascii="宋体" w:hAnsi="宋体" w:cs="宋体"/>
          <w:sz w:val="24"/>
        </w:rPr>
        <w:t>1、成果文件缩印本（A3）2套；</w:t>
      </w:r>
    </w:p>
    <w:p>
      <w:pPr>
        <w:spacing w:line="480" w:lineRule="auto"/>
        <w:ind w:firstLine="480" w:firstLineChars="200"/>
        <w:rPr>
          <w:rFonts w:hint="eastAsia" w:ascii="宋体" w:hAnsi="宋体" w:cs="宋体"/>
          <w:sz w:val="24"/>
        </w:rPr>
      </w:pPr>
      <w:r>
        <w:rPr>
          <w:rFonts w:hint="eastAsia" w:ascii="宋体" w:hAnsi="宋体" w:cs="宋体"/>
          <w:sz w:val="24"/>
        </w:rPr>
        <w:t>2、成果电子文件2套。</w:t>
      </w:r>
    </w:p>
    <w:p>
      <w:pPr>
        <w:tabs>
          <w:tab w:val="left" w:pos="1200"/>
        </w:tabs>
        <w:spacing w:line="480" w:lineRule="auto"/>
        <w:outlineLvl w:val="1"/>
        <w:rPr>
          <w:rFonts w:hint="eastAsia" w:ascii="宋体" w:hAnsi="宋体" w:cs="宋体"/>
          <w:b/>
          <w:sz w:val="24"/>
          <w:lang w:bidi="ar"/>
        </w:rPr>
      </w:pPr>
      <w:bookmarkStart w:id="4" w:name="_Toc1723"/>
      <w:r>
        <w:rPr>
          <w:rFonts w:hint="eastAsia" w:ascii="宋体" w:hAnsi="宋体" w:cs="宋体"/>
          <w:b/>
          <w:sz w:val="24"/>
          <w:lang w:bidi="ar"/>
        </w:rPr>
        <w:t>五、工期（服务期）要求</w:t>
      </w:r>
      <w:bookmarkEnd w:id="4"/>
    </w:p>
    <w:p>
      <w:pPr>
        <w:spacing w:line="48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自合同签订之日起2024年6月30日前完成全部工作内容。（若上级主管部门对上述项目进度重新调整的，应从其规定）</w:t>
      </w:r>
    </w:p>
    <w:p>
      <w:pPr>
        <w:tabs>
          <w:tab w:val="left" w:pos="1200"/>
        </w:tabs>
        <w:spacing w:line="480" w:lineRule="auto"/>
        <w:outlineLvl w:val="1"/>
        <w:rPr>
          <w:b/>
          <w:color w:val="000000"/>
          <w:sz w:val="24"/>
          <w:highlight w:val="none"/>
        </w:rPr>
      </w:pPr>
      <w:bookmarkStart w:id="5" w:name="_Toc11491"/>
      <w:r>
        <w:rPr>
          <w:rFonts w:hint="eastAsia" w:ascii="宋体" w:hAnsi="宋体" w:cs="宋体"/>
          <w:b/>
          <w:sz w:val="24"/>
          <w:highlight w:val="none"/>
          <w:lang w:bidi="ar"/>
        </w:rPr>
        <w:t>六、</w:t>
      </w:r>
      <w:r>
        <w:rPr>
          <w:rFonts w:hint="eastAsia"/>
          <w:b/>
          <w:color w:val="000000"/>
          <w:sz w:val="24"/>
          <w:highlight w:val="none"/>
        </w:rPr>
        <w:t>项目所属行业</w:t>
      </w:r>
      <w:bookmarkEnd w:id="5"/>
    </w:p>
    <w:p>
      <w:pPr>
        <w:spacing w:line="480" w:lineRule="auto"/>
        <w:ind w:firstLine="480" w:firstLineChars="200"/>
        <w:rPr>
          <w:b/>
          <w:smallCaps/>
          <w:color w:val="000000"/>
          <w:sz w:val="48"/>
          <w:szCs w:val="48"/>
          <w:highlight w:val="none"/>
        </w:rPr>
      </w:pPr>
      <w:r>
        <w:rPr>
          <w:rFonts w:hint="eastAsia" w:ascii="宋体" w:hAnsi="宋体" w:cs="宋体"/>
          <w:color w:val="000000"/>
          <w:sz w:val="24"/>
          <w:highlight w:val="none"/>
        </w:rPr>
        <w:t>根据《统计上大中小微型企业划分办法（2017）》，本项目所属行业为其他未列明行业。如供应商对本项目所属行业有疑义，请以书面形式向采购代理机构提出。</w:t>
      </w:r>
    </w:p>
    <w:p>
      <w:pPr>
        <w:tabs>
          <w:tab w:val="left" w:pos="1200"/>
        </w:tabs>
        <w:spacing w:line="480" w:lineRule="auto"/>
        <w:outlineLvl w:val="1"/>
        <w:rPr>
          <w:rFonts w:ascii="宋体" w:hAnsi="宋体" w:cs="宋体"/>
          <w:b/>
          <w:sz w:val="24"/>
          <w:highlight w:val="none"/>
          <w:lang w:bidi="ar"/>
        </w:rPr>
      </w:pPr>
      <w:bookmarkStart w:id="6" w:name="_Toc13452"/>
      <w:r>
        <w:rPr>
          <w:rFonts w:hint="eastAsia" w:ascii="宋体" w:hAnsi="宋体" w:cs="宋体"/>
          <w:b/>
          <w:sz w:val="24"/>
          <w:highlight w:val="none"/>
          <w:lang w:bidi="ar"/>
        </w:rPr>
        <w:t>七、验收标准</w:t>
      </w:r>
      <w:bookmarkEnd w:id="6"/>
    </w:p>
    <w:p>
      <w:pPr>
        <w:spacing w:line="480" w:lineRule="auto"/>
        <w:ind w:firstLine="480" w:firstLineChars="200"/>
        <w:rPr>
          <w:rFonts w:hint="eastAsia"/>
          <w:color w:val="FF0000"/>
          <w:highlight w:val="none"/>
        </w:rPr>
      </w:pPr>
      <w:r>
        <w:rPr>
          <w:rFonts w:hint="eastAsia" w:ascii="宋体" w:hAnsi="宋体" w:cs="宋体"/>
          <w:sz w:val="24"/>
          <w:highlight w:val="none"/>
        </w:rPr>
        <w:t>验收图件达到省资规厅规划成果入库标准要求并完成入库工作。（项目成果提交采购人进行检查验收，并由成交供应商承担费用，工作内容未经采购人同意，成交供应商不得以任何形式转包或分包）</w:t>
      </w:r>
    </w:p>
    <w:p>
      <w:bookmarkStart w:id="7" w:name="_GoBack"/>
      <w:bookmarkEnd w:id="7"/>
    </w:p>
    <w:sectPr>
      <w:pgSz w:w="11900" w:h="16838"/>
      <w:pgMar w:top="1400" w:right="926" w:bottom="884" w:left="1440" w:header="0" w:footer="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A7418"/>
    <w:rsid w:val="509262B8"/>
    <w:rsid w:val="69AA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beforeLines="0" w:after="260" w:afterLines="0" w:line="416" w:lineRule="auto"/>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2023-04-19T08:15:00Z</dcterms:created>
  <dc:creator>陈大玲i</dc:creator>
  <cp:lastModifiedBy>陈大玲i</cp:lastModifiedBy>
  <dcterms:modified xsi:type="dcterms:W3CDTF">2023-04-19T08:15:20Z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