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sz w:val="20"/>
        </w:rPr>
      </w:pPr>
    </w:p>
    <w:p>
      <w:pPr>
        <w:pStyle w:val="13"/>
        <w:rPr>
          <w:rFonts w:ascii="Times New Roman"/>
          <w:sz w:val="20"/>
        </w:rPr>
      </w:pPr>
    </w:p>
    <w:p>
      <w:pPr>
        <w:pStyle w:val="13"/>
        <w:jc w:val="center"/>
        <w:rPr>
          <w:rFonts w:ascii="Times New Roman"/>
          <w:sz w:val="20"/>
        </w:rPr>
      </w:pPr>
      <w:r>
        <w:rPr>
          <w:rFonts w:hint="eastAsia"/>
          <w:b/>
          <w:bCs/>
          <w:sz w:val="44"/>
          <w:szCs w:val="44"/>
          <w:lang w:eastAsia="zh-CN"/>
        </w:rPr>
        <w:t>儋州市人民检察院物业管理服务项目</w:t>
      </w: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8"/>
        <w:rPr>
          <w:rFonts w:ascii="Times New Roman"/>
          <w:sz w:val="28"/>
        </w:rPr>
      </w:pPr>
    </w:p>
    <w:p>
      <w:pPr>
        <w:spacing w:line="1059" w:lineRule="exact"/>
        <w:ind w:left="1420"/>
        <w:rPr>
          <w:b/>
          <w:spacing w:val="-87"/>
          <w:sz w:val="84"/>
        </w:rPr>
      </w:pPr>
      <w:r>
        <w:rPr>
          <w:b/>
          <w:spacing w:val="-87"/>
          <w:sz w:val="84"/>
        </w:rPr>
        <w:t>竞 争 性 磋 商 文 件</w:t>
      </w:r>
    </w:p>
    <w:p>
      <w:pPr>
        <w:pStyle w:val="11"/>
        <w:rPr>
          <w:b/>
          <w:spacing w:val="-87"/>
          <w:sz w:val="84"/>
        </w:rPr>
      </w:pPr>
    </w:p>
    <w:p>
      <w:pPr>
        <w:spacing w:line="360" w:lineRule="auto"/>
        <w:ind w:left="1379" w:leftChars="627"/>
        <w:rPr>
          <w:b/>
          <w:bCs/>
          <w:sz w:val="30"/>
          <w:szCs w:val="30"/>
        </w:rPr>
      </w:pPr>
    </w:p>
    <w:p>
      <w:pPr>
        <w:pStyle w:val="11"/>
        <w:rPr>
          <w:b/>
          <w:bCs/>
          <w:sz w:val="30"/>
          <w:szCs w:val="30"/>
        </w:rPr>
      </w:pPr>
    </w:p>
    <w:p>
      <w:pPr>
        <w:pStyle w:val="11"/>
        <w:rPr>
          <w:b/>
          <w:bCs/>
          <w:sz w:val="30"/>
          <w:szCs w:val="30"/>
        </w:rPr>
      </w:pPr>
    </w:p>
    <w:p>
      <w:pPr>
        <w:pStyle w:val="11"/>
        <w:rPr>
          <w:b/>
          <w:bCs/>
          <w:sz w:val="30"/>
          <w:szCs w:val="30"/>
        </w:rPr>
      </w:pPr>
    </w:p>
    <w:p>
      <w:pPr>
        <w:pStyle w:val="11"/>
        <w:rPr>
          <w:b/>
          <w:bCs/>
          <w:sz w:val="30"/>
          <w:szCs w:val="30"/>
        </w:rPr>
      </w:pPr>
    </w:p>
    <w:p>
      <w:pPr>
        <w:pStyle w:val="11"/>
        <w:rPr>
          <w:b/>
          <w:bCs/>
          <w:sz w:val="30"/>
          <w:szCs w:val="30"/>
        </w:rPr>
      </w:pPr>
    </w:p>
    <w:p>
      <w:pPr>
        <w:pStyle w:val="11"/>
        <w:rPr>
          <w:b/>
          <w:bCs/>
          <w:sz w:val="30"/>
          <w:szCs w:val="30"/>
        </w:rPr>
      </w:pPr>
    </w:p>
    <w:p>
      <w:pPr>
        <w:pStyle w:val="11"/>
        <w:rPr>
          <w:b/>
          <w:bCs/>
          <w:sz w:val="30"/>
          <w:szCs w:val="30"/>
        </w:rPr>
      </w:pPr>
    </w:p>
    <w:p>
      <w:pPr>
        <w:spacing w:line="360" w:lineRule="auto"/>
        <w:ind w:left="1379" w:leftChars="627"/>
        <w:rPr>
          <w:b/>
          <w:bCs/>
          <w:sz w:val="30"/>
          <w:szCs w:val="30"/>
        </w:rPr>
      </w:pPr>
    </w:p>
    <w:p>
      <w:pPr>
        <w:spacing w:line="360" w:lineRule="auto"/>
        <w:ind w:left="1379" w:leftChars="627"/>
        <w:rPr>
          <w:b/>
          <w:bCs/>
          <w:sz w:val="30"/>
          <w:szCs w:val="30"/>
        </w:rPr>
      </w:pPr>
    </w:p>
    <w:p>
      <w:pPr>
        <w:spacing w:line="360" w:lineRule="auto"/>
        <w:ind w:left="1379" w:leftChars="627"/>
        <w:rPr>
          <w:rFonts w:hint="eastAsia"/>
          <w:b/>
          <w:bCs/>
          <w:sz w:val="30"/>
          <w:szCs w:val="30"/>
          <w:lang w:eastAsia="zh-CN"/>
        </w:rPr>
      </w:pPr>
      <w:r>
        <w:rPr>
          <w:b/>
          <w:bCs/>
          <w:sz w:val="30"/>
          <w:szCs w:val="30"/>
        </w:rPr>
        <w:t>项目名称：</w:t>
      </w:r>
      <w:r>
        <w:rPr>
          <w:rFonts w:hint="eastAsia"/>
          <w:b/>
          <w:bCs/>
          <w:sz w:val="30"/>
          <w:szCs w:val="30"/>
          <w:lang w:eastAsia="zh-CN"/>
        </w:rPr>
        <w:t>儋州市人民检察院物业管理服务项目</w:t>
      </w:r>
    </w:p>
    <w:p>
      <w:pPr>
        <w:spacing w:line="360" w:lineRule="auto"/>
        <w:ind w:left="1379" w:leftChars="627"/>
        <w:rPr>
          <w:rFonts w:hint="eastAsia"/>
          <w:b/>
          <w:bCs/>
          <w:sz w:val="30"/>
          <w:szCs w:val="30"/>
          <w:lang w:eastAsia="zh-CN"/>
        </w:rPr>
      </w:pPr>
      <w:r>
        <w:rPr>
          <w:b/>
          <w:bCs/>
          <w:sz w:val="30"/>
          <w:szCs w:val="30"/>
        </w:rPr>
        <w:t>编</w:t>
      </w:r>
      <w:r>
        <w:rPr>
          <w:rFonts w:hint="eastAsia"/>
          <w:b/>
          <w:bCs/>
          <w:sz w:val="30"/>
          <w:szCs w:val="30"/>
          <w:lang w:val="en-US"/>
        </w:rPr>
        <w:t xml:space="preserve">    </w:t>
      </w:r>
      <w:r>
        <w:rPr>
          <w:b/>
          <w:bCs/>
          <w:sz w:val="30"/>
          <w:szCs w:val="30"/>
        </w:rPr>
        <w:t>号：</w:t>
      </w:r>
      <w:r>
        <w:rPr>
          <w:rFonts w:hint="eastAsia"/>
          <w:b/>
          <w:bCs/>
          <w:sz w:val="30"/>
          <w:szCs w:val="30"/>
          <w:lang w:val="en-US" w:eastAsia="zh-CN"/>
        </w:rPr>
        <w:t xml:space="preserve">HNXX-CG-2023-008 </w:t>
      </w:r>
    </w:p>
    <w:p>
      <w:pPr>
        <w:spacing w:line="360" w:lineRule="auto"/>
        <w:ind w:left="1379" w:leftChars="627"/>
        <w:rPr>
          <w:b/>
          <w:bCs/>
          <w:sz w:val="30"/>
          <w:szCs w:val="30"/>
        </w:rPr>
      </w:pPr>
      <w:r>
        <w:rPr>
          <w:b/>
          <w:bCs/>
          <w:sz w:val="30"/>
          <w:szCs w:val="30"/>
        </w:rPr>
        <w:t>采购单位：</w:t>
      </w:r>
      <w:r>
        <w:rPr>
          <w:rFonts w:hint="eastAsia"/>
          <w:b/>
          <w:bCs/>
          <w:sz w:val="30"/>
          <w:szCs w:val="30"/>
        </w:rPr>
        <w:t>儋州市人民检察院</w:t>
      </w:r>
    </w:p>
    <w:p>
      <w:pPr>
        <w:spacing w:line="360" w:lineRule="auto"/>
        <w:ind w:left="1379" w:leftChars="627"/>
        <w:rPr>
          <w:b/>
          <w:bCs/>
          <w:sz w:val="30"/>
          <w:szCs w:val="30"/>
        </w:rPr>
      </w:pPr>
      <w:r>
        <w:rPr>
          <w:b/>
          <w:bCs/>
          <w:sz w:val="30"/>
          <w:szCs w:val="30"/>
        </w:rPr>
        <w:t>代理机构：</w:t>
      </w:r>
      <w:r>
        <w:rPr>
          <w:rFonts w:hint="eastAsia"/>
          <w:b/>
          <w:bCs/>
          <w:sz w:val="30"/>
          <w:szCs w:val="30"/>
          <w:lang w:eastAsia="zh-CN"/>
        </w:rPr>
        <w:t>海南鑫翔建设项目管理有限公司</w:t>
      </w:r>
    </w:p>
    <w:p>
      <w:pPr>
        <w:pStyle w:val="13"/>
        <w:rPr>
          <w:b/>
          <w:sz w:val="41"/>
        </w:rPr>
      </w:pPr>
    </w:p>
    <w:p>
      <w:pPr>
        <w:pStyle w:val="7"/>
        <w:ind w:left="0" w:right="100"/>
        <w:jc w:val="center"/>
      </w:pPr>
      <w:r>
        <w:t>二〇二</w:t>
      </w:r>
      <w:r>
        <w:rPr>
          <w:rFonts w:hint="eastAsia"/>
          <w:lang w:val="en-US" w:eastAsia="zh-CN"/>
        </w:rPr>
        <w:t>三</w:t>
      </w:r>
      <w:r>
        <w:t>年</w:t>
      </w:r>
      <w:r>
        <w:rPr>
          <w:rFonts w:hint="eastAsia"/>
          <w:lang w:val="en-US" w:eastAsia="zh-CN"/>
        </w:rPr>
        <w:t>四</w:t>
      </w:r>
      <w:r>
        <w:t>月</w:t>
      </w:r>
    </w:p>
    <w:p>
      <w:pPr>
        <w:jc w:val="center"/>
        <w:sectPr>
          <w:type w:val="continuous"/>
          <w:pgSz w:w="11910" w:h="16840"/>
          <w:pgMar w:top="1580" w:right="760" w:bottom="280" w:left="860" w:header="720" w:footer="720" w:gutter="0"/>
          <w:cols w:space="720" w:num="1"/>
        </w:sectPr>
      </w:pPr>
    </w:p>
    <w:p>
      <w:pPr>
        <w:pStyle w:val="13"/>
        <w:rPr>
          <w:b/>
          <w:sz w:val="20"/>
        </w:rPr>
      </w:pPr>
    </w:p>
    <w:p>
      <w:pPr>
        <w:pStyle w:val="13"/>
        <w:rPr>
          <w:b/>
          <w:sz w:val="20"/>
        </w:rPr>
      </w:pPr>
    </w:p>
    <w:p>
      <w:pPr>
        <w:pStyle w:val="13"/>
        <w:rPr>
          <w:b/>
          <w:sz w:val="20"/>
        </w:rPr>
      </w:pPr>
    </w:p>
    <w:p>
      <w:pPr>
        <w:pStyle w:val="13"/>
        <w:rPr>
          <w:b/>
          <w:sz w:val="20"/>
        </w:rPr>
      </w:pPr>
    </w:p>
    <w:p>
      <w:pPr>
        <w:pStyle w:val="4"/>
        <w:tabs>
          <w:tab w:val="left" w:pos="645"/>
        </w:tabs>
        <w:spacing w:before="224"/>
        <w:rPr>
          <w:highlight w:val="none"/>
        </w:rPr>
      </w:pPr>
      <w:r>
        <w:rPr>
          <w:highlight w:val="none"/>
        </w:rPr>
        <w:t>目</w:t>
      </w:r>
      <w:r>
        <w:rPr>
          <w:highlight w:val="none"/>
        </w:rPr>
        <w:tab/>
      </w:r>
      <w:r>
        <w:rPr>
          <w:highlight w:val="none"/>
        </w:rPr>
        <w:t>录</w:t>
      </w:r>
    </w:p>
    <w:sdt>
      <w:sdtPr>
        <w:rPr>
          <w:sz w:val="21"/>
        </w:rPr>
        <w:id w:val="147475052"/>
        <w:docPartObj>
          <w:docPartGallery w:val="Table of Contents"/>
          <w:docPartUnique/>
        </w:docPartObj>
      </w:sdtPr>
      <w:sdtEndPr>
        <w:rPr>
          <w:sz w:val="21"/>
        </w:rPr>
      </w:sdtEndPr>
      <w:sdtContent>
        <w:p>
          <w:pPr>
            <w:jc w:val="center"/>
          </w:pPr>
        </w:p>
        <w:p>
          <w:pPr>
            <w:pStyle w:val="37"/>
            <w:tabs>
              <w:tab w:val="right" w:pos="2400"/>
              <w:tab w:val="right" w:leader="dot" w:pos="10290"/>
            </w:tabs>
            <w:spacing w:line="480" w:lineRule="auto"/>
            <w:rPr>
              <w:sz w:val="24"/>
              <w:szCs w:val="24"/>
            </w:rPr>
          </w:pPr>
          <w:r>
            <w:fldChar w:fldCharType="begin"/>
          </w:r>
          <w:r>
            <w:instrText xml:space="preserve">TOC \o "1-1" \h \u </w:instrText>
          </w:r>
          <w:r>
            <w:fldChar w:fldCharType="separate"/>
          </w:r>
          <w:r>
            <w:fldChar w:fldCharType="begin"/>
          </w:r>
          <w:r>
            <w:instrText xml:space="preserve"> HYPERLINK \l "_Toc25167" </w:instrText>
          </w:r>
          <w:r>
            <w:fldChar w:fldCharType="separate"/>
          </w:r>
          <w:r>
            <w:rPr>
              <w:sz w:val="24"/>
              <w:szCs w:val="24"/>
            </w:rPr>
            <w:t>第一部分</w:t>
          </w:r>
          <w:r>
            <w:rPr>
              <w:sz w:val="24"/>
              <w:szCs w:val="24"/>
            </w:rPr>
            <w:tab/>
          </w:r>
          <w:r>
            <w:rPr>
              <w:sz w:val="24"/>
              <w:szCs w:val="24"/>
            </w:rPr>
            <w:t>磋商公告</w:t>
          </w:r>
          <w:r>
            <w:rPr>
              <w:sz w:val="24"/>
              <w:szCs w:val="24"/>
            </w:rPr>
            <w:tab/>
          </w:r>
          <w:r>
            <w:rPr>
              <w:sz w:val="24"/>
              <w:szCs w:val="24"/>
            </w:rPr>
            <w:fldChar w:fldCharType="begin"/>
          </w:r>
          <w:r>
            <w:rPr>
              <w:sz w:val="24"/>
              <w:szCs w:val="24"/>
            </w:rPr>
            <w:instrText xml:space="preserve"> PAGEREF _Toc25167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37"/>
            <w:tabs>
              <w:tab w:val="right" w:pos="2400"/>
              <w:tab w:val="right" w:leader="dot" w:pos="10290"/>
            </w:tabs>
            <w:spacing w:line="480" w:lineRule="auto"/>
            <w:rPr>
              <w:sz w:val="24"/>
              <w:szCs w:val="24"/>
            </w:rPr>
          </w:pPr>
          <w:r>
            <w:fldChar w:fldCharType="begin"/>
          </w:r>
          <w:r>
            <w:instrText xml:space="preserve"> HYPERLINK \l "_Toc31153" </w:instrText>
          </w:r>
          <w:r>
            <w:fldChar w:fldCharType="separate"/>
          </w:r>
          <w:r>
            <w:rPr>
              <w:sz w:val="24"/>
              <w:szCs w:val="24"/>
            </w:rPr>
            <w:t>第二部分</w:t>
          </w:r>
          <w:r>
            <w:rPr>
              <w:sz w:val="24"/>
              <w:szCs w:val="24"/>
            </w:rPr>
            <w:tab/>
          </w:r>
          <w:r>
            <w:rPr>
              <w:sz w:val="24"/>
              <w:szCs w:val="24"/>
            </w:rPr>
            <w:t>供应商须知</w:t>
          </w:r>
          <w:r>
            <w:rPr>
              <w:sz w:val="24"/>
              <w:szCs w:val="24"/>
            </w:rPr>
            <w:tab/>
          </w:r>
          <w:r>
            <w:rPr>
              <w:rFonts w:hint="eastAsia"/>
              <w:sz w:val="24"/>
              <w:szCs w:val="24"/>
              <w:lang w:val="en-US" w:eastAsia="zh-CN"/>
            </w:rPr>
            <w:t>4</w:t>
          </w:r>
          <w:r>
            <w:rPr>
              <w:sz w:val="24"/>
              <w:szCs w:val="24"/>
            </w:rPr>
            <w:fldChar w:fldCharType="end"/>
          </w:r>
        </w:p>
        <w:p>
          <w:pPr>
            <w:pStyle w:val="37"/>
            <w:tabs>
              <w:tab w:val="right" w:pos="2400"/>
              <w:tab w:val="right" w:leader="dot" w:pos="10290"/>
            </w:tabs>
            <w:spacing w:line="480" w:lineRule="auto"/>
            <w:rPr>
              <w:sz w:val="24"/>
              <w:szCs w:val="24"/>
            </w:rPr>
          </w:pPr>
          <w:r>
            <w:fldChar w:fldCharType="begin"/>
          </w:r>
          <w:r>
            <w:instrText xml:space="preserve"> HYPERLINK \l "_Toc12345" </w:instrText>
          </w:r>
          <w:r>
            <w:fldChar w:fldCharType="separate"/>
          </w:r>
          <w:r>
            <w:rPr>
              <w:sz w:val="24"/>
              <w:szCs w:val="24"/>
            </w:rPr>
            <w:t>第三部分</w:t>
          </w:r>
          <w:r>
            <w:rPr>
              <w:rFonts w:hint="eastAsia"/>
              <w:sz w:val="24"/>
              <w:szCs w:val="24"/>
              <w:lang w:val="en-US" w:eastAsia="zh-CN"/>
            </w:rPr>
            <w:t xml:space="preserve">   </w:t>
          </w:r>
          <w:r>
            <w:rPr>
              <w:sz w:val="24"/>
              <w:szCs w:val="24"/>
            </w:rPr>
            <w:t>采购需求</w:t>
          </w:r>
          <w:r>
            <w:rPr>
              <w:rFonts w:hint="eastAsia"/>
              <w:sz w:val="24"/>
              <w:szCs w:val="24"/>
              <w:lang w:val="en-US" w:eastAsia="zh-CN"/>
            </w:rPr>
            <w:t xml:space="preserve"> </w:t>
          </w:r>
          <w:r>
            <w:rPr>
              <w:sz w:val="24"/>
              <w:szCs w:val="24"/>
            </w:rPr>
            <w:tab/>
          </w:r>
          <w:r>
            <w:rPr>
              <w:sz w:val="24"/>
              <w:szCs w:val="24"/>
            </w:rPr>
            <w:tab/>
          </w:r>
          <w:r>
            <w:rPr>
              <w:sz w:val="24"/>
              <w:szCs w:val="24"/>
            </w:rPr>
            <w:fldChar w:fldCharType="begin"/>
          </w:r>
          <w:r>
            <w:rPr>
              <w:sz w:val="24"/>
              <w:szCs w:val="24"/>
            </w:rPr>
            <w:instrText xml:space="preserve"> PAGEREF _Toc12345 </w:instrText>
          </w:r>
          <w:r>
            <w:rPr>
              <w:sz w:val="24"/>
              <w:szCs w:val="24"/>
            </w:rPr>
            <w:fldChar w:fldCharType="separate"/>
          </w:r>
          <w:r>
            <w:rPr>
              <w:sz w:val="24"/>
              <w:szCs w:val="24"/>
            </w:rPr>
            <w:t>1</w:t>
          </w:r>
          <w:r>
            <w:rPr>
              <w:rFonts w:hint="eastAsia"/>
              <w:sz w:val="24"/>
              <w:szCs w:val="24"/>
              <w:lang w:val="en-US" w:eastAsia="zh-CN"/>
            </w:rPr>
            <w:t>7</w:t>
          </w:r>
          <w:r>
            <w:rPr>
              <w:sz w:val="24"/>
              <w:szCs w:val="24"/>
            </w:rPr>
            <w:fldChar w:fldCharType="end"/>
          </w:r>
          <w:r>
            <w:rPr>
              <w:sz w:val="24"/>
              <w:szCs w:val="24"/>
            </w:rPr>
            <w:fldChar w:fldCharType="end"/>
          </w:r>
        </w:p>
        <w:p>
          <w:pPr>
            <w:pStyle w:val="37"/>
            <w:tabs>
              <w:tab w:val="right" w:leader="dot" w:pos="10290"/>
            </w:tabs>
            <w:spacing w:line="480" w:lineRule="auto"/>
            <w:rPr>
              <w:sz w:val="24"/>
              <w:szCs w:val="24"/>
            </w:rPr>
          </w:pPr>
          <w:r>
            <w:fldChar w:fldCharType="begin"/>
          </w:r>
          <w:r>
            <w:instrText xml:space="preserve"> HYPERLINK \l "_Toc69" </w:instrText>
          </w:r>
          <w:r>
            <w:fldChar w:fldCharType="separate"/>
          </w:r>
          <w:r>
            <w:rPr>
              <w:sz w:val="24"/>
              <w:szCs w:val="24"/>
            </w:rPr>
            <w:t>第四部分</w:t>
          </w:r>
          <w:r>
            <w:rPr>
              <w:rFonts w:hint="eastAsia"/>
              <w:sz w:val="24"/>
              <w:szCs w:val="24"/>
              <w:lang w:val="en-US" w:eastAsia="zh-CN"/>
            </w:rPr>
            <w:t xml:space="preserve">  </w:t>
          </w:r>
          <w:r>
            <w:rPr>
              <w:sz w:val="24"/>
              <w:szCs w:val="24"/>
            </w:rPr>
            <w:t xml:space="preserve"> 合同文本</w:t>
          </w:r>
          <w:r>
            <w:rPr>
              <w:sz w:val="24"/>
              <w:szCs w:val="24"/>
            </w:rPr>
            <w:tab/>
          </w:r>
          <w:r>
            <w:rPr>
              <w:sz w:val="24"/>
              <w:szCs w:val="24"/>
            </w:rPr>
            <w:fldChar w:fldCharType="begin"/>
          </w:r>
          <w:r>
            <w:rPr>
              <w:sz w:val="24"/>
              <w:szCs w:val="24"/>
            </w:rPr>
            <w:instrText xml:space="preserve"> PAGEREF _Toc69 </w:instrText>
          </w:r>
          <w:r>
            <w:rPr>
              <w:sz w:val="24"/>
              <w:szCs w:val="24"/>
            </w:rPr>
            <w:fldChar w:fldCharType="separate"/>
          </w:r>
          <w:r>
            <w:rPr>
              <w:rFonts w:hint="eastAsia"/>
              <w:sz w:val="24"/>
              <w:szCs w:val="24"/>
              <w:lang w:val="en-US" w:eastAsia="zh-CN"/>
            </w:rPr>
            <w:t>26</w:t>
          </w:r>
          <w:r>
            <w:rPr>
              <w:sz w:val="24"/>
              <w:szCs w:val="24"/>
            </w:rPr>
            <w:fldChar w:fldCharType="end"/>
          </w:r>
          <w:r>
            <w:rPr>
              <w:sz w:val="24"/>
              <w:szCs w:val="24"/>
            </w:rPr>
            <w:fldChar w:fldCharType="end"/>
          </w:r>
        </w:p>
        <w:p>
          <w:pPr>
            <w:pStyle w:val="37"/>
            <w:tabs>
              <w:tab w:val="right" w:pos="2400"/>
              <w:tab w:val="right" w:leader="dot" w:pos="10290"/>
            </w:tabs>
            <w:spacing w:line="480" w:lineRule="auto"/>
            <w:rPr>
              <w:sz w:val="24"/>
              <w:szCs w:val="24"/>
            </w:rPr>
          </w:pPr>
          <w:r>
            <w:fldChar w:fldCharType="begin"/>
          </w:r>
          <w:r>
            <w:instrText xml:space="preserve"> HYPERLINK \l "_Toc14375" </w:instrText>
          </w:r>
          <w:r>
            <w:fldChar w:fldCharType="separate"/>
          </w:r>
          <w:r>
            <w:rPr>
              <w:sz w:val="24"/>
              <w:szCs w:val="24"/>
            </w:rPr>
            <w:t>第五部分</w:t>
          </w:r>
          <w:r>
            <w:rPr>
              <w:sz w:val="24"/>
              <w:szCs w:val="24"/>
            </w:rPr>
            <w:tab/>
          </w:r>
          <w:r>
            <w:rPr>
              <w:sz w:val="24"/>
              <w:szCs w:val="24"/>
            </w:rPr>
            <w:t>评审程序、方法和标准</w:t>
          </w:r>
          <w:r>
            <w:rPr>
              <w:sz w:val="24"/>
              <w:szCs w:val="24"/>
            </w:rPr>
            <w:tab/>
          </w:r>
          <w:r>
            <w:rPr>
              <w:sz w:val="24"/>
              <w:szCs w:val="24"/>
            </w:rPr>
            <w:fldChar w:fldCharType="begin"/>
          </w:r>
          <w:r>
            <w:rPr>
              <w:sz w:val="24"/>
              <w:szCs w:val="24"/>
            </w:rPr>
            <w:instrText xml:space="preserve"> PAGEREF _Toc14375 </w:instrText>
          </w:r>
          <w:r>
            <w:rPr>
              <w:sz w:val="24"/>
              <w:szCs w:val="24"/>
            </w:rPr>
            <w:fldChar w:fldCharType="separate"/>
          </w:r>
          <w:r>
            <w:rPr>
              <w:sz w:val="24"/>
              <w:szCs w:val="24"/>
            </w:rPr>
            <w:t>2</w:t>
          </w:r>
          <w:r>
            <w:rPr>
              <w:rFonts w:hint="eastAsia"/>
              <w:sz w:val="24"/>
              <w:szCs w:val="24"/>
              <w:lang w:val="en-US" w:eastAsia="zh-CN"/>
            </w:rPr>
            <w:t>8</w:t>
          </w:r>
          <w:r>
            <w:rPr>
              <w:sz w:val="24"/>
              <w:szCs w:val="24"/>
            </w:rPr>
            <w:fldChar w:fldCharType="end"/>
          </w:r>
          <w:r>
            <w:rPr>
              <w:sz w:val="24"/>
              <w:szCs w:val="24"/>
            </w:rPr>
            <w:fldChar w:fldCharType="end"/>
          </w:r>
        </w:p>
        <w:p>
          <w:pPr>
            <w:pStyle w:val="37"/>
            <w:tabs>
              <w:tab w:val="right" w:leader="dot" w:pos="10290"/>
            </w:tabs>
            <w:spacing w:line="480" w:lineRule="auto"/>
            <w:rPr>
              <w:rFonts w:hint="eastAsia" w:eastAsia="宋体"/>
              <w:sz w:val="24"/>
              <w:szCs w:val="24"/>
              <w:lang w:val="en-US" w:eastAsia="zh-CN"/>
            </w:rPr>
          </w:pPr>
          <w:r>
            <w:fldChar w:fldCharType="begin"/>
          </w:r>
          <w:r>
            <w:instrText xml:space="preserve"> HYPERLINK \l "_Toc20388" </w:instrText>
          </w:r>
          <w:r>
            <w:fldChar w:fldCharType="separate"/>
          </w:r>
          <w:r>
            <w:rPr>
              <w:sz w:val="24"/>
              <w:szCs w:val="24"/>
            </w:rPr>
            <w:t>第六部分 响应文件格式</w:t>
          </w:r>
          <w:r>
            <w:rPr>
              <w:sz w:val="24"/>
              <w:szCs w:val="24"/>
            </w:rPr>
            <w:tab/>
          </w:r>
          <w:r>
            <w:rPr>
              <w:rFonts w:hint="eastAsia"/>
              <w:sz w:val="24"/>
              <w:szCs w:val="24"/>
              <w:lang w:val="en-US" w:eastAsia="zh-CN"/>
            </w:rPr>
            <w:t>3</w:t>
          </w:r>
          <w:r>
            <w:rPr>
              <w:sz w:val="24"/>
              <w:szCs w:val="24"/>
            </w:rPr>
            <w:fldChar w:fldCharType="end"/>
          </w:r>
          <w:r>
            <w:rPr>
              <w:rFonts w:hint="eastAsia"/>
              <w:sz w:val="24"/>
              <w:szCs w:val="24"/>
              <w:lang w:val="en-US" w:eastAsia="zh-CN"/>
            </w:rPr>
            <w:t>8</w:t>
          </w:r>
        </w:p>
        <w:p>
          <w:r>
            <w:fldChar w:fldCharType="end"/>
          </w:r>
        </w:p>
      </w:sdtContent>
    </w:sdt>
    <w:p>
      <w:pPr>
        <w:pStyle w:val="3"/>
        <w:tabs>
          <w:tab w:val="left" w:pos="2207"/>
        </w:tabs>
        <w:spacing w:before="21"/>
        <w:sectPr>
          <w:footerReference r:id="rId3" w:type="default"/>
          <w:pgSz w:w="11910" w:h="16840"/>
          <w:pgMar w:top="920" w:right="760" w:bottom="1040" w:left="860" w:header="0" w:footer="776" w:gutter="0"/>
          <w:pgNumType w:start="1"/>
          <w:cols w:space="720" w:num="1"/>
        </w:sectPr>
      </w:pPr>
      <w:bookmarkStart w:id="0" w:name="_Toc25167"/>
    </w:p>
    <w:p>
      <w:pPr>
        <w:pStyle w:val="3"/>
        <w:tabs>
          <w:tab w:val="left" w:pos="2207"/>
        </w:tabs>
        <w:spacing w:before="21"/>
      </w:pPr>
      <w:r>
        <w:t>第一部分</w:t>
      </w:r>
      <w:r>
        <w:tab/>
      </w:r>
      <w:r>
        <w:rPr>
          <w:rFonts w:hint="eastAsia"/>
        </w:rPr>
        <w:t>竞争性</w:t>
      </w:r>
      <w:r>
        <w:t>磋商公告</w:t>
      </w:r>
      <w:bookmarkEnd w:id="0"/>
    </w:p>
    <w:p>
      <w:pPr>
        <w:pStyle w:val="13"/>
        <w:spacing w:before="213" w:line="360" w:lineRule="auto"/>
        <w:ind w:left="220" w:right="170" w:firstLine="420" w:firstLineChars="200"/>
        <w:rPr>
          <w:sz w:val="21"/>
          <w:szCs w:val="21"/>
        </w:rPr>
      </w:pPr>
      <w:r>
        <w:rPr>
          <w:rFonts w:hint="eastAsia"/>
          <w:sz w:val="21"/>
          <w:szCs w:val="21"/>
          <w:u w:val="single"/>
          <w:lang w:eastAsia="zh-CN"/>
        </w:rPr>
        <w:t>儋州市人民检察院物业管理服务项目</w:t>
      </w:r>
      <w:r>
        <w:rPr>
          <w:sz w:val="21"/>
          <w:szCs w:val="21"/>
        </w:rPr>
        <w:t>采购项目的潜在供应商应在</w:t>
      </w:r>
      <w:r>
        <w:rPr>
          <w:rFonts w:hint="eastAsia"/>
          <w:sz w:val="21"/>
          <w:szCs w:val="21"/>
          <w:u w:val="single"/>
          <w:lang w:val="en-US"/>
        </w:rPr>
        <w:t xml:space="preserve"> </w:t>
      </w:r>
      <w:r>
        <w:rPr>
          <w:rFonts w:hint="eastAsia"/>
          <w:sz w:val="21"/>
          <w:szCs w:val="21"/>
          <w:u w:val="single"/>
          <w:lang w:eastAsia="zh-CN"/>
        </w:rPr>
        <w:t>海南鑫翔建设项目管理有限公司</w:t>
      </w:r>
      <w:r>
        <w:rPr>
          <w:spacing w:val="-21"/>
          <w:sz w:val="21"/>
          <w:szCs w:val="21"/>
        </w:rPr>
        <w:t>获取采购文件，并于</w:t>
      </w:r>
      <w:r>
        <w:rPr>
          <w:rFonts w:hint="eastAsia" w:ascii="Times New Roman" w:eastAsiaTheme="minorEastAsia"/>
          <w:sz w:val="21"/>
          <w:szCs w:val="21"/>
          <w:u w:val="single"/>
        </w:rPr>
        <w:t xml:space="preserve"> </w:t>
      </w:r>
      <w:r>
        <w:rPr>
          <w:rFonts w:hint="eastAsia"/>
          <w:sz w:val="21"/>
          <w:szCs w:val="21"/>
          <w:highlight w:val="none"/>
          <w:u w:val="single"/>
        </w:rPr>
        <w:t xml:space="preserve"> </w:t>
      </w:r>
      <w:r>
        <w:rPr>
          <w:color w:val="auto"/>
          <w:sz w:val="21"/>
          <w:szCs w:val="21"/>
          <w:highlight w:val="none"/>
        </w:rPr>
        <w:fldChar w:fldCharType="begin"/>
      </w:r>
      <w:r>
        <w:rPr>
          <w:color w:val="auto"/>
          <w:sz w:val="21"/>
          <w:szCs w:val="21"/>
          <w:highlight w:val="none"/>
        </w:rPr>
        <w:instrText xml:space="preserve"> HYPERLINK "http://zw.hainan.gov.cn/ggzy/）获取文件，并于2021年" </w:instrText>
      </w:r>
      <w:r>
        <w:rPr>
          <w:color w:val="auto"/>
          <w:sz w:val="21"/>
          <w:szCs w:val="21"/>
          <w:highlight w:val="none"/>
        </w:rPr>
        <w:fldChar w:fldCharType="separate"/>
      </w:r>
      <w:r>
        <w:rPr>
          <w:rFonts w:hint="eastAsia"/>
          <w:color w:val="auto"/>
          <w:sz w:val="21"/>
          <w:szCs w:val="21"/>
          <w:highlight w:val="none"/>
          <w:u w:val="single"/>
        </w:rPr>
        <w:t>202</w:t>
      </w:r>
      <w:r>
        <w:rPr>
          <w:rFonts w:hint="eastAsia"/>
          <w:color w:val="auto"/>
          <w:sz w:val="21"/>
          <w:szCs w:val="21"/>
          <w:highlight w:val="none"/>
          <w:u w:val="single"/>
          <w:lang w:val="en-US" w:eastAsia="zh-CN"/>
        </w:rPr>
        <w:t>3</w:t>
      </w:r>
      <w:r>
        <w:rPr>
          <w:rFonts w:hint="eastAsia"/>
          <w:color w:val="auto"/>
          <w:sz w:val="21"/>
          <w:szCs w:val="21"/>
          <w:highlight w:val="none"/>
          <w:u w:val="single"/>
        </w:rPr>
        <w:t>年</w:t>
      </w:r>
      <w:r>
        <w:rPr>
          <w:rFonts w:hint="eastAsia"/>
          <w:color w:val="auto"/>
          <w:sz w:val="21"/>
          <w:szCs w:val="21"/>
          <w:highlight w:val="none"/>
          <w:u w:val="single"/>
        </w:rPr>
        <w:fldChar w:fldCharType="end"/>
      </w:r>
      <w:r>
        <w:rPr>
          <w:rFonts w:hint="eastAsia"/>
          <w:color w:val="auto"/>
          <w:sz w:val="21"/>
          <w:szCs w:val="21"/>
          <w:highlight w:val="none"/>
          <w:u w:val="single"/>
          <w:lang w:val="en-US" w:eastAsia="zh-CN"/>
        </w:rPr>
        <w:t>04</w:t>
      </w:r>
      <w:r>
        <w:rPr>
          <w:rFonts w:hint="eastAsia"/>
          <w:color w:val="auto"/>
          <w:sz w:val="21"/>
          <w:szCs w:val="21"/>
          <w:highlight w:val="none"/>
          <w:u w:val="single"/>
        </w:rPr>
        <w:t>月</w:t>
      </w:r>
      <w:r>
        <w:rPr>
          <w:rFonts w:hint="eastAsia"/>
          <w:color w:val="auto"/>
          <w:sz w:val="21"/>
          <w:szCs w:val="21"/>
          <w:highlight w:val="none"/>
          <w:u w:val="single"/>
          <w:lang w:val="en-US" w:eastAsia="zh-CN"/>
        </w:rPr>
        <w:t>27</w:t>
      </w:r>
      <w:r>
        <w:rPr>
          <w:rFonts w:hint="eastAsia"/>
          <w:color w:val="auto"/>
          <w:sz w:val="21"/>
          <w:szCs w:val="21"/>
          <w:highlight w:val="none"/>
          <w:u w:val="single"/>
        </w:rPr>
        <w:t>日</w:t>
      </w:r>
      <w:r>
        <w:rPr>
          <w:rFonts w:hint="eastAsia"/>
          <w:color w:val="auto"/>
          <w:sz w:val="21"/>
          <w:szCs w:val="21"/>
          <w:highlight w:val="none"/>
          <w:u w:val="single"/>
          <w:lang w:val="en-US" w:eastAsia="zh-CN"/>
        </w:rPr>
        <w:t>09</w:t>
      </w:r>
      <w:r>
        <w:rPr>
          <w:rFonts w:hint="eastAsia"/>
          <w:color w:val="auto"/>
          <w:sz w:val="21"/>
          <w:szCs w:val="21"/>
          <w:highlight w:val="none"/>
          <w:u w:val="single"/>
        </w:rPr>
        <w:t>:00 分</w:t>
      </w:r>
      <w:r>
        <w:rPr>
          <w:rFonts w:hint="eastAsia"/>
          <w:sz w:val="21"/>
          <w:szCs w:val="21"/>
          <w:u w:val="single"/>
        </w:rPr>
        <w:t>（</w:t>
      </w:r>
      <w:r>
        <w:rPr>
          <w:spacing w:val="-3"/>
          <w:sz w:val="21"/>
          <w:szCs w:val="21"/>
        </w:rPr>
        <w:t>北</w:t>
      </w:r>
      <w:r>
        <w:rPr>
          <w:sz w:val="21"/>
          <w:szCs w:val="21"/>
        </w:rPr>
        <w:t>京时间）前提交响应文件。</w:t>
      </w:r>
    </w:p>
    <w:p>
      <w:pPr>
        <w:spacing w:before="24" w:line="360" w:lineRule="auto"/>
        <w:ind w:left="220"/>
        <w:outlineLvl w:val="1"/>
        <w:rPr>
          <w:b/>
          <w:sz w:val="21"/>
          <w:szCs w:val="21"/>
        </w:rPr>
      </w:pPr>
      <w:r>
        <w:rPr>
          <w:b/>
          <w:sz w:val="21"/>
          <w:szCs w:val="21"/>
        </w:rPr>
        <w:t>一、项目简介</w:t>
      </w:r>
    </w:p>
    <w:p>
      <w:pPr>
        <w:pStyle w:val="13"/>
        <w:keepNext w:val="0"/>
        <w:keepLines w:val="0"/>
        <w:pageBreakBefore w:val="0"/>
        <w:kinsoku/>
        <w:wordWrap/>
        <w:overflowPunct/>
        <w:topLinePunct w:val="0"/>
        <w:autoSpaceDE w:val="0"/>
        <w:autoSpaceDN w:val="0"/>
        <w:bidi w:val="0"/>
        <w:adjustRightInd/>
        <w:snapToGrid/>
        <w:spacing w:before="148" w:line="240" w:lineRule="auto"/>
        <w:ind w:left="700"/>
        <w:textAlignment w:val="auto"/>
        <w:rPr>
          <w:rFonts w:hint="default" w:eastAsia="宋体"/>
          <w:sz w:val="21"/>
          <w:szCs w:val="21"/>
          <w:lang w:val="en-US" w:eastAsia="zh-CN"/>
        </w:rPr>
      </w:pPr>
      <w:r>
        <w:rPr>
          <w:sz w:val="21"/>
          <w:szCs w:val="21"/>
        </w:rPr>
        <w:t>项目编号：</w:t>
      </w:r>
      <w:r>
        <w:rPr>
          <w:rFonts w:hint="eastAsia"/>
          <w:sz w:val="21"/>
          <w:szCs w:val="21"/>
          <w:lang w:eastAsia="zh-CN"/>
        </w:rPr>
        <w:t xml:space="preserve">HNXX-CG-2023-008 </w:t>
      </w:r>
    </w:p>
    <w:p>
      <w:pPr>
        <w:pStyle w:val="13"/>
        <w:keepNext w:val="0"/>
        <w:keepLines w:val="0"/>
        <w:pageBreakBefore w:val="0"/>
        <w:kinsoku/>
        <w:wordWrap/>
        <w:overflowPunct/>
        <w:topLinePunct w:val="0"/>
        <w:autoSpaceDE w:val="0"/>
        <w:autoSpaceDN w:val="0"/>
        <w:bidi w:val="0"/>
        <w:adjustRightInd/>
        <w:snapToGrid/>
        <w:spacing w:before="173" w:line="240" w:lineRule="auto"/>
        <w:ind w:left="700"/>
        <w:textAlignment w:val="auto"/>
        <w:rPr>
          <w:sz w:val="21"/>
          <w:szCs w:val="21"/>
        </w:rPr>
      </w:pPr>
      <w:r>
        <w:rPr>
          <w:sz w:val="21"/>
          <w:szCs w:val="21"/>
        </w:rPr>
        <w:t>采购方式：竞争性磋商</w:t>
      </w:r>
    </w:p>
    <w:p>
      <w:pPr>
        <w:pStyle w:val="13"/>
        <w:keepNext w:val="0"/>
        <w:keepLines w:val="0"/>
        <w:pageBreakBefore w:val="0"/>
        <w:kinsoku/>
        <w:wordWrap/>
        <w:overflowPunct/>
        <w:topLinePunct w:val="0"/>
        <w:autoSpaceDE w:val="0"/>
        <w:autoSpaceDN w:val="0"/>
        <w:bidi w:val="0"/>
        <w:adjustRightInd/>
        <w:snapToGrid/>
        <w:spacing w:before="172" w:line="240" w:lineRule="auto"/>
        <w:ind w:left="700" w:right="830"/>
        <w:textAlignment w:val="auto"/>
        <w:rPr>
          <w:rFonts w:hint="eastAsia" w:eastAsia="宋体"/>
          <w:spacing w:val="-1"/>
          <w:sz w:val="21"/>
          <w:szCs w:val="21"/>
          <w:lang w:eastAsia="zh-CN"/>
        </w:rPr>
      </w:pPr>
      <w:r>
        <w:rPr>
          <w:spacing w:val="-1"/>
          <w:sz w:val="21"/>
          <w:szCs w:val="21"/>
        </w:rPr>
        <w:t>项目名称：</w:t>
      </w:r>
      <w:r>
        <w:rPr>
          <w:rFonts w:hint="eastAsia"/>
          <w:spacing w:val="-1"/>
          <w:sz w:val="21"/>
          <w:szCs w:val="21"/>
          <w:lang w:eastAsia="zh-CN"/>
        </w:rPr>
        <w:t>儋州市人民检察院物业管理服务项目</w:t>
      </w:r>
    </w:p>
    <w:p>
      <w:pPr>
        <w:pStyle w:val="13"/>
        <w:keepNext w:val="0"/>
        <w:keepLines w:val="0"/>
        <w:pageBreakBefore w:val="0"/>
        <w:kinsoku/>
        <w:wordWrap/>
        <w:overflowPunct/>
        <w:topLinePunct w:val="0"/>
        <w:autoSpaceDE w:val="0"/>
        <w:autoSpaceDN w:val="0"/>
        <w:bidi w:val="0"/>
        <w:adjustRightInd/>
        <w:snapToGrid/>
        <w:spacing w:before="172" w:line="240" w:lineRule="auto"/>
        <w:ind w:left="700" w:right="830"/>
        <w:textAlignment w:val="auto"/>
        <w:rPr>
          <w:spacing w:val="-1"/>
          <w:sz w:val="21"/>
          <w:szCs w:val="21"/>
          <w:highlight w:val="none"/>
          <w:lang w:val="en-US"/>
        </w:rPr>
      </w:pPr>
      <w:r>
        <w:rPr>
          <w:spacing w:val="-1"/>
          <w:sz w:val="21"/>
          <w:szCs w:val="21"/>
          <w:highlight w:val="none"/>
        </w:rPr>
        <w:t>预算金额：</w:t>
      </w:r>
      <w:r>
        <w:rPr>
          <w:rFonts w:hint="eastAsia"/>
          <w:spacing w:val="-1"/>
          <w:sz w:val="21"/>
          <w:szCs w:val="21"/>
          <w:highlight w:val="none"/>
          <w:lang w:val="en-US"/>
        </w:rPr>
        <w:t>1732674.00</w:t>
      </w:r>
      <w:r>
        <w:rPr>
          <w:rFonts w:hint="eastAsia"/>
          <w:spacing w:val="-1"/>
          <w:sz w:val="21"/>
          <w:szCs w:val="21"/>
          <w:highlight w:val="none"/>
        </w:rPr>
        <w:t>元</w:t>
      </w:r>
      <w:r>
        <w:rPr>
          <w:spacing w:val="-1"/>
          <w:sz w:val="21"/>
          <w:szCs w:val="21"/>
          <w:highlight w:val="none"/>
          <w:lang w:val="en-US"/>
        </w:rPr>
        <w:t xml:space="preserve"> </w:t>
      </w:r>
    </w:p>
    <w:p>
      <w:pPr>
        <w:pStyle w:val="13"/>
        <w:keepNext w:val="0"/>
        <w:keepLines w:val="0"/>
        <w:pageBreakBefore w:val="0"/>
        <w:kinsoku/>
        <w:wordWrap/>
        <w:overflowPunct/>
        <w:topLinePunct w:val="0"/>
        <w:autoSpaceDE w:val="0"/>
        <w:autoSpaceDN w:val="0"/>
        <w:bidi w:val="0"/>
        <w:adjustRightInd/>
        <w:snapToGrid/>
        <w:spacing w:before="148" w:line="240" w:lineRule="auto"/>
        <w:ind w:left="700"/>
        <w:textAlignment w:val="auto"/>
        <w:rPr>
          <w:sz w:val="21"/>
          <w:szCs w:val="21"/>
          <w:highlight w:val="none"/>
        </w:rPr>
      </w:pPr>
      <w:r>
        <w:rPr>
          <w:sz w:val="21"/>
          <w:szCs w:val="21"/>
          <w:highlight w:val="none"/>
        </w:rPr>
        <w:t>最高限价：</w:t>
      </w:r>
      <w:r>
        <w:rPr>
          <w:rFonts w:hint="eastAsia"/>
          <w:sz w:val="21"/>
          <w:szCs w:val="21"/>
          <w:highlight w:val="none"/>
          <w:lang w:val="en-US"/>
        </w:rPr>
        <w:t>1732674.00</w:t>
      </w:r>
      <w:r>
        <w:rPr>
          <w:rFonts w:hint="eastAsia"/>
          <w:sz w:val="21"/>
          <w:szCs w:val="21"/>
          <w:highlight w:val="none"/>
        </w:rPr>
        <w:t>元</w:t>
      </w:r>
      <w:r>
        <w:rPr>
          <w:sz w:val="21"/>
          <w:szCs w:val="21"/>
          <w:highlight w:val="none"/>
        </w:rPr>
        <w:t xml:space="preserve"> </w:t>
      </w:r>
    </w:p>
    <w:p>
      <w:pPr>
        <w:pStyle w:val="13"/>
        <w:keepNext w:val="0"/>
        <w:keepLines w:val="0"/>
        <w:pageBreakBefore w:val="0"/>
        <w:kinsoku/>
        <w:wordWrap/>
        <w:overflowPunct/>
        <w:topLinePunct w:val="0"/>
        <w:autoSpaceDE w:val="0"/>
        <w:autoSpaceDN w:val="0"/>
        <w:bidi w:val="0"/>
        <w:adjustRightInd/>
        <w:snapToGrid/>
        <w:spacing w:before="148" w:line="240" w:lineRule="auto"/>
        <w:ind w:left="700"/>
        <w:textAlignment w:val="auto"/>
        <w:rPr>
          <w:sz w:val="21"/>
          <w:szCs w:val="21"/>
        </w:rPr>
      </w:pPr>
      <w:r>
        <w:rPr>
          <w:sz w:val="21"/>
          <w:szCs w:val="21"/>
        </w:rPr>
        <w:t>采购需求：</w:t>
      </w:r>
      <w:r>
        <w:rPr>
          <w:rFonts w:hint="eastAsia"/>
          <w:sz w:val="21"/>
          <w:szCs w:val="21"/>
          <w:lang w:eastAsia="zh-CN"/>
        </w:rPr>
        <w:t>详见招标文件第三部分采购需求</w:t>
      </w:r>
    </w:p>
    <w:p>
      <w:pPr>
        <w:pStyle w:val="13"/>
        <w:keepNext w:val="0"/>
        <w:keepLines w:val="0"/>
        <w:pageBreakBefore w:val="0"/>
        <w:kinsoku/>
        <w:wordWrap/>
        <w:overflowPunct/>
        <w:topLinePunct w:val="0"/>
        <w:autoSpaceDE w:val="0"/>
        <w:autoSpaceDN w:val="0"/>
        <w:bidi w:val="0"/>
        <w:adjustRightInd/>
        <w:snapToGrid/>
        <w:spacing w:before="148" w:line="240" w:lineRule="auto"/>
        <w:ind w:firstLine="420" w:firstLineChars="200"/>
        <w:textAlignment w:val="auto"/>
        <w:rPr>
          <w:sz w:val="21"/>
          <w:szCs w:val="21"/>
          <w:highlight w:val="none"/>
        </w:rPr>
      </w:pPr>
      <w:r>
        <w:rPr>
          <w:rFonts w:hint="eastAsia"/>
          <w:sz w:val="21"/>
          <w:szCs w:val="21"/>
          <w:lang w:val="en-US"/>
        </w:rPr>
        <w:t xml:space="preserve"> </w:t>
      </w:r>
      <w:r>
        <w:rPr>
          <w:rFonts w:hint="eastAsia"/>
          <w:sz w:val="21"/>
          <w:szCs w:val="21"/>
          <w:highlight w:val="none"/>
          <w:lang w:val="en-US"/>
        </w:rPr>
        <w:t xml:space="preserve"> 服务</w:t>
      </w:r>
      <w:r>
        <w:rPr>
          <w:rFonts w:hint="eastAsia"/>
          <w:sz w:val="21"/>
          <w:szCs w:val="21"/>
          <w:highlight w:val="none"/>
          <w:lang w:val="en-US" w:eastAsia="zh-CN"/>
        </w:rPr>
        <w:t>期限</w:t>
      </w:r>
      <w:r>
        <w:rPr>
          <w:rFonts w:hint="eastAsia"/>
          <w:sz w:val="21"/>
          <w:szCs w:val="21"/>
          <w:highlight w:val="none"/>
          <w:lang w:val="en-US"/>
        </w:rPr>
        <w:t>：合同签订生效之日起一年；</w:t>
      </w:r>
    </w:p>
    <w:p>
      <w:pPr>
        <w:pStyle w:val="13"/>
        <w:keepNext w:val="0"/>
        <w:keepLines w:val="0"/>
        <w:pageBreakBefore w:val="0"/>
        <w:kinsoku/>
        <w:wordWrap/>
        <w:overflowPunct/>
        <w:topLinePunct w:val="0"/>
        <w:autoSpaceDE w:val="0"/>
        <w:autoSpaceDN w:val="0"/>
        <w:bidi w:val="0"/>
        <w:adjustRightInd/>
        <w:snapToGrid/>
        <w:spacing w:before="148" w:line="240" w:lineRule="auto"/>
        <w:ind w:left="700"/>
        <w:textAlignment w:val="auto"/>
        <w:rPr>
          <w:sz w:val="21"/>
          <w:szCs w:val="21"/>
          <w:lang w:val="en-US"/>
        </w:rPr>
      </w:pPr>
      <w:r>
        <w:rPr>
          <w:sz w:val="21"/>
          <w:szCs w:val="21"/>
        </w:rPr>
        <w:t>是否允许联合体投标：</w:t>
      </w:r>
      <w:r>
        <w:rPr>
          <w:rFonts w:hint="eastAsia"/>
          <w:sz w:val="21"/>
          <w:szCs w:val="21"/>
          <w:lang w:val="en-US"/>
        </w:rPr>
        <w:t>否</w:t>
      </w:r>
    </w:p>
    <w:p>
      <w:pPr>
        <w:keepNext w:val="0"/>
        <w:keepLines w:val="0"/>
        <w:pageBreakBefore w:val="0"/>
        <w:kinsoku/>
        <w:wordWrap/>
        <w:overflowPunct/>
        <w:topLinePunct w:val="0"/>
        <w:autoSpaceDE w:val="0"/>
        <w:autoSpaceDN w:val="0"/>
        <w:bidi w:val="0"/>
        <w:adjustRightInd/>
        <w:snapToGrid/>
        <w:spacing w:before="38" w:line="240" w:lineRule="auto"/>
        <w:ind w:left="220"/>
        <w:textAlignment w:val="auto"/>
        <w:outlineLvl w:val="1"/>
        <w:rPr>
          <w:b/>
          <w:sz w:val="21"/>
          <w:szCs w:val="21"/>
        </w:rPr>
      </w:pPr>
      <w:r>
        <w:rPr>
          <w:b/>
          <w:sz w:val="21"/>
          <w:szCs w:val="21"/>
        </w:rPr>
        <w:t>二、申请人的资格要求</w:t>
      </w:r>
    </w:p>
    <w:p>
      <w:pPr>
        <w:pStyle w:val="13"/>
        <w:keepNext w:val="0"/>
        <w:keepLines w:val="0"/>
        <w:pageBreakBefore w:val="0"/>
        <w:widowControl w:val="0"/>
        <w:kinsoku/>
        <w:wordWrap/>
        <w:overflowPunct/>
        <w:topLinePunct w:val="0"/>
        <w:autoSpaceDE w:val="0"/>
        <w:autoSpaceDN w:val="0"/>
        <w:bidi w:val="0"/>
        <w:adjustRightInd/>
        <w:snapToGrid/>
        <w:spacing w:before="148" w:line="360" w:lineRule="auto"/>
        <w:ind w:left="697"/>
        <w:textAlignment w:val="auto"/>
        <w:rPr>
          <w:sz w:val="21"/>
          <w:szCs w:val="21"/>
        </w:rPr>
      </w:pPr>
      <w:bookmarkStart w:id="1" w:name="_Toc12511"/>
      <w:r>
        <w:rPr>
          <w:sz w:val="21"/>
          <w:szCs w:val="21"/>
        </w:rPr>
        <w:t>1、满足《中华人民共和国政府采购法》第二十二条规定；</w:t>
      </w:r>
      <w:bookmarkEnd w:id="1"/>
    </w:p>
    <w:p>
      <w:pPr>
        <w:pStyle w:val="13"/>
        <w:keepNext w:val="0"/>
        <w:keepLines w:val="0"/>
        <w:pageBreakBefore w:val="0"/>
        <w:widowControl w:val="0"/>
        <w:kinsoku/>
        <w:wordWrap/>
        <w:overflowPunct/>
        <w:topLinePunct w:val="0"/>
        <w:autoSpaceDE w:val="0"/>
        <w:autoSpaceDN w:val="0"/>
        <w:bidi w:val="0"/>
        <w:adjustRightInd/>
        <w:snapToGrid/>
        <w:spacing w:before="148" w:line="360" w:lineRule="auto"/>
        <w:ind w:left="0" w:leftChars="0" w:firstLine="630" w:firstLineChars="300"/>
        <w:textAlignment w:val="auto"/>
        <w:rPr>
          <w:rFonts w:hint="eastAsia" w:ascii="宋体" w:hAnsi="宋体" w:eastAsia="宋体" w:cs="宋体"/>
          <w:sz w:val="21"/>
          <w:szCs w:val="21"/>
        </w:rPr>
      </w:pPr>
      <w:bookmarkStart w:id="2" w:name="_Toc20431"/>
      <w:r>
        <w:rPr>
          <w:rFonts w:ascii="宋体" w:hAnsi="宋体" w:eastAsia="宋体" w:cs="宋体"/>
          <w:sz w:val="21"/>
          <w:szCs w:val="21"/>
        </w:rPr>
        <w:t>2、落实政府采购政策需满足的资格要求：</w:t>
      </w:r>
      <w:bookmarkEnd w:id="2"/>
      <w:bookmarkStart w:id="3" w:name="_Toc27689"/>
      <w:r>
        <w:rPr>
          <w:rFonts w:hint="eastAsia" w:ascii="宋体" w:hAnsi="宋体" w:eastAsia="宋体" w:cs="宋体"/>
          <w:sz w:val="21"/>
          <w:szCs w:val="21"/>
        </w:rPr>
        <w:t>落实《政府采购促进中小企业发展管理办法》、</w:t>
      </w:r>
      <w:r>
        <w:rPr>
          <w:rFonts w:hint="eastAsia" w:ascii="宋体" w:hAnsi="宋体" w:eastAsia="宋体" w:cs="宋体"/>
          <w:sz w:val="21"/>
          <w:szCs w:val="21"/>
          <w:lang w:eastAsia="zh-CN"/>
        </w:rPr>
        <w:t>《海南省财政厅关于进一步加强政府采购支持中小企业发展的通知》、</w:t>
      </w:r>
      <w:r>
        <w:rPr>
          <w:rFonts w:hint="eastAsia" w:ascii="宋体" w:hAnsi="宋体" w:eastAsia="宋体" w:cs="宋体"/>
          <w:sz w:val="21"/>
          <w:szCs w:val="21"/>
        </w:rPr>
        <w:t>《关于调整优化节能产品、环境标志产品政府采购执行机制的通知》、《关于信息安全产品实施政府采购的通知》、《关于促进残疾人就业政府采购政策的通知》、《财政部司法部关于政府采购支持监狱企业发展有关问题的通知书》等政府采购优惠政策；</w:t>
      </w:r>
    </w:p>
    <w:p>
      <w:pPr>
        <w:pStyle w:val="13"/>
        <w:keepNext w:val="0"/>
        <w:keepLines w:val="0"/>
        <w:pageBreakBefore w:val="0"/>
        <w:widowControl w:val="0"/>
        <w:kinsoku/>
        <w:wordWrap/>
        <w:overflowPunct/>
        <w:topLinePunct w:val="0"/>
        <w:autoSpaceDE w:val="0"/>
        <w:autoSpaceDN w:val="0"/>
        <w:bidi w:val="0"/>
        <w:adjustRightInd/>
        <w:snapToGrid/>
        <w:spacing w:before="148" w:line="360" w:lineRule="auto"/>
        <w:ind w:left="697"/>
        <w:textAlignment w:val="auto"/>
        <w:rPr>
          <w:rFonts w:ascii="宋体" w:hAnsi="宋体" w:eastAsia="宋体" w:cs="宋体"/>
          <w:sz w:val="21"/>
          <w:szCs w:val="21"/>
        </w:rPr>
      </w:pPr>
      <w:r>
        <w:rPr>
          <w:rFonts w:ascii="宋体" w:hAnsi="宋体" w:eastAsia="宋体" w:cs="宋体"/>
          <w:sz w:val="21"/>
          <w:szCs w:val="21"/>
        </w:rPr>
        <w:t>3、本项目的特定资格要求：</w:t>
      </w:r>
      <w:bookmarkEnd w:id="3"/>
    </w:p>
    <w:p>
      <w:pPr>
        <w:pStyle w:val="13"/>
        <w:keepNext w:val="0"/>
        <w:keepLines w:val="0"/>
        <w:pageBreakBefore w:val="0"/>
        <w:widowControl w:val="0"/>
        <w:kinsoku/>
        <w:wordWrap/>
        <w:overflowPunct/>
        <w:topLinePunct w:val="0"/>
        <w:autoSpaceDE w:val="0"/>
        <w:autoSpaceDN w:val="0"/>
        <w:bidi w:val="0"/>
        <w:adjustRightInd/>
        <w:snapToGrid/>
        <w:spacing w:before="148" w:line="360" w:lineRule="auto"/>
        <w:ind w:left="697"/>
        <w:textAlignment w:val="auto"/>
        <w:rPr>
          <w:rFonts w:ascii="宋体" w:hAnsi="宋体" w:eastAsia="宋体" w:cs="宋体"/>
          <w:sz w:val="21"/>
          <w:szCs w:val="21"/>
        </w:rPr>
      </w:pPr>
      <w:r>
        <w:rPr>
          <w:rFonts w:hint="eastAsia" w:ascii="宋体" w:hAnsi="宋体" w:eastAsia="宋体" w:cs="宋体"/>
          <w:sz w:val="21"/>
          <w:szCs w:val="21"/>
          <w:lang w:val="en-US"/>
        </w:rPr>
        <w:t>3.1</w:t>
      </w:r>
      <w:r>
        <w:rPr>
          <w:rFonts w:ascii="宋体" w:hAnsi="宋体" w:eastAsia="宋体" w:cs="宋体"/>
          <w:sz w:val="21"/>
          <w:szCs w:val="21"/>
        </w:rPr>
        <w:t>、在中华人民共和国境内注册、具有独立承担民事责任的能力；</w:t>
      </w:r>
    </w:p>
    <w:p>
      <w:pPr>
        <w:pStyle w:val="13"/>
        <w:keepNext w:val="0"/>
        <w:keepLines w:val="0"/>
        <w:pageBreakBefore w:val="0"/>
        <w:widowControl w:val="0"/>
        <w:kinsoku/>
        <w:wordWrap/>
        <w:overflowPunct/>
        <w:topLinePunct w:val="0"/>
        <w:autoSpaceDE w:val="0"/>
        <w:autoSpaceDN w:val="0"/>
        <w:bidi w:val="0"/>
        <w:adjustRightInd/>
        <w:snapToGrid/>
        <w:spacing w:before="148" w:line="360" w:lineRule="auto"/>
        <w:ind w:left="17" w:leftChars="0" w:firstLine="678" w:firstLineChars="323"/>
        <w:textAlignment w:val="auto"/>
        <w:rPr>
          <w:sz w:val="21"/>
          <w:szCs w:val="21"/>
        </w:rPr>
      </w:pPr>
      <w:r>
        <w:rPr>
          <w:rFonts w:hint="eastAsia"/>
          <w:sz w:val="21"/>
          <w:szCs w:val="21"/>
          <w:lang w:val="en-US"/>
        </w:rPr>
        <w:t>3.2</w:t>
      </w:r>
      <w:r>
        <w:rPr>
          <w:sz w:val="21"/>
          <w:szCs w:val="21"/>
        </w:rPr>
        <w:t>、单位负责人为同一人或者存在直接控股、管理关系的不同供应商，不得参加同一合同项下的政府采购活动（提供书面声明函加盖公章）；</w:t>
      </w:r>
    </w:p>
    <w:p>
      <w:pPr>
        <w:kinsoku/>
        <w:wordWrap/>
        <w:overflowPunct/>
        <w:topLinePunct w:val="0"/>
        <w:autoSpaceDE/>
        <w:bidi w:val="0"/>
        <w:adjustRightInd/>
        <w:spacing w:line="460" w:lineRule="exact"/>
        <w:ind w:firstLine="630" w:firstLineChars="3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具有依法缴纳税收和社会保障资金的良好记录（提供20</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至今</w:t>
      </w:r>
      <w:r>
        <w:rPr>
          <w:rFonts w:hint="eastAsia" w:ascii="宋体" w:hAnsi="宋体" w:eastAsia="宋体" w:cs="宋体"/>
          <w:color w:val="auto"/>
          <w:sz w:val="21"/>
          <w:szCs w:val="21"/>
          <w:highlight w:val="none"/>
          <w:lang w:val="en-US" w:eastAsia="zh-CN"/>
        </w:rPr>
        <w:t>任意</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个月的纳税凭证、提供20</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至今</w:t>
      </w:r>
      <w:r>
        <w:rPr>
          <w:rFonts w:hint="eastAsia" w:ascii="宋体" w:hAnsi="宋体" w:eastAsia="宋体" w:cs="宋体"/>
          <w:color w:val="auto"/>
          <w:sz w:val="21"/>
          <w:szCs w:val="21"/>
          <w:highlight w:val="none"/>
          <w:lang w:val="en-US" w:eastAsia="zh-CN"/>
        </w:rPr>
        <w:t>任意</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个月的社会保障缴费记录凭证）</w:t>
      </w:r>
    </w:p>
    <w:p>
      <w:pPr>
        <w:kinsoku/>
        <w:wordWrap/>
        <w:overflowPunct/>
        <w:topLinePunct w:val="0"/>
        <w:autoSpaceDE/>
        <w:bidi w:val="0"/>
        <w:adjustRightInd/>
        <w:spacing w:line="460" w:lineRule="exact"/>
        <w:ind w:firstLine="630" w:firstLineChars="3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具有良好的商业信誉和健全的财务会计制度；（提供202</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年年度经会计师事务所审计的财务报告或202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年至今任意一个月或一个季度的财务报表）</w:t>
      </w:r>
    </w:p>
    <w:p>
      <w:pPr>
        <w:pStyle w:val="13"/>
        <w:keepNext w:val="0"/>
        <w:keepLines w:val="0"/>
        <w:pageBreakBefore w:val="0"/>
        <w:widowControl w:val="0"/>
        <w:kinsoku/>
        <w:wordWrap/>
        <w:overflowPunct/>
        <w:topLinePunct w:val="0"/>
        <w:autoSpaceDE w:val="0"/>
        <w:autoSpaceDN w:val="0"/>
        <w:bidi w:val="0"/>
        <w:adjustRightInd/>
        <w:snapToGrid/>
        <w:spacing w:before="148" w:line="360" w:lineRule="auto"/>
        <w:ind w:left="0" w:leftChars="0" w:firstLine="630" w:firstLineChars="300"/>
        <w:textAlignment w:val="auto"/>
        <w:rPr>
          <w:sz w:val="21"/>
          <w:szCs w:val="21"/>
        </w:rPr>
      </w:pPr>
      <w:r>
        <w:rPr>
          <w:rFonts w:hint="eastAsia"/>
          <w:sz w:val="21"/>
          <w:szCs w:val="21"/>
          <w:lang w:val="en-US"/>
        </w:rPr>
        <w:t>3.5</w:t>
      </w:r>
      <w:r>
        <w:rPr>
          <w:sz w:val="21"/>
          <w:szCs w:val="21"/>
        </w:rPr>
        <w:t>、</w:t>
      </w:r>
      <w:r>
        <w:rPr>
          <w:rFonts w:hint="eastAsia" w:ascii="宋体" w:hAnsi="宋体" w:eastAsia="宋体" w:cs="宋体"/>
          <w:color w:val="auto"/>
          <w:sz w:val="21"/>
          <w:szCs w:val="21"/>
          <w:highlight w:val="none"/>
          <w:lang w:val="en-US" w:eastAsia="zh-CN"/>
        </w:rPr>
        <w:t>提供政府采购活动三年内，在经营活动中没有重大违法记录声明函（成立不足以实际注册年限为准）</w:t>
      </w:r>
      <w:r>
        <w:rPr>
          <w:sz w:val="21"/>
          <w:szCs w:val="21"/>
        </w:rPr>
        <w:t>；</w:t>
      </w:r>
    </w:p>
    <w:p>
      <w:pPr>
        <w:kinsoku/>
        <w:wordWrap/>
        <w:overflowPunct/>
        <w:topLinePunct w:val="0"/>
        <w:autoSpaceDE/>
        <w:bidi w:val="0"/>
        <w:adjustRightInd/>
        <w:spacing w:line="460" w:lineRule="exact"/>
        <w:ind w:firstLine="630" w:firstLineChars="300"/>
        <w:rPr>
          <w:rFonts w:hint="eastAsia" w:ascii="宋体" w:hAnsi="宋体" w:eastAsia="宋体" w:cs="宋体"/>
          <w:color w:val="auto"/>
          <w:sz w:val="21"/>
          <w:szCs w:val="21"/>
          <w:highlight w:val="none"/>
          <w:lang w:val="en-US" w:eastAsia="zh-CN"/>
        </w:rPr>
      </w:pPr>
      <w:r>
        <w:rPr>
          <w:rFonts w:hint="eastAsia"/>
          <w:sz w:val="21"/>
          <w:szCs w:val="21"/>
          <w:lang w:val="en-US"/>
        </w:rPr>
        <w:t>3.6</w:t>
      </w:r>
      <w:r>
        <w:rPr>
          <w:sz w:val="21"/>
          <w:szCs w:val="21"/>
        </w:rPr>
        <w:t>、</w:t>
      </w:r>
      <w:r>
        <w:rPr>
          <w:rFonts w:hint="eastAsia" w:ascii="宋体" w:hAnsi="宋体" w:eastAsia="宋体" w:cs="宋体"/>
          <w:color w:val="auto"/>
          <w:sz w:val="21"/>
          <w:szCs w:val="21"/>
          <w:highlight w:val="none"/>
          <w:lang w:val="en-US" w:eastAsia="zh-CN"/>
        </w:rPr>
        <w:t>必须为未被列入信用中国网站(www.creditchina.gov.cn)的“重大税收违法失信主体”、“政府采购严重违法失信行为记录名单”和中国政府采购网(www.ccgp.gov.cn) 的“政府采购严重违法失信行为记录名单”以及中国执行信息公开网（http://zxgk.court.gov.cn/shixin/）“失信被执行人”的供应商（提供承诺函加盖公章，由采购人或采购代理机构将于响应文件提交截止时间之前在“信用中国”网站、“中国政府采购网”网站等渠道对供应商进行信用记录查询）；</w:t>
      </w:r>
    </w:p>
    <w:p>
      <w:pPr>
        <w:pStyle w:val="13"/>
        <w:keepNext w:val="0"/>
        <w:keepLines w:val="0"/>
        <w:pageBreakBefore w:val="0"/>
        <w:widowControl w:val="0"/>
        <w:kinsoku/>
        <w:wordWrap/>
        <w:overflowPunct/>
        <w:topLinePunct w:val="0"/>
        <w:autoSpaceDE w:val="0"/>
        <w:autoSpaceDN w:val="0"/>
        <w:bidi w:val="0"/>
        <w:adjustRightInd/>
        <w:snapToGrid/>
        <w:spacing w:before="148" w:line="360" w:lineRule="auto"/>
        <w:ind w:left="697"/>
        <w:textAlignment w:val="auto"/>
        <w:rPr>
          <w:rFonts w:hint="eastAsia"/>
          <w:sz w:val="21"/>
          <w:szCs w:val="21"/>
          <w:lang w:val="en-US"/>
        </w:rPr>
      </w:pPr>
      <w:r>
        <w:rPr>
          <w:rFonts w:hint="eastAsia"/>
          <w:sz w:val="21"/>
          <w:szCs w:val="21"/>
          <w:lang w:val="en-US"/>
        </w:rPr>
        <w:t>3.7</w:t>
      </w:r>
      <w:r>
        <w:rPr>
          <w:sz w:val="21"/>
          <w:szCs w:val="21"/>
        </w:rPr>
        <w:t>、</w:t>
      </w:r>
      <w:r>
        <w:rPr>
          <w:rFonts w:hint="eastAsia"/>
          <w:sz w:val="21"/>
          <w:szCs w:val="21"/>
        </w:rPr>
        <w:t>购买本项目磋商文件并缴纳磋商保证金</w:t>
      </w:r>
    </w:p>
    <w:p>
      <w:pPr>
        <w:keepNext w:val="0"/>
        <w:keepLines w:val="0"/>
        <w:pageBreakBefore w:val="0"/>
        <w:kinsoku/>
        <w:wordWrap/>
        <w:overflowPunct/>
        <w:topLinePunct w:val="0"/>
        <w:autoSpaceDE w:val="0"/>
        <w:autoSpaceDN w:val="0"/>
        <w:bidi w:val="0"/>
        <w:adjustRightInd/>
        <w:snapToGrid/>
        <w:spacing w:before="172" w:line="240" w:lineRule="auto"/>
        <w:ind w:left="700" w:right="5384"/>
        <w:textAlignment w:val="auto"/>
        <w:outlineLvl w:val="1"/>
        <w:rPr>
          <w:b/>
          <w:sz w:val="21"/>
          <w:szCs w:val="21"/>
        </w:rPr>
      </w:pPr>
      <w:r>
        <w:rPr>
          <w:b/>
          <w:sz w:val="21"/>
          <w:szCs w:val="21"/>
        </w:rPr>
        <w:t>三、获取采购文件</w:t>
      </w:r>
    </w:p>
    <w:p>
      <w:pPr>
        <w:pStyle w:val="13"/>
        <w:keepNext w:val="0"/>
        <w:keepLines w:val="0"/>
        <w:pageBreakBefore w:val="0"/>
        <w:widowControl w:val="0"/>
        <w:kinsoku/>
        <w:wordWrap/>
        <w:overflowPunct/>
        <w:topLinePunct w:val="0"/>
        <w:autoSpaceDE w:val="0"/>
        <w:autoSpaceDN w:val="0"/>
        <w:bidi w:val="0"/>
        <w:adjustRightInd/>
        <w:snapToGrid/>
        <w:spacing w:before="173" w:line="360" w:lineRule="auto"/>
        <w:ind w:left="220" w:right="320" w:firstLine="480"/>
        <w:textAlignment w:val="auto"/>
        <w:rPr>
          <w:rFonts w:ascii="宋体" w:hAnsi="宋体" w:eastAsia="宋体" w:cs="宋体"/>
          <w:sz w:val="21"/>
          <w:szCs w:val="21"/>
        </w:rPr>
      </w:pPr>
      <w:r>
        <w:rPr>
          <w:rFonts w:ascii="宋体" w:hAnsi="宋体" w:eastAsia="宋体" w:cs="宋体"/>
          <w:sz w:val="21"/>
          <w:szCs w:val="21"/>
        </w:rPr>
        <w:t>时间</w:t>
      </w:r>
      <w:r>
        <w:rPr>
          <w:rFonts w:hint="eastAsia" w:ascii="宋体" w:hAnsi="宋体" w:eastAsia="宋体" w:cs="宋体"/>
          <w:sz w:val="21"/>
          <w:szCs w:val="21"/>
          <w:lang w:val="en-US"/>
        </w:rPr>
        <w:t>:</w:t>
      </w:r>
      <w:r>
        <w:rPr>
          <w:rFonts w:hint="eastAsia" w:ascii="宋体" w:hAnsi="宋体" w:eastAsia="宋体" w:cs="宋体"/>
          <w:sz w:val="21"/>
          <w:szCs w:val="21"/>
          <w:highlight w:val="none"/>
        </w:rPr>
        <w:t>202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年</w:t>
      </w:r>
      <w:r>
        <w:rPr>
          <w:rFonts w:hint="eastAsia" w:cs="宋体"/>
          <w:sz w:val="21"/>
          <w:szCs w:val="21"/>
          <w:highlight w:val="none"/>
          <w:lang w:val="en-US" w:eastAsia="zh-CN"/>
        </w:rPr>
        <w:t>04</w:t>
      </w:r>
      <w:r>
        <w:rPr>
          <w:rFonts w:hint="eastAsia" w:ascii="宋体" w:hAnsi="宋体" w:eastAsia="宋体" w:cs="宋体"/>
          <w:sz w:val="21"/>
          <w:szCs w:val="21"/>
          <w:highlight w:val="none"/>
        </w:rPr>
        <w:t>月</w:t>
      </w:r>
      <w:r>
        <w:rPr>
          <w:rFonts w:hint="eastAsia" w:cs="宋体"/>
          <w:sz w:val="21"/>
          <w:szCs w:val="21"/>
          <w:highlight w:val="none"/>
          <w:lang w:val="en-US" w:eastAsia="zh-CN"/>
        </w:rPr>
        <w:t>17</w:t>
      </w:r>
      <w:r>
        <w:rPr>
          <w:rFonts w:hint="eastAsia" w:ascii="宋体" w:hAnsi="宋体" w:eastAsia="宋体" w:cs="宋体"/>
          <w:sz w:val="21"/>
          <w:szCs w:val="21"/>
          <w:highlight w:val="none"/>
        </w:rPr>
        <w:t>日至202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年</w:t>
      </w:r>
      <w:r>
        <w:rPr>
          <w:rFonts w:hint="eastAsia" w:cs="宋体"/>
          <w:sz w:val="21"/>
          <w:szCs w:val="21"/>
          <w:highlight w:val="none"/>
          <w:lang w:val="en-US" w:eastAsia="zh-CN"/>
        </w:rPr>
        <w:t>04</w:t>
      </w:r>
      <w:r>
        <w:rPr>
          <w:rFonts w:hint="eastAsia" w:ascii="宋体" w:hAnsi="宋体" w:eastAsia="宋体" w:cs="宋体"/>
          <w:sz w:val="21"/>
          <w:szCs w:val="21"/>
          <w:highlight w:val="none"/>
        </w:rPr>
        <w:t>月</w:t>
      </w:r>
      <w:r>
        <w:rPr>
          <w:rFonts w:hint="eastAsia" w:cs="宋体"/>
          <w:sz w:val="21"/>
          <w:szCs w:val="21"/>
          <w:highlight w:val="none"/>
          <w:lang w:val="en-US" w:eastAsia="zh-CN"/>
        </w:rPr>
        <w:t>21</w:t>
      </w:r>
      <w:r>
        <w:rPr>
          <w:rFonts w:hint="eastAsia" w:ascii="宋体" w:hAnsi="宋体" w:eastAsia="宋体" w:cs="宋体"/>
          <w:sz w:val="21"/>
          <w:szCs w:val="21"/>
          <w:highlight w:val="none"/>
        </w:rPr>
        <w:t>日</w:t>
      </w:r>
      <w:r>
        <w:rPr>
          <w:rFonts w:hint="eastAsia" w:ascii="宋体" w:hAnsi="宋体" w:eastAsia="宋体" w:cs="宋体"/>
          <w:sz w:val="21"/>
          <w:szCs w:val="21"/>
        </w:rPr>
        <w:t>（磋商文件的发售期限自开始之日起不得少于5个工作日），每天上午0</w:t>
      </w:r>
      <w:r>
        <w:rPr>
          <w:rFonts w:hint="eastAsia" w:cs="宋体"/>
          <w:sz w:val="21"/>
          <w:szCs w:val="21"/>
          <w:lang w:val="en-US" w:eastAsia="zh-CN"/>
        </w:rPr>
        <w:t>8</w:t>
      </w:r>
      <w:r>
        <w:rPr>
          <w:rFonts w:hint="eastAsia" w:ascii="宋体" w:hAnsi="宋体" w:eastAsia="宋体" w:cs="宋体"/>
          <w:sz w:val="21"/>
          <w:szCs w:val="21"/>
        </w:rPr>
        <w:t>:</w:t>
      </w:r>
      <w:r>
        <w:rPr>
          <w:rFonts w:hint="eastAsia" w:cs="宋体"/>
          <w:sz w:val="21"/>
          <w:szCs w:val="21"/>
          <w:lang w:val="en-US" w:eastAsia="zh-CN"/>
        </w:rPr>
        <w:t>3</w:t>
      </w:r>
      <w:r>
        <w:rPr>
          <w:rFonts w:hint="eastAsia" w:ascii="宋体" w:hAnsi="宋体" w:eastAsia="宋体" w:cs="宋体"/>
          <w:sz w:val="21"/>
          <w:szCs w:val="21"/>
        </w:rPr>
        <w:t>0至1</w:t>
      </w:r>
      <w:r>
        <w:rPr>
          <w:rFonts w:hint="eastAsia" w:cs="宋体"/>
          <w:sz w:val="21"/>
          <w:szCs w:val="21"/>
          <w:lang w:val="en-US" w:eastAsia="zh-CN"/>
        </w:rPr>
        <w:t>2</w:t>
      </w:r>
      <w:r>
        <w:rPr>
          <w:rFonts w:hint="eastAsia" w:ascii="宋体" w:hAnsi="宋体" w:eastAsia="宋体" w:cs="宋体"/>
          <w:sz w:val="21"/>
          <w:szCs w:val="21"/>
        </w:rPr>
        <w:t>:</w:t>
      </w:r>
      <w:r>
        <w:rPr>
          <w:rFonts w:hint="eastAsia" w:cs="宋体"/>
          <w:sz w:val="21"/>
          <w:szCs w:val="21"/>
          <w:lang w:val="en-US" w:eastAsia="zh-CN"/>
        </w:rPr>
        <w:t>0</w:t>
      </w:r>
      <w:r>
        <w:rPr>
          <w:rFonts w:hint="eastAsia" w:ascii="宋体" w:hAnsi="宋体" w:eastAsia="宋体" w:cs="宋体"/>
          <w:sz w:val="21"/>
          <w:szCs w:val="21"/>
        </w:rPr>
        <w:t>0，下午</w:t>
      </w:r>
      <w:r>
        <w:rPr>
          <w:rFonts w:hint="eastAsia" w:ascii="宋体" w:hAnsi="宋体" w:eastAsia="宋体" w:cs="宋体"/>
          <w:sz w:val="21"/>
          <w:szCs w:val="21"/>
          <w:lang w:val="en-US" w:eastAsia="zh-CN"/>
        </w:rPr>
        <w:t>1</w:t>
      </w:r>
      <w:r>
        <w:rPr>
          <w:rFonts w:hint="eastAsia" w:cs="宋体"/>
          <w:sz w:val="21"/>
          <w:szCs w:val="21"/>
          <w:lang w:val="en-US" w:eastAsia="zh-CN"/>
        </w:rPr>
        <w:t>4</w:t>
      </w:r>
      <w:r>
        <w:rPr>
          <w:rFonts w:hint="eastAsia" w:ascii="宋体" w:hAnsi="宋体" w:eastAsia="宋体" w:cs="宋体"/>
          <w:sz w:val="21"/>
          <w:szCs w:val="21"/>
        </w:rPr>
        <w:t>:</w:t>
      </w:r>
      <w:r>
        <w:rPr>
          <w:rFonts w:hint="eastAsia" w:cs="宋体"/>
          <w:sz w:val="21"/>
          <w:szCs w:val="21"/>
          <w:lang w:val="en-US" w:eastAsia="zh-CN"/>
        </w:rPr>
        <w:t>3</w:t>
      </w:r>
      <w:r>
        <w:rPr>
          <w:rFonts w:hint="eastAsia" w:ascii="宋体" w:hAnsi="宋体" w:eastAsia="宋体" w:cs="宋体"/>
          <w:sz w:val="21"/>
          <w:szCs w:val="21"/>
        </w:rPr>
        <w:t>0至</w:t>
      </w:r>
      <w:r>
        <w:rPr>
          <w:rFonts w:ascii="宋体" w:hAnsi="宋体" w:eastAsia="宋体" w:cs="宋体"/>
          <w:sz w:val="21"/>
          <w:szCs w:val="21"/>
        </w:rPr>
        <w:t>17</w:t>
      </w:r>
      <w:r>
        <w:rPr>
          <w:rFonts w:hint="eastAsia" w:ascii="宋体" w:hAnsi="宋体" w:eastAsia="宋体" w:cs="宋体"/>
          <w:sz w:val="21"/>
          <w:szCs w:val="21"/>
        </w:rPr>
        <w:t>:</w:t>
      </w:r>
      <w:r>
        <w:rPr>
          <w:rFonts w:hint="eastAsia" w:cs="宋体"/>
          <w:sz w:val="21"/>
          <w:szCs w:val="21"/>
          <w:lang w:val="en-US" w:eastAsia="zh-CN"/>
        </w:rPr>
        <w:t>3</w:t>
      </w:r>
      <w:r>
        <w:rPr>
          <w:rFonts w:hint="eastAsia" w:ascii="宋体" w:hAnsi="宋体" w:eastAsia="宋体" w:cs="宋体"/>
          <w:sz w:val="21"/>
          <w:szCs w:val="21"/>
        </w:rPr>
        <w:t>0（北京时间，法定节假日除外 ）</w:t>
      </w:r>
      <w:r>
        <w:rPr>
          <w:rFonts w:ascii="宋体" w:hAnsi="宋体" w:eastAsia="宋体" w:cs="宋体"/>
          <w:sz w:val="21"/>
          <w:szCs w:val="21"/>
        </w:rPr>
        <w:t>。</w:t>
      </w:r>
    </w:p>
    <w:p>
      <w:pPr>
        <w:pStyle w:val="13"/>
        <w:keepNext w:val="0"/>
        <w:keepLines w:val="0"/>
        <w:pageBreakBefore w:val="0"/>
        <w:widowControl w:val="0"/>
        <w:kinsoku/>
        <w:wordWrap/>
        <w:overflowPunct/>
        <w:topLinePunct w:val="0"/>
        <w:autoSpaceDE w:val="0"/>
        <w:autoSpaceDN w:val="0"/>
        <w:bidi w:val="0"/>
        <w:adjustRightInd/>
        <w:snapToGrid/>
        <w:spacing w:before="173" w:line="360" w:lineRule="auto"/>
        <w:ind w:left="220" w:right="320" w:firstLine="480"/>
        <w:textAlignment w:val="auto"/>
        <w:rPr>
          <w:rFonts w:ascii="宋体" w:hAnsi="宋体" w:eastAsia="宋体" w:cs="宋体"/>
          <w:sz w:val="21"/>
          <w:szCs w:val="21"/>
          <w:lang w:val="en-US"/>
        </w:rPr>
      </w:pPr>
      <w:r>
        <w:rPr>
          <w:rFonts w:ascii="宋体" w:hAnsi="宋体" w:eastAsia="宋体" w:cs="宋体"/>
          <w:sz w:val="21"/>
          <w:szCs w:val="21"/>
        </w:rPr>
        <w:t>地点：</w:t>
      </w:r>
      <w:r>
        <w:rPr>
          <w:rFonts w:hint="eastAsia" w:cs="宋体"/>
          <w:i w:val="0"/>
          <w:iCs w:val="0"/>
          <w:color w:val="auto"/>
          <w:kern w:val="2"/>
          <w:sz w:val="21"/>
          <w:szCs w:val="21"/>
          <w:u w:val="none"/>
          <w:lang w:val="en-US" w:eastAsia="zh-CN" w:bidi="ar-SA"/>
        </w:rPr>
        <w:t>海南省儋州市那大镇豪德森达商贸城30栋18号</w:t>
      </w:r>
      <w:r>
        <w:rPr>
          <w:rFonts w:hint="eastAsia" w:ascii="宋体" w:hAnsi="宋体" w:eastAsia="宋体" w:cs="宋体"/>
          <w:sz w:val="21"/>
          <w:szCs w:val="21"/>
          <w:lang w:val="en-US"/>
        </w:rPr>
        <w:t>。</w:t>
      </w:r>
    </w:p>
    <w:p>
      <w:pPr>
        <w:kinsoku/>
        <w:wordWrap/>
        <w:overflowPunct/>
        <w:topLinePunct w:val="0"/>
        <w:autoSpaceDE/>
        <w:bidi w:val="0"/>
        <w:adjustRightInd/>
        <w:spacing w:line="460" w:lineRule="exact"/>
        <w:ind w:firstLine="630" w:firstLineChars="3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需携带以下资料购买磋商文件：企业法人营业执照（副本）、提供本单位公章的合法证明（刻章许可证或印章备案证明或公章为企业注册地公安机关备案的合法有效印章证明材料）、授权委托书（附法人及被授权人身份证）、被授权人身份证及近1个月社保证明。（以上所提供的材料均收加盖公章复印件；提供虚假材料的，报上级主管部门审查）。</w:t>
      </w:r>
    </w:p>
    <w:p>
      <w:pPr>
        <w:pStyle w:val="13"/>
        <w:keepNext w:val="0"/>
        <w:keepLines w:val="0"/>
        <w:pageBreakBefore w:val="0"/>
        <w:widowControl w:val="0"/>
        <w:kinsoku/>
        <w:wordWrap/>
        <w:overflowPunct/>
        <w:topLinePunct w:val="0"/>
        <w:autoSpaceDE w:val="0"/>
        <w:autoSpaceDN w:val="0"/>
        <w:bidi w:val="0"/>
        <w:adjustRightInd/>
        <w:snapToGrid/>
        <w:spacing w:line="360" w:lineRule="auto"/>
        <w:ind w:left="700" w:right="390"/>
        <w:textAlignment w:val="auto"/>
        <w:rPr>
          <w:sz w:val="21"/>
          <w:szCs w:val="21"/>
        </w:rPr>
      </w:pPr>
      <w:r>
        <w:rPr>
          <w:spacing w:val="-5"/>
          <w:sz w:val="21"/>
          <w:szCs w:val="21"/>
        </w:rPr>
        <w:t xml:space="preserve">标书售价： </w:t>
      </w:r>
      <w:r>
        <w:rPr>
          <w:rFonts w:hint="eastAsia"/>
          <w:sz w:val="21"/>
          <w:szCs w:val="21"/>
          <w:lang w:val="en-US" w:eastAsia="zh-CN"/>
        </w:rPr>
        <w:t>3</w:t>
      </w:r>
      <w:r>
        <w:rPr>
          <w:sz w:val="21"/>
          <w:szCs w:val="21"/>
        </w:rPr>
        <w:t>00.00</w:t>
      </w:r>
      <w:r>
        <w:rPr>
          <w:spacing w:val="-8"/>
          <w:sz w:val="21"/>
          <w:szCs w:val="21"/>
        </w:rPr>
        <w:t xml:space="preserve"> 元</w:t>
      </w:r>
      <w:r>
        <w:rPr>
          <w:spacing w:val="-26"/>
          <w:sz w:val="21"/>
          <w:szCs w:val="21"/>
        </w:rPr>
        <w:t>。</w:t>
      </w:r>
    </w:p>
    <w:p>
      <w:pPr>
        <w:keepNext w:val="0"/>
        <w:keepLines w:val="0"/>
        <w:pageBreakBefore w:val="0"/>
        <w:kinsoku/>
        <w:wordWrap/>
        <w:overflowPunct/>
        <w:topLinePunct w:val="0"/>
        <w:autoSpaceDE w:val="0"/>
        <w:autoSpaceDN w:val="0"/>
        <w:bidi w:val="0"/>
        <w:adjustRightInd/>
        <w:snapToGrid/>
        <w:spacing w:before="1" w:line="240" w:lineRule="auto"/>
        <w:ind w:left="220" w:firstLine="422" w:firstLineChars="200"/>
        <w:textAlignment w:val="auto"/>
        <w:outlineLvl w:val="1"/>
        <w:rPr>
          <w:b/>
          <w:sz w:val="21"/>
          <w:szCs w:val="21"/>
        </w:rPr>
      </w:pPr>
      <w:r>
        <w:rPr>
          <w:b/>
          <w:sz w:val="21"/>
          <w:szCs w:val="21"/>
        </w:rPr>
        <w:t>四、响应文件提交</w:t>
      </w:r>
    </w:p>
    <w:p>
      <w:pPr>
        <w:pStyle w:val="13"/>
        <w:keepNext w:val="0"/>
        <w:keepLines w:val="0"/>
        <w:pageBreakBefore w:val="0"/>
        <w:kinsoku/>
        <w:wordWrap/>
        <w:overflowPunct/>
        <w:topLinePunct w:val="0"/>
        <w:autoSpaceDE w:val="0"/>
        <w:autoSpaceDN w:val="0"/>
        <w:bidi w:val="0"/>
        <w:adjustRightInd/>
        <w:snapToGrid/>
        <w:spacing w:before="173" w:line="240" w:lineRule="auto"/>
        <w:ind w:left="220" w:right="1050" w:firstLine="360"/>
        <w:textAlignment w:val="auto"/>
        <w:rPr>
          <w:sz w:val="21"/>
          <w:szCs w:val="21"/>
        </w:rPr>
      </w:pPr>
      <w:r>
        <w:rPr>
          <w:sz w:val="21"/>
          <w:szCs w:val="21"/>
        </w:rPr>
        <w:t>截止时间：</w:t>
      </w:r>
      <w:r>
        <w:rPr>
          <w:rFonts w:hint="eastAsia"/>
          <w:sz w:val="21"/>
          <w:szCs w:val="21"/>
          <w:highlight w:val="none"/>
        </w:rPr>
        <w:t>202</w:t>
      </w:r>
      <w:r>
        <w:rPr>
          <w:rFonts w:hint="eastAsia"/>
          <w:sz w:val="21"/>
          <w:szCs w:val="21"/>
          <w:highlight w:val="none"/>
          <w:lang w:val="en-US" w:eastAsia="zh-CN"/>
        </w:rPr>
        <w:t>3</w:t>
      </w:r>
      <w:r>
        <w:rPr>
          <w:rFonts w:hint="eastAsia"/>
          <w:sz w:val="21"/>
          <w:szCs w:val="21"/>
          <w:highlight w:val="none"/>
        </w:rPr>
        <w:t>年0</w:t>
      </w:r>
      <w:r>
        <w:rPr>
          <w:rFonts w:hint="eastAsia"/>
          <w:sz w:val="21"/>
          <w:szCs w:val="21"/>
          <w:highlight w:val="none"/>
          <w:lang w:val="en-US" w:eastAsia="zh-CN"/>
        </w:rPr>
        <w:t>4</w:t>
      </w:r>
      <w:r>
        <w:rPr>
          <w:rFonts w:hint="eastAsia"/>
          <w:sz w:val="21"/>
          <w:szCs w:val="21"/>
          <w:highlight w:val="none"/>
        </w:rPr>
        <w:t>月</w:t>
      </w:r>
      <w:r>
        <w:rPr>
          <w:rFonts w:hint="eastAsia"/>
          <w:sz w:val="21"/>
          <w:szCs w:val="21"/>
          <w:highlight w:val="none"/>
          <w:lang w:val="en-US" w:eastAsia="zh-CN"/>
        </w:rPr>
        <w:t>27</w:t>
      </w:r>
      <w:r>
        <w:rPr>
          <w:rFonts w:hint="eastAsia"/>
          <w:sz w:val="21"/>
          <w:szCs w:val="21"/>
          <w:highlight w:val="none"/>
        </w:rPr>
        <w:t>日</w:t>
      </w:r>
      <w:r>
        <w:rPr>
          <w:rFonts w:hint="eastAsia"/>
          <w:sz w:val="21"/>
          <w:szCs w:val="21"/>
          <w:highlight w:val="none"/>
          <w:lang w:val="en-US" w:eastAsia="zh-CN"/>
        </w:rPr>
        <w:t>09</w:t>
      </w:r>
      <w:r>
        <w:rPr>
          <w:rFonts w:hint="eastAsia"/>
          <w:sz w:val="21"/>
          <w:szCs w:val="21"/>
          <w:highlight w:val="none"/>
        </w:rPr>
        <w:t>:00</w:t>
      </w:r>
      <w:r>
        <w:rPr>
          <w:sz w:val="21"/>
          <w:szCs w:val="21"/>
        </w:rPr>
        <w:t>（北京时间）</w:t>
      </w:r>
    </w:p>
    <w:p>
      <w:pPr>
        <w:pStyle w:val="13"/>
        <w:keepNext w:val="0"/>
        <w:keepLines w:val="0"/>
        <w:pageBreakBefore w:val="0"/>
        <w:kinsoku/>
        <w:wordWrap/>
        <w:overflowPunct/>
        <w:topLinePunct w:val="0"/>
        <w:autoSpaceDE w:val="0"/>
        <w:autoSpaceDN w:val="0"/>
        <w:bidi w:val="0"/>
        <w:adjustRightInd/>
        <w:snapToGrid/>
        <w:spacing w:before="173" w:line="240" w:lineRule="auto"/>
        <w:ind w:left="220" w:right="1050" w:firstLine="360"/>
        <w:textAlignment w:val="auto"/>
        <w:rPr>
          <w:rFonts w:hint="eastAsia" w:eastAsia="宋体"/>
          <w:sz w:val="21"/>
          <w:szCs w:val="21"/>
          <w:lang w:val="en-US" w:eastAsia="zh-CN"/>
        </w:rPr>
      </w:pPr>
      <w:r>
        <w:rPr>
          <w:sz w:val="21"/>
          <w:szCs w:val="21"/>
        </w:rPr>
        <w:t>地点：</w:t>
      </w:r>
      <w:r>
        <w:rPr>
          <w:rFonts w:hint="eastAsia" w:cs="宋体"/>
          <w:i w:val="0"/>
          <w:iCs w:val="0"/>
          <w:color w:val="auto"/>
          <w:kern w:val="2"/>
          <w:sz w:val="21"/>
          <w:szCs w:val="21"/>
          <w:u w:val="none"/>
          <w:lang w:val="en-US" w:eastAsia="zh-CN" w:bidi="ar-SA"/>
        </w:rPr>
        <w:t>海南省儋州市那大镇豪德森达商贸城30栋18号</w:t>
      </w:r>
    </w:p>
    <w:p>
      <w:pPr>
        <w:pStyle w:val="13"/>
        <w:keepNext w:val="0"/>
        <w:keepLines w:val="0"/>
        <w:pageBreakBefore w:val="0"/>
        <w:kinsoku/>
        <w:wordWrap/>
        <w:overflowPunct/>
        <w:topLinePunct w:val="0"/>
        <w:autoSpaceDE w:val="0"/>
        <w:autoSpaceDN w:val="0"/>
        <w:bidi w:val="0"/>
        <w:adjustRightInd/>
        <w:snapToGrid/>
        <w:spacing w:before="173" w:line="240" w:lineRule="auto"/>
        <w:ind w:left="220" w:right="1050" w:firstLine="360"/>
        <w:textAlignment w:val="auto"/>
        <w:outlineLvl w:val="1"/>
        <w:rPr>
          <w:b/>
          <w:sz w:val="21"/>
          <w:szCs w:val="21"/>
        </w:rPr>
      </w:pPr>
      <w:r>
        <w:rPr>
          <w:b/>
          <w:sz w:val="21"/>
          <w:szCs w:val="21"/>
        </w:rPr>
        <w:t>五、开启</w:t>
      </w:r>
    </w:p>
    <w:p>
      <w:pPr>
        <w:pStyle w:val="13"/>
        <w:keepNext w:val="0"/>
        <w:keepLines w:val="0"/>
        <w:pageBreakBefore w:val="0"/>
        <w:kinsoku/>
        <w:wordWrap/>
        <w:overflowPunct/>
        <w:topLinePunct w:val="0"/>
        <w:autoSpaceDE w:val="0"/>
        <w:autoSpaceDN w:val="0"/>
        <w:bidi w:val="0"/>
        <w:adjustRightInd/>
        <w:snapToGrid/>
        <w:spacing w:line="240" w:lineRule="auto"/>
        <w:ind w:left="700"/>
        <w:textAlignment w:val="auto"/>
        <w:rPr>
          <w:sz w:val="21"/>
          <w:szCs w:val="21"/>
        </w:rPr>
      </w:pPr>
      <w:r>
        <w:rPr>
          <w:sz w:val="21"/>
          <w:szCs w:val="21"/>
        </w:rPr>
        <w:t>时间：</w:t>
      </w:r>
      <w:r>
        <w:rPr>
          <w:rFonts w:hint="eastAsia"/>
          <w:sz w:val="21"/>
          <w:szCs w:val="21"/>
          <w:highlight w:val="none"/>
        </w:rPr>
        <w:t>202</w:t>
      </w:r>
      <w:r>
        <w:rPr>
          <w:rFonts w:hint="eastAsia"/>
          <w:sz w:val="21"/>
          <w:szCs w:val="21"/>
          <w:highlight w:val="none"/>
          <w:lang w:val="en-US" w:eastAsia="zh-CN"/>
        </w:rPr>
        <w:t>3</w:t>
      </w:r>
      <w:r>
        <w:rPr>
          <w:rFonts w:hint="eastAsia"/>
          <w:sz w:val="21"/>
          <w:szCs w:val="21"/>
          <w:highlight w:val="none"/>
        </w:rPr>
        <w:t>年</w:t>
      </w:r>
      <w:r>
        <w:rPr>
          <w:rFonts w:hint="eastAsia"/>
          <w:sz w:val="21"/>
          <w:szCs w:val="21"/>
          <w:highlight w:val="none"/>
          <w:lang w:val="en-US" w:eastAsia="zh-CN"/>
        </w:rPr>
        <w:t>04</w:t>
      </w:r>
      <w:r>
        <w:rPr>
          <w:rFonts w:hint="eastAsia"/>
          <w:sz w:val="21"/>
          <w:szCs w:val="21"/>
          <w:highlight w:val="none"/>
        </w:rPr>
        <w:t>月</w:t>
      </w:r>
      <w:r>
        <w:rPr>
          <w:rFonts w:hint="eastAsia"/>
          <w:sz w:val="21"/>
          <w:szCs w:val="21"/>
          <w:highlight w:val="none"/>
          <w:lang w:val="en-US" w:eastAsia="zh-CN"/>
        </w:rPr>
        <w:t>27</w:t>
      </w:r>
      <w:r>
        <w:rPr>
          <w:rFonts w:hint="eastAsia"/>
          <w:sz w:val="21"/>
          <w:szCs w:val="21"/>
          <w:highlight w:val="none"/>
        </w:rPr>
        <w:t>日</w:t>
      </w:r>
      <w:r>
        <w:rPr>
          <w:rFonts w:hint="eastAsia"/>
          <w:sz w:val="21"/>
          <w:szCs w:val="21"/>
          <w:highlight w:val="none"/>
          <w:lang w:val="en-US" w:eastAsia="zh-CN"/>
        </w:rPr>
        <w:t>09</w:t>
      </w:r>
      <w:r>
        <w:rPr>
          <w:rFonts w:hint="eastAsia"/>
          <w:sz w:val="21"/>
          <w:szCs w:val="21"/>
          <w:highlight w:val="none"/>
        </w:rPr>
        <w:t>:00</w:t>
      </w:r>
      <w:r>
        <w:rPr>
          <w:sz w:val="21"/>
          <w:szCs w:val="21"/>
        </w:rPr>
        <w:t xml:space="preserve">（北京时间） </w:t>
      </w:r>
    </w:p>
    <w:p>
      <w:pPr>
        <w:keepNext w:val="0"/>
        <w:keepLines w:val="0"/>
        <w:pageBreakBefore w:val="0"/>
        <w:kinsoku/>
        <w:wordWrap/>
        <w:overflowPunct/>
        <w:topLinePunct w:val="0"/>
        <w:autoSpaceDE w:val="0"/>
        <w:autoSpaceDN w:val="0"/>
        <w:bidi w:val="0"/>
        <w:adjustRightInd/>
        <w:snapToGrid/>
        <w:spacing w:before="173" w:line="240" w:lineRule="auto"/>
        <w:ind w:left="220" w:right="1270" w:firstLine="480"/>
        <w:textAlignment w:val="auto"/>
        <w:rPr>
          <w:rFonts w:hint="eastAsia" w:eastAsia="宋体"/>
          <w:sz w:val="21"/>
          <w:szCs w:val="21"/>
          <w:u w:val="single"/>
          <w:lang w:val="en-US" w:eastAsia="zh-CN"/>
        </w:rPr>
      </w:pPr>
      <w:r>
        <w:rPr>
          <w:sz w:val="21"/>
          <w:szCs w:val="21"/>
        </w:rPr>
        <w:t>地点：</w:t>
      </w:r>
      <w:r>
        <w:rPr>
          <w:rFonts w:hint="eastAsia" w:cs="宋体"/>
          <w:i w:val="0"/>
          <w:iCs w:val="0"/>
          <w:color w:val="auto"/>
          <w:kern w:val="2"/>
          <w:sz w:val="21"/>
          <w:szCs w:val="21"/>
          <w:u w:val="none"/>
          <w:lang w:val="en-US" w:eastAsia="zh-CN" w:bidi="ar-SA"/>
        </w:rPr>
        <w:t>海南省儋州市那大镇豪德森达商贸城30栋18号</w:t>
      </w:r>
    </w:p>
    <w:p>
      <w:pPr>
        <w:keepNext w:val="0"/>
        <w:keepLines w:val="0"/>
        <w:pageBreakBefore w:val="0"/>
        <w:kinsoku/>
        <w:wordWrap/>
        <w:overflowPunct/>
        <w:topLinePunct w:val="0"/>
        <w:autoSpaceDE w:val="0"/>
        <w:autoSpaceDN w:val="0"/>
        <w:bidi w:val="0"/>
        <w:adjustRightInd/>
        <w:snapToGrid/>
        <w:spacing w:before="173" w:line="240" w:lineRule="auto"/>
        <w:ind w:left="220" w:right="1270" w:firstLine="480"/>
        <w:textAlignment w:val="auto"/>
        <w:outlineLvl w:val="1"/>
        <w:rPr>
          <w:rFonts w:ascii="微软雅黑" w:eastAsia="微软雅黑"/>
          <w:b/>
          <w:sz w:val="21"/>
          <w:szCs w:val="21"/>
        </w:rPr>
      </w:pPr>
      <w:r>
        <w:rPr>
          <w:b/>
          <w:sz w:val="21"/>
          <w:szCs w:val="21"/>
        </w:rPr>
        <w:t>六、</w:t>
      </w:r>
      <w:r>
        <w:rPr>
          <w:rFonts w:hint="eastAsia" w:ascii="微软雅黑" w:eastAsia="微软雅黑"/>
          <w:b/>
          <w:sz w:val="21"/>
          <w:szCs w:val="21"/>
        </w:rPr>
        <w:t>其他补充事宜</w:t>
      </w:r>
    </w:p>
    <w:p>
      <w:pPr>
        <w:pStyle w:val="13"/>
        <w:spacing w:line="360" w:lineRule="auto"/>
        <w:ind w:left="700"/>
        <w:rPr>
          <w:rFonts w:ascii="宋体" w:hAnsi="宋体" w:eastAsia="宋体" w:cs="宋体"/>
          <w:sz w:val="21"/>
          <w:szCs w:val="21"/>
        </w:rPr>
      </w:pPr>
      <w:r>
        <w:rPr>
          <w:sz w:val="21"/>
          <w:szCs w:val="21"/>
        </w:rPr>
        <w:t>1、招标公告发布媒介：</w:t>
      </w:r>
      <w:r>
        <w:rPr>
          <w:rFonts w:hint="eastAsia"/>
          <w:sz w:val="21"/>
          <w:szCs w:val="21"/>
        </w:rPr>
        <w:t>中国招标投标公共服务平台</w:t>
      </w:r>
      <w:r>
        <w:rPr>
          <w:rFonts w:hint="eastAsia"/>
          <w:sz w:val="21"/>
          <w:szCs w:val="21"/>
          <w:lang w:eastAsia="zh-CN"/>
        </w:rPr>
        <w:t>、</w:t>
      </w:r>
      <w:r>
        <w:rPr>
          <w:rFonts w:hint="eastAsia"/>
          <w:sz w:val="21"/>
          <w:szCs w:val="21"/>
        </w:rPr>
        <w:t>中国海南政府采购网</w:t>
      </w:r>
      <w:r>
        <w:rPr>
          <w:rFonts w:hint="eastAsia"/>
          <w:sz w:val="21"/>
          <w:szCs w:val="21"/>
          <w:lang w:eastAsia="zh-CN"/>
        </w:rPr>
        <w:t>、</w:t>
      </w:r>
      <w:r>
        <w:rPr>
          <w:rFonts w:hint="eastAsia" w:ascii="宋体" w:hAnsi="宋体" w:eastAsia="宋体" w:cs="宋体"/>
          <w:sz w:val="21"/>
          <w:szCs w:val="21"/>
        </w:rPr>
        <w:t>中国政府采购网</w:t>
      </w:r>
      <w:r>
        <w:rPr>
          <w:rFonts w:ascii="宋体" w:hAnsi="宋体" w:eastAsia="宋体" w:cs="宋体"/>
          <w:sz w:val="21"/>
          <w:szCs w:val="21"/>
        </w:rPr>
        <w:t>。</w:t>
      </w:r>
    </w:p>
    <w:p>
      <w:pPr>
        <w:numPr>
          <w:ilvl w:val="0"/>
          <w:numId w:val="1"/>
        </w:numPr>
        <w:spacing w:before="96" w:line="360" w:lineRule="auto"/>
        <w:ind w:left="700" w:right="2150" w:hanging="480"/>
        <w:outlineLvl w:val="1"/>
        <w:rPr>
          <w:rFonts w:ascii="微软雅黑" w:eastAsia="微软雅黑"/>
          <w:b/>
          <w:sz w:val="21"/>
          <w:szCs w:val="21"/>
        </w:rPr>
      </w:pPr>
      <w:r>
        <w:rPr>
          <w:rFonts w:hint="eastAsia" w:ascii="微软雅黑" w:eastAsia="微软雅黑"/>
          <w:b/>
          <w:sz w:val="21"/>
          <w:szCs w:val="21"/>
        </w:rPr>
        <w:t>凡对本次采购提出询问，请按以下方式联系</w:t>
      </w:r>
    </w:p>
    <w:p>
      <w:pPr>
        <w:spacing w:line="360" w:lineRule="auto"/>
        <w:ind w:firstLine="420" w:firstLineChars="200"/>
        <w:rPr>
          <w:sz w:val="21"/>
          <w:szCs w:val="21"/>
          <w:u w:color="000000"/>
        </w:rPr>
      </w:pPr>
      <w:r>
        <w:rPr>
          <w:rFonts w:hint="eastAsia"/>
          <w:sz w:val="21"/>
          <w:szCs w:val="21"/>
          <w:u w:color="000000"/>
        </w:rPr>
        <w:t>1．采购人信息</w:t>
      </w:r>
    </w:p>
    <w:p>
      <w:pPr>
        <w:spacing w:line="360" w:lineRule="auto"/>
        <w:ind w:firstLine="420" w:firstLineChars="200"/>
        <w:rPr>
          <w:sz w:val="21"/>
          <w:szCs w:val="21"/>
          <w:u w:color="000000"/>
          <w:lang w:val="en-US"/>
        </w:rPr>
      </w:pPr>
      <w:r>
        <w:rPr>
          <w:rFonts w:hint="eastAsia"/>
          <w:sz w:val="21"/>
          <w:szCs w:val="21"/>
          <w:u w:color="000000"/>
        </w:rPr>
        <w:t>采 购 人：</w:t>
      </w:r>
      <w:r>
        <w:rPr>
          <w:rFonts w:hint="eastAsia"/>
          <w:sz w:val="21"/>
          <w:szCs w:val="21"/>
          <w:u w:color="000000"/>
          <w:lang w:val="en-US"/>
        </w:rPr>
        <w:t>儋州市人民检察院</w:t>
      </w:r>
    </w:p>
    <w:p>
      <w:pPr>
        <w:spacing w:line="360" w:lineRule="auto"/>
        <w:ind w:firstLine="420" w:firstLineChars="200"/>
        <w:rPr>
          <w:sz w:val="21"/>
          <w:szCs w:val="21"/>
          <w:u w:color="000000"/>
        </w:rPr>
      </w:pPr>
      <w:r>
        <w:rPr>
          <w:rFonts w:hint="eastAsia"/>
          <w:sz w:val="21"/>
          <w:szCs w:val="21"/>
          <w:u w:color="000000"/>
        </w:rPr>
        <w:t>地    址：</w:t>
      </w:r>
      <w:r>
        <w:rPr>
          <w:rFonts w:hint="eastAsia"/>
          <w:sz w:val="21"/>
          <w:szCs w:val="21"/>
          <w:u w:color="000000"/>
          <w:lang w:val="en-US"/>
        </w:rPr>
        <w:t>儋州市</w:t>
      </w:r>
    </w:p>
    <w:p>
      <w:pPr>
        <w:spacing w:line="360" w:lineRule="auto"/>
        <w:ind w:firstLine="420" w:firstLineChars="200"/>
        <w:rPr>
          <w:sz w:val="21"/>
          <w:szCs w:val="21"/>
          <w:highlight w:val="none"/>
          <w:u w:color="000000"/>
        </w:rPr>
      </w:pPr>
      <w:r>
        <w:rPr>
          <w:rFonts w:hint="eastAsia"/>
          <w:sz w:val="21"/>
          <w:szCs w:val="21"/>
          <w:highlight w:val="none"/>
          <w:u w:color="000000"/>
        </w:rPr>
        <w:t>联 系 人：</w:t>
      </w:r>
      <w:r>
        <w:rPr>
          <w:rFonts w:hint="eastAsia"/>
          <w:sz w:val="21"/>
          <w:szCs w:val="21"/>
          <w:highlight w:val="none"/>
          <w:u w:color="000000"/>
          <w:lang w:eastAsia="zh-CN"/>
        </w:rPr>
        <w:t>叶先生</w:t>
      </w:r>
      <w:r>
        <w:rPr>
          <w:rFonts w:hint="eastAsia"/>
          <w:sz w:val="21"/>
          <w:szCs w:val="21"/>
          <w:highlight w:val="none"/>
          <w:u w:color="000000"/>
        </w:rPr>
        <w:t xml:space="preserve"> </w:t>
      </w:r>
    </w:p>
    <w:p>
      <w:pPr>
        <w:spacing w:line="360" w:lineRule="auto"/>
        <w:ind w:firstLine="420" w:firstLineChars="200"/>
        <w:rPr>
          <w:sz w:val="21"/>
          <w:szCs w:val="21"/>
          <w:highlight w:val="none"/>
          <w:u w:color="000000"/>
        </w:rPr>
      </w:pPr>
      <w:r>
        <w:rPr>
          <w:rFonts w:hint="eastAsia"/>
          <w:sz w:val="21"/>
          <w:szCs w:val="21"/>
          <w:highlight w:val="none"/>
          <w:u w:color="000000"/>
        </w:rPr>
        <w:t>电    话：</w:t>
      </w:r>
      <w:r>
        <w:rPr>
          <w:rFonts w:hint="eastAsia"/>
          <w:sz w:val="21"/>
          <w:szCs w:val="21"/>
          <w:highlight w:val="none"/>
          <w:u w:color="000000"/>
          <w:lang w:val="en-US"/>
        </w:rPr>
        <w:t>0898-</w:t>
      </w:r>
      <w:r>
        <w:rPr>
          <w:rFonts w:hint="eastAsia"/>
          <w:sz w:val="21"/>
          <w:szCs w:val="21"/>
          <w:highlight w:val="none"/>
          <w:u w:color="000000"/>
          <w:lang w:val="en-US" w:eastAsia="zh-CN"/>
        </w:rPr>
        <w:t xml:space="preserve"> 23885938</w:t>
      </w:r>
    </w:p>
    <w:p>
      <w:pPr>
        <w:spacing w:line="360" w:lineRule="auto"/>
        <w:ind w:firstLine="420" w:firstLineChars="200"/>
        <w:rPr>
          <w:sz w:val="21"/>
          <w:szCs w:val="21"/>
          <w:u w:color="000000"/>
        </w:rPr>
      </w:pPr>
      <w:r>
        <w:rPr>
          <w:rFonts w:hint="eastAsia"/>
          <w:sz w:val="21"/>
          <w:szCs w:val="21"/>
          <w:u w:color="000000"/>
        </w:rPr>
        <w:t>2．采购代理机构信息</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名    称：海南鑫翔建设项目管理有限公司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地　　址：海南省儋州市那大镇豪德森达商贸城30栋18号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联系方式：0898-36988892　　　　　　　　　　　</w:t>
      </w:r>
    </w:p>
    <w:p>
      <w:pPr>
        <w:spacing w:line="360" w:lineRule="auto"/>
        <w:ind w:firstLine="420" w:firstLineChars="200"/>
        <w:rPr>
          <w:rFonts w:hint="eastAsia" w:ascii="宋体" w:hAnsi="宋体" w:eastAsia="宋体" w:cs="宋体"/>
          <w:sz w:val="21"/>
          <w:szCs w:val="21"/>
        </w:rPr>
      </w:pPr>
      <w:bookmarkStart w:id="4" w:name="_Toc28359098"/>
      <w:bookmarkStart w:id="5" w:name="_Toc35393639"/>
      <w:bookmarkStart w:id="6" w:name="_Toc28359021"/>
      <w:bookmarkStart w:id="7" w:name="_Toc35393808"/>
      <w:r>
        <w:rPr>
          <w:rFonts w:hint="eastAsia" w:ascii="宋体" w:hAnsi="宋体" w:eastAsia="宋体" w:cs="宋体"/>
          <w:sz w:val="21"/>
          <w:szCs w:val="21"/>
        </w:rPr>
        <w:t>3.项目联系方式</w:t>
      </w:r>
      <w:bookmarkEnd w:id="4"/>
      <w:bookmarkEnd w:id="5"/>
      <w:bookmarkEnd w:id="6"/>
      <w:bookmarkEnd w:id="7"/>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项目联系人：</w:t>
      </w:r>
      <w:r>
        <w:rPr>
          <w:rFonts w:hint="eastAsia" w:cs="宋体"/>
          <w:sz w:val="21"/>
          <w:szCs w:val="21"/>
          <w:lang w:eastAsia="zh-CN"/>
        </w:rPr>
        <w:t>王</w:t>
      </w:r>
      <w:r>
        <w:rPr>
          <w:rFonts w:hint="eastAsia" w:ascii="宋体" w:hAnsi="宋体" w:eastAsia="宋体" w:cs="宋体"/>
          <w:sz w:val="21"/>
          <w:szCs w:val="21"/>
        </w:rPr>
        <w:t>工</w:t>
      </w:r>
    </w:p>
    <w:p>
      <w:pPr>
        <w:pStyle w:val="13"/>
        <w:spacing w:before="8"/>
        <w:ind w:firstLine="420" w:firstLineChars="200"/>
        <w:rPr>
          <w:sz w:val="21"/>
        </w:rPr>
      </w:pPr>
      <w:r>
        <w:rPr>
          <w:rFonts w:hint="eastAsia" w:ascii="宋体" w:hAnsi="宋体" w:eastAsia="宋体" w:cs="宋体"/>
          <w:sz w:val="21"/>
          <w:szCs w:val="21"/>
        </w:rPr>
        <w:t>电　　  话：0898-36988892</w:t>
      </w:r>
    </w:p>
    <w:p>
      <w:pPr>
        <w:tabs>
          <w:tab w:val="left" w:pos="2409"/>
        </w:tabs>
        <w:spacing w:before="33"/>
        <w:ind w:right="98"/>
        <w:jc w:val="center"/>
        <w:outlineLvl w:val="0"/>
        <w:rPr>
          <w:b/>
          <w:sz w:val="48"/>
        </w:rPr>
      </w:pPr>
      <w:bookmarkStart w:id="8" w:name="第二部分__供应商须知"/>
      <w:bookmarkEnd w:id="8"/>
      <w:bookmarkStart w:id="9" w:name="_Toc31153"/>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pStyle w:val="2"/>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tabs>
          <w:tab w:val="left" w:pos="2409"/>
        </w:tabs>
        <w:spacing w:before="33"/>
        <w:ind w:right="98"/>
        <w:jc w:val="center"/>
        <w:outlineLvl w:val="0"/>
        <w:rPr>
          <w:b/>
          <w:sz w:val="48"/>
        </w:rPr>
      </w:pPr>
    </w:p>
    <w:p>
      <w:pPr>
        <w:pStyle w:val="2"/>
      </w:pPr>
    </w:p>
    <w:p>
      <w:pPr>
        <w:pStyle w:val="11"/>
        <w:rPr>
          <w:b/>
          <w:sz w:val="48"/>
        </w:rPr>
      </w:pPr>
    </w:p>
    <w:p>
      <w:pPr>
        <w:tabs>
          <w:tab w:val="left" w:pos="2409"/>
        </w:tabs>
        <w:spacing w:before="33"/>
        <w:ind w:right="98"/>
        <w:jc w:val="both"/>
        <w:outlineLvl w:val="0"/>
        <w:rPr>
          <w:b/>
          <w:sz w:val="48"/>
        </w:rPr>
      </w:pPr>
    </w:p>
    <w:p>
      <w:pPr>
        <w:pStyle w:val="3"/>
        <w:bidi w:val="0"/>
        <w:rPr>
          <w:b/>
          <w:sz w:val="35"/>
        </w:rPr>
      </w:pPr>
      <w:r>
        <w:t>第二部分</w:t>
      </w:r>
      <w:r>
        <w:tab/>
      </w:r>
      <w:r>
        <w:t>供应商须知</w:t>
      </w:r>
      <w:bookmarkEnd w:id="9"/>
    </w:p>
    <w:p>
      <w:pPr>
        <w:pStyle w:val="2"/>
        <w:spacing w:before="0"/>
        <w:ind w:right="94"/>
      </w:pPr>
      <w:bookmarkStart w:id="10" w:name="供应商须知前附表"/>
      <w:bookmarkEnd w:id="10"/>
      <w:bookmarkStart w:id="11" w:name="_Toc25321"/>
      <w:r>
        <w:t>供应商须知前附表</w:t>
      </w:r>
      <w:bookmarkEnd w:id="11"/>
    </w:p>
    <w:p>
      <w:pPr>
        <w:pStyle w:val="13"/>
        <w:spacing w:before="3"/>
        <w:rPr>
          <w:b/>
          <w:sz w:val="29"/>
        </w:rPr>
      </w:pPr>
    </w:p>
    <w:tbl>
      <w:tblPr>
        <w:tblStyle w:val="22"/>
        <w:tblW w:w="0" w:type="auto"/>
        <w:tblInd w:w="5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908"/>
        <w:gridCol w:w="6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20" w:type="dxa"/>
          </w:tcPr>
          <w:p>
            <w:pPr>
              <w:pStyle w:val="28"/>
              <w:spacing w:before="7"/>
              <w:ind w:left="98" w:right="89"/>
              <w:jc w:val="center"/>
              <w:rPr>
                <w:b/>
                <w:sz w:val="24"/>
              </w:rPr>
            </w:pPr>
            <w:r>
              <w:rPr>
                <w:b/>
                <w:sz w:val="24"/>
              </w:rPr>
              <w:t>条款</w:t>
            </w:r>
          </w:p>
          <w:p>
            <w:pPr>
              <w:pStyle w:val="28"/>
              <w:spacing w:before="14" w:line="297" w:lineRule="exact"/>
              <w:ind w:left="4"/>
              <w:jc w:val="center"/>
              <w:rPr>
                <w:b/>
                <w:sz w:val="24"/>
              </w:rPr>
            </w:pPr>
            <w:r>
              <w:rPr>
                <w:b/>
                <w:w w:val="99"/>
                <w:sz w:val="24"/>
              </w:rPr>
              <w:t>号</w:t>
            </w:r>
          </w:p>
        </w:tc>
        <w:tc>
          <w:tcPr>
            <w:tcW w:w="1908" w:type="dxa"/>
          </w:tcPr>
          <w:p>
            <w:pPr>
              <w:pStyle w:val="28"/>
              <w:spacing w:before="168"/>
              <w:ind w:left="89" w:right="80"/>
              <w:jc w:val="center"/>
              <w:rPr>
                <w:b/>
                <w:sz w:val="24"/>
              </w:rPr>
            </w:pPr>
            <w:r>
              <w:rPr>
                <w:b/>
                <w:sz w:val="24"/>
              </w:rPr>
              <w:t>条款名称</w:t>
            </w:r>
          </w:p>
        </w:tc>
        <w:tc>
          <w:tcPr>
            <w:tcW w:w="6564" w:type="dxa"/>
          </w:tcPr>
          <w:p>
            <w:pPr>
              <w:pStyle w:val="28"/>
              <w:spacing w:before="168"/>
              <w:ind w:left="2779" w:right="2770"/>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tcPr>
          <w:p>
            <w:pPr>
              <w:pStyle w:val="28"/>
              <w:spacing w:before="72"/>
              <w:ind w:right="168"/>
              <w:jc w:val="right"/>
              <w:rPr>
                <w:sz w:val="24"/>
              </w:rPr>
            </w:pPr>
            <w:r>
              <w:rPr>
                <w:sz w:val="24"/>
              </w:rPr>
              <w:t>2.1</w:t>
            </w:r>
          </w:p>
        </w:tc>
        <w:tc>
          <w:tcPr>
            <w:tcW w:w="1908" w:type="dxa"/>
          </w:tcPr>
          <w:p>
            <w:pPr>
              <w:pStyle w:val="28"/>
              <w:spacing w:before="72"/>
              <w:ind w:left="89" w:right="82"/>
              <w:jc w:val="center"/>
              <w:rPr>
                <w:sz w:val="24"/>
              </w:rPr>
            </w:pPr>
            <w:r>
              <w:rPr>
                <w:sz w:val="24"/>
              </w:rPr>
              <w:t>项目名称</w:t>
            </w:r>
          </w:p>
        </w:tc>
        <w:tc>
          <w:tcPr>
            <w:tcW w:w="6564" w:type="dxa"/>
          </w:tcPr>
          <w:p>
            <w:pPr>
              <w:pStyle w:val="28"/>
              <w:spacing w:before="72"/>
              <w:ind w:left="107"/>
              <w:rPr>
                <w:rFonts w:hint="eastAsia" w:eastAsia="宋体"/>
                <w:sz w:val="24"/>
                <w:lang w:eastAsia="zh-CN"/>
              </w:rPr>
            </w:pPr>
            <w:r>
              <w:rPr>
                <w:rFonts w:hint="eastAsia"/>
                <w:sz w:val="24"/>
                <w:lang w:eastAsia="zh-CN"/>
              </w:rPr>
              <w:t>儋州市人民检察院物业管理服务项目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0" w:type="dxa"/>
          </w:tcPr>
          <w:p>
            <w:pPr>
              <w:pStyle w:val="28"/>
              <w:spacing w:before="74"/>
              <w:ind w:right="168"/>
              <w:jc w:val="right"/>
              <w:rPr>
                <w:sz w:val="24"/>
              </w:rPr>
            </w:pPr>
            <w:r>
              <w:rPr>
                <w:sz w:val="24"/>
              </w:rPr>
              <w:t>2.2</w:t>
            </w:r>
          </w:p>
        </w:tc>
        <w:tc>
          <w:tcPr>
            <w:tcW w:w="1908" w:type="dxa"/>
          </w:tcPr>
          <w:p>
            <w:pPr>
              <w:pStyle w:val="28"/>
              <w:spacing w:before="74"/>
              <w:ind w:left="89" w:right="82"/>
              <w:jc w:val="center"/>
              <w:rPr>
                <w:sz w:val="24"/>
              </w:rPr>
            </w:pPr>
            <w:r>
              <w:rPr>
                <w:sz w:val="24"/>
              </w:rPr>
              <w:t>项目编号</w:t>
            </w:r>
          </w:p>
        </w:tc>
        <w:tc>
          <w:tcPr>
            <w:tcW w:w="6564" w:type="dxa"/>
            <w:vAlign w:val="center"/>
          </w:tcPr>
          <w:p>
            <w:pPr>
              <w:pStyle w:val="28"/>
              <w:spacing w:before="184"/>
              <w:ind w:right="82" w:firstLine="240" w:firstLineChars="100"/>
              <w:jc w:val="both"/>
              <w:rPr>
                <w:rFonts w:hint="eastAsia" w:eastAsia="宋体"/>
                <w:sz w:val="24"/>
                <w:lang w:eastAsia="zh-CN"/>
              </w:rPr>
            </w:pPr>
            <w:r>
              <w:rPr>
                <w:rFonts w:hint="eastAsia"/>
                <w:sz w:val="24"/>
                <w:lang w:eastAsia="zh-CN"/>
              </w:rPr>
              <w:t>HNXX-CG-2023-008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720" w:type="dxa"/>
          </w:tcPr>
          <w:p>
            <w:pPr>
              <w:pStyle w:val="28"/>
              <w:rPr>
                <w:b/>
                <w:sz w:val="24"/>
              </w:rPr>
            </w:pPr>
          </w:p>
          <w:p>
            <w:pPr>
              <w:pStyle w:val="28"/>
              <w:spacing w:before="184"/>
              <w:ind w:right="168"/>
              <w:jc w:val="right"/>
              <w:rPr>
                <w:sz w:val="24"/>
              </w:rPr>
            </w:pPr>
            <w:r>
              <w:rPr>
                <w:sz w:val="24"/>
              </w:rPr>
              <w:t>2.3</w:t>
            </w:r>
          </w:p>
        </w:tc>
        <w:tc>
          <w:tcPr>
            <w:tcW w:w="1908" w:type="dxa"/>
          </w:tcPr>
          <w:p>
            <w:pPr>
              <w:pStyle w:val="28"/>
              <w:rPr>
                <w:b/>
                <w:sz w:val="24"/>
              </w:rPr>
            </w:pPr>
          </w:p>
          <w:p>
            <w:pPr>
              <w:pStyle w:val="28"/>
              <w:spacing w:before="184"/>
              <w:ind w:left="89" w:right="82"/>
              <w:jc w:val="center"/>
              <w:rPr>
                <w:sz w:val="24"/>
              </w:rPr>
            </w:pPr>
            <w:r>
              <w:rPr>
                <w:sz w:val="24"/>
              </w:rPr>
              <w:t>采购人</w:t>
            </w:r>
          </w:p>
        </w:tc>
        <w:tc>
          <w:tcPr>
            <w:tcW w:w="6564" w:type="dxa"/>
          </w:tcPr>
          <w:p>
            <w:pPr>
              <w:pStyle w:val="28"/>
              <w:spacing w:before="184"/>
              <w:ind w:left="89" w:right="82"/>
              <w:jc w:val="both"/>
              <w:rPr>
                <w:sz w:val="24"/>
              </w:rPr>
            </w:pPr>
            <w:r>
              <w:rPr>
                <w:sz w:val="24"/>
              </w:rPr>
              <w:t>名称：</w:t>
            </w:r>
            <w:r>
              <w:rPr>
                <w:rFonts w:hint="eastAsia"/>
                <w:sz w:val="24"/>
                <w:lang w:val="en-US"/>
              </w:rPr>
              <w:t>儋州市人民检察院</w:t>
            </w:r>
          </w:p>
          <w:p>
            <w:pPr>
              <w:pStyle w:val="28"/>
              <w:spacing w:before="184"/>
              <w:ind w:left="89" w:right="82"/>
              <w:jc w:val="both"/>
              <w:rPr>
                <w:sz w:val="24"/>
                <w:lang w:val="en-US"/>
              </w:rPr>
            </w:pPr>
            <w:r>
              <w:rPr>
                <w:sz w:val="24"/>
              </w:rPr>
              <w:t>地址：</w:t>
            </w:r>
            <w:r>
              <w:rPr>
                <w:rFonts w:hint="eastAsia"/>
                <w:sz w:val="24"/>
                <w:lang w:val="en-US"/>
              </w:rPr>
              <w:t>儋州市</w:t>
            </w:r>
          </w:p>
          <w:p>
            <w:pPr>
              <w:pStyle w:val="28"/>
              <w:spacing w:before="184"/>
              <w:ind w:left="89" w:right="82"/>
              <w:jc w:val="both"/>
              <w:rPr>
                <w:rFonts w:hint="eastAsia" w:eastAsia="宋体"/>
                <w:sz w:val="24"/>
                <w:highlight w:val="none"/>
                <w:lang w:val="en-US" w:eastAsia="zh-CN"/>
              </w:rPr>
            </w:pPr>
            <w:r>
              <w:rPr>
                <w:sz w:val="24"/>
                <w:highlight w:val="none"/>
              </w:rPr>
              <w:t>联系人：</w:t>
            </w:r>
            <w:r>
              <w:rPr>
                <w:rFonts w:hint="eastAsia"/>
                <w:sz w:val="24"/>
                <w:highlight w:val="none"/>
                <w:lang w:eastAsia="zh-CN"/>
              </w:rPr>
              <w:t>叶先生</w:t>
            </w:r>
          </w:p>
          <w:p>
            <w:pPr>
              <w:pStyle w:val="28"/>
              <w:spacing w:before="184"/>
              <w:ind w:left="89" w:right="82"/>
              <w:jc w:val="both"/>
              <w:rPr>
                <w:sz w:val="24"/>
              </w:rPr>
            </w:pPr>
            <w:r>
              <w:rPr>
                <w:sz w:val="24"/>
                <w:highlight w:val="none"/>
              </w:rPr>
              <w:t>电话：</w:t>
            </w:r>
            <w:r>
              <w:rPr>
                <w:rFonts w:hint="eastAsia"/>
                <w:sz w:val="24"/>
                <w:highlight w:val="none"/>
                <w:lang w:val="en-US"/>
              </w:rPr>
              <w:t>0898-</w:t>
            </w:r>
            <w:r>
              <w:rPr>
                <w:rFonts w:hint="eastAsia"/>
                <w:sz w:val="24"/>
                <w:highlight w:val="none"/>
                <w:lang w:val="en-US" w:eastAsia="zh-CN"/>
              </w:rPr>
              <w:t xml:space="preserve"> 23885938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720" w:type="dxa"/>
          </w:tcPr>
          <w:p>
            <w:pPr>
              <w:pStyle w:val="28"/>
              <w:rPr>
                <w:b/>
                <w:sz w:val="24"/>
              </w:rPr>
            </w:pPr>
          </w:p>
          <w:p>
            <w:pPr>
              <w:pStyle w:val="28"/>
              <w:rPr>
                <w:b/>
                <w:sz w:val="20"/>
              </w:rPr>
            </w:pPr>
          </w:p>
          <w:p>
            <w:pPr>
              <w:pStyle w:val="28"/>
              <w:ind w:right="168"/>
              <w:jc w:val="right"/>
              <w:rPr>
                <w:sz w:val="24"/>
              </w:rPr>
            </w:pPr>
            <w:r>
              <w:rPr>
                <w:sz w:val="24"/>
              </w:rPr>
              <w:t>2.4</w:t>
            </w:r>
          </w:p>
        </w:tc>
        <w:tc>
          <w:tcPr>
            <w:tcW w:w="1908" w:type="dxa"/>
          </w:tcPr>
          <w:p>
            <w:pPr>
              <w:pStyle w:val="28"/>
              <w:rPr>
                <w:b/>
                <w:sz w:val="24"/>
              </w:rPr>
            </w:pPr>
          </w:p>
          <w:p>
            <w:pPr>
              <w:pStyle w:val="28"/>
              <w:rPr>
                <w:b/>
                <w:sz w:val="20"/>
              </w:rPr>
            </w:pPr>
          </w:p>
          <w:p>
            <w:pPr>
              <w:pStyle w:val="28"/>
              <w:ind w:left="89" w:right="82"/>
              <w:jc w:val="center"/>
              <w:rPr>
                <w:sz w:val="24"/>
              </w:rPr>
            </w:pPr>
            <w:r>
              <w:rPr>
                <w:sz w:val="24"/>
              </w:rPr>
              <w:t>代理机构</w:t>
            </w:r>
          </w:p>
        </w:tc>
        <w:tc>
          <w:tcPr>
            <w:tcW w:w="6564" w:type="dxa"/>
          </w:tcPr>
          <w:p>
            <w:pPr>
              <w:pStyle w:val="28"/>
              <w:spacing w:before="184"/>
              <w:ind w:left="89" w:right="82"/>
              <w:jc w:val="both"/>
              <w:rPr>
                <w:rFonts w:hint="eastAsia" w:ascii="宋体" w:hAnsi="宋体" w:eastAsia="宋体" w:cs="宋体"/>
                <w:sz w:val="24"/>
                <w:lang w:val="en-US"/>
              </w:rPr>
            </w:pPr>
            <w:r>
              <w:rPr>
                <w:rFonts w:hint="eastAsia" w:ascii="宋体" w:hAnsi="宋体" w:eastAsia="宋体" w:cs="宋体"/>
                <w:sz w:val="24"/>
                <w:lang w:val="en-US"/>
              </w:rPr>
              <w:t>采购代理机构名称：海南鑫翔建设项目管理有限公司</w:t>
            </w:r>
          </w:p>
          <w:p>
            <w:pPr>
              <w:pStyle w:val="28"/>
              <w:spacing w:before="184"/>
              <w:ind w:left="89" w:right="82"/>
              <w:jc w:val="both"/>
              <w:rPr>
                <w:rFonts w:hint="eastAsia" w:ascii="宋体" w:hAnsi="宋体" w:eastAsia="宋体" w:cs="宋体"/>
                <w:sz w:val="24"/>
                <w:lang w:val="en-US"/>
              </w:rPr>
            </w:pPr>
            <w:r>
              <w:rPr>
                <w:rFonts w:hint="eastAsia" w:ascii="宋体" w:hAnsi="宋体" w:eastAsia="宋体" w:cs="宋体"/>
                <w:sz w:val="24"/>
                <w:lang w:val="en-US"/>
              </w:rPr>
              <w:t>地  址：海南省儋州市那大镇豪德森达商贸城30栋18号</w:t>
            </w:r>
          </w:p>
          <w:p>
            <w:pPr>
              <w:pStyle w:val="28"/>
              <w:spacing w:before="184"/>
              <w:ind w:left="89" w:right="82"/>
              <w:jc w:val="both"/>
              <w:rPr>
                <w:rFonts w:hint="eastAsia" w:ascii="宋体" w:hAnsi="宋体" w:eastAsia="宋体" w:cs="宋体"/>
                <w:sz w:val="24"/>
                <w:lang w:val="en-US"/>
              </w:rPr>
            </w:pPr>
            <w:r>
              <w:rPr>
                <w:rFonts w:hint="eastAsia" w:ascii="宋体" w:hAnsi="宋体" w:eastAsia="宋体" w:cs="宋体"/>
                <w:sz w:val="24"/>
                <w:lang w:val="en-US"/>
              </w:rPr>
              <w:t>联 系 人：</w:t>
            </w:r>
            <w:r>
              <w:rPr>
                <w:rFonts w:hint="eastAsia" w:cs="宋体"/>
                <w:sz w:val="24"/>
                <w:lang w:val="en-US" w:eastAsia="zh-CN"/>
              </w:rPr>
              <w:t>王</w:t>
            </w:r>
            <w:r>
              <w:rPr>
                <w:rFonts w:hint="eastAsia" w:ascii="宋体" w:hAnsi="宋体" w:eastAsia="宋体" w:cs="宋体"/>
                <w:sz w:val="24"/>
                <w:lang w:val="en-US"/>
              </w:rPr>
              <w:t xml:space="preserve">工 </w:t>
            </w:r>
          </w:p>
          <w:p>
            <w:pPr>
              <w:pStyle w:val="28"/>
              <w:spacing w:before="184"/>
              <w:ind w:left="89" w:right="82"/>
              <w:jc w:val="both"/>
              <w:rPr>
                <w:sz w:val="24"/>
              </w:rPr>
            </w:pPr>
            <w:r>
              <w:rPr>
                <w:rFonts w:hint="eastAsia" w:ascii="宋体" w:hAnsi="宋体" w:eastAsia="宋体" w:cs="宋体"/>
                <w:sz w:val="24"/>
                <w:lang w:val="en-US"/>
              </w:rPr>
              <w:t>联系方式：0898-36988892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720" w:type="dxa"/>
          </w:tcPr>
          <w:p>
            <w:pPr>
              <w:pStyle w:val="28"/>
              <w:spacing w:before="170"/>
              <w:ind w:right="168"/>
              <w:jc w:val="right"/>
              <w:rPr>
                <w:sz w:val="24"/>
              </w:rPr>
            </w:pPr>
            <w:r>
              <w:rPr>
                <w:sz w:val="24"/>
              </w:rPr>
              <w:t>2.5</w:t>
            </w:r>
          </w:p>
        </w:tc>
        <w:tc>
          <w:tcPr>
            <w:tcW w:w="1908" w:type="dxa"/>
          </w:tcPr>
          <w:p>
            <w:pPr>
              <w:pStyle w:val="28"/>
              <w:spacing w:before="170"/>
              <w:ind w:left="89" w:right="82"/>
              <w:jc w:val="center"/>
              <w:rPr>
                <w:sz w:val="24"/>
              </w:rPr>
            </w:pPr>
            <w:r>
              <w:rPr>
                <w:sz w:val="24"/>
              </w:rPr>
              <w:t>采购预算</w:t>
            </w:r>
          </w:p>
        </w:tc>
        <w:tc>
          <w:tcPr>
            <w:tcW w:w="6564" w:type="dxa"/>
          </w:tcPr>
          <w:p>
            <w:pPr>
              <w:pStyle w:val="28"/>
              <w:spacing w:before="9"/>
              <w:ind w:left="228" w:leftChars="49" w:hanging="120" w:hangingChars="50"/>
              <w:rPr>
                <w:sz w:val="24"/>
              </w:rPr>
            </w:pPr>
            <w:r>
              <w:rPr>
                <w:sz w:val="24"/>
                <w:highlight w:val="none"/>
              </w:rPr>
              <w:t>本项目预算金额为</w:t>
            </w:r>
            <w:r>
              <w:rPr>
                <w:rFonts w:hint="eastAsia"/>
                <w:sz w:val="24"/>
                <w:highlight w:val="none"/>
                <w:lang w:val="en-US"/>
              </w:rPr>
              <w:t xml:space="preserve"> 1732674.00元</w:t>
            </w:r>
            <w:r>
              <w:rPr>
                <w:sz w:val="24"/>
                <w:highlight w:val="none"/>
              </w:rPr>
              <w:t>，最高限价为</w:t>
            </w:r>
            <w:r>
              <w:rPr>
                <w:rFonts w:hint="eastAsia"/>
                <w:sz w:val="24"/>
                <w:highlight w:val="none"/>
              </w:rPr>
              <w:t xml:space="preserve"> </w:t>
            </w:r>
            <w:r>
              <w:rPr>
                <w:rFonts w:hint="eastAsia"/>
                <w:sz w:val="24"/>
                <w:highlight w:val="none"/>
                <w:lang w:val="en-US"/>
              </w:rPr>
              <w:t>1732674.00</w:t>
            </w:r>
            <w:r>
              <w:rPr>
                <w:rFonts w:hint="eastAsia"/>
                <w:sz w:val="24"/>
                <w:highlight w:val="none"/>
              </w:rPr>
              <w:t xml:space="preserve"> 元</w:t>
            </w:r>
            <w:r>
              <w:rPr>
                <w:sz w:val="24"/>
                <w:highlight w:val="none"/>
              </w:rPr>
              <w:t>，超出采购预算（最高限价）的投标，按无效投标处理。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tcPr>
          <w:p>
            <w:pPr>
              <w:pStyle w:val="28"/>
              <w:spacing w:before="71"/>
              <w:ind w:right="168"/>
              <w:jc w:val="right"/>
              <w:rPr>
                <w:sz w:val="24"/>
              </w:rPr>
            </w:pPr>
            <w:r>
              <w:rPr>
                <w:sz w:val="24"/>
              </w:rPr>
              <w:t>2.6</w:t>
            </w:r>
          </w:p>
        </w:tc>
        <w:tc>
          <w:tcPr>
            <w:tcW w:w="1908" w:type="dxa"/>
          </w:tcPr>
          <w:p>
            <w:pPr>
              <w:pStyle w:val="28"/>
              <w:spacing w:before="71"/>
              <w:ind w:left="89" w:right="82"/>
              <w:jc w:val="center"/>
              <w:rPr>
                <w:sz w:val="24"/>
              </w:rPr>
            </w:pPr>
            <w:r>
              <w:rPr>
                <w:sz w:val="24"/>
              </w:rPr>
              <w:t>投资模式</w:t>
            </w:r>
          </w:p>
        </w:tc>
        <w:tc>
          <w:tcPr>
            <w:tcW w:w="6564" w:type="dxa"/>
          </w:tcPr>
          <w:p>
            <w:pPr>
              <w:pStyle w:val="28"/>
              <w:spacing w:before="71"/>
              <w:ind w:left="107"/>
              <w:rPr>
                <w:sz w:val="24"/>
              </w:rPr>
            </w:pPr>
            <w:r>
              <w:rPr>
                <w:sz w:val="24"/>
              </w:rPr>
              <w:t>政府投资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20" w:type="dxa"/>
          </w:tcPr>
          <w:p>
            <w:pPr>
              <w:pStyle w:val="28"/>
              <w:spacing w:before="170"/>
              <w:ind w:right="168"/>
              <w:jc w:val="right"/>
              <w:rPr>
                <w:sz w:val="24"/>
              </w:rPr>
            </w:pPr>
            <w:r>
              <w:rPr>
                <w:sz w:val="24"/>
              </w:rPr>
              <w:t>2.7</w:t>
            </w:r>
          </w:p>
        </w:tc>
        <w:tc>
          <w:tcPr>
            <w:tcW w:w="1908" w:type="dxa"/>
          </w:tcPr>
          <w:p>
            <w:pPr>
              <w:pStyle w:val="28"/>
              <w:spacing w:before="7"/>
              <w:ind w:left="89" w:right="82"/>
              <w:jc w:val="center"/>
              <w:rPr>
                <w:sz w:val="24"/>
              </w:rPr>
            </w:pPr>
            <w:r>
              <w:rPr>
                <w:sz w:val="24"/>
              </w:rPr>
              <w:t>供应商资格</w:t>
            </w:r>
          </w:p>
          <w:p>
            <w:pPr>
              <w:pStyle w:val="28"/>
              <w:spacing w:before="16" w:line="294" w:lineRule="exact"/>
              <w:ind w:left="89" w:right="82"/>
              <w:jc w:val="center"/>
              <w:rPr>
                <w:sz w:val="24"/>
              </w:rPr>
            </w:pPr>
            <w:r>
              <w:rPr>
                <w:sz w:val="24"/>
              </w:rPr>
              <w:t>要求</w:t>
            </w:r>
          </w:p>
        </w:tc>
        <w:tc>
          <w:tcPr>
            <w:tcW w:w="6564" w:type="dxa"/>
          </w:tcPr>
          <w:p>
            <w:pPr>
              <w:pStyle w:val="28"/>
              <w:spacing w:before="170"/>
              <w:ind w:left="107"/>
              <w:rPr>
                <w:sz w:val="24"/>
              </w:rPr>
            </w:pPr>
            <w:r>
              <w:rPr>
                <w:sz w:val="24"/>
              </w:rPr>
              <w:t>见第一部分磋商公告“二、申请人的资格要求”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0" w:type="dxa"/>
            <w:vAlign w:val="center"/>
          </w:tcPr>
          <w:p>
            <w:pPr>
              <w:pStyle w:val="28"/>
              <w:spacing w:before="74"/>
              <w:ind w:right="168"/>
              <w:jc w:val="center"/>
              <w:rPr>
                <w:sz w:val="24"/>
              </w:rPr>
            </w:pPr>
            <w:r>
              <w:rPr>
                <w:sz w:val="24"/>
              </w:rPr>
              <w:t>2.8</w:t>
            </w:r>
          </w:p>
        </w:tc>
        <w:tc>
          <w:tcPr>
            <w:tcW w:w="1908" w:type="dxa"/>
            <w:vAlign w:val="center"/>
          </w:tcPr>
          <w:p>
            <w:pPr>
              <w:pStyle w:val="28"/>
              <w:spacing w:before="74"/>
              <w:ind w:left="89" w:right="82"/>
              <w:jc w:val="center"/>
              <w:rPr>
                <w:sz w:val="24"/>
              </w:rPr>
            </w:pPr>
            <w:r>
              <w:rPr>
                <w:sz w:val="24"/>
              </w:rPr>
              <w:t>服务期限</w:t>
            </w:r>
          </w:p>
        </w:tc>
        <w:tc>
          <w:tcPr>
            <w:tcW w:w="6564" w:type="dxa"/>
            <w:vAlign w:val="center"/>
          </w:tcPr>
          <w:p>
            <w:pPr>
              <w:pStyle w:val="21"/>
              <w:spacing w:line="360" w:lineRule="auto"/>
              <w:jc w:val="both"/>
            </w:pPr>
            <w:r>
              <w:rPr>
                <w:rFonts w:hint="eastAsia"/>
                <w:szCs w:val="24"/>
                <w:highlight w:val="none"/>
              </w:rPr>
              <w:t>合同签订生效之日起一年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20" w:type="dxa"/>
          </w:tcPr>
          <w:p>
            <w:pPr>
              <w:pStyle w:val="28"/>
              <w:spacing w:before="8"/>
              <w:rPr>
                <w:b/>
                <w:sz w:val="25"/>
              </w:rPr>
            </w:pPr>
          </w:p>
          <w:p>
            <w:pPr>
              <w:pStyle w:val="28"/>
              <w:ind w:right="168"/>
              <w:jc w:val="right"/>
              <w:rPr>
                <w:sz w:val="24"/>
              </w:rPr>
            </w:pPr>
            <w:r>
              <w:rPr>
                <w:sz w:val="24"/>
              </w:rPr>
              <w:t>3.2</w:t>
            </w:r>
          </w:p>
        </w:tc>
        <w:tc>
          <w:tcPr>
            <w:tcW w:w="1908" w:type="dxa"/>
          </w:tcPr>
          <w:p>
            <w:pPr>
              <w:pStyle w:val="28"/>
              <w:spacing w:before="167" w:line="252" w:lineRule="auto"/>
              <w:ind w:left="352" w:right="343"/>
              <w:rPr>
                <w:sz w:val="24"/>
              </w:rPr>
            </w:pPr>
            <w:r>
              <w:rPr>
                <w:sz w:val="24"/>
              </w:rPr>
              <w:t>委托代表人的资格条件</w:t>
            </w:r>
          </w:p>
        </w:tc>
        <w:tc>
          <w:tcPr>
            <w:tcW w:w="6564" w:type="dxa"/>
          </w:tcPr>
          <w:p>
            <w:pPr>
              <w:rPr>
                <w:b/>
              </w:rPr>
            </w:pPr>
            <w:r>
              <w:rPr>
                <w:b/>
                <w:bCs/>
                <w:sz w:val="24"/>
              </w:rPr>
              <w:t>开标现场须单独提供法人代表授权委托书及被授权人身份证 复印件并提供身份证原件核实身份。否则，投标文件不予受理，按无效投标处理。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20" w:type="dxa"/>
          </w:tcPr>
          <w:p>
            <w:pPr>
              <w:pStyle w:val="28"/>
              <w:spacing w:before="8"/>
              <w:rPr>
                <w:b/>
                <w:sz w:val="25"/>
              </w:rPr>
            </w:pPr>
          </w:p>
          <w:p>
            <w:pPr>
              <w:pStyle w:val="28"/>
              <w:ind w:right="168"/>
              <w:jc w:val="right"/>
              <w:rPr>
                <w:sz w:val="24"/>
              </w:rPr>
            </w:pPr>
            <w:r>
              <w:rPr>
                <w:sz w:val="24"/>
              </w:rPr>
              <w:t>3.3</w:t>
            </w:r>
          </w:p>
        </w:tc>
        <w:tc>
          <w:tcPr>
            <w:tcW w:w="1908" w:type="dxa"/>
          </w:tcPr>
          <w:p>
            <w:pPr>
              <w:pStyle w:val="28"/>
              <w:spacing w:before="167" w:line="252" w:lineRule="auto"/>
              <w:ind w:left="352" w:right="343"/>
              <w:rPr>
                <w:sz w:val="24"/>
              </w:rPr>
            </w:pPr>
            <w:r>
              <w:rPr>
                <w:sz w:val="24"/>
              </w:rPr>
              <w:t>委托代表人的代理权限</w:t>
            </w:r>
          </w:p>
        </w:tc>
        <w:tc>
          <w:tcPr>
            <w:tcW w:w="6564" w:type="dxa"/>
          </w:tcPr>
          <w:p>
            <w:pPr>
              <w:pStyle w:val="28"/>
              <w:spacing w:before="7" w:line="252" w:lineRule="auto"/>
              <w:ind w:left="107" w:right="90"/>
              <w:rPr>
                <w:sz w:val="24"/>
              </w:rPr>
            </w:pPr>
            <w:r>
              <w:rPr>
                <w:sz w:val="24"/>
              </w:rPr>
              <w:t>委托代表人只能代表委托人处置磋商活动中的一般事务。提出询问、质疑、投诉等特殊事项，必须经法定代表人特别授</w:t>
            </w:r>
          </w:p>
          <w:p>
            <w:pPr>
              <w:pStyle w:val="28"/>
              <w:spacing w:line="296" w:lineRule="exact"/>
              <w:ind w:left="107"/>
              <w:rPr>
                <w:sz w:val="24"/>
              </w:rPr>
            </w:pPr>
            <w:r>
              <w:rPr>
                <w:sz w:val="24"/>
              </w:rPr>
              <w:t>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8" w:hRule="atLeast"/>
        </w:trPr>
        <w:tc>
          <w:tcPr>
            <w:tcW w:w="720" w:type="dxa"/>
          </w:tcPr>
          <w:p>
            <w:pPr>
              <w:pStyle w:val="28"/>
              <w:spacing w:before="184"/>
              <w:ind w:right="168"/>
              <w:jc w:val="right"/>
              <w:rPr>
                <w:sz w:val="24"/>
              </w:rPr>
            </w:pPr>
            <w:r>
              <w:rPr>
                <w:sz w:val="24"/>
              </w:rPr>
              <w:t>7.1</w:t>
            </w:r>
          </w:p>
        </w:tc>
        <w:tc>
          <w:tcPr>
            <w:tcW w:w="1908" w:type="dxa"/>
          </w:tcPr>
          <w:p>
            <w:pPr>
              <w:pStyle w:val="28"/>
              <w:spacing w:before="11" w:line="320" w:lineRule="atLeast"/>
              <w:ind w:left="592" w:right="343" w:hanging="240"/>
              <w:rPr>
                <w:sz w:val="24"/>
              </w:rPr>
            </w:pPr>
            <w:r>
              <w:rPr>
                <w:sz w:val="24"/>
              </w:rPr>
              <w:t>现场考察和答疑会</w:t>
            </w:r>
          </w:p>
        </w:tc>
        <w:tc>
          <w:tcPr>
            <w:tcW w:w="6564" w:type="dxa"/>
          </w:tcPr>
          <w:p>
            <w:pPr>
              <w:pStyle w:val="28"/>
              <w:spacing w:before="184"/>
              <w:ind w:left="107"/>
              <w:rPr>
                <w:sz w:val="24"/>
              </w:rPr>
            </w:pPr>
            <w:r>
              <w:rPr>
                <w:sz w:val="24"/>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20" w:type="dxa"/>
          </w:tcPr>
          <w:p>
            <w:pPr>
              <w:pStyle w:val="28"/>
              <w:spacing w:before="170"/>
              <w:ind w:right="108"/>
              <w:jc w:val="right"/>
              <w:rPr>
                <w:sz w:val="24"/>
              </w:rPr>
            </w:pPr>
            <w:r>
              <w:rPr>
                <w:sz w:val="24"/>
              </w:rPr>
              <w:t>12.3</w:t>
            </w:r>
          </w:p>
        </w:tc>
        <w:tc>
          <w:tcPr>
            <w:tcW w:w="1908" w:type="dxa"/>
          </w:tcPr>
          <w:p>
            <w:pPr>
              <w:pStyle w:val="28"/>
              <w:spacing w:before="7"/>
              <w:ind w:left="89" w:right="82"/>
              <w:jc w:val="center"/>
              <w:rPr>
                <w:sz w:val="24"/>
              </w:rPr>
            </w:pPr>
            <w:r>
              <w:rPr>
                <w:sz w:val="24"/>
              </w:rPr>
              <w:t>是否允许</w:t>
            </w:r>
          </w:p>
          <w:p>
            <w:pPr>
              <w:pStyle w:val="28"/>
              <w:spacing w:before="16" w:line="294" w:lineRule="exact"/>
              <w:ind w:left="89" w:right="82"/>
              <w:jc w:val="center"/>
              <w:rPr>
                <w:sz w:val="24"/>
              </w:rPr>
            </w:pPr>
            <w:r>
              <w:rPr>
                <w:sz w:val="24"/>
              </w:rPr>
              <w:t>选择性报价</w:t>
            </w:r>
          </w:p>
        </w:tc>
        <w:tc>
          <w:tcPr>
            <w:tcW w:w="6564" w:type="dxa"/>
          </w:tcPr>
          <w:p>
            <w:pPr>
              <w:pStyle w:val="28"/>
              <w:spacing w:before="170"/>
              <w:ind w:left="107"/>
              <w:rPr>
                <w:sz w:val="24"/>
              </w:rPr>
            </w:pPr>
            <w:r>
              <w:rPr>
                <w:sz w:val="24"/>
              </w:rPr>
              <w:t>不接受选择性报价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0" w:type="dxa"/>
          </w:tcPr>
          <w:p>
            <w:pPr>
              <w:pStyle w:val="28"/>
              <w:spacing w:before="74"/>
              <w:ind w:right="108"/>
              <w:jc w:val="right"/>
              <w:rPr>
                <w:sz w:val="24"/>
              </w:rPr>
            </w:pPr>
            <w:r>
              <w:rPr>
                <w:sz w:val="24"/>
              </w:rPr>
              <w:t>13.1</w:t>
            </w:r>
          </w:p>
        </w:tc>
        <w:tc>
          <w:tcPr>
            <w:tcW w:w="1908" w:type="dxa"/>
          </w:tcPr>
          <w:p>
            <w:pPr>
              <w:pStyle w:val="28"/>
              <w:spacing w:before="74"/>
              <w:ind w:left="85" w:right="85"/>
              <w:jc w:val="center"/>
              <w:rPr>
                <w:sz w:val="24"/>
              </w:rPr>
            </w:pPr>
            <w:r>
              <w:rPr>
                <w:sz w:val="24"/>
              </w:rPr>
              <w:t>磋商保证金数额</w:t>
            </w:r>
          </w:p>
        </w:tc>
        <w:tc>
          <w:tcPr>
            <w:tcW w:w="6564" w:type="dxa"/>
          </w:tcPr>
          <w:p>
            <w:pPr>
              <w:pStyle w:val="28"/>
              <w:spacing w:before="72"/>
              <w:ind w:left="107"/>
              <w:rPr>
                <w:rFonts w:hint="default" w:eastAsia="宋体"/>
                <w:sz w:val="24"/>
                <w:lang w:val="en-US" w:eastAsia="zh-CN"/>
              </w:rPr>
            </w:pPr>
            <w:r>
              <w:rPr>
                <w:rFonts w:hint="eastAsia"/>
                <w:sz w:val="24"/>
                <w:lang w:val="en-US" w:eastAsia="zh-CN"/>
              </w:rPr>
              <w:t>10000.00元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20" w:type="dxa"/>
          </w:tcPr>
          <w:p>
            <w:pPr>
              <w:pStyle w:val="28"/>
              <w:spacing w:before="184"/>
              <w:ind w:right="108"/>
              <w:jc w:val="right"/>
              <w:rPr>
                <w:sz w:val="24"/>
              </w:rPr>
            </w:pPr>
            <w:r>
              <w:rPr>
                <w:sz w:val="24"/>
              </w:rPr>
              <w:t>13.2</w:t>
            </w:r>
          </w:p>
        </w:tc>
        <w:tc>
          <w:tcPr>
            <w:tcW w:w="1908" w:type="dxa"/>
          </w:tcPr>
          <w:p>
            <w:pPr>
              <w:pStyle w:val="28"/>
              <w:spacing w:before="11" w:line="320" w:lineRule="atLeast"/>
              <w:ind w:left="472" w:right="343" w:hanging="120"/>
              <w:rPr>
                <w:sz w:val="24"/>
              </w:rPr>
            </w:pPr>
            <w:r>
              <w:rPr>
                <w:sz w:val="24"/>
              </w:rPr>
              <w:t>磋商保证金缴纳时间</w:t>
            </w:r>
          </w:p>
        </w:tc>
        <w:tc>
          <w:tcPr>
            <w:tcW w:w="6564" w:type="dxa"/>
          </w:tcPr>
          <w:p>
            <w:pPr>
              <w:pStyle w:val="28"/>
              <w:tabs>
                <w:tab w:val="left" w:pos="1607"/>
                <w:tab w:val="left" w:pos="2207"/>
                <w:tab w:val="left" w:pos="2687"/>
                <w:tab w:val="left" w:pos="4127"/>
              </w:tabs>
              <w:spacing w:before="28" w:line="242" w:lineRule="auto"/>
              <w:ind w:left="107" w:right="174"/>
              <w:rPr>
                <w:sz w:val="24"/>
              </w:rPr>
            </w:pPr>
            <w:r>
              <w:rPr>
                <w:rFonts w:hint="eastAsia"/>
                <w:color w:val="auto"/>
                <w:sz w:val="24"/>
                <w:highlight w:val="none"/>
                <w:u w:val="single"/>
                <w:lang w:val="en-US" w:eastAsia="zh-CN"/>
              </w:rPr>
              <w:t>2023</w:t>
            </w:r>
            <w:r>
              <w:rPr>
                <w:color w:val="auto"/>
                <w:sz w:val="24"/>
                <w:highlight w:val="none"/>
              </w:rPr>
              <w:t>年</w:t>
            </w:r>
            <w:r>
              <w:rPr>
                <w:color w:val="auto"/>
                <w:sz w:val="24"/>
                <w:highlight w:val="none"/>
                <w:u w:val="single"/>
              </w:rPr>
              <w:t xml:space="preserve"> </w:t>
            </w:r>
            <w:r>
              <w:rPr>
                <w:rFonts w:hint="eastAsia"/>
                <w:color w:val="auto"/>
                <w:sz w:val="24"/>
                <w:highlight w:val="none"/>
                <w:u w:val="single"/>
                <w:lang w:val="en-US" w:eastAsia="zh-CN"/>
              </w:rPr>
              <w:t>4</w:t>
            </w:r>
            <w:r>
              <w:rPr>
                <w:rFonts w:hint="eastAsia"/>
                <w:color w:val="auto"/>
                <w:sz w:val="24"/>
                <w:highlight w:val="none"/>
                <w:u w:val="single"/>
                <w:lang w:val="en-US"/>
              </w:rPr>
              <w:t xml:space="preserve"> </w:t>
            </w:r>
            <w:r>
              <w:rPr>
                <w:color w:val="auto"/>
                <w:sz w:val="24"/>
                <w:highlight w:val="none"/>
              </w:rPr>
              <w:t>月</w:t>
            </w:r>
            <w:r>
              <w:rPr>
                <w:rFonts w:hint="eastAsia"/>
                <w:color w:val="auto"/>
                <w:sz w:val="24"/>
                <w:highlight w:val="none"/>
                <w:u w:val="single"/>
                <w:lang w:val="en-US" w:eastAsia="zh-CN"/>
              </w:rPr>
              <w:t>27</w:t>
            </w:r>
            <w:r>
              <w:rPr>
                <w:color w:val="auto"/>
                <w:sz w:val="24"/>
                <w:highlight w:val="none"/>
              </w:rPr>
              <w:t>日</w:t>
            </w:r>
            <w:r>
              <w:rPr>
                <w:rFonts w:hint="eastAsia"/>
                <w:color w:val="auto"/>
                <w:sz w:val="24"/>
                <w:u w:val="single"/>
                <w:lang w:val="en-US" w:eastAsia="zh-CN"/>
              </w:rPr>
              <w:t>09</w:t>
            </w:r>
            <w:r>
              <w:rPr>
                <w:color w:val="auto"/>
                <w:sz w:val="24"/>
                <w:u w:val="single"/>
              </w:rPr>
              <w:t xml:space="preserve"> </w:t>
            </w:r>
            <w:r>
              <w:rPr>
                <w:sz w:val="24"/>
              </w:rPr>
              <w:t>:</w:t>
            </w:r>
            <w:r>
              <w:rPr>
                <w:sz w:val="24"/>
                <w:u w:val="single"/>
              </w:rPr>
              <w:t xml:space="preserve"> 00</w:t>
            </w:r>
            <w:r>
              <w:rPr>
                <w:sz w:val="24"/>
              </w:rPr>
              <w:t>:</w:t>
            </w:r>
            <w:r>
              <w:rPr>
                <w:sz w:val="24"/>
                <w:u w:val="single"/>
              </w:rPr>
              <w:t xml:space="preserve"> 00 </w:t>
            </w:r>
            <w:r>
              <w:rPr>
                <w:sz w:val="24"/>
              </w:rPr>
              <w:t>点</w:t>
            </w:r>
            <w:r>
              <w:rPr>
                <w:spacing w:val="-17"/>
                <w:sz w:val="24"/>
              </w:rPr>
              <w:t>前</w:t>
            </w:r>
            <w:r>
              <w:rPr>
                <w:sz w:val="24"/>
              </w:rPr>
              <w:t>注：以实际到账为准，逾期不予接收</w:t>
            </w:r>
          </w:p>
        </w:tc>
      </w:tr>
    </w:tbl>
    <w:p>
      <w:pPr>
        <w:spacing w:line="242" w:lineRule="auto"/>
        <w:rPr>
          <w:sz w:val="24"/>
        </w:rPr>
        <w:sectPr>
          <w:footerReference r:id="rId4" w:type="default"/>
          <w:pgSz w:w="11910" w:h="16840"/>
          <w:pgMar w:top="1580" w:right="760" w:bottom="1040" w:left="860" w:header="0" w:footer="776" w:gutter="0"/>
          <w:pgNumType w:start="1"/>
          <w:cols w:space="720" w:num="1"/>
        </w:sectPr>
      </w:pPr>
    </w:p>
    <w:p>
      <w:pPr>
        <w:pStyle w:val="13"/>
        <w:spacing w:before="4"/>
        <w:rPr>
          <w:rFonts w:ascii="Times New Roman"/>
          <w:sz w:val="14"/>
        </w:rPr>
      </w:pPr>
    </w:p>
    <w:tbl>
      <w:tblPr>
        <w:tblStyle w:val="22"/>
        <w:tblW w:w="0" w:type="auto"/>
        <w:tblInd w:w="5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908"/>
        <w:gridCol w:w="6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720" w:type="dxa"/>
          </w:tcPr>
          <w:p>
            <w:pPr>
              <w:pStyle w:val="28"/>
              <w:rPr>
                <w:rFonts w:ascii="Times New Roman"/>
                <w:sz w:val="24"/>
              </w:rPr>
            </w:pPr>
          </w:p>
          <w:p>
            <w:pPr>
              <w:pStyle w:val="28"/>
              <w:rPr>
                <w:rFonts w:ascii="Times New Roman"/>
                <w:sz w:val="24"/>
              </w:rPr>
            </w:pPr>
          </w:p>
          <w:p>
            <w:pPr>
              <w:pStyle w:val="28"/>
              <w:spacing w:before="1"/>
              <w:rPr>
                <w:rFonts w:ascii="Times New Roman"/>
                <w:sz w:val="33"/>
              </w:rPr>
            </w:pPr>
          </w:p>
          <w:p>
            <w:pPr>
              <w:pStyle w:val="28"/>
              <w:spacing w:before="1"/>
              <w:ind w:left="119"/>
              <w:rPr>
                <w:sz w:val="24"/>
              </w:rPr>
            </w:pPr>
            <w:r>
              <w:rPr>
                <w:sz w:val="24"/>
              </w:rPr>
              <w:t>13.3</w:t>
            </w:r>
          </w:p>
        </w:tc>
        <w:tc>
          <w:tcPr>
            <w:tcW w:w="1908" w:type="dxa"/>
          </w:tcPr>
          <w:p>
            <w:pPr>
              <w:pStyle w:val="28"/>
              <w:rPr>
                <w:rFonts w:ascii="Times New Roman"/>
                <w:sz w:val="24"/>
              </w:rPr>
            </w:pPr>
          </w:p>
          <w:p>
            <w:pPr>
              <w:pStyle w:val="28"/>
              <w:rPr>
                <w:rFonts w:ascii="Times New Roman"/>
                <w:sz w:val="24"/>
              </w:rPr>
            </w:pPr>
          </w:p>
          <w:p>
            <w:pPr>
              <w:pStyle w:val="28"/>
              <w:spacing w:before="2"/>
              <w:rPr>
                <w:rFonts w:ascii="Times New Roman"/>
                <w:sz w:val="19"/>
              </w:rPr>
            </w:pPr>
          </w:p>
          <w:p>
            <w:pPr>
              <w:pStyle w:val="28"/>
              <w:spacing w:line="252" w:lineRule="auto"/>
              <w:ind w:left="472" w:right="343" w:hanging="120"/>
              <w:rPr>
                <w:sz w:val="24"/>
              </w:rPr>
            </w:pPr>
            <w:r>
              <w:rPr>
                <w:sz w:val="24"/>
              </w:rPr>
              <w:t>磋商保证金缴纳账户</w:t>
            </w:r>
          </w:p>
        </w:tc>
        <w:tc>
          <w:tcPr>
            <w:tcW w:w="6564" w:type="dxa"/>
          </w:tcPr>
          <w:p>
            <w:pPr>
              <w:pStyle w:val="28"/>
              <w:spacing w:before="74"/>
              <w:ind w:left="85" w:right="85"/>
              <w:rPr>
                <w:szCs w:val="21"/>
              </w:rPr>
            </w:pPr>
            <w:r>
              <w:rPr>
                <w:szCs w:val="21"/>
              </w:rPr>
              <w:t>户名：</w:t>
            </w:r>
            <w:r>
              <w:rPr>
                <w:rFonts w:hint="eastAsia"/>
                <w:szCs w:val="21"/>
              </w:rPr>
              <w:t>海南鑫翔建设项目管理有限公司</w:t>
            </w:r>
          </w:p>
          <w:p>
            <w:pPr>
              <w:pStyle w:val="28"/>
              <w:spacing w:before="74"/>
              <w:ind w:left="85" w:right="85"/>
              <w:rPr>
                <w:szCs w:val="21"/>
              </w:rPr>
            </w:pPr>
            <w:r>
              <w:rPr>
                <w:szCs w:val="21"/>
              </w:rPr>
              <w:t>账</w:t>
            </w:r>
            <w:r>
              <w:rPr>
                <w:szCs w:val="21"/>
              </w:rPr>
              <w:tab/>
            </w:r>
            <w:r>
              <w:rPr>
                <w:szCs w:val="21"/>
              </w:rPr>
              <w:t>号：</w:t>
            </w:r>
            <w:r>
              <w:rPr>
                <w:rFonts w:hint="eastAsia"/>
                <w:szCs w:val="21"/>
              </w:rPr>
              <w:t>461899991010003160650</w:t>
            </w:r>
          </w:p>
          <w:p>
            <w:pPr>
              <w:pStyle w:val="28"/>
              <w:spacing w:before="74"/>
              <w:ind w:left="85" w:right="85"/>
              <w:rPr>
                <w:szCs w:val="21"/>
              </w:rPr>
            </w:pPr>
            <w:r>
              <w:rPr>
                <w:rFonts w:hint="eastAsia"/>
                <w:szCs w:val="21"/>
                <w:lang w:eastAsia="zh-CN"/>
              </w:rPr>
              <w:t>开户行：</w:t>
            </w:r>
            <w:r>
              <w:rPr>
                <w:rFonts w:hint="eastAsia"/>
                <w:szCs w:val="21"/>
              </w:rPr>
              <w:t>交通银行股份有限公司儋州支行</w:t>
            </w:r>
            <w:r>
              <w:rPr>
                <w:szCs w:val="21"/>
              </w:rPr>
              <w:t>：</w:t>
            </w:r>
          </w:p>
          <w:p>
            <w:pPr>
              <w:pStyle w:val="28"/>
              <w:spacing w:before="74"/>
              <w:ind w:left="85" w:right="85"/>
              <w:rPr>
                <w:szCs w:val="21"/>
              </w:rPr>
            </w:pPr>
            <w:r>
              <w:rPr>
                <w:szCs w:val="21"/>
              </w:rPr>
              <w:t>备注用途：</w:t>
            </w:r>
            <w:r>
              <w:rPr>
                <w:rFonts w:hint="eastAsia"/>
                <w:szCs w:val="21"/>
                <w:lang w:val="en-US" w:eastAsia="zh-CN"/>
              </w:rPr>
              <w:t>项目名称/</w:t>
            </w:r>
            <w:r>
              <w:rPr>
                <w:rFonts w:hint="eastAsia"/>
                <w:szCs w:val="21"/>
              </w:rPr>
              <w:t>投标保证金</w:t>
            </w:r>
          </w:p>
          <w:p>
            <w:pPr>
              <w:pStyle w:val="28"/>
              <w:spacing w:before="2" w:line="310" w:lineRule="atLeast"/>
              <w:ind w:left="107" w:right="204"/>
              <w:rPr>
                <w:sz w:val="24"/>
              </w:rPr>
            </w:pPr>
            <w:r>
              <w:rPr>
                <w:szCs w:val="21"/>
              </w:rPr>
              <w:t>注：缴付人名称须与供应商名称相一致，且保证金需从供应商基本帐户一次性转出。严禁代缴。如供应商在响应文件中提供虚假材料，则没收保证金。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20" w:type="dxa"/>
          </w:tcPr>
          <w:p>
            <w:pPr>
              <w:pStyle w:val="28"/>
              <w:spacing w:before="168"/>
              <w:ind w:left="119"/>
              <w:rPr>
                <w:sz w:val="24"/>
              </w:rPr>
            </w:pPr>
            <w:r>
              <w:rPr>
                <w:sz w:val="24"/>
              </w:rPr>
              <w:t>13.4</w:t>
            </w:r>
          </w:p>
        </w:tc>
        <w:tc>
          <w:tcPr>
            <w:tcW w:w="1908" w:type="dxa"/>
          </w:tcPr>
          <w:p>
            <w:pPr>
              <w:pStyle w:val="28"/>
              <w:spacing w:before="7"/>
              <w:ind w:left="89" w:right="82"/>
              <w:jc w:val="center"/>
              <w:rPr>
                <w:sz w:val="24"/>
              </w:rPr>
            </w:pPr>
            <w:r>
              <w:rPr>
                <w:sz w:val="24"/>
              </w:rPr>
              <w:t>磋商保证金</w:t>
            </w:r>
          </w:p>
          <w:p>
            <w:pPr>
              <w:pStyle w:val="28"/>
              <w:spacing w:before="14" w:line="297" w:lineRule="exact"/>
              <w:ind w:left="89" w:right="82"/>
              <w:jc w:val="center"/>
              <w:rPr>
                <w:sz w:val="24"/>
              </w:rPr>
            </w:pPr>
            <w:r>
              <w:rPr>
                <w:sz w:val="24"/>
              </w:rPr>
              <w:t>缴纳方式</w:t>
            </w:r>
          </w:p>
        </w:tc>
        <w:tc>
          <w:tcPr>
            <w:tcW w:w="6564" w:type="dxa"/>
          </w:tcPr>
          <w:p>
            <w:pPr>
              <w:pStyle w:val="28"/>
              <w:spacing w:before="165"/>
              <w:ind w:left="107"/>
              <w:rPr>
                <w:sz w:val="24"/>
              </w:rPr>
            </w:pPr>
            <w:r>
              <w:rPr>
                <w:sz w:val="24"/>
              </w:rPr>
              <w:t>银行转账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0" w:type="dxa"/>
          </w:tcPr>
          <w:p>
            <w:pPr>
              <w:pStyle w:val="28"/>
              <w:spacing w:before="72"/>
              <w:ind w:left="119"/>
              <w:rPr>
                <w:sz w:val="24"/>
              </w:rPr>
            </w:pPr>
            <w:r>
              <w:rPr>
                <w:sz w:val="24"/>
              </w:rPr>
              <w:t>14.1</w:t>
            </w:r>
          </w:p>
        </w:tc>
        <w:tc>
          <w:tcPr>
            <w:tcW w:w="1908" w:type="dxa"/>
          </w:tcPr>
          <w:p>
            <w:pPr>
              <w:pStyle w:val="28"/>
              <w:spacing w:before="72"/>
              <w:ind w:left="89" w:right="82"/>
              <w:jc w:val="center"/>
              <w:rPr>
                <w:sz w:val="24"/>
              </w:rPr>
            </w:pPr>
            <w:r>
              <w:rPr>
                <w:sz w:val="24"/>
              </w:rPr>
              <w:t>响应文件有效期</w:t>
            </w:r>
          </w:p>
        </w:tc>
        <w:tc>
          <w:tcPr>
            <w:tcW w:w="6564" w:type="dxa"/>
          </w:tcPr>
          <w:p>
            <w:pPr>
              <w:pStyle w:val="28"/>
              <w:spacing w:before="72"/>
              <w:ind w:left="107"/>
              <w:rPr>
                <w:sz w:val="24"/>
              </w:rPr>
            </w:pPr>
            <w:r>
              <w:rPr>
                <w:sz w:val="24"/>
              </w:rPr>
              <w:t>自响应文件开启之日起 60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0" w:type="dxa"/>
          </w:tcPr>
          <w:p>
            <w:pPr>
              <w:pStyle w:val="28"/>
              <w:spacing w:before="74"/>
              <w:ind w:left="119"/>
              <w:rPr>
                <w:sz w:val="24"/>
              </w:rPr>
            </w:pPr>
            <w:r>
              <w:rPr>
                <w:sz w:val="24"/>
              </w:rPr>
              <w:t>15.1</w:t>
            </w:r>
          </w:p>
        </w:tc>
        <w:tc>
          <w:tcPr>
            <w:tcW w:w="1908" w:type="dxa"/>
          </w:tcPr>
          <w:p>
            <w:pPr>
              <w:pStyle w:val="28"/>
              <w:spacing w:before="74"/>
              <w:ind w:left="89" w:right="82"/>
              <w:jc w:val="center"/>
              <w:rPr>
                <w:sz w:val="24"/>
              </w:rPr>
            </w:pPr>
            <w:r>
              <w:rPr>
                <w:sz w:val="24"/>
              </w:rPr>
              <w:t>响应文件份数</w:t>
            </w:r>
          </w:p>
        </w:tc>
        <w:tc>
          <w:tcPr>
            <w:tcW w:w="6564" w:type="dxa"/>
          </w:tcPr>
          <w:p>
            <w:pPr>
              <w:pStyle w:val="28"/>
              <w:spacing w:before="74"/>
              <w:ind w:left="107"/>
              <w:rPr>
                <w:sz w:val="24"/>
              </w:rPr>
            </w:pPr>
            <w:r>
              <w:rPr>
                <w:rFonts w:hint="eastAsia" w:ascii="宋体" w:hAnsi="宋体" w:eastAsia="宋体" w:cs="宋体"/>
                <w:spacing w:val="-20"/>
                <w:sz w:val="24"/>
                <w:szCs w:val="24"/>
              </w:rPr>
              <w:t xml:space="preserve">正本 </w:t>
            </w:r>
            <w:r>
              <w:rPr>
                <w:rFonts w:hint="eastAsia" w:ascii="宋体" w:hAnsi="宋体" w:eastAsia="宋体" w:cs="宋体"/>
                <w:sz w:val="24"/>
                <w:szCs w:val="24"/>
              </w:rPr>
              <w:t>1</w:t>
            </w:r>
            <w:r>
              <w:rPr>
                <w:rFonts w:hint="eastAsia" w:ascii="宋体" w:hAnsi="宋体" w:eastAsia="宋体" w:cs="宋体"/>
                <w:spacing w:val="-23"/>
                <w:sz w:val="24"/>
                <w:szCs w:val="24"/>
              </w:rPr>
              <w:t xml:space="preserve"> 份、副本 </w:t>
            </w:r>
            <w:r>
              <w:rPr>
                <w:rFonts w:hint="eastAsia" w:ascii="宋体" w:hAnsi="宋体" w:eastAsia="宋体" w:cs="宋体"/>
                <w:sz w:val="24"/>
                <w:szCs w:val="24"/>
                <w:lang w:val="en-US" w:eastAsia="zh-CN"/>
              </w:rPr>
              <w:t>2</w:t>
            </w:r>
            <w:r>
              <w:rPr>
                <w:rFonts w:hint="eastAsia" w:ascii="宋体" w:hAnsi="宋体" w:eastAsia="宋体" w:cs="宋体"/>
                <w:spacing w:val="-13"/>
                <w:sz w:val="24"/>
                <w:szCs w:val="24"/>
              </w:rPr>
              <w:t xml:space="preserve">份，投标文件电子版 </w:t>
            </w:r>
            <w:r>
              <w:rPr>
                <w:rFonts w:hint="eastAsia" w:ascii="宋体" w:hAnsi="宋体" w:eastAsia="宋体" w:cs="宋体"/>
                <w:sz w:val="24"/>
                <w:szCs w:val="24"/>
              </w:rPr>
              <w:t>1</w:t>
            </w:r>
            <w:r>
              <w:rPr>
                <w:rFonts w:hint="eastAsia" w:ascii="宋体" w:hAnsi="宋体" w:eastAsia="宋体" w:cs="宋体"/>
                <w:spacing w:val="-32"/>
                <w:sz w:val="24"/>
                <w:szCs w:val="24"/>
              </w:rPr>
              <w:t xml:space="preserve"> 份</w:t>
            </w:r>
            <w:r>
              <w:rPr>
                <w:rFonts w:hint="eastAsia" w:ascii="宋体" w:hAnsi="宋体" w:eastAsia="宋体" w:cs="宋体"/>
                <w:sz w:val="24"/>
                <w:szCs w:val="24"/>
              </w:rPr>
              <w:t>（U盘，包含Word、PDF格式文件。）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20" w:type="dxa"/>
          </w:tcPr>
          <w:p>
            <w:pPr>
              <w:pStyle w:val="28"/>
              <w:spacing w:before="168"/>
              <w:ind w:left="119"/>
              <w:rPr>
                <w:sz w:val="24"/>
              </w:rPr>
            </w:pPr>
            <w:r>
              <w:rPr>
                <w:sz w:val="24"/>
              </w:rPr>
              <w:t>18.2</w:t>
            </w:r>
          </w:p>
        </w:tc>
        <w:tc>
          <w:tcPr>
            <w:tcW w:w="1908" w:type="dxa"/>
          </w:tcPr>
          <w:p>
            <w:pPr>
              <w:pStyle w:val="28"/>
              <w:spacing w:before="7"/>
              <w:ind w:left="472"/>
              <w:rPr>
                <w:sz w:val="24"/>
              </w:rPr>
            </w:pPr>
            <w:r>
              <w:rPr>
                <w:sz w:val="24"/>
              </w:rPr>
              <w:t>是否退还</w:t>
            </w:r>
          </w:p>
          <w:p>
            <w:pPr>
              <w:pStyle w:val="28"/>
              <w:spacing w:before="14" w:line="297" w:lineRule="exact"/>
              <w:ind w:left="472"/>
              <w:rPr>
                <w:sz w:val="24"/>
              </w:rPr>
            </w:pPr>
            <w:r>
              <w:rPr>
                <w:sz w:val="24"/>
              </w:rPr>
              <w:t>响应文件</w:t>
            </w:r>
          </w:p>
        </w:tc>
        <w:tc>
          <w:tcPr>
            <w:tcW w:w="6564" w:type="dxa"/>
          </w:tcPr>
          <w:p>
            <w:pPr>
              <w:pStyle w:val="28"/>
              <w:spacing w:before="168"/>
              <w:ind w:left="107"/>
              <w:rPr>
                <w:sz w:val="24"/>
              </w:rPr>
            </w:pPr>
            <w:r>
              <w:rPr>
                <w:sz w:val="24"/>
              </w:rPr>
              <w:t>不退还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20" w:type="dxa"/>
          </w:tcPr>
          <w:p>
            <w:pPr>
              <w:pStyle w:val="28"/>
              <w:spacing w:before="168"/>
              <w:ind w:left="119"/>
              <w:rPr>
                <w:sz w:val="24"/>
              </w:rPr>
            </w:pPr>
            <w:r>
              <w:rPr>
                <w:sz w:val="24"/>
              </w:rPr>
              <w:t>20.1</w:t>
            </w:r>
          </w:p>
        </w:tc>
        <w:tc>
          <w:tcPr>
            <w:tcW w:w="1908" w:type="dxa"/>
          </w:tcPr>
          <w:p>
            <w:pPr>
              <w:pStyle w:val="28"/>
              <w:spacing w:before="7"/>
              <w:ind w:left="89" w:right="82"/>
              <w:jc w:val="center"/>
              <w:rPr>
                <w:sz w:val="24"/>
              </w:rPr>
            </w:pPr>
            <w:r>
              <w:rPr>
                <w:sz w:val="24"/>
              </w:rPr>
              <w:t>磋商小组</w:t>
            </w:r>
          </w:p>
          <w:p>
            <w:pPr>
              <w:pStyle w:val="28"/>
              <w:spacing w:before="16" w:line="294" w:lineRule="exact"/>
              <w:ind w:left="89" w:right="82"/>
              <w:jc w:val="center"/>
              <w:rPr>
                <w:sz w:val="24"/>
              </w:rPr>
            </w:pPr>
            <w:r>
              <w:rPr>
                <w:sz w:val="24"/>
              </w:rPr>
              <w:t>的组成</w:t>
            </w:r>
          </w:p>
        </w:tc>
        <w:tc>
          <w:tcPr>
            <w:tcW w:w="6564" w:type="dxa"/>
          </w:tcPr>
          <w:p>
            <w:pPr>
              <w:pStyle w:val="28"/>
              <w:spacing w:before="7"/>
              <w:ind w:left="107"/>
              <w:rPr>
                <w:sz w:val="24"/>
              </w:rPr>
            </w:pPr>
            <w:r>
              <w:rPr>
                <w:spacing w:val="-10"/>
                <w:sz w:val="24"/>
              </w:rPr>
              <w:t xml:space="preserve">磋商小组由 </w:t>
            </w:r>
            <w:r>
              <w:rPr>
                <w:sz w:val="24"/>
              </w:rPr>
              <w:t>3</w:t>
            </w:r>
            <w:r>
              <w:rPr>
                <w:spacing w:val="-15"/>
                <w:sz w:val="24"/>
              </w:rPr>
              <w:t xml:space="preserve"> 人组成</w:t>
            </w:r>
            <w:r>
              <w:rPr>
                <w:sz w:val="24"/>
              </w:rPr>
              <w:t>。评审专家从海南</w:t>
            </w:r>
            <w:r>
              <w:rPr>
                <w:sz w:val="24"/>
                <w:highlight w:val="none"/>
              </w:rPr>
              <w:t>省</w:t>
            </w:r>
            <w:r>
              <w:rPr>
                <w:rFonts w:hint="eastAsia"/>
                <w:sz w:val="24"/>
                <w:highlight w:val="none"/>
                <w:lang w:val="en-US" w:eastAsia="zh-CN"/>
              </w:rPr>
              <w:t>儋州地区</w:t>
            </w:r>
            <w:r>
              <w:rPr>
                <w:sz w:val="24"/>
                <w:highlight w:val="none"/>
              </w:rPr>
              <w:t>综</w:t>
            </w:r>
            <w:r>
              <w:rPr>
                <w:sz w:val="24"/>
              </w:rPr>
              <w:t>合评标专家库中随机抽取。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20" w:type="dxa"/>
          </w:tcPr>
          <w:p>
            <w:pPr>
              <w:pStyle w:val="28"/>
              <w:spacing w:before="9"/>
              <w:rPr>
                <w:rFonts w:ascii="Times New Roman"/>
                <w:sz w:val="28"/>
              </w:rPr>
            </w:pPr>
          </w:p>
          <w:p>
            <w:pPr>
              <w:pStyle w:val="28"/>
              <w:ind w:left="119"/>
              <w:rPr>
                <w:sz w:val="24"/>
              </w:rPr>
            </w:pPr>
            <w:r>
              <w:rPr>
                <w:sz w:val="24"/>
              </w:rPr>
              <w:t>20.2</w:t>
            </w:r>
          </w:p>
        </w:tc>
        <w:tc>
          <w:tcPr>
            <w:tcW w:w="1908" w:type="dxa"/>
          </w:tcPr>
          <w:p>
            <w:pPr>
              <w:pStyle w:val="28"/>
              <w:spacing w:before="9"/>
              <w:rPr>
                <w:rFonts w:ascii="Times New Roman"/>
                <w:sz w:val="28"/>
              </w:rPr>
            </w:pPr>
          </w:p>
          <w:p>
            <w:pPr>
              <w:pStyle w:val="28"/>
              <w:ind w:left="89" w:right="82"/>
              <w:jc w:val="center"/>
              <w:rPr>
                <w:sz w:val="24"/>
              </w:rPr>
            </w:pPr>
            <w:r>
              <w:rPr>
                <w:sz w:val="24"/>
              </w:rPr>
              <w:t>评审方法</w:t>
            </w:r>
          </w:p>
        </w:tc>
        <w:tc>
          <w:tcPr>
            <w:tcW w:w="6564" w:type="dxa"/>
          </w:tcPr>
          <w:p>
            <w:pPr>
              <w:pStyle w:val="28"/>
              <w:spacing w:before="7"/>
              <w:ind w:left="107"/>
              <w:rPr>
                <w:sz w:val="24"/>
              </w:rPr>
            </w:pPr>
            <w:r>
              <w:rPr>
                <w:sz w:val="24"/>
              </w:rPr>
              <w:t>经磋商确定最终采购需求和提交最后报价的供应商后，由磋</w:t>
            </w:r>
          </w:p>
          <w:p>
            <w:pPr>
              <w:pStyle w:val="28"/>
              <w:spacing w:before="4" w:line="320" w:lineRule="atLeast"/>
              <w:ind w:left="107" w:right="90"/>
              <w:rPr>
                <w:sz w:val="24"/>
              </w:rPr>
            </w:pPr>
            <w:r>
              <w:rPr>
                <w:sz w:val="24"/>
              </w:rPr>
              <w:t>商小组采用综合评分法对提交最后报价的供应商的响应文件和最后报价进行综合评分。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20" w:type="dxa"/>
          </w:tcPr>
          <w:p>
            <w:pPr>
              <w:pStyle w:val="28"/>
              <w:spacing w:before="170"/>
              <w:ind w:left="119"/>
              <w:rPr>
                <w:sz w:val="24"/>
              </w:rPr>
            </w:pPr>
            <w:r>
              <w:rPr>
                <w:sz w:val="24"/>
              </w:rPr>
              <w:t>25.3</w:t>
            </w:r>
          </w:p>
        </w:tc>
        <w:tc>
          <w:tcPr>
            <w:tcW w:w="1908" w:type="dxa"/>
          </w:tcPr>
          <w:p>
            <w:pPr>
              <w:pStyle w:val="28"/>
              <w:spacing w:before="7"/>
              <w:ind w:left="89" w:right="82"/>
              <w:jc w:val="center"/>
              <w:rPr>
                <w:sz w:val="24"/>
              </w:rPr>
            </w:pPr>
            <w:r>
              <w:rPr>
                <w:sz w:val="24"/>
              </w:rPr>
              <w:t>成交候选人</w:t>
            </w:r>
          </w:p>
          <w:p>
            <w:pPr>
              <w:pStyle w:val="28"/>
              <w:spacing w:before="16" w:line="294" w:lineRule="exact"/>
              <w:ind w:left="89" w:right="82"/>
              <w:jc w:val="center"/>
              <w:rPr>
                <w:sz w:val="24"/>
              </w:rPr>
            </w:pPr>
            <w:r>
              <w:rPr>
                <w:sz w:val="24"/>
              </w:rPr>
              <w:t>数量</w:t>
            </w:r>
          </w:p>
        </w:tc>
        <w:tc>
          <w:tcPr>
            <w:tcW w:w="6564" w:type="dxa"/>
          </w:tcPr>
          <w:p>
            <w:pPr>
              <w:pStyle w:val="28"/>
              <w:spacing w:before="170"/>
              <w:ind w:left="107"/>
              <w:rPr>
                <w:sz w:val="24"/>
              </w:rPr>
            </w:pPr>
            <w:r>
              <w:rPr>
                <w:sz w:val="24"/>
              </w:rPr>
              <w:t>推荐 3 名成交候选供应商，并标明排序。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0" w:hRule="atLeast"/>
        </w:trPr>
        <w:tc>
          <w:tcPr>
            <w:tcW w:w="720" w:type="dxa"/>
          </w:tcPr>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spacing w:before="2"/>
              <w:rPr>
                <w:rFonts w:ascii="Times New Roman"/>
                <w:sz w:val="29"/>
              </w:rPr>
            </w:pPr>
          </w:p>
          <w:p>
            <w:pPr>
              <w:pStyle w:val="28"/>
              <w:spacing w:line="252" w:lineRule="auto"/>
              <w:ind w:left="119" w:right="108"/>
              <w:jc w:val="both"/>
              <w:rPr>
                <w:sz w:val="24"/>
              </w:rPr>
            </w:pPr>
            <w:r>
              <w:rPr>
                <w:sz w:val="24"/>
              </w:rPr>
              <w:t>政府采购政策</w:t>
            </w:r>
          </w:p>
        </w:tc>
        <w:tc>
          <w:tcPr>
            <w:tcW w:w="1908" w:type="dxa"/>
          </w:tcPr>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spacing w:before="175" w:line="252" w:lineRule="auto"/>
              <w:ind w:left="107" w:right="93" w:hanging="5"/>
              <w:jc w:val="center"/>
              <w:rPr>
                <w:sz w:val="24"/>
              </w:rPr>
            </w:pPr>
            <w:r>
              <w:rPr>
                <w:sz w:val="24"/>
              </w:rPr>
              <w:t xml:space="preserve">小型和微型企 </w:t>
            </w:r>
            <w:r>
              <w:rPr>
                <w:spacing w:val="-17"/>
                <w:sz w:val="24"/>
              </w:rPr>
              <w:t>业、 监狱企业及</w:t>
            </w:r>
            <w:r>
              <w:rPr>
                <w:sz w:val="24"/>
              </w:rPr>
              <w:t>残疾人福利性单位</w:t>
            </w:r>
          </w:p>
        </w:tc>
        <w:tc>
          <w:tcPr>
            <w:tcW w:w="6564" w:type="dxa"/>
          </w:tcPr>
          <w:p>
            <w:pPr>
              <w:pStyle w:val="28"/>
              <w:spacing w:before="7"/>
              <w:ind w:left="107"/>
              <w:rPr>
                <w:sz w:val="24"/>
              </w:rPr>
            </w:pPr>
            <w:r>
              <w:rPr>
                <w:spacing w:val="19"/>
                <w:sz w:val="24"/>
              </w:rPr>
              <w:t>1、根据《政府采购促进中小企业发展暂行办法》（财库</w:t>
            </w:r>
          </w:p>
          <w:p>
            <w:pPr>
              <w:pStyle w:val="28"/>
              <w:spacing w:before="16"/>
              <w:ind w:left="107"/>
              <w:rPr>
                <w:sz w:val="24"/>
              </w:rPr>
            </w:pPr>
            <w:r>
              <w:rPr>
                <w:sz w:val="24"/>
              </w:rPr>
              <w:t>[2011]181</w:t>
            </w:r>
            <w:r>
              <w:rPr>
                <w:spacing w:val="4"/>
                <w:sz w:val="24"/>
              </w:rPr>
              <w:t xml:space="preserve"> 号）的规定，对小型和微型企业产品的价格给予</w:t>
            </w:r>
          </w:p>
          <w:p>
            <w:pPr>
              <w:pStyle w:val="28"/>
              <w:spacing w:before="14"/>
              <w:ind w:left="107"/>
              <w:rPr>
                <w:sz w:val="24"/>
              </w:rPr>
            </w:pPr>
            <w:r>
              <w:rPr>
                <w:rFonts w:hint="eastAsia"/>
                <w:sz w:val="24"/>
                <w:lang w:val="en-US" w:eastAsia="zh-CN"/>
              </w:rPr>
              <w:t>10</w:t>
            </w:r>
            <w:r>
              <w:rPr>
                <w:sz w:val="24"/>
              </w:rPr>
              <w:t>%的价格扣除，用扣除后的价格参与评标。</w:t>
            </w:r>
          </w:p>
          <w:p>
            <w:pPr>
              <w:pStyle w:val="28"/>
              <w:spacing w:before="17" w:line="252" w:lineRule="auto"/>
              <w:ind w:left="107" w:right="90"/>
              <w:jc w:val="both"/>
              <w:rPr>
                <w:sz w:val="24"/>
              </w:rPr>
            </w:pPr>
            <w:r>
              <w:rPr>
                <w:spacing w:val="-3"/>
                <w:sz w:val="24"/>
              </w:rPr>
              <w:t>2、参加政府采购活动的中小企业提供《小型、微型企业声明</w:t>
            </w:r>
            <w:r>
              <w:rPr>
                <w:sz w:val="24"/>
              </w:rPr>
              <w:t>函》原件，未提供的，视为放弃享受小微企业价格扣除优惠政策。</w:t>
            </w:r>
          </w:p>
          <w:p>
            <w:pPr>
              <w:pStyle w:val="28"/>
              <w:spacing w:before="1" w:line="252" w:lineRule="auto"/>
              <w:ind w:left="107" w:right="84"/>
              <w:rPr>
                <w:sz w:val="24"/>
              </w:rPr>
            </w:pPr>
            <w:r>
              <w:rPr>
                <w:sz w:val="24"/>
              </w:rPr>
              <w:t>3、参加政府采购活动的监狱企业应提供监狱企业证明文件， 未提供的，视为放弃享受小微企业价格扣除优惠政策。</w:t>
            </w:r>
          </w:p>
          <w:p>
            <w:pPr>
              <w:pStyle w:val="28"/>
              <w:spacing w:line="252" w:lineRule="auto"/>
              <w:ind w:left="107" w:right="90"/>
              <w:jc w:val="both"/>
              <w:rPr>
                <w:sz w:val="24"/>
              </w:rPr>
            </w:pPr>
            <w:r>
              <w:rPr>
                <w:spacing w:val="-3"/>
                <w:sz w:val="24"/>
              </w:rPr>
              <w:t>4、参加政府采购活动的残疾人福利性单位应当提供《残疾人</w:t>
            </w:r>
            <w:r>
              <w:rPr>
                <w:sz w:val="24"/>
              </w:rPr>
              <w:t>福利性单位声明函》原件，未提供的，视为放弃享受小微企业价格扣除优惠政策。</w:t>
            </w:r>
          </w:p>
          <w:p>
            <w:pPr>
              <w:pStyle w:val="28"/>
              <w:spacing w:before="1" w:line="252" w:lineRule="auto"/>
              <w:ind w:left="107" w:right="90"/>
              <w:jc w:val="both"/>
              <w:rPr>
                <w:sz w:val="24"/>
              </w:rPr>
            </w:pPr>
            <w:r>
              <w:rPr>
                <w:spacing w:val="-3"/>
                <w:sz w:val="24"/>
              </w:rPr>
              <w:t>5、大中型企业和其他自然人、法人或者其他组织与小型、微</w:t>
            </w:r>
            <w:r>
              <w:rPr>
                <w:sz w:val="24"/>
              </w:rPr>
              <w:t>型企业组成联合体共同参加非专门面向中小企业的政府采购活动的，联合体投标协议中约定，小型、微型企业的协议合</w:t>
            </w:r>
            <w:r>
              <w:rPr>
                <w:spacing w:val="-4"/>
                <w:sz w:val="24"/>
              </w:rPr>
              <w:t xml:space="preserve">同金额占到联合体投标协议合同总金额 </w:t>
            </w:r>
            <w:r>
              <w:rPr>
                <w:sz w:val="24"/>
              </w:rPr>
              <w:t>30%</w:t>
            </w:r>
            <w:r>
              <w:rPr>
                <w:spacing w:val="-12"/>
                <w:sz w:val="24"/>
              </w:rPr>
              <w:t>以上的，可给予联</w:t>
            </w:r>
            <w:r>
              <w:rPr>
                <w:spacing w:val="-20"/>
                <w:sz w:val="24"/>
              </w:rPr>
              <w:t xml:space="preserve">合体 </w:t>
            </w:r>
            <w:r>
              <w:rPr>
                <w:rFonts w:hint="eastAsia"/>
                <w:sz w:val="24"/>
                <w:lang w:val="en-US" w:eastAsia="zh-CN"/>
              </w:rPr>
              <w:t>10</w:t>
            </w:r>
            <w:r>
              <w:rPr>
                <w:sz w:val="24"/>
              </w:rPr>
              <w:t>%的价格扣除。</w:t>
            </w:r>
          </w:p>
          <w:p>
            <w:pPr>
              <w:pStyle w:val="28"/>
              <w:spacing w:line="295" w:lineRule="exact"/>
              <w:ind w:left="107"/>
              <w:rPr>
                <w:sz w:val="24"/>
              </w:rPr>
            </w:pPr>
            <w:r>
              <w:rPr>
                <w:sz w:val="24"/>
              </w:rPr>
              <w:t>联合体各方均为小型、微型企业的，联合体视同为小型、微</w:t>
            </w:r>
          </w:p>
        </w:tc>
      </w:tr>
    </w:tbl>
    <w:p>
      <w:pPr>
        <w:spacing w:line="295" w:lineRule="exact"/>
        <w:rPr>
          <w:sz w:val="24"/>
        </w:rPr>
        <w:sectPr>
          <w:pgSz w:w="11910" w:h="16840"/>
          <w:pgMar w:top="1580" w:right="760" w:bottom="960" w:left="860" w:header="0" w:footer="776" w:gutter="0"/>
          <w:cols w:space="720" w:num="1"/>
        </w:sectPr>
      </w:pPr>
    </w:p>
    <w:tbl>
      <w:tblPr>
        <w:tblStyle w:val="22"/>
        <w:tblW w:w="0" w:type="auto"/>
        <w:tblInd w:w="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938"/>
        <w:gridCol w:w="6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04" w:type="dxa"/>
            <w:vMerge w:val="restart"/>
            <w:tcBorders>
              <w:top w:val="single" w:color="auto" w:sz="4" w:space="0"/>
              <w:left w:val="single" w:color="auto" w:sz="4" w:space="0"/>
              <w:bottom w:val="single" w:color="auto" w:sz="4" w:space="0"/>
              <w:right w:val="single" w:color="auto" w:sz="4" w:space="0"/>
            </w:tcBorders>
          </w:tcPr>
          <w:p>
            <w:pPr>
              <w:pStyle w:val="28"/>
              <w:rPr>
                <w:rFonts w:ascii="Times New Roman"/>
                <w:sz w:val="24"/>
              </w:rPr>
            </w:pPr>
          </w:p>
        </w:tc>
        <w:tc>
          <w:tcPr>
            <w:tcW w:w="1938" w:type="dxa"/>
            <w:tcBorders>
              <w:left w:val="single" w:color="auto" w:sz="4" w:space="0"/>
            </w:tcBorders>
          </w:tcPr>
          <w:p>
            <w:pPr>
              <w:pStyle w:val="28"/>
              <w:rPr>
                <w:rFonts w:ascii="Times New Roman"/>
                <w:sz w:val="24"/>
              </w:rPr>
            </w:pPr>
          </w:p>
        </w:tc>
        <w:tc>
          <w:tcPr>
            <w:tcW w:w="6988" w:type="dxa"/>
          </w:tcPr>
          <w:p>
            <w:pPr>
              <w:pStyle w:val="28"/>
              <w:spacing w:before="7"/>
              <w:ind w:left="107"/>
              <w:rPr>
                <w:sz w:val="24"/>
              </w:rPr>
            </w:pPr>
            <w:r>
              <w:rPr>
                <w:sz w:val="24"/>
              </w:rPr>
              <w:t>型企业享受规定的扶持政策。组成联合体的大中型企业和其</w:t>
            </w:r>
          </w:p>
          <w:p>
            <w:pPr>
              <w:pStyle w:val="28"/>
              <w:spacing w:before="4" w:line="320" w:lineRule="atLeast"/>
              <w:ind w:left="107" w:right="90"/>
              <w:rPr>
                <w:sz w:val="24"/>
              </w:rPr>
            </w:pPr>
            <w:r>
              <w:rPr>
                <w:sz w:val="24"/>
              </w:rPr>
              <w:t>他自然人、法人或者其他组织，与小型、微型企业之间不得存在投资关系。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1" w:hRule="atLeast"/>
        </w:trPr>
        <w:tc>
          <w:tcPr>
            <w:tcW w:w="70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938" w:type="dxa"/>
            <w:tcBorders>
              <w:left w:val="single" w:color="auto" w:sz="4" w:space="0"/>
            </w:tcBorders>
          </w:tcPr>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rPr>
                <w:rFonts w:ascii="Times New Roman"/>
                <w:sz w:val="24"/>
              </w:rPr>
            </w:pPr>
          </w:p>
          <w:p>
            <w:pPr>
              <w:pStyle w:val="28"/>
              <w:spacing w:before="2"/>
              <w:rPr>
                <w:rFonts w:ascii="Times New Roman"/>
                <w:sz w:val="29"/>
              </w:rPr>
            </w:pPr>
          </w:p>
          <w:p>
            <w:pPr>
              <w:pStyle w:val="28"/>
              <w:spacing w:line="252" w:lineRule="auto"/>
              <w:ind w:left="232" w:right="103" w:hanging="120"/>
              <w:rPr>
                <w:sz w:val="24"/>
              </w:rPr>
            </w:pPr>
            <w:r>
              <w:rPr>
                <w:sz w:val="24"/>
              </w:rPr>
              <w:t>节能、环保（本项目不适用）</w:t>
            </w:r>
          </w:p>
        </w:tc>
        <w:tc>
          <w:tcPr>
            <w:tcW w:w="6988" w:type="dxa"/>
          </w:tcPr>
          <w:p>
            <w:pPr>
              <w:pStyle w:val="28"/>
              <w:spacing w:before="7" w:line="252" w:lineRule="auto"/>
              <w:ind w:left="107" w:right="90"/>
              <w:jc w:val="both"/>
              <w:rPr>
                <w:sz w:val="24"/>
              </w:rPr>
            </w:pPr>
            <w:r>
              <w:rPr>
                <w:spacing w:val="4"/>
                <w:sz w:val="24"/>
              </w:rPr>
              <w:t>1</w:t>
            </w:r>
            <w:r>
              <w:rPr>
                <w:sz w:val="24"/>
              </w:rPr>
              <w:t>、根据《财政部 发展改革委 生态环境部 市场监管总局关于调整优化节能产品、环境标志产品政府采购执行机制的通</w:t>
            </w:r>
            <w:r>
              <w:rPr>
                <w:spacing w:val="-12"/>
                <w:sz w:val="24"/>
              </w:rPr>
              <w:t>知》</w:t>
            </w:r>
            <w:r>
              <w:rPr>
                <w:sz w:val="24"/>
              </w:rPr>
              <w:t>（</w:t>
            </w:r>
            <w:r>
              <w:rPr>
                <w:spacing w:val="-4"/>
                <w:sz w:val="24"/>
              </w:rPr>
              <w:t>财库〔</w:t>
            </w:r>
            <w:r>
              <w:rPr>
                <w:sz w:val="24"/>
              </w:rPr>
              <w:t>2019</w:t>
            </w:r>
            <w:r>
              <w:rPr>
                <w:spacing w:val="-12"/>
                <w:sz w:val="24"/>
              </w:rPr>
              <w:t>〕</w:t>
            </w:r>
            <w:r>
              <w:rPr>
                <w:sz w:val="24"/>
              </w:rPr>
              <w:t>9</w:t>
            </w:r>
            <w:r>
              <w:rPr>
                <w:spacing w:val="-30"/>
                <w:sz w:val="24"/>
              </w:rPr>
              <w:t xml:space="preserve"> 号</w:t>
            </w:r>
            <w:r>
              <w:rPr>
                <w:spacing w:val="-12"/>
                <w:sz w:val="24"/>
              </w:rPr>
              <w:t>）</w:t>
            </w:r>
            <w:r>
              <w:rPr>
                <w:spacing w:val="-5"/>
                <w:sz w:val="24"/>
              </w:rPr>
              <w:t>相关要求，依据品目清单和认证证</w:t>
            </w:r>
            <w:r>
              <w:rPr>
                <w:sz w:val="24"/>
              </w:rPr>
              <w:t>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28"/>
              <w:spacing w:line="252" w:lineRule="auto"/>
              <w:ind w:left="107" w:right="90"/>
              <w:jc w:val="both"/>
              <w:rPr>
                <w:sz w:val="24"/>
              </w:rPr>
            </w:pPr>
            <w:r>
              <w:rPr>
                <w:spacing w:val="-3"/>
                <w:sz w:val="24"/>
              </w:rPr>
              <w:t>2</w:t>
            </w:r>
            <w:r>
              <w:rPr>
                <w:spacing w:val="-4"/>
                <w:sz w:val="24"/>
              </w:rPr>
              <w:t>、本项目采购的产品属于品目清单强制采购范围的，供应商</w:t>
            </w:r>
            <w:r>
              <w:rPr>
                <w:sz w:val="24"/>
              </w:rPr>
              <w:t>应按上述要求提供产品认证证书复印件并加盖供应商单位公章（鲜章），否则投标无效。（实质性要求）</w:t>
            </w:r>
          </w:p>
          <w:p>
            <w:pPr>
              <w:pStyle w:val="28"/>
              <w:spacing w:before="1" w:line="252" w:lineRule="auto"/>
              <w:ind w:left="107" w:right="50"/>
              <w:rPr>
                <w:sz w:val="24"/>
              </w:rPr>
            </w:pPr>
            <w:r>
              <w:rPr>
                <w:sz w:val="24"/>
              </w:rPr>
              <w:t>3、本项目采购的产品属于品目清单优先采购范围的，按照第四章详细评审标准的规则进行加分。</w:t>
            </w:r>
          </w:p>
          <w:p>
            <w:pPr>
              <w:pStyle w:val="28"/>
              <w:spacing w:line="252" w:lineRule="auto"/>
              <w:ind w:left="107" w:right="36"/>
              <w:jc w:val="both"/>
              <w:rPr>
                <w:sz w:val="24"/>
              </w:rPr>
            </w:pPr>
            <w:r>
              <w:rPr>
                <w:spacing w:val="-11"/>
                <w:sz w:val="24"/>
              </w:rPr>
              <w:t>注：对政府采购节能产品、环境标志产品实施品目清单管理。</w:t>
            </w:r>
            <w:r>
              <w:rPr>
                <w:sz w:val="24"/>
              </w:rPr>
              <w:t>财政部、发展改革委、生态环境部等部门确定实施政府优先采购和强制采购的产品类别，以品目清单的形式发布并适时调整。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04" w:type="dxa"/>
            <w:tcBorders>
              <w:top w:val="single" w:color="auto" w:sz="4" w:space="0"/>
              <w:left w:val="single" w:color="auto" w:sz="4" w:space="0"/>
              <w:bottom w:val="single" w:color="auto" w:sz="4" w:space="0"/>
              <w:right w:val="single" w:color="auto" w:sz="4" w:space="0"/>
            </w:tcBorders>
          </w:tcPr>
          <w:p>
            <w:pPr>
              <w:rPr>
                <w:lang w:val="en-US"/>
              </w:rPr>
            </w:pPr>
          </w:p>
          <w:p>
            <w:pPr>
              <w:jc w:val="center"/>
              <w:rPr>
                <w:lang w:val="en-US"/>
              </w:rPr>
            </w:pPr>
            <w:r>
              <w:rPr>
                <w:rFonts w:hint="eastAsia"/>
                <w:lang w:val="en-US"/>
              </w:rPr>
              <w:t>其它</w:t>
            </w:r>
          </w:p>
        </w:tc>
        <w:tc>
          <w:tcPr>
            <w:tcW w:w="1938" w:type="dxa"/>
            <w:tcBorders>
              <w:left w:val="single" w:color="auto" w:sz="4" w:space="0"/>
            </w:tcBorders>
          </w:tcPr>
          <w:p>
            <w:pPr>
              <w:rPr>
                <w:lang w:val="en-US"/>
              </w:rPr>
            </w:pPr>
            <w:r>
              <w:rPr>
                <w:rFonts w:hint="eastAsia"/>
                <w:sz w:val="24"/>
                <w:lang w:val="en-US"/>
              </w:rPr>
              <w:t>关于招标代理服务费</w:t>
            </w:r>
          </w:p>
        </w:tc>
        <w:tc>
          <w:tcPr>
            <w:tcW w:w="6988" w:type="dxa"/>
          </w:tcPr>
          <w:p>
            <w:pPr>
              <w:pStyle w:val="28"/>
              <w:spacing w:before="1" w:line="297" w:lineRule="exact"/>
              <w:ind w:left="107"/>
              <w:rPr>
                <w:sz w:val="24"/>
                <w:lang w:val="en-US"/>
              </w:rPr>
            </w:pPr>
            <w:r>
              <w:rPr>
                <w:rFonts w:hint="eastAsia"/>
                <w:bCs/>
                <w:sz w:val="24"/>
                <w:highlight w:val="none"/>
                <w:lang w:val="en-US" w:eastAsia="zh-CN"/>
              </w:rPr>
              <w:t>招标代理费由成交供应商支付，在发出成交通知书前一次性付清。</w:t>
            </w:r>
          </w:p>
        </w:tc>
      </w:tr>
    </w:tbl>
    <w:p>
      <w:pPr>
        <w:pStyle w:val="13"/>
        <w:rPr>
          <w:rFonts w:ascii="Times New Roman"/>
          <w:sz w:val="20"/>
        </w:rPr>
      </w:pPr>
    </w:p>
    <w:p>
      <w:pPr>
        <w:pStyle w:val="13"/>
        <w:rPr>
          <w:rFonts w:ascii="Times New Roman"/>
          <w:sz w:val="20"/>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13"/>
        <w:spacing w:before="2"/>
        <w:rPr>
          <w:rFonts w:ascii="Times New Roman"/>
          <w:sz w:val="26"/>
        </w:rPr>
      </w:pPr>
    </w:p>
    <w:p>
      <w:pPr>
        <w:pStyle w:val="2"/>
        <w:numPr>
          <w:ilvl w:val="0"/>
          <w:numId w:val="2"/>
        </w:numPr>
        <w:tabs>
          <w:tab w:val="left" w:pos="760"/>
        </w:tabs>
      </w:pPr>
      <w:bookmarkStart w:id="12" w:name="A._说明和释义"/>
      <w:bookmarkEnd w:id="12"/>
      <w:bookmarkStart w:id="13" w:name="_Toc1508"/>
      <w:r>
        <w:t>说明和释义</w:t>
      </w:r>
      <w:bookmarkEnd w:id="13"/>
    </w:p>
    <w:p>
      <w:pPr>
        <w:pStyle w:val="13"/>
        <w:spacing w:before="12"/>
        <w:rPr>
          <w:b/>
          <w:sz w:val="35"/>
        </w:rPr>
      </w:pPr>
    </w:p>
    <w:p>
      <w:pPr>
        <w:numPr>
          <w:ilvl w:val="0"/>
          <w:numId w:val="3"/>
        </w:numPr>
        <w:tabs>
          <w:tab w:val="left" w:pos="644"/>
          <w:tab w:val="left" w:pos="645"/>
        </w:tabs>
        <w:outlineLvl w:val="2"/>
        <w:rPr>
          <w:b/>
          <w:sz w:val="24"/>
        </w:rPr>
      </w:pPr>
      <w:bookmarkStart w:id="14" w:name="1_适用范围"/>
      <w:bookmarkEnd w:id="14"/>
      <w:bookmarkStart w:id="15" w:name="_Toc14949"/>
      <w:r>
        <w:rPr>
          <w:b/>
          <w:sz w:val="24"/>
        </w:rPr>
        <w:t>适用范围</w:t>
      </w:r>
      <w:bookmarkEnd w:id="15"/>
    </w:p>
    <w:p>
      <w:pPr>
        <w:pStyle w:val="27"/>
        <w:numPr>
          <w:ilvl w:val="1"/>
          <w:numId w:val="3"/>
        </w:numPr>
        <w:tabs>
          <w:tab w:val="left" w:pos="1271"/>
          <w:tab w:val="left" w:pos="1272"/>
        </w:tabs>
        <w:spacing w:before="177"/>
        <w:ind w:left="1271"/>
        <w:rPr>
          <w:rFonts w:ascii="Times New Roman" w:eastAsia="Times New Roman"/>
          <w:sz w:val="24"/>
        </w:rPr>
      </w:pPr>
      <w:bookmarkStart w:id="16" w:name="1.1_本磋商文件仅适用于本采购活动。"/>
      <w:bookmarkEnd w:id="16"/>
      <w:r>
        <w:rPr>
          <w:sz w:val="24"/>
        </w:rPr>
        <w:t>本磋商文件仅适用于本采购活动。</w:t>
      </w:r>
    </w:p>
    <w:p>
      <w:pPr>
        <w:pStyle w:val="27"/>
        <w:numPr>
          <w:ilvl w:val="1"/>
          <w:numId w:val="3"/>
        </w:numPr>
        <w:tabs>
          <w:tab w:val="left" w:pos="1271"/>
          <w:tab w:val="left" w:pos="1272"/>
        </w:tabs>
        <w:spacing w:before="177"/>
        <w:ind w:left="1271"/>
        <w:rPr>
          <w:rFonts w:ascii="Times New Roman" w:eastAsia="Times New Roman"/>
          <w:sz w:val="24"/>
        </w:rPr>
      </w:pPr>
      <w:bookmarkStart w:id="17" w:name="1.2_本采购活动及结果受中国法律的制约和保护。"/>
      <w:bookmarkEnd w:id="17"/>
      <w:r>
        <w:rPr>
          <w:sz w:val="24"/>
        </w:rPr>
        <w:t>本采购活动及结果受中国法律的制约和保护。</w:t>
      </w:r>
    </w:p>
    <w:p>
      <w:pPr>
        <w:numPr>
          <w:ilvl w:val="0"/>
          <w:numId w:val="3"/>
        </w:numPr>
        <w:tabs>
          <w:tab w:val="left" w:pos="644"/>
          <w:tab w:val="left" w:pos="645"/>
        </w:tabs>
        <w:spacing w:before="178"/>
        <w:outlineLvl w:val="2"/>
        <w:rPr>
          <w:b/>
          <w:sz w:val="24"/>
        </w:rPr>
      </w:pPr>
      <w:bookmarkStart w:id="18" w:name="2_采购说明"/>
      <w:bookmarkEnd w:id="18"/>
      <w:bookmarkStart w:id="19" w:name="_Toc19260"/>
      <w:r>
        <w:rPr>
          <w:b/>
          <w:sz w:val="24"/>
        </w:rPr>
        <w:t>采购说明</w:t>
      </w:r>
      <w:bookmarkEnd w:id="19"/>
    </w:p>
    <w:p>
      <w:pPr>
        <w:pStyle w:val="27"/>
        <w:numPr>
          <w:ilvl w:val="1"/>
          <w:numId w:val="3"/>
        </w:numPr>
        <w:tabs>
          <w:tab w:val="left" w:pos="1271"/>
          <w:tab w:val="left" w:pos="1272"/>
        </w:tabs>
        <w:spacing w:before="177"/>
        <w:ind w:left="1271"/>
        <w:rPr>
          <w:rFonts w:ascii="Times New Roman" w:eastAsia="Times New Roman"/>
          <w:sz w:val="24"/>
        </w:rPr>
      </w:pPr>
      <w:bookmarkStart w:id="20" w:name="2.1_项目名称：见供应商须知前附表。"/>
      <w:bookmarkEnd w:id="20"/>
      <w:r>
        <w:rPr>
          <w:sz w:val="24"/>
        </w:rPr>
        <w:t>项目名称：见供应商须知前附表。</w:t>
      </w:r>
    </w:p>
    <w:p>
      <w:pPr>
        <w:pStyle w:val="27"/>
        <w:numPr>
          <w:ilvl w:val="1"/>
          <w:numId w:val="3"/>
        </w:numPr>
        <w:tabs>
          <w:tab w:val="left" w:pos="1271"/>
          <w:tab w:val="left" w:pos="1272"/>
        </w:tabs>
        <w:spacing w:before="177"/>
        <w:ind w:left="1271"/>
        <w:rPr>
          <w:rFonts w:ascii="Times New Roman" w:eastAsia="Times New Roman"/>
          <w:sz w:val="24"/>
        </w:rPr>
      </w:pPr>
      <w:bookmarkStart w:id="21" w:name="2.2_项目编号：见供应商须知前附表。"/>
      <w:bookmarkEnd w:id="21"/>
      <w:r>
        <w:rPr>
          <w:sz w:val="24"/>
        </w:rPr>
        <w:t>项目编号：见供应商须知前附表。</w:t>
      </w:r>
    </w:p>
    <w:p>
      <w:pPr>
        <w:pStyle w:val="27"/>
        <w:numPr>
          <w:ilvl w:val="1"/>
          <w:numId w:val="3"/>
        </w:numPr>
        <w:tabs>
          <w:tab w:val="left" w:pos="1271"/>
          <w:tab w:val="left" w:pos="1272"/>
        </w:tabs>
        <w:spacing w:before="178"/>
        <w:ind w:left="1271"/>
        <w:rPr>
          <w:rFonts w:ascii="Times New Roman" w:eastAsia="Times New Roman"/>
          <w:sz w:val="24"/>
        </w:rPr>
      </w:pPr>
      <w:bookmarkStart w:id="22" w:name="2.3_采购人：见供应商须知前附表。"/>
      <w:bookmarkEnd w:id="22"/>
      <w:r>
        <w:rPr>
          <w:sz w:val="24"/>
        </w:rPr>
        <w:t>采购人：见供应商须知前附表。</w:t>
      </w:r>
    </w:p>
    <w:p>
      <w:pPr>
        <w:pStyle w:val="27"/>
        <w:numPr>
          <w:ilvl w:val="1"/>
          <w:numId w:val="3"/>
        </w:numPr>
        <w:tabs>
          <w:tab w:val="left" w:pos="1271"/>
          <w:tab w:val="left" w:pos="1272"/>
        </w:tabs>
        <w:spacing w:before="177"/>
        <w:ind w:left="1271"/>
        <w:rPr>
          <w:rFonts w:ascii="Times New Roman" w:eastAsia="Times New Roman"/>
          <w:sz w:val="24"/>
        </w:rPr>
      </w:pPr>
      <w:bookmarkStart w:id="23" w:name="2.4_采购代理机构：见供应商须知前附表。"/>
      <w:bookmarkEnd w:id="23"/>
      <w:r>
        <w:rPr>
          <w:sz w:val="24"/>
        </w:rPr>
        <w:t>采购代理机构：见供应商须知前附表。</w:t>
      </w:r>
    </w:p>
    <w:p>
      <w:pPr>
        <w:pStyle w:val="27"/>
        <w:numPr>
          <w:ilvl w:val="1"/>
          <w:numId w:val="3"/>
        </w:numPr>
        <w:tabs>
          <w:tab w:val="left" w:pos="1271"/>
          <w:tab w:val="left" w:pos="1272"/>
        </w:tabs>
        <w:spacing w:before="175"/>
        <w:ind w:left="1271"/>
        <w:rPr>
          <w:rFonts w:ascii="Times New Roman" w:eastAsia="Times New Roman"/>
          <w:sz w:val="24"/>
        </w:rPr>
      </w:pPr>
      <w:bookmarkStart w:id="24" w:name="2.5_采购预算：见供应商须知前附表。"/>
      <w:bookmarkEnd w:id="24"/>
      <w:r>
        <w:rPr>
          <w:sz w:val="24"/>
        </w:rPr>
        <w:t>采购预算：见供应商须知前附表。</w:t>
      </w:r>
    </w:p>
    <w:p>
      <w:pPr>
        <w:pStyle w:val="27"/>
        <w:numPr>
          <w:ilvl w:val="1"/>
          <w:numId w:val="3"/>
        </w:numPr>
        <w:tabs>
          <w:tab w:val="left" w:pos="1271"/>
          <w:tab w:val="left" w:pos="1272"/>
        </w:tabs>
        <w:spacing w:before="177"/>
        <w:ind w:left="1271"/>
        <w:rPr>
          <w:rFonts w:ascii="Times New Roman" w:eastAsia="Times New Roman"/>
          <w:sz w:val="24"/>
        </w:rPr>
      </w:pPr>
      <w:bookmarkStart w:id="25" w:name="2.6_投资模式：见供应商须知前附表。"/>
      <w:bookmarkEnd w:id="25"/>
      <w:r>
        <w:rPr>
          <w:sz w:val="24"/>
        </w:rPr>
        <w:t>投资模式：见供应商须知前附表。</w:t>
      </w:r>
    </w:p>
    <w:p>
      <w:pPr>
        <w:pStyle w:val="27"/>
        <w:numPr>
          <w:ilvl w:val="1"/>
          <w:numId w:val="3"/>
        </w:numPr>
        <w:tabs>
          <w:tab w:val="left" w:pos="1271"/>
          <w:tab w:val="left" w:pos="1272"/>
        </w:tabs>
        <w:spacing w:before="177"/>
        <w:ind w:left="1271"/>
        <w:rPr>
          <w:rFonts w:ascii="Times New Roman" w:eastAsia="Times New Roman"/>
          <w:sz w:val="24"/>
        </w:rPr>
      </w:pPr>
      <w:bookmarkStart w:id="26" w:name="2.7_供应商资格要求：见供应商须知前附表。"/>
      <w:bookmarkEnd w:id="26"/>
      <w:r>
        <w:rPr>
          <w:sz w:val="24"/>
        </w:rPr>
        <w:t>供应商资格要求：见供应商须知前附表。</w:t>
      </w:r>
    </w:p>
    <w:p>
      <w:pPr>
        <w:pStyle w:val="27"/>
        <w:numPr>
          <w:ilvl w:val="1"/>
          <w:numId w:val="3"/>
        </w:numPr>
        <w:tabs>
          <w:tab w:val="left" w:pos="1271"/>
          <w:tab w:val="left" w:pos="1272"/>
        </w:tabs>
        <w:spacing w:before="178"/>
        <w:ind w:left="1271"/>
        <w:rPr>
          <w:rFonts w:ascii="Times New Roman" w:eastAsia="Times New Roman"/>
          <w:sz w:val="24"/>
        </w:rPr>
      </w:pPr>
      <w:bookmarkStart w:id="27" w:name="2.8_计划项目完成时间（服务期限）：见供应商须知前附表。"/>
      <w:bookmarkEnd w:id="27"/>
      <w:r>
        <w:rPr>
          <w:sz w:val="24"/>
        </w:rPr>
        <w:t>计划项目完成时间（服务期限）：见供应商须知前附表。</w:t>
      </w:r>
    </w:p>
    <w:p>
      <w:pPr>
        <w:pStyle w:val="11"/>
        <w:ind w:left="0" w:leftChars="0" w:firstLine="0" w:firstLineChars="0"/>
        <w:rPr>
          <w:rFonts w:ascii="Times New Roman" w:eastAsia="Times New Roman"/>
          <w:sz w:val="24"/>
        </w:rPr>
      </w:pPr>
    </w:p>
    <w:p>
      <w:pPr>
        <w:numPr>
          <w:ilvl w:val="0"/>
          <w:numId w:val="3"/>
        </w:numPr>
        <w:tabs>
          <w:tab w:val="left" w:pos="644"/>
          <w:tab w:val="left" w:pos="645"/>
        </w:tabs>
        <w:spacing w:before="50"/>
        <w:outlineLvl w:val="2"/>
        <w:rPr>
          <w:b/>
          <w:sz w:val="24"/>
        </w:rPr>
      </w:pPr>
      <w:bookmarkStart w:id="28" w:name="3_磋商授权委托"/>
      <w:bookmarkEnd w:id="28"/>
      <w:bookmarkStart w:id="29" w:name="_Toc14743"/>
      <w:r>
        <w:rPr>
          <w:b/>
          <w:sz w:val="24"/>
        </w:rPr>
        <w:t>磋商授权委托</w:t>
      </w:r>
      <w:bookmarkEnd w:id="29"/>
    </w:p>
    <w:p>
      <w:pPr>
        <w:pStyle w:val="27"/>
        <w:numPr>
          <w:ilvl w:val="1"/>
          <w:numId w:val="3"/>
        </w:numPr>
        <w:tabs>
          <w:tab w:val="left" w:pos="1271"/>
          <w:tab w:val="left" w:pos="1272"/>
        </w:tabs>
        <w:spacing w:before="177"/>
        <w:ind w:left="1271"/>
        <w:rPr>
          <w:rFonts w:ascii="Times New Roman" w:eastAsia="Times New Roman"/>
          <w:sz w:val="24"/>
        </w:rPr>
      </w:pPr>
      <w:bookmarkStart w:id="30" w:name="3.1_供应商的法定代表人可以委托代表人处理磋商事务。"/>
      <w:bookmarkEnd w:id="30"/>
      <w:r>
        <w:rPr>
          <w:sz w:val="24"/>
        </w:rPr>
        <w:t>供应商的法定代表人可以委托代表人处理磋商事务。</w:t>
      </w:r>
    </w:p>
    <w:p>
      <w:pPr>
        <w:pStyle w:val="27"/>
        <w:numPr>
          <w:ilvl w:val="1"/>
          <w:numId w:val="3"/>
        </w:numPr>
        <w:tabs>
          <w:tab w:val="left" w:pos="1271"/>
          <w:tab w:val="left" w:pos="1272"/>
        </w:tabs>
        <w:spacing w:before="178"/>
        <w:ind w:left="1271"/>
        <w:rPr>
          <w:rFonts w:ascii="Times New Roman" w:eastAsia="Times New Roman"/>
          <w:sz w:val="24"/>
        </w:rPr>
      </w:pPr>
      <w:bookmarkStart w:id="31" w:name="3.2_委托代表人的资格条件：见供应商须知前附表。"/>
      <w:bookmarkEnd w:id="31"/>
      <w:r>
        <w:rPr>
          <w:sz w:val="24"/>
        </w:rPr>
        <w:t>委托代表人的资格条件：见供应商须知前附表。</w:t>
      </w:r>
    </w:p>
    <w:p>
      <w:pPr>
        <w:pStyle w:val="27"/>
        <w:numPr>
          <w:ilvl w:val="1"/>
          <w:numId w:val="3"/>
        </w:numPr>
        <w:tabs>
          <w:tab w:val="left" w:pos="1271"/>
          <w:tab w:val="left" w:pos="1272"/>
        </w:tabs>
        <w:spacing w:before="177"/>
        <w:ind w:left="1271"/>
        <w:rPr>
          <w:rFonts w:ascii="Times New Roman" w:eastAsia="Times New Roman"/>
          <w:sz w:val="24"/>
        </w:rPr>
      </w:pPr>
      <w:bookmarkStart w:id="32" w:name="3.3_委托代表人的代理权限：见供应商须知前附表。"/>
      <w:bookmarkEnd w:id="32"/>
      <w:r>
        <w:rPr>
          <w:sz w:val="24"/>
        </w:rPr>
        <w:t>委托代表人的代理权限：见供应商须知前附表。</w:t>
      </w:r>
    </w:p>
    <w:p>
      <w:pPr>
        <w:pStyle w:val="27"/>
        <w:numPr>
          <w:ilvl w:val="1"/>
          <w:numId w:val="3"/>
        </w:numPr>
        <w:tabs>
          <w:tab w:val="left" w:pos="1271"/>
          <w:tab w:val="left" w:pos="1272"/>
        </w:tabs>
        <w:spacing w:before="175"/>
        <w:ind w:left="1271"/>
        <w:rPr>
          <w:rFonts w:ascii="Times New Roman" w:eastAsia="Times New Roman"/>
          <w:sz w:val="24"/>
        </w:rPr>
      </w:pPr>
      <w:bookmarkStart w:id="33" w:name="3.4_委托代表人须持有法定代表人出具的符合格式要求的《授权委托书》（格式见附件"/>
      <w:bookmarkEnd w:id="33"/>
      <w:r>
        <w:rPr>
          <w:spacing w:val="-4"/>
          <w:sz w:val="24"/>
        </w:rPr>
        <w:t>委托代表人须持有法定代表人出具的符合格式要求的《授权委托书</w:t>
      </w:r>
      <w:r>
        <w:rPr>
          <w:spacing w:val="-154"/>
          <w:sz w:val="24"/>
        </w:rPr>
        <w:t>》</w:t>
      </w:r>
      <w:r>
        <w:rPr>
          <w:sz w:val="24"/>
        </w:rPr>
        <w:t>（格式见附件</w:t>
      </w:r>
      <w:r>
        <w:rPr>
          <w:spacing w:val="-77"/>
          <w:sz w:val="24"/>
        </w:rPr>
        <w:t>）</w:t>
      </w:r>
      <w:r>
        <w:rPr>
          <w:sz w:val="24"/>
        </w:rPr>
        <w:t>。</w:t>
      </w:r>
    </w:p>
    <w:p>
      <w:pPr>
        <w:numPr>
          <w:ilvl w:val="0"/>
          <w:numId w:val="3"/>
        </w:numPr>
        <w:tabs>
          <w:tab w:val="left" w:pos="644"/>
          <w:tab w:val="left" w:pos="645"/>
        </w:tabs>
        <w:spacing w:before="177"/>
        <w:outlineLvl w:val="2"/>
        <w:rPr>
          <w:b/>
          <w:sz w:val="24"/>
        </w:rPr>
      </w:pPr>
      <w:bookmarkStart w:id="34" w:name="4_磋商费用"/>
      <w:bookmarkEnd w:id="34"/>
      <w:bookmarkStart w:id="35" w:name="_Toc18449"/>
      <w:r>
        <w:rPr>
          <w:b/>
          <w:sz w:val="24"/>
        </w:rPr>
        <w:t>磋商费用</w:t>
      </w:r>
      <w:bookmarkEnd w:id="35"/>
    </w:p>
    <w:p>
      <w:pPr>
        <w:pStyle w:val="27"/>
        <w:numPr>
          <w:ilvl w:val="1"/>
          <w:numId w:val="3"/>
        </w:numPr>
        <w:tabs>
          <w:tab w:val="left" w:pos="1271"/>
          <w:tab w:val="left" w:pos="1272"/>
        </w:tabs>
        <w:spacing w:before="178"/>
        <w:ind w:left="1271"/>
        <w:rPr>
          <w:rFonts w:ascii="Times New Roman" w:eastAsia="Times New Roman"/>
          <w:sz w:val="24"/>
        </w:rPr>
      </w:pPr>
      <w:bookmarkStart w:id="36" w:name="4.1_供应商自行承担参加磋商的全部费用。"/>
      <w:bookmarkEnd w:id="36"/>
      <w:r>
        <w:rPr>
          <w:sz w:val="24"/>
        </w:rPr>
        <w:t>供应商自行承担参加磋商的全部费用。</w:t>
      </w:r>
    </w:p>
    <w:p>
      <w:pPr>
        <w:pStyle w:val="13"/>
        <w:spacing w:before="11"/>
        <w:rPr>
          <w:sz w:val="35"/>
        </w:rPr>
      </w:pPr>
    </w:p>
    <w:p>
      <w:pPr>
        <w:pStyle w:val="2"/>
        <w:numPr>
          <w:ilvl w:val="0"/>
          <w:numId w:val="2"/>
        </w:numPr>
        <w:tabs>
          <w:tab w:val="left" w:pos="760"/>
        </w:tabs>
        <w:spacing w:before="1"/>
      </w:pPr>
      <w:bookmarkStart w:id="37" w:name="B._磋商文件"/>
      <w:bookmarkEnd w:id="37"/>
      <w:bookmarkStart w:id="38" w:name="_Toc7023"/>
      <w:r>
        <w:rPr>
          <w:w w:val="95"/>
        </w:rPr>
        <w:t>磋商文件</w:t>
      </w:r>
      <w:bookmarkEnd w:id="38"/>
    </w:p>
    <w:p>
      <w:pPr>
        <w:pStyle w:val="13"/>
        <w:spacing w:before="1"/>
        <w:rPr>
          <w:b/>
          <w:sz w:val="36"/>
        </w:rPr>
      </w:pPr>
    </w:p>
    <w:p>
      <w:pPr>
        <w:numPr>
          <w:ilvl w:val="0"/>
          <w:numId w:val="3"/>
        </w:numPr>
        <w:tabs>
          <w:tab w:val="left" w:pos="644"/>
          <w:tab w:val="left" w:pos="645"/>
        </w:tabs>
        <w:rPr>
          <w:b/>
          <w:sz w:val="24"/>
        </w:rPr>
      </w:pPr>
      <w:bookmarkStart w:id="39" w:name="5_磋商文件的构成"/>
      <w:bookmarkEnd w:id="39"/>
      <w:r>
        <w:rPr>
          <w:b/>
          <w:w w:val="95"/>
          <w:sz w:val="24"/>
        </w:rPr>
        <w:t>磋商文件的构成</w:t>
      </w:r>
    </w:p>
    <w:p>
      <w:pPr>
        <w:pStyle w:val="27"/>
        <w:numPr>
          <w:ilvl w:val="1"/>
          <w:numId w:val="3"/>
        </w:numPr>
        <w:tabs>
          <w:tab w:val="left" w:pos="1271"/>
          <w:tab w:val="left" w:pos="1272"/>
        </w:tabs>
        <w:spacing w:before="175"/>
        <w:ind w:left="1271"/>
        <w:rPr>
          <w:rFonts w:ascii="Times New Roman" w:eastAsia="Times New Roman"/>
          <w:sz w:val="24"/>
        </w:rPr>
      </w:pPr>
      <w:bookmarkStart w:id="40" w:name="5.1_磋商文件包括以下内容："/>
      <w:bookmarkEnd w:id="40"/>
      <w:r>
        <w:rPr>
          <w:sz w:val="24"/>
        </w:rPr>
        <w:t>磋商文件包括以下内容：</w:t>
      </w:r>
    </w:p>
    <w:p>
      <w:pPr>
        <w:pStyle w:val="13"/>
        <w:spacing w:before="177"/>
        <w:ind w:left="700"/>
      </w:pPr>
      <w:r>
        <w:t>（一）磋商公告；</w:t>
      </w:r>
    </w:p>
    <w:p>
      <w:pPr>
        <w:pStyle w:val="13"/>
        <w:spacing w:before="178"/>
        <w:ind w:left="700"/>
      </w:pPr>
      <w:r>
        <w:t>（二）供应商须知；</w:t>
      </w:r>
    </w:p>
    <w:p>
      <w:pPr>
        <w:pStyle w:val="13"/>
        <w:spacing w:before="177"/>
        <w:ind w:left="700"/>
      </w:pPr>
      <w:r>
        <w:t>（三）采购需求；</w:t>
      </w:r>
    </w:p>
    <w:p>
      <w:pPr>
        <w:pStyle w:val="13"/>
        <w:spacing w:before="177"/>
        <w:ind w:left="700"/>
      </w:pPr>
      <w:r>
        <w:t>（四）合同文本；</w:t>
      </w:r>
    </w:p>
    <w:p>
      <w:pPr>
        <w:pStyle w:val="13"/>
        <w:spacing w:before="177"/>
        <w:ind w:left="700"/>
      </w:pPr>
      <w:r>
        <w:t>（五）评审程序、方法和标准；</w:t>
      </w:r>
    </w:p>
    <w:p>
      <w:pPr>
        <w:pStyle w:val="13"/>
        <w:spacing w:before="178"/>
        <w:ind w:left="700"/>
      </w:pPr>
      <w:r>
        <w:t>（六）响应文件格式；</w:t>
      </w:r>
    </w:p>
    <w:p>
      <w:pPr>
        <w:pStyle w:val="13"/>
        <w:spacing w:before="177" w:line="376" w:lineRule="auto"/>
        <w:ind w:left="220" w:right="319" w:firstLine="480"/>
      </w:pPr>
      <w:r>
        <w:rPr>
          <w:spacing w:val="-5"/>
        </w:rPr>
        <w:t>供应商应当仔细阅读和正确理解磋商文件中陈述的所有事项，遵循格式文件的规定和签署</w:t>
      </w:r>
      <w:r>
        <w:t>要求。</w:t>
      </w:r>
    </w:p>
    <w:p>
      <w:pPr>
        <w:numPr>
          <w:ilvl w:val="0"/>
          <w:numId w:val="3"/>
        </w:numPr>
        <w:tabs>
          <w:tab w:val="left" w:pos="644"/>
          <w:tab w:val="left" w:pos="645"/>
        </w:tabs>
        <w:spacing w:before="2"/>
        <w:rPr>
          <w:b/>
          <w:sz w:val="24"/>
        </w:rPr>
      </w:pPr>
      <w:bookmarkStart w:id="41" w:name="6_磋商文件的澄清和修改"/>
      <w:bookmarkEnd w:id="41"/>
      <w:r>
        <w:rPr>
          <w:b/>
          <w:sz w:val="24"/>
        </w:rPr>
        <w:t>磋商文件的澄清和修改</w:t>
      </w:r>
    </w:p>
    <w:p>
      <w:pPr>
        <w:pStyle w:val="27"/>
        <w:numPr>
          <w:ilvl w:val="1"/>
          <w:numId w:val="3"/>
        </w:numPr>
        <w:tabs>
          <w:tab w:val="left" w:pos="1272"/>
        </w:tabs>
        <w:spacing w:before="177" w:line="379" w:lineRule="auto"/>
        <w:ind w:right="310" w:firstLine="480"/>
        <w:jc w:val="both"/>
        <w:rPr>
          <w:rFonts w:ascii="Times New Roman" w:eastAsia="Times New Roman"/>
          <w:sz w:val="24"/>
        </w:rPr>
      </w:pPr>
      <w:bookmarkStart w:id="42" w:name="6.1_提交首次响应文件截止之日前，采购人、采购代理机构或者磋商小组可以对已发出"/>
      <w:bookmarkEnd w:id="42"/>
      <w:r>
        <w:rPr>
          <w:sz w:val="24"/>
        </w:rPr>
        <w:t>提交首次响应文件截止之日前，采购人、采购代理机构或者磋商小组可以对已发出</w:t>
      </w:r>
      <w:r>
        <w:rPr>
          <w:spacing w:val="-5"/>
          <w:sz w:val="24"/>
        </w:rPr>
        <w:t>的磋商文件进行必要的澄清或者修改，澄清或者修改的内容作为磋商文件的组成部分。澄清或</w:t>
      </w:r>
      <w:r>
        <w:rPr>
          <w:spacing w:val="-10"/>
          <w:sz w:val="24"/>
        </w:rPr>
        <w:t>者修改的内容可能影响响应文件编制的，采购人、采购代理机构应当在提交首次响应文件截止</w:t>
      </w:r>
      <w:r>
        <w:rPr>
          <w:spacing w:val="-20"/>
          <w:sz w:val="24"/>
        </w:rPr>
        <w:t xml:space="preserve">时间至少 </w:t>
      </w:r>
      <w:r>
        <w:rPr>
          <w:sz w:val="24"/>
        </w:rPr>
        <w:t>5</w:t>
      </w:r>
      <w:r>
        <w:rPr>
          <w:spacing w:val="-13"/>
          <w:sz w:val="24"/>
        </w:rPr>
        <w:t xml:space="preserve"> 日前，以书面形式通知所有获取磋商文件的供应商；不足 </w:t>
      </w:r>
      <w:r>
        <w:rPr>
          <w:sz w:val="24"/>
        </w:rPr>
        <w:t>5</w:t>
      </w:r>
      <w:r>
        <w:rPr>
          <w:spacing w:val="-12"/>
          <w:sz w:val="24"/>
        </w:rPr>
        <w:t xml:space="preserve"> 日的，采购人、采购代理机构应当顺延提交首次响应文件截止时间。</w:t>
      </w:r>
    </w:p>
    <w:p>
      <w:pPr>
        <w:pStyle w:val="27"/>
        <w:numPr>
          <w:ilvl w:val="1"/>
          <w:numId w:val="3"/>
        </w:numPr>
        <w:tabs>
          <w:tab w:val="left" w:pos="1272"/>
        </w:tabs>
        <w:spacing w:line="302" w:lineRule="exact"/>
        <w:ind w:left="1271"/>
        <w:jc w:val="both"/>
        <w:rPr>
          <w:rFonts w:ascii="Times New Roman" w:eastAsia="Times New Roman"/>
          <w:sz w:val="24"/>
        </w:rPr>
      </w:pPr>
      <w:bookmarkStart w:id="43" w:name="6.2_澄清或者修改是磋商文件的组成部分。澄清或者修改以公告的方式发布。"/>
      <w:bookmarkEnd w:id="43"/>
      <w:r>
        <w:rPr>
          <w:sz w:val="24"/>
        </w:rPr>
        <w:t>澄清或者修改是磋商文件的组成部分。澄清或者修改以公告的方式发布。</w:t>
      </w:r>
    </w:p>
    <w:p>
      <w:pPr>
        <w:numPr>
          <w:ilvl w:val="0"/>
          <w:numId w:val="3"/>
        </w:numPr>
        <w:tabs>
          <w:tab w:val="left" w:pos="644"/>
          <w:tab w:val="left" w:pos="645"/>
        </w:tabs>
        <w:spacing w:before="175"/>
        <w:rPr>
          <w:b/>
          <w:sz w:val="24"/>
        </w:rPr>
      </w:pPr>
      <w:bookmarkStart w:id="44" w:name="7_现场考察和答疑会"/>
      <w:bookmarkEnd w:id="44"/>
      <w:r>
        <w:rPr>
          <w:b/>
          <w:sz w:val="24"/>
        </w:rPr>
        <w:t>现场考察和答疑会</w:t>
      </w:r>
    </w:p>
    <w:p>
      <w:pPr>
        <w:pStyle w:val="27"/>
        <w:numPr>
          <w:ilvl w:val="1"/>
          <w:numId w:val="3"/>
        </w:numPr>
        <w:tabs>
          <w:tab w:val="left" w:pos="1271"/>
          <w:tab w:val="left" w:pos="1272"/>
        </w:tabs>
        <w:spacing w:before="177"/>
        <w:ind w:left="1271"/>
        <w:rPr>
          <w:rFonts w:ascii="Times New Roman" w:eastAsia="Times New Roman"/>
          <w:sz w:val="24"/>
        </w:rPr>
      </w:pPr>
      <w:bookmarkStart w:id="45" w:name="7.1_现场考察和答疑会：见供应商须知前附表。"/>
      <w:bookmarkEnd w:id="45"/>
      <w:r>
        <w:rPr>
          <w:sz w:val="24"/>
        </w:rPr>
        <w:t>现场考察和答疑会：见供应商须知前附表。</w:t>
      </w:r>
    </w:p>
    <w:p>
      <w:pPr>
        <w:rPr>
          <w:rFonts w:ascii="Times New Roman" w:eastAsia="Times New Roman"/>
          <w:sz w:val="24"/>
        </w:rPr>
      </w:pPr>
    </w:p>
    <w:p>
      <w:pPr>
        <w:pStyle w:val="2"/>
        <w:numPr>
          <w:ilvl w:val="0"/>
          <w:numId w:val="2"/>
        </w:numPr>
        <w:tabs>
          <w:tab w:val="left" w:pos="760"/>
        </w:tabs>
        <w:spacing w:before="33"/>
      </w:pPr>
      <w:bookmarkStart w:id="46" w:name="C._响应文件"/>
      <w:bookmarkEnd w:id="46"/>
      <w:bookmarkStart w:id="47" w:name="_Toc17059"/>
      <w:r>
        <w:t>响应文件</w:t>
      </w:r>
      <w:bookmarkEnd w:id="47"/>
    </w:p>
    <w:p>
      <w:pPr>
        <w:pStyle w:val="13"/>
        <w:spacing w:before="1"/>
        <w:rPr>
          <w:b/>
          <w:sz w:val="36"/>
        </w:rPr>
      </w:pPr>
    </w:p>
    <w:p>
      <w:pPr>
        <w:numPr>
          <w:ilvl w:val="0"/>
          <w:numId w:val="3"/>
        </w:numPr>
        <w:tabs>
          <w:tab w:val="left" w:pos="644"/>
          <w:tab w:val="left" w:pos="645"/>
        </w:tabs>
        <w:rPr>
          <w:b/>
          <w:sz w:val="24"/>
        </w:rPr>
      </w:pPr>
      <w:bookmarkStart w:id="48" w:name="8_响应文件计量单位和使用文字"/>
      <w:bookmarkEnd w:id="48"/>
      <w:r>
        <w:rPr>
          <w:b/>
          <w:sz w:val="24"/>
        </w:rPr>
        <w:t>响应文件计量单位和使用文字</w:t>
      </w:r>
    </w:p>
    <w:p>
      <w:pPr>
        <w:pStyle w:val="27"/>
        <w:numPr>
          <w:ilvl w:val="1"/>
          <w:numId w:val="3"/>
        </w:numPr>
        <w:tabs>
          <w:tab w:val="left" w:pos="1271"/>
          <w:tab w:val="left" w:pos="1272"/>
        </w:tabs>
        <w:spacing w:before="177"/>
        <w:ind w:left="1271"/>
        <w:rPr>
          <w:rFonts w:ascii="Times New Roman" w:eastAsia="Times New Roman"/>
          <w:sz w:val="24"/>
        </w:rPr>
      </w:pPr>
      <w:bookmarkStart w:id="49" w:name="8.1_所有计量均采用中华人民共和国法定计量单位。"/>
      <w:bookmarkEnd w:id="49"/>
      <w:r>
        <w:rPr>
          <w:sz w:val="24"/>
        </w:rPr>
        <w:t>所有计量均采用中华人民共和国法定计量单位。</w:t>
      </w:r>
    </w:p>
    <w:p>
      <w:pPr>
        <w:pStyle w:val="27"/>
        <w:numPr>
          <w:ilvl w:val="1"/>
          <w:numId w:val="3"/>
        </w:numPr>
        <w:tabs>
          <w:tab w:val="left" w:pos="1271"/>
          <w:tab w:val="left" w:pos="1272"/>
        </w:tabs>
        <w:spacing w:before="178" w:line="376" w:lineRule="auto"/>
        <w:ind w:right="310" w:firstLine="480"/>
        <w:rPr>
          <w:rFonts w:ascii="Times New Roman" w:eastAsia="Times New Roman"/>
          <w:sz w:val="24"/>
        </w:rPr>
      </w:pPr>
      <w:bookmarkStart w:id="50" w:name="8.2_响应文件使用中文编制。响应文件部分内容必须使用其他文字的，应当附有该文字"/>
      <w:bookmarkEnd w:id="50"/>
      <w:r>
        <w:rPr>
          <w:sz w:val="24"/>
        </w:rPr>
        <w:t>响应文件使用中文编制。响应文件部分内容必须使用其他文字的，应当附有该文字的中文译本。供应商承担未附中文译本或中文译本不准确而引起不利后果。</w:t>
      </w:r>
    </w:p>
    <w:p>
      <w:pPr>
        <w:numPr>
          <w:ilvl w:val="0"/>
          <w:numId w:val="3"/>
        </w:numPr>
        <w:tabs>
          <w:tab w:val="left" w:pos="644"/>
          <w:tab w:val="left" w:pos="645"/>
        </w:tabs>
        <w:spacing w:before="1"/>
        <w:rPr>
          <w:b/>
          <w:sz w:val="24"/>
        </w:rPr>
      </w:pPr>
      <w:bookmarkStart w:id="51" w:name="9_联合体"/>
      <w:bookmarkEnd w:id="51"/>
      <w:r>
        <w:rPr>
          <w:b/>
          <w:sz w:val="24"/>
        </w:rPr>
        <w:t>联合体</w:t>
      </w:r>
    </w:p>
    <w:p>
      <w:pPr>
        <w:pStyle w:val="27"/>
        <w:numPr>
          <w:ilvl w:val="1"/>
          <w:numId w:val="3"/>
        </w:numPr>
        <w:tabs>
          <w:tab w:val="left" w:pos="1271"/>
          <w:tab w:val="left" w:pos="1272"/>
        </w:tabs>
        <w:spacing w:before="178"/>
        <w:ind w:left="1271"/>
        <w:rPr>
          <w:rFonts w:ascii="Times New Roman" w:eastAsia="Times New Roman"/>
          <w:sz w:val="24"/>
        </w:rPr>
      </w:pPr>
      <w:bookmarkStart w:id="52" w:name="9.1_不接受供应商组成联合体。"/>
      <w:bookmarkEnd w:id="52"/>
      <w:r>
        <w:rPr>
          <w:sz w:val="24"/>
        </w:rPr>
        <w:t>不接受供应商组成联合体。</w:t>
      </w:r>
    </w:p>
    <w:p>
      <w:pPr>
        <w:numPr>
          <w:ilvl w:val="0"/>
          <w:numId w:val="3"/>
        </w:numPr>
        <w:tabs>
          <w:tab w:val="left" w:pos="645"/>
        </w:tabs>
        <w:spacing w:before="177"/>
        <w:rPr>
          <w:b/>
          <w:sz w:val="24"/>
        </w:rPr>
      </w:pPr>
      <w:bookmarkStart w:id="53" w:name="10_响应文件的组成"/>
      <w:bookmarkEnd w:id="53"/>
      <w:r>
        <w:rPr>
          <w:b/>
          <w:sz w:val="24"/>
        </w:rPr>
        <w:t>响应文件的组成</w:t>
      </w:r>
    </w:p>
    <w:p>
      <w:pPr>
        <w:pStyle w:val="27"/>
        <w:numPr>
          <w:ilvl w:val="1"/>
          <w:numId w:val="3"/>
        </w:numPr>
        <w:tabs>
          <w:tab w:val="left" w:pos="1272"/>
        </w:tabs>
        <w:spacing w:before="177"/>
        <w:ind w:left="1271"/>
        <w:rPr>
          <w:rFonts w:ascii="Times New Roman" w:eastAsia="Times New Roman"/>
          <w:sz w:val="24"/>
        </w:rPr>
      </w:pPr>
      <w:bookmarkStart w:id="54" w:name="10.1_响应文件"/>
      <w:bookmarkEnd w:id="54"/>
      <w:r>
        <w:rPr>
          <w:sz w:val="24"/>
        </w:rPr>
        <w:t>响应文件</w:t>
      </w:r>
    </w:p>
    <w:p>
      <w:pPr>
        <w:pStyle w:val="27"/>
        <w:numPr>
          <w:ilvl w:val="2"/>
          <w:numId w:val="3"/>
        </w:numPr>
        <w:tabs>
          <w:tab w:val="left" w:pos="2019"/>
          <w:tab w:val="left" w:pos="2020"/>
        </w:tabs>
        <w:spacing w:before="177"/>
        <w:ind w:hanging="1080"/>
        <w:rPr>
          <w:sz w:val="24"/>
        </w:rPr>
      </w:pPr>
      <w:r>
        <w:rPr>
          <w:sz w:val="24"/>
        </w:rPr>
        <w:t>磋商报价(详见磋商文件第六部分响应文件格式)；</w:t>
      </w:r>
    </w:p>
    <w:p>
      <w:pPr>
        <w:pStyle w:val="27"/>
        <w:numPr>
          <w:ilvl w:val="2"/>
          <w:numId w:val="3"/>
        </w:numPr>
        <w:tabs>
          <w:tab w:val="left" w:pos="2019"/>
          <w:tab w:val="left" w:pos="2020"/>
        </w:tabs>
        <w:spacing w:before="178"/>
        <w:ind w:hanging="1080"/>
        <w:rPr>
          <w:sz w:val="24"/>
        </w:rPr>
      </w:pPr>
      <w:r>
        <w:rPr>
          <w:sz w:val="24"/>
        </w:rPr>
        <w:t>商务响应文件 (详见磋商文件第六部分响应文件格式)；</w:t>
      </w:r>
    </w:p>
    <w:p>
      <w:pPr>
        <w:pStyle w:val="27"/>
        <w:numPr>
          <w:ilvl w:val="2"/>
          <w:numId w:val="3"/>
        </w:numPr>
        <w:tabs>
          <w:tab w:val="left" w:pos="2019"/>
          <w:tab w:val="left" w:pos="2020"/>
        </w:tabs>
        <w:spacing w:before="177"/>
        <w:ind w:hanging="1080"/>
        <w:rPr>
          <w:sz w:val="24"/>
        </w:rPr>
      </w:pPr>
      <w:r>
        <w:rPr>
          <w:sz w:val="24"/>
        </w:rPr>
        <w:t>技术响应文件 (详见磋商文件第六部分响应文件格式)；</w:t>
      </w:r>
    </w:p>
    <w:p>
      <w:pPr>
        <w:pStyle w:val="27"/>
        <w:numPr>
          <w:ilvl w:val="2"/>
          <w:numId w:val="3"/>
        </w:numPr>
        <w:tabs>
          <w:tab w:val="left" w:pos="2019"/>
          <w:tab w:val="left" w:pos="2020"/>
        </w:tabs>
        <w:spacing w:before="175"/>
        <w:ind w:hanging="1080"/>
        <w:rPr>
          <w:sz w:val="24"/>
        </w:rPr>
      </w:pPr>
      <w:r>
        <w:rPr>
          <w:sz w:val="24"/>
        </w:rPr>
        <w:t>供应商认为需加以说明的其他内容；</w:t>
      </w:r>
    </w:p>
    <w:p>
      <w:pPr>
        <w:numPr>
          <w:ilvl w:val="0"/>
          <w:numId w:val="3"/>
        </w:numPr>
        <w:tabs>
          <w:tab w:val="left" w:pos="645"/>
        </w:tabs>
        <w:spacing w:before="177"/>
        <w:rPr>
          <w:b/>
          <w:sz w:val="24"/>
        </w:rPr>
      </w:pPr>
      <w:bookmarkStart w:id="55" w:name="11_响应文件编制说明"/>
      <w:bookmarkEnd w:id="55"/>
      <w:r>
        <w:rPr>
          <w:b/>
          <w:sz w:val="24"/>
        </w:rPr>
        <w:t>响应文件编制说明</w:t>
      </w:r>
    </w:p>
    <w:p>
      <w:pPr>
        <w:pStyle w:val="27"/>
        <w:numPr>
          <w:ilvl w:val="1"/>
          <w:numId w:val="3"/>
        </w:numPr>
        <w:tabs>
          <w:tab w:val="left" w:pos="1272"/>
        </w:tabs>
        <w:spacing w:before="178" w:line="379" w:lineRule="auto"/>
        <w:ind w:right="315" w:firstLine="480"/>
        <w:rPr>
          <w:rFonts w:ascii="Times New Roman" w:eastAsia="Times New Roman"/>
          <w:b/>
          <w:sz w:val="24"/>
        </w:rPr>
      </w:pPr>
      <w:bookmarkStart w:id="56" w:name="11.1_响应文件必须按照磋商文件要求的统一格式顺序编写。要求响应文件全部内容制"/>
      <w:bookmarkEnd w:id="56"/>
      <w:r>
        <w:rPr>
          <w:sz w:val="24"/>
        </w:rPr>
        <w:t>响应文件必须按照磋商文件要求的统一格式顺序编写</w:t>
      </w:r>
      <w:r>
        <w:rPr>
          <w:b/>
          <w:sz w:val="24"/>
        </w:rPr>
        <w:t>。</w:t>
      </w:r>
      <w:r>
        <w:rPr>
          <w:b/>
          <w:sz w:val="24"/>
          <w:u w:val="single"/>
        </w:rPr>
        <w:t>要求响应文件全部内容制作</w:t>
      </w:r>
      <w:r>
        <w:rPr>
          <w:rFonts w:hint="eastAsia"/>
          <w:b/>
          <w:sz w:val="24"/>
          <w:u w:val="single"/>
          <w:lang w:eastAsia="zh-CN"/>
        </w:rPr>
        <w:t>详细</w:t>
      </w:r>
      <w:r>
        <w:rPr>
          <w:b/>
          <w:sz w:val="24"/>
          <w:u w:val="single"/>
        </w:rPr>
        <w:t>的目录（包括页码的编制），为评审时查询作索引。</w:t>
      </w:r>
    </w:p>
    <w:p>
      <w:pPr>
        <w:numPr>
          <w:ilvl w:val="0"/>
          <w:numId w:val="3"/>
        </w:numPr>
        <w:tabs>
          <w:tab w:val="left" w:pos="645"/>
        </w:tabs>
        <w:spacing w:line="305" w:lineRule="exact"/>
        <w:rPr>
          <w:b/>
          <w:sz w:val="24"/>
        </w:rPr>
      </w:pPr>
      <w:bookmarkStart w:id="57" w:name="12_磋商报价"/>
      <w:bookmarkEnd w:id="57"/>
      <w:r>
        <w:rPr>
          <w:b/>
          <w:sz w:val="24"/>
        </w:rPr>
        <w:t>磋商报价</w:t>
      </w:r>
    </w:p>
    <w:p>
      <w:pPr>
        <w:pStyle w:val="27"/>
        <w:numPr>
          <w:ilvl w:val="1"/>
          <w:numId w:val="3"/>
        </w:numPr>
        <w:tabs>
          <w:tab w:val="left" w:pos="1272"/>
        </w:tabs>
        <w:spacing w:before="177" w:line="379" w:lineRule="auto"/>
        <w:ind w:right="310" w:firstLine="480"/>
        <w:rPr>
          <w:rFonts w:ascii="Times New Roman" w:eastAsia="Times New Roman"/>
          <w:sz w:val="24"/>
        </w:rPr>
      </w:pPr>
      <w:bookmarkStart w:id="58" w:name="12.1_《报价一览表》中报价为全部货物和服务的报价，应当包括劳务、运输、管理、"/>
      <w:bookmarkEnd w:id="58"/>
      <w:r>
        <w:rPr>
          <w:sz w:val="24"/>
        </w:rPr>
        <w:t>《报价一览表》中报价为全部货物和服务的报价，应当包括劳务、运输、管理、安装调试、技术培训、维护、保险、利润、税金等费用，以及合同包含的所有风险、责任等。</w:t>
      </w:r>
    </w:p>
    <w:p>
      <w:pPr>
        <w:pStyle w:val="27"/>
        <w:numPr>
          <w:ilvl w:val="1"/>
          <w:numId w:val="3"/>
        </w:numPr>
        <w:tabs>
          <w:tab w:val="left" w:pos="1272"/>
        </w:tabs>
        <w:spacing w:line="376" w:lineRule="auto"/>
        <w:ind w:right="319" w:firstLine="480"/>
        <w:rPr>
          <w:rFonts w:ascii="Times New Roman" w:eastAsia="Times New Roman"/>
          <w:sz w:val="24"/>
        </w:rPr>
      </w:pPr>
      <w:bookmarkStart w:id="59" w:name="12.2_《报价一览表》_中的每一个费用单项，均应填写单价和计算总价，并由法定代"/>
      <w:bookmarkEnd w:id="59"/>
      <w:r>
        <w:rPr>
          <w:spacing w:val="-7"/>
          <w:sz w:val="24"/>
        </w:rPr>
        <w:t>《报价一览表》 中的每一个费用单项，均应填写单价和计算总价，并由法定代表人</w:t>
      </w:r>
      <w:r>
        <w:rPr>
          <w:sz w:val="24"/>
        </w:rPr>
        <w:t>或授权委托人签署。</w:t>
      </w:r>
    </w:p>
    <w:p>
      <w:pPr>
        <w:pStyle w:val="27"/>
        <w:numPr>
          <w:ilvl w:val="1"/>
          <w:numId w:val="3"/>
        </w:numPr>
        <w:tabs>
          <w:tab w:val="left" w:pos="1272"/>
        </w:tabs>
        <w:ind w:left="1271"/>
        <w:rPr>
          <w:rFonts w:ascii="Times New Roman" w:eastAsia="Times New Roman"/>
          <w:sz w:val="24"/>
        </w:rPr>
      </w:pPr>
      <w:bookmarkStart w:id="60" w:name="12.3_报价全部采用人民币表示。"/>
      <w:bookmarkEnd w:id="60"/>
      <w:r>
        <w:rPr>
          <w:sz w:val="24"/>
        </w:rPr>
        <w:t>报价全部采用人民币表示。</w:t>
      </w:r>
    </w:p>
    <w:p>
      <w:pPr>
        <w:pStyle w:val="27"/>
        <w:numPr>
          <w:ilvl w:val="1"/>
          <w:numId w:val="3"/>
        </w:numPr>
        <w:tabs>
          <w:tab w:val="left" w:pos="1272"/>
        </w:tabs>
        <w:spacing w:before="177"/>
        <w:ind w:left="1271"/>
        <w:rPr>
          <w:rFonts w:ascii="Times New Roman" w:eastAsia="Times New Roman"/>
          <w:sz w:val="24"/>
        </w:rPr>
      </w:pPr>
      <w:bookmarkStart w:id="61" w:name="12.4_超出采购预算的报价为无效报价。"/>
      <w:bookmarkEnd w:id="61"/>
      <w:r>
        <w:rPr>
          <w:sz w:val="24"/>
        </w:rPr>
        <w:t>超出采购预算的报价为无效报价。</w:t>
      </w:r>
    </w:p>
    <w:p>
      <w:pPr>
        <w:numPr>
          <w:ilvl w:val="0"/>
          <w:numId w:val="3"/>
        </w:numPr>
        <w:tabs>
          <w:tab w:val="left" w:pos="645"/>
        </w:tabs>
        <w:spacing w:before="177"/>
        <w:rPr>
          <w:b/>
          <w:sz w:val="24"/>
        </w:rPr>
      </w:pPr>
      <w:bookmarkStart w:id="62" w:name="13_磋商保证金"/>
      <w:bookmarkEnd w:id="62"/>
      <w:r>
        <w:rPr>
          <w:b/>
          <w:sz w:val="24"/>
        </w:rPr>
        <w:t>磋商保证金</w:t>
      </w:r>
    </w:p>
    <w:p>
      <w:pPr>
        <w:numPr>
          <w:ilvl w:val="1"/>
          <w:numId w:val="3"/>
        </w:numPr>
        <w:tabs>
          <w:tab w:val="left" w:pos="1272"/>
        </w:tabs>
        <w:spacing w:before="177"/>
        <w:ind w:left="1271" w:hanging="570"/>
        <w:rPr>
          <w:rFonts w:ascii="Times New Roman" w:eastAsia="Times New Roman"/>
          <w:b/>
          <w:sz w:val="24"/>
        </w:rPr>
      </w:pPr>
      <w:bookmarkStart w:id="63" w:name="13.1_磋商保证金金额：见供应商须知前附表。"/>
      <w:bookmarkEnd w:id="63"/>
      <w:r>
        <w:rPr>
          <w:b/>
          <w:sz w:val="24"/>
        </w:rPr>
        <w:t>磋商保证金金额：见供应商须知前附表。</w:t>
      </w:r>
    </w:p>
    <w:p>
      <w:pPr>
        <w:numPr>
          <w:ilvl w:val="1"/>
          <w:numId w:val="3"/>
        </w:numPr>
        <w:tabs>
          <w:tab w:val="left" w:pos="1272"/>
        </w:tabs>
        <w:spacing w:before="178"/>
        <w:ind w:left="1271" w:hanging="570"/>
        <w:rPr>
          <w:rFonts w:ascii="Times New Roman" w:eastAsia="Times New Roman"/>
          <w:b/>
          <w:sz w:val="24"/>
        </w:rPr>
      </w:pPr>
      <w:bookmarkStart w:id="64" w:name="13.2_磋商保证金缴纳时间：见供应商须知前附表。"/>
      <w:bookmarkEnd w:id="64"/>
      <w:r>
        <w:rPr>
          <w:b/>
          <w:w w:val="95"/>
          <w:sz w:val="24"/>
        </w:rPr>
        <w:t>磋商保证金缴纳时间：见供应商须知前附表。</w:t>
      </w:r>
    </w:p>
    <w:p>
      <w:pPr>
        <w:numPr>
          <w:ilvl w:val="1"/>
          <w:numId w:val="3"/>
        </w:numPr>
        <w:tabs>
          <w:tab w:val="left" w:pos="1272"/>
        </w:tabs>
        <w:spacing w:before="177"/>
        <w:ind w:left="1271" w:hanging="570"/>
        <w:rPr>
          <w:rFonts w:ascii="Times New Roman" w:eastAsia="Times New Roman"/>
          <w:b/>
          <w:sz w:val="24"/>
        </w:rPr>
      </w:pPr>
      <w:bookmarkStart w:id="65" w:name="13.3_磋商保证金缴纳账户：见供应商须知前附表。"/>
      <w:bookmarkEnd w:id="65"/>
      <w:r>
        <w:rPr>
          <w:b/>
          <w:w w:val="95"/>
          <w:sz w:val="24"/>
        </w:rPr>
        <w:t>磋商保证金缴纳账户：见供应商须知前附表。</w:t>
      </w:r>
    </w:p>
    <w:p>
      <w:pPr>
        <w:pStyle w:val="27"/>
        <w:numPr>
          <w:ilvl w:val="1"/>
          <w:numId w:val="3"/>
        </w:numPr>
        <w:tabs>
          <w:tab w:val="left" w:pos="1272"/>
        </w:tabs>
        <w:spacing w:before="50"/>
        <w:ind w:left="1271"/>
        <w:jc w:val="both"/>
        <w:rPr>
          <w:rFonts w:ascii="Times New Roman" w:eastAsia="Times New Roman"/>
          <w:sz w:val="24"/>
        </w:rPr>
      </w:pPr>
      <w:bookmarkStart w:id="66" w:name="13.4_磋商保证金缴纳方式：见供应商须知前附表。"/>
      <w:bookmarkEnd w:id="66"/>
      <w:r>
        <w:rPr>
          <w:b/>
          <w:w w:val="95"/>
          <w:sz w:val="24"/>
        </w:rPr>
        <w:t>磋商保证金缴纳方式：见供应商须知前附表。</w:t>
      </w:r>
      <w:bookmarkStart w:id="67" w:name="13.5_供应商未按磋商文件要求提交磋商保证金的，报价无效。"/>
      <w:bookmarkEnd w:id="67"/>
    </w:p>
    <w:p>
      <w:pPr>
        <w:pStyle w:val="27"/>
        <w:numPr>
          <w:ilvl w:val="1"/>
          <w:numId w:val="3"/>
        </w:numPr>
        <w:tabs>
          <w:tab w:val="left" w:pos="1272"/>
        </w:tabs>
        <w:spacing w:before="50"/>
        <w:ind w:left="1271"/>
        <w:jc w:val="both"/>
        <w:rPr>
          <w:rFonts w:ascii="Times New Roman" w:eastAsia="Times New Roman"/>
          <w:sz w:val="24"/>
        </w:rPr>
      </w:pPr>
      <w:r>
        <w:rPr>
          <w:sz w:val="24"/>
        </w:rPr>
        <w:t>供应商未按磋商文件要求提交磋商保证金的，报价无效。</w:t>
      </w:r>
    </w:p>
    <w:p>
      <w:pPr>
        <w:pStyle w:val="27"/>
        <w:numPr>
          <w:ilvl w:val="1"/>
          <w:numId w:val="3"/>
        </w:numPr>
        <w:tabs>
          <w:tab w:val="left" w:pos="1272"/>
        </w:tabs>
        <w:spacing w:before="177" w:line="379" w:lineRule="auto"/>
        <w:ind w:right="318" w:firstLine="480"/>
        <w:jc w:val="both"/>
        <w:rPr>
          <w:rFonts w:ascii="Times New Roman" w:eastAsia="Times New Roman"/>
          <w:sz w:val="24"/>
        </w:rPr>
      </w:pPr>
      <w:bookmarkStart w:id="68" w:name="13.6_未成交供应商，其磋商保证金将在中标通知书发出后5个工作日内，由招标代理"/>
      <w:bookmarkEnd w:id="68"/>
      <w:r>
        <w:rPr>
          <w:spacing w:val="-2"/>
          <w:sz w:val="24"/>
        </w:rPr>
        <w:t xml:space="preserve">未成交供应商，其磋商保证金将在中标通知书发出后 </w:t>
      </w:r>
      <w:r>
        <w:rPr>
          <w:sz w:val="24"/>
        </w:rPr>
        <w:t>5</w:t>
      </w:r>
      <w:r>
        <w:rPr>
          <w:spacing w:val="-8"/>
          <w:sz w:val="24"/>
        </w:rPr>
        <w:t xml:space="preserve"> 个工作日内，由招标代理机</w:t>
      </w:r>
      <w:r>
        <w:rPr>
          <w:spacing w:val="-7"/>
          <w:sz w:val="24"/>
        </w:rPr>
        <w:t xml:space="preserve">构操作退还磋商保证金。成交供应商，其磋商保证金自采购合同签署后 </w:t>
      </w:r>
      <w:r>
        <w:rPr>
          <w:sz w:val="24"/>
        </w:rPr>
        <w:t>5</w:t>
      </w:r>
      <w:r>
        <w:rPr>
          <w:spacing w:val="-13"/>
          <w:sz w:val="24"/>
        </w:rPr>
        <w:t xml:space="preserve"> 个工作日内，由招标</w:t>
      </w:r>
      <w:r>
        <w:rPr>
          <w:sz w:val="24"/>
        </w:rPr>
        <w:t>代理机构操作退还磋商保证金。</w:t>
      </w:r>
    </w:p>
    <w:p>
      <w:pPr>
        <w:pStyle w:val="27"/>
        <w:numPr>
          <w:ilvl w:val="1"/>
          <w:numId w:val="3"/>
        </w:numPr>
        <w:tabs>
          <w:tab w:val="left" w:pos="1272"/>
        </w:tabs>
        <w:spacing w:line="302" w:lineRule="exact"/>
        <w:ind w:left="1271"/>
        <w:jc w:val="both"/>
        <w:rPr>
          <w:rFonts w:ascii="Times New Roman" w:eastAsia="Times New Roman"/>
          <w:sz w:val="24"/>
        </w:rPr>
      </w:pPr>
      <w:bookmarkStart w:id="69" w:name="13.7_发生下列情况之一，磋商保证金不予退还："/>
      <w:bookmarkEnd w:id="69"/>
      <w:r>
        <w:rPr>
          <w:sz w:val="24"/>
        </w:rPr>
        <w:t>发生下列情况之一，磋商保证金不予退还：</w:t>
      </w:r>
    </w:p>
    <w:p>
      <w:pPr>
        <w:pStyle w:val="27"/>
        <w:numPr>
          <w:ilvl w:val="2"/>
          <w:numId w:val="3"/>
        </w:numPr>
        <w:tabs>
          <w:tab w:val="left" w:pos="1899"/>
          <w:tab w:val="left" w:pos="1900"/>
        </w:tabs>
        <w:spacing w:before="178"/>
        <w:ind w:left="1900" w:hanging="960"/>
        <w:rPr>
          <w:sz w:val="24"/>
        </w:rPr>
      </w:pPr>
      <w:r>
        <w:rPr>
          <w:sz w:val="24"/>
        </w:rPr>
        <w:t>供应商在提交响应文件截止时间后撤回响应文件的；</w:t>
      </w:r>
    </w:p>
    <w:p>
      <w:pPr>
        <w:pStyle w:val="27"/>
        <w:numPr>
          <w:ilvl w:val="2"/>
          <w:numId w:val="3"/>
        </w:numPr>
        <w:tabs>
          <w:tab w:val="left" w:pos="1899"/>
          <w:tab w:val="left" w:pos="1900"/>
        </w:tabs>
        <w:spacing w:before="177"/>
        <w:ind w:left="1900" w:hanging="960"/>
        <w:rPr>
          <w:sz w:val="24"/>
        </w:rPr>
      </w:pPr>
      <w:r>
        <w:rPr>
          <w:sz w:val="24"/>
        </w:rPr>
        <w:t>供应商在响应文件中提供虚假材料的；</w:t>
      </w:r>
    </w:p>
    <w:p>
      <w:pPr>
        <w:pStyle w:val="27"/>
        <w:numPr>
          <w:ilvl w:val="2"/>
          <w:numId w:val="3"/>
        </w:numPr>
        <w:tabs>
          <w:tab w:val="left" w:pos="1899"/>
          <w:tab w:val="left" w:pos="1900"/>
        </w:tabs>
        <w:spacing w:before="177"/>
        <w:ind w:left="1900" w:hanging="960"/>
        <w:rPr>
          <w:sz w:val="24"/>
        </w:rPr>
      </w:pPr>
      <w:r>
        <w:rPr>
          <w:spacing w:val="1"/>
          <w:sz w:val="24"/>
        </w:rPr>
        <w:t>除因不可抗力或磋商文件认可的情形以外，成交供应商不与采购人签订合同</w:t>
      </w:r>
    </w:p>
    <w:p>
      <w:pPr>
        <w:pStyle w:val="13"/>
        <w:spacing w:before="178"/>
        <w:ind w:left="220"/>
      </w:pPr>
      <w:r>
        <w:t>的；</w:t>
      </w:r>
    </w:p>
    <w:p>
      <w:pPr>
        <w:pStyle w:val="27"/>
        <w:numPr>
          <w:ilvl w:val="2"/>
          <w:numId w:val="3"/>
        </w:numPr>
        <w:tabs>
          <w:tab w:val="left" w:pos="1899"/>
          <w:tab w:val="left" w:pos="1900"/>
        </w:tabs>
        <w:spacing w:before="177"/>
        <w:ind w:left="1900" w:hanging="960"/>
        <w:rPr>
          <w:sz w:val="24"/>
        </w:rPr>
      </w:pPr>
      <w:r>
        <w:rPr>
          <w:sz w:val="24"/>
        </w:rPr>
        <w:t>供应商与采购人、其他供应商或者采购代理机构恶意串通的；</w:t>
      </w:r>
    </w:p>
    <w:p>
      <w:pPr>
        <w:pStyle w:val="27"/>
        <w:numPr>
          <w:ilvl w:val="2"/>
          <w:numId w:val="3"/>
        </w:numPr>
        <w:tabs>
          <w:tab w:val="left" w:pos="1899"/>
          <w:tab w:val="left" w:pos="1900"/>
        </w:tabs>
        <w:spacing w:before="177" w:line="379" w:lineRule="auto"/>
        <w:ind w:left="220" w:right="320" w:firstLine="720"/>
        <w:rPr>
          <w:sz w:val="24"/>
        </w:rPr>
      </w:pPr>
      <w:r>
        <w:rPr>
          <w:spacing w:val="-7"/>
          <w:sz w:val="24"/>
        </w:rPr>
        <w:t>供应商提交磋商保证金后，至提交响应文件截止时间未参加磋商，且未在提交</w:t>
      </w:r>
      <w:r>
        <w:rPr>
          <w:sz w:val="24"/>
        </w:rPr>
        <w:t>响应文件截止时间前书面通知采购代理机构声明放弃磋商的；</w:t>
      </w:r>
    </w:p>
    <w:p>
      <w:pPr>
        <w:pStyle w:val="27"/>
        <w:numPr>
          <w:ilvl w:val="2"/>
          <w:numId w:val="3"/>
        </w:numPr>
        <w:tabs>
          <w:tab w:val="left" w:pos="1899"/>
          <w:tab w:val="left" w:pos="1900"/>
        </w:tabs>
        <w:spacing w:line="303" w:lineRule="exact"/>
        <w:ind w:left="1900" w:hanging="960"/>
        <w:rPr>
          <w:sz w:val="24"/>
        </w:rPr>
      </w:pPr>
      <w:r>
        <w:rPr>
          <w:sz w:val="24"/>
        </w:rPr>
        <w:t>成交供应商不在规定期限内与采购人签订合同的；</w:t>
      </w:r>
    </w:p>
    <w:p>
      <w:pPr>
        <w:pStyle w:val="27"/>
        <w:numPr>
          <w:ilvl w:val="2"/>
          <w:numId w:val="3"/>
        </w:numPr>
        <w:tabs>
          <w:tab w:val="left" w:pos="1899"/>
          <w:tab w:val="left" w:pos="1900"/>
        </w:tabs>
        <w:spacing w:before="178" w:line="379" w:lineRule="auto"/>
        <w:ind w:left="220" w:right="319" w:firstLine="720"/>
        <w:rPr>
          <w:sz w:val="24"/>
        </w:rPr>
      </w:pPr>
      <w:r>
        <w:rPr>
          <w:spacing w:val="-6"/>
          <w:sz w:val="24"/>
        </w:rPr>
        <w:t>供应商在本次磋商过程中出现违反法律法规的行为、扰乱磋商、评审秩序的行</w:t>
      </w:r>
      <w:r>
        <w:rPr>
          <w:sz w:val="24"/>
        </w:rPr>
        <w:t>为或恶意利用规则谋求不法利益的行为。</w:t>
      </w:r>
    </w:p>
    <w:p>
      <w:pPr>
        <w:numPr>
          <w:ilvl w:val="0"/>
          <w:numId w:val="3"/>
        </w:numPr>
        <w:tabs>
          <w:tab w:val="left" w:pos="645"/>
        </w:tabs>
        <w:spacing w:line="305" w:lineRule="exact"/>
        <w:rPr>
          <w:b/>
          <w:sz w:val="24"/>
        </w:rPr>
      </w:pPr>
      <w:bookmarkStart w:id="70" w:name="14_响应文件的有效期"/>
      <w:bookmarkEnd w:id="70"/>
      <w:r>
        <w:rPr>
          <w:b/>
          <w:sz w:val="24"/>
        </w:rPr>
        <w:t>响应文件的有效期</w:t>
      </w:r>
    </w:p>
    <w:p>
      <w:pPr>
        <w:pStyle w:val="27"/>
        <w:numPr>
          <w:ilvl w:val="1"/>
          <w:numId w:val="3"/>
        </w:numPr>
        <w:tabs>
          <w:tab w:val="left" w:pos="1272"/>
        </w:tabs>
        <w:spacing w:before="177" w:line="379" w:lineRule="auto"/>
        <w:ind w:right="195" w:firstLine="480"/>
        <w:jc w:val="both"/>
        <w:rPr>
          <w:rFonts w:ascii="Times New Roman" w:eastAsia="Times New Roman"/>
          <w:sz w:val="24"/>
        </w:rPr>
      </w:pPr>
      <w:bookmarkStart w:id="71" w:name="14.1_自开启响应文件截止之日起60天内，响应文件应保持有效。有效期短于规定期"/>
      <w:bookmarkEnd w:id="71"/>
      <w:r>
        <w:rPr>
          <w:spacing w:val="-5"/>
          <w:sz w:val="24"/>
        </w:rPr>
        <w:t xml:space="preserve">自开启响应文件截止之日起 </w:t>
      </w:r>
      <w:r>
        <w:rPr>
          <w:b/>
          <w:sz w:val="24"/>
          <w:u w:val="single"/>
        </w:rPr>
        <w:t>60</w:t>
      </w:r>
      <w:r>
        <w:rPr>
          <w:b/>
          <w:spacing w:val="-20"/>
          <w:sz w:val="24"/>
          <w:u w:val="single"/>
        </w:rPr>
        <w:t xml:space="preserve"> 天内</w:t>
      </w:r>
      <w:r>
        <w:rPr>
          <w:spacing w:val="-15"/>
          <w:sz w:val="24"/>
        </w:rPr>
        <w:t xml:space="preserve">，响应文件应保持有效。有效期短于规定期限的， </w:t>
      </w:r>
      <w:r>
        <w:rPr>
          <w:sz w:val="24"/>
        </w:rPr>
        <w:t>将被拒绝。</w:t>
      </w:r>
    </w:p>
    <w:p>
      <w:pPr>
        <w:pStyle w:val="27"/>
        <w:numPr>
          <w:ilvl w:val="1"/>
          <w:numId w:val="3"/>
        </w:numPr>
        <w:tabs>
          <w:tab w:val="left" w:pos="1272"/>
        </w:tabs>
        <w:spacing w:line="376" w:lineRule="auto"/>
        <w:ind w:right="310" w:firstLine="480"/>
        <w:jc w:val="both"/>
        <w:rPr>
          <w:rFonts w:ascii="Times New Roman" w:eastAsia="Times New Roman"/>
          <w:sz w:val="24"/>
        </w:rPr>
      </w:pPr>
      <w:bookmarkStart w:id="72" w:name="14.2_在特殊情况下，采购代理机构可与供应商协商延长响应文件的有效期。协商应当"/>
      <w:bookmarkEnd w:id="72"/>
      <w:r>
        <w:rPr>
          <w:sz w:val="24"/>
        </w:rPr>
        <w:t>在特殊情况下，采购代理机构可与供应商协商延长响应文件的有效期。协商应当以</w:t>
      </w:r>
      <w:r>
        <w:rPr>
          <w:spacing w:val="-9"/>
          <w:sz w:val="24"/>
        </w:rPr>
        <w:t>信函、传真或电子邮件的形式进行。同意延长有效期的供应商，其磋商保证金的有效期也相应</w:t>
      </w:r>
      <w:r>
        <w:rPr>
          <w:spacing w:val="-11"/>
          <w:sz w:val="24"/>
        </w:rPr>
        <w:t>延长，但不能修改响应文件。拒绝接受延长有效期要求的供应商，其磋商将被拒绝，磋商保证金将被退还。</w:t>
      </w:r>
    </w:p>
    <w:p>
      <w:pPr>
        <w:numPr>
          <w:ilvl w:val="0"/>
          <w:numId w:val="3"/>
        </w:numPr>
        <w:tabs>
          <w:tab w:val="left" w:pos="645"/>
        </w:tabs>
        <w:spacing w:before="3"/>
        <w:jc w:val="both"/>
        <w:rPr>
          <w:b/>
          <w:sz w:val="24"/>
        </w:rPr>
      </w:pPr>
      <w:bookmarkStart w:id="73" w:name="15_响应文件的份数和签署"/>
      <w:bookmarkEnd w:id="73"/>
      <w:r>
        <w:rPr>
          <w:b/>
          <w:sz w:val="24"/>
        </w:rPr>
        <w:t>响应文件的份数和签署</w:t>
      </w:r>
    </w:p>
    <w:p>
      <w:pPr>
        <w:numPr>
          <w:ilvl w:val="1"/>
          <w:numId w:val="3"/>
        </w:numPr>
        <w:tabs>
          <w:tab w:val="left" w:pos="1272"/>
        </w:tabs>
        <w:spacing w:before="178"/>
        <w:ind w:left="1271" w:hanging="570"/>
        <w:jc w:val="both"/>
        <w:rPr>
          <w:rFonts w:ascii="Times New Roman" w:eastAsia="Times New Roman"/>
          <w:b/>
          <w:sz w:val="24"/>
        </w:rPr>
      </w:pPr>
      <w:bookmarkStart w:id="74" w:name="15.1_响应文件份数：见供应商须知前附表。"/>
      <w:bookmarkEnd w:id="74"/>
      <w:r>
        <w:rPr>
          <w:b/>
          <w:sz w:val="24"/>
        </w:rPr>
        <w:t>响应文件份数：见供应商须知前附表。</w:t>
      </w:r>
    </w:p>
    <w:p>
      <w:pPr>
        <w:pStyle w:val="27"/>
        <w:numPr>
          <w:ilvl w:val="1"/>
          <w:numId w:val="3"/>
        </w:numPr>
        <w:tabs>
          <w:tab w:val="left" w:pos="1272"/>
        </w:tabs>
        <w:spacing w:before="177" w:line="379" w:lineRule="auto"/>
        <w:ind w:right="310" w:firstLine="480"/>
        <w:jc w:val="both"/>
        <w:rPr>
          <w:rFonts w:ascii="Times New Roman" w:hAnsi="Times New Roman" w:eastAsia="Times New Roman"/>
          <w:sz w:val="24"/>
        </w:rPr>
      </w:pPr>
      <w:bookmarkStart w:id="75" w:name="15.2_响应文件正本均须用不褪色墨水书写、打印或印刷，响应文件副本的所有资料，"/>
      <w:bookmarkEnd w:id="75"/>
      <w:r>
        <w:rPr>
          <w:sz w:val="24"/>
        </w:rPr>
        <w:t>响应文件正本均须用不褪色墨水书写、打印或印刷，响应文件副本的所有资料，都</w:t>
      </w:r>
      <w:r>
        <w:rPr>
          <w:spacing w:val="-7"/>
          <w:sz w:val="24"/>
        </w:rPr>
        <w:t>可以用响应文件的正本复制。响应文件封面的右上角应当清楚地注明“正本”或“副本”。响应文件的正本和副本内容有不一致的，以正本为准。</w:t>
      </w:r>
    </w:p>
    <w:p>
      <w:pPr>
        <w:spacing w:before="50"/>
        <w:ind w:left="220" w:firstLine="480" w:firstLineChars="200"/>
        <w:rPr>
          <w:b/>
          <w:sz w:val="24"/>
        </w:rPr>
      </w:pPr>
      <w:bookmarkStart w:id="76" w:name="15.3_投标文件正本中，文字材料需打印或用不褪色墨水书写。投标文件的正本须经法"/>
      <w:bookmarkEnd w:id="76"/>
      <w:r>
        <w:rPr>
          <w:sz w:val="24"/>
        </w:rPr>
        <w:t>投标文件正本中，文字材料需打印或用不褪色墨水书写。投标文件的</w:t>
      </w:r>
      <w:r>
        <w:rPr>
          <w:bCs/>
          <w:spacing w:val="-10"/>
          <w:sz w:val="24"/>
        </w:rPr>
        <w:t>正本每页加盖投标单位公章，响应文件加盖骑缝章。</w:t>
      </w:r>
    </w:p>
    <w:p>
      <w:pPr>
        <w:pStyle w:val="27"/>
        <w:numPr>
          <w:ilvl w:val="1"/>
          <w:numId w:val="3"/>
        </w:numPr>
        <w:tabs>
          <w:tab w:val="left" w:pos="1272"/>
        </w:tabs>
        <w:spacing w:before="177" w:line="379" w:lineRule="auto"/>
        <w:ind w:right="310" w:firstLine="480"/>
        <w:rPr>
          <w:rFonts w:ascii="Times New Roman" w:eastAsia="Times New Roman"/>
          <w:sz w:val="24"/>
        </w:rPr>
      </w:pPr>
      <w:bookmarkStart w:id="77" w:name="15.4_全套响应文件应无涂改、无行间插字。除非这些删改是根据采购代理机构的要求"/>
      <w:bookmarkEnd w:id="77"/>
      <w:r>
        <w:rPr>
          <w:sz w:val="24"/>
        </w:rPr>
        <w:t>全套响应文件应无涂改、无行间插字。除非这些删改是根据采购代理机构的要求实施的，或者是供应商造成的错误且必须修改的。修改处应由响应文件签字人签字证明。</w:t>
      </w:r>
    </w:p>
    <w:p>
      <w:pPr>
        <w:pStyle w:val="27"/>
        <w:numPr>
          <w:ilvl w:val="1"/>
          <w:numId w:val="3"/>
        </w:numPr>
        <w:tabs>
          <w:tab w:val="left" w:pos="1272"/>
        </w:tabs>
        <w:spacing w:line="305" w:lineRule="exact"/>
        <w:ind w:left="1271"/>
        <w:rPr>
          <w:sz w:val="35"/>
        </w:rPr>
      </w:pPr>
      <w:bookmarkStart w:id="78" w:name="15.5_传真或电传的响应文件将被拒绝。"/>
      <w:bookmarkEnd w:id="78"/>
      <w:r>
        <w:rPr>
          <w:sz w:val="24"/>
        </w:rPr>
        <w:t>传真或电传的响应文件将被拒绝。</w:t>
      </w:r>
    </w:p>
    <w:p>
      <w:pPr>
        <w:pStyle w:val="2"/>
        <w:numPr>
          <w:ilvl w:val="0"/>
          <w:numId w:val="2"/>
        </w:numPr>
        <w:tabs>
          <w:tab w:val="left" w:pos="760"/>
        </w:tabs>
        <w:spacing w:before="0"/>
        <w:rPr>
          <w:b/>
          <w:sz w:val="36"/>
        </w:rPr>
      </w:pPr>
      <w:bookmarkStart w:id="79" w:name="D._响应文件的递交"/>
      <w:bookmarkEnd w:id="79"/>
      <w:bookmarkStart w:id="80" w:name="_Toc20495"/>
      <w:r>
        <w:t>响应文件的递交</w:t>
      </w:r>
      <w:bookmarkEnd w:id="80"/>
    </w:p>
    <w:p/>
    <w:p>
      <w:pPr>
        <w:numPr>
          <w:ilvl w:val="0"/>
          <w:numId w:val="3"/>
        </w:numPr>
        <w:tabs>
          <w:tab w:val="left" w:pos="645"/>
        </w:tabs>
        <w:spacing w:before="1"/>
        <w:rPr>
          <w:b/>
          <w:sz w:val="24"/>
        </w:rPr>
      </w:pPr>
      <w:bookmarkStart w:id="81" w:name="16_响应文件的装订、密封及标记"/>
      <w:bookmarkEnd w:id="81"/>
      <w:r>
        <w:rPr>
          <w:b/>
          <w:sz w:val="24"/>
        </w:rPr>
        <w:t>响应文件的装订、密封及标记</w:t>
      </w:r>
    </w:p>
    <w:p>
      <w:pPr>
        <w:pStyle w:val="27"/>
        <w:numPr>
          <w:ilvl w:val="1"/>
          <w:numId w:val="3"/>
        </w:numPr>
        <w:tabs>
          <w:tab w:val="left" w:pos="1272"/>
        </w:tabs>
        <w:spacing w:before="177"/>
        <w:ind w:left="1271"/>
        <w:jc w:val="both"/>
        <w:rPr>
          <w:rFonts w:ascii="Times New Roman" w:eastAsia="Times New Roman"/>
          <w:sz w:val="24"/>
        </w:rPr>
      </w:pPr>
      <w:bookmarkStart w:id="82" w:name="16.1_所有响应文件必须装订成册。"/>
      <w:bookmarkEnd w:id="82"/>
      <w:r>
        <w:rPr>
          <w:sz w:val="24"/>
        </w:rPr>
        <w:t>所有响应文件必须装订成册。</w:t>
      </w:r>
    </w:p>
    <w:p>
      <w:pPr>
        <w:pStyle w:val="27"/>
        <w:numPr>
          <w:ilvl w:val="1"/>
          <w:numId w:val="3"/>
        </w:numPr>
        <w:tabs>
          <w:tab w:val="left" w:pos="1272"/>
        </w:tabs>
        <w:spacing w:before="177"/>
        <w:ind w:left="1271"/>
        <w:jc w:val="both"/>
        <w:rPr>
          <w:rFonts w:ascii="Times New Roman" w:eastAsia="Times New Roman"/>
          <w:sz w:val="24"/>
        </w:rPr>
      </w:pPr>
      <w:bookmarkStart w:id="83" w:name="16.2_响应文件应按以下方法分别装袋密封："/>
      <w:bookmarkEnd w:id="83"/>
      <w:r>
        <w:rPr>
          <w:sz w:val="24"/>
        </w:rPr>
        <w:t>响应文件应按以下方法分别装袋密封：</w:t>
      </w:r>
    </w:p>
    <w:p>
      <w:pPr>
        <w:spacing w:before="201" w:line="343" w:lineRule="auto"/>
        <w:ind w:left="220" w:right="313" w:firstLine="482"/>
        <w:jc w:val="both"/>
        <w:rPr>
          <w:b/>
          <w:sz w:val="24"/>
        </w:rPr>
      </w:pPr>
      <w:r>
        <w:rPr>
          <w:b/>
          <w:spacing w:val="-2"/>
          <w:sz w:val="24"/>
        </w:rPr>
        <w:t>供应商应将响应文件的正本封装为一个密封袋，将所有副本封装为一个密封袋,响应文件</w:t>
      </w:r>
      <w:r>
        <w:rPr>
          <w:b/>
          <w:sz w:val="24"/>
        </w:rPr>
        <w:t>电子版一个密封袋。所有密封袋密封口处粘贴密封条，不得出现裸露密封口，并在密封条与密封件交接处加盖投标人公章。在密封袋上，要清楚标明“正本”、“副本”及“电子版” 字样。</w:t>
      </w:r>
    </w:p>
    <w:p>
      <w:pPr>
        <w:spacing w:before="1"/>
        <w:ind w:left="220"/>
        <w:rPr>
          <w:b/>
          <w:sz w:val="24"/>
        </w:rPr>
      </w:pPr>
      <w:r>
        <w:rPr>
          <w:b/>
          <w:sz w:val="24"/>
        </w:rPr>
        <w:t>封套上均应写明：</w:t>
      </w:r>
    </w:p>
    <w:p>
      <w:pPr>
        <w:spacing w:before="135" w:line="343" w:lineRule="auto"/>
        <w:ind w:left="220" w:right="390"/>
        <w:rPr>
          <w:b/>
          <w:sz w:val="24"/>
          <w:u w:val="single"/>
          <w:lang w:val="en-US"/>
        </w:rPr>
      </w:pPr>
      <w:r>
        <w:rPr>
          <w:b/>
          <w:sz w:val="24"/>
        </w:rPr>
        <w:t>致：</w:t>
      </w:r>
      <w:r>
        <w:rPr>
          <w:rFonts w:hint="eastAsia"/>
          <w:b/>
          <w:sz w:val="24"/>
          <w:u w:val="single"/>
          <w:lang w:val="en-US"/>
        </w:rPr>
        <w:t xml:space="preserve">         </w:t>
      </w:r>
    </w:p>
    <w:p>
      <w:pPr>
        <w:spacing w:before="135" w:line="343" w:lineRule="auto"/>
        <w:ind w:left="220" w:right="390"/>
        <w:rPr>
          <w:ins w:id="0" w:author="AKwan" w:date="2021-06-07T18:07:00Z"/>
          <w:rFonts w:hint="eastAsia" w:eastAsia="宋体"/>
          <w:b/>
          <w:sz w:val="24"/>
          <w:u w:val="single"/>
          <w:lang w:eastAsia="zh-CN"/>
        </w:rPr>
      </w:pPr>
      <w:r>
        <w:rPr>
          <w:b/>
          <w:sz w:val="24"/>
        </w:rPr>
        <w:t>项目名称：</w:t>
      </w:r>
      <w:r>
        <w:rPr>
          <w:rFonts w:hint="eastAsia"/>
          <w:b/>
          <w:sz w:val="24"/>
          <w:u w:val="single"/>
          <w:lang w:eastAsia="zh-CN"/>
        </w:rPr>
        <w:t>儋州市人民检察院物业管理服务项目</w:t>
      </w:r>
    </w:p>
    <w:p>
      <w:pPr>
        <w:spacing w:before="135" w:line="343" w:lineRule="auto"/>
        <w:ind w:left="220" w:right="3800"/>
        <w:rPr>
          <w:b/>
          <w:sz w:val="24"/>
        </w:rPr>
      </w:pPr>
      <w:r>
        <w:rPr>
          <w:b/>
          <w:sz w:val="24"/>
        </w:rPr>
        <w:t>注明：“请勿在开标时间之前启封”</w:t>
      </w:r>
    </w:p>
    <w:p>
      <w:pPr>
        <w:pStyle w:val="27"/>
        <w:numPr>
          <w:ilvl w:val="2"/>
          <w:numId w:val="3"/>
        </w:numPr>
        <w:tabs>
          <w:tab w:val="left" w:pos="1900"/>
        </w:tabs>
        <w:spacing w:line="282" w:lineRule="exact"/>
        <w:ind w:left="1900" w:hanging="829"/>
        <w:rPr>
          <w:spacing w:val="-5"/>
          <w:sz w:val="24"/>
        </w:rPr>
      </w:pPr>
      <w:r>
        <w:rPr>
          <w:spacing w:val="-5"/>
          <w:sz w:val="24"/>
        </w:rPr>
        <w:t>供应商应按上述要求密封及书写标记，未按上述规定书写标识和密封者，采购代理机构不予受理。</w:t>
      </w:r>
    </w:p>
    <w:p>
      <w:pPr>
        <w:pStyle w:val="27"/>
        <w:numPr>
          <w:ilvl w:val="2"/>
          <w:numId w:val="3"/>
        </w:numPr>
        <w:tabs>
          <w:tab w:val="left" w:pos="1899"/>
          <w:tab w:val="left" w:pos="1900"/>
        </w:tabs>
        <w:spacing w:before="177"/>
        <w:ind w:left="1900" w:hanging="960"/>
        <w:rPr>
          <w:sz w:val="24"/>
        </w:rPr>
      </w:pPr>
      <w:r>
        <w:rPr>
          <w:sz w:val="24"/>
        </w:rPr>
        <w:t>响应文件的装订做到整齐、干净、牢固即可。</w:t>
      </w:r>
    </w:p>
    <w:p>
      <w:pPr>
        <w:numPr>
          <w:ilvl w:val="0"/>
          <w:numId w:val="3"/>
        </w:numPr>
        <w:tabs>
          <w:tab w:val="left" w:pos="645"/>
        </w:tabs>
        <w:spacing w:before="177"/>
        <w:rPr>
          <w:b/>
          <w:sz w:val="24"/>
        </w:rPr>
      </w:pPr>
      <w:bookmarkStart w:id="84" w:name="17_截止时间"/>
      <w:bookmarkEnd w:id="84"/>
      <w:r>
        <w:rPr>
          <w:b/>
          <w:sz w:val="24"/>
        </w:rPr>
        <w:t>截止时间</w:t>
      </w:r>
    </w:p>
    <w:p>
      <w:pPr>
        <w:pStyle w:val="27"/>
        <w:numPr>
          <w:ilvl w:val="1"/>
          <w:numId w:val="3"/>
        </w:numPr>
        <w:tabs>
          <w:tab w:val="left" w:pos="1272"/>
        </w:tabs>
        <w:spacing w:before="178"/>
        <w:ind w:left="1271"/>
        <w:rPr>
          <w:rFonts w:ascii="Times New Roman" w:eastAsia="Times New Roman"/>
          <w:sz w:val="24"/>
        </w:rPr>
      </w:pPr>
      <w:bookmarkStart w:id="85" w:name="17.1_响应文件必须在提交响应文件截止时间前送达磋商地点。"/>
      <w:bookmarkEnd w:id="85"/>
      <w:r>
        <w:rPr>
          <w:sz w:val="24"/>
        </w:rPr>
        <w:t>响应文件必须在提交响应文件截止时间前送达磋商地点。</w:t>
      </w:r>
    </w:p>
    <w:p>
      <w:pPr>
        <w:pStyle w:val="27"/>
        <w:numPr>
          <w:ilvl w:val="1"/>
          <w:numId w:val="3"/>
        </w:numPr>
        <w:tabs>
          <w:tab w:val="left" w:pos="1272"/>
        </w:tabs>
        <w:spacing w:before="177" w:line="379" w:lineRule="auto"/>
        <w:ind w:right="315" w:firstLine="480"/>
        <w:rPr>
          <w:rFonts w:ascii="Times New Roman" w:eastAsia="Times New Roman"/>
          <w:sz w:val="24"/>
        </w:rPr>
      </w:pPr>
      <w:bookmarkStart w:id="86" w:name="17.2_采购代理机构推迟响应文件截止时间，将在不晚于原定响应文件截止时间前3天"/>
      <w:bookmarkEnd w:id="86"/>
      <w:r>
        <w:rPr>
          <w:spacing w:val="-1"/>
          <w:sz w:val="24"/>
        </w:rPr>
        <w:t xml:space="preserve">采购代理机构推迟响应文件截止时间，将在不晚于原定响应文件截止时间前 </w:t>
      </w:r>
      <w:r>
        <w:rPr>
          <w:sz w:val="24"/>
        </w:rPr>
        <w:t>3</w:t>
      </w:r>
      <w:r>
        <w:rPr>
          <w:spacing w:val="-16"/>
          <w:sz w:val="24"/>
        </w:rPr>
        <w:t xml:space="preserve"> 天发</w:t>
      </w:r>
      <w:r>
        <w:rPr>
          <w:sz w:val="24"/>
        </w:rPr>
        <w:t>布公告。</w:t>
      </w:r>
    </w:p>
    <w:p>
      <w:pPr>
        <w:pStyle w:val="27"/>
        <w:numPr>
          <w:ilvl w:val="1"/>
          <w:numId w:val="3"/>
        </w:numPr>
        <w:tabs>
          <w:tab w:val="left" w:pos="1272"/>
        </w:tabs>
        <w:spacing w:line="303" w:lineRule="exact"/>
        <w:ind w:left="1271"/>
        <w:rPr>
          <w:rFonts w:ascii="Times New Roman" w:eastAsia="Times New Roman"/>
          <w:sz w:val="24"/>
        </w:rPr>
      </w:pPr>
      <w:bookmarkStart w:id="87" w:name="17.3_在响应文件截止时间以后送达的响应文件，采购代理机构拒绝接收。"/>
      <w:bookmarkEnd w:id="87"/>
      <w:r>
        <w:rPr>
          <w:sz w:val="24"/>
        </w:rPr>
        <w:t>在响应文件截止时间以后送达的响应文件，采购代理机构拒绝接收。</w:t>
      </w:r>
    </w:p>
    <w:p>
      <w:pPr>
        <w:numPr>
          <w:ilvl w:val="0"/>
          <w:numId w:val="3"/>
        </w:numPr>
        <w:tabs>
          <w:tab w:val="left" w:pos="645"/>
        </w:tabs>
        <w:spacing w:before="177"/>
        <w:rPr>
          <w:b/>
          <w:sz w:val="24"/>
        </w:rPr>
      </w:pPr>
      <w:bookmarkStart w:id="88" w:name="18_响应文件的修改和撤回"/>
      <w:bookmarkEnd w:id="88"/>
      <w:r>
        <w:rPr>
          <w:b/>
          <w:sz w:val="24"/>
        </w:rPr>
        <w:t>响应文件的修改和撤回</w:t>
      </w:r>
    </w:p>
    <w:p>
      <w:pPr>
        <w:pStyle w:val="27"/>
        <w:numPr>
          <w:ilvl w:val="1"/>
          <w:numId w:val="3"/>
        </w:numPr>
        <w:tabs>
          <w:tab w:val="left" w:pos="1272"/>
        </w:tabs>
        <w:spacing w:before="178" w:line="379" w:lineRule="auto"/>
        <w:ind w:right="310" w:firstLine="480"/>
        <w:rPr>
          <w:rFonts w:ascii="Times New Roman" w:eastAsia="Times New Roman"/>
          <w:sz w:val="24"/>
        </w:rPr>
      </w:pPr>
      <w:bookmarkStart w:id="89" w:name="18.1_响应文件提交截止时间以后，供应商不得修改和撤回响应文件，不得在磋商有效"/>
      <w:bookmarkEnd w:id="89"/>
      <w:r>
        <w:rPr>
          <w:sz w:val="24"/>
        </w:rPr>
        <w:t>响应文件提交截止时间以后，供应商不得修改和撤回响应文件，不得在磋商有效期内撤回响应文件，否则磋商保证金不予退还。</w:t>
      </w:r>
    </w:p>
    <w:p>
      <w:pPr>
        <w:pStyle w:val="27"/>
        <w:numPr>
          <w:ilvl w:val="1"/>
          <w:numId w:val="3"/>
        </w:numPr>
        <w:tabs>
          <w:tab w:val="left" w:pos="1272"/>
        </w:tabs>
        <w:spacing w:line="305" w:lineRule="exact"/>
        <w:ind w:left="1271"/>
        <w:rPr>
          <w:rFonts w:ascii="Times New Roman" w:eastAsia="Times New Roman"/>
          <w:sz w:val="24"/>
        </w:rPr>
      </w:pPr>
      <w:bookmarkStart w:id="90" w:name="18.2_响应文件提交后，均不予退还。"/>
      <w:bookmarkEnd w:id="90"/>
      <w:r>
        <w:rPr>
          <w:sz w:val="24"/>
        </w:rPr>
        <w:t>响应文件提交后，均不予退还。</w:t>
      </w:r>
    </w:p>
    <w:p>
      <w:pPr>
        <w:pStyle w:val="2"/>
        <w:numPr>
          <w:ilvl w:val="0"/>
          <w:numId w:val="2"/>
        </w:numPr>
        <w:tabs>
          <w:tab w:val="left" w:pos="760"/>
        </w:tabs>
        <w:spacing w:before="27"/>
        <w:rPr>
          <w:b/>
          <w:sz w:val="26"/>
        </w:rPr>
      </w:pPr>
      <w:bookmarkStart w:id="91" w:name="E._磋商程序"/>
      <w:bookmarkEnd w:id="91"/>
      <w:bookmarkStart w:id="92" w:name="_Toc10719"/>
      <w:r>
        <w:rPr>
          <w:w w:val="95"/>
        </w:rPr>
        <w:t>磋商程序</w:t>
      </w:r>
      <w:bookmarkEnd w:id="92"/>
    </w:p>
    <w:p/>
    <w:p>
      <w:pPr>
        <w:numPr>
          <w:ilvl w:val="0"/>
          <w:numId w:val="3"/>
        </w:numPr>
        <w:tabs>
          <w:tab w:val="left" w:pos="645"/>
        </w:tabs>
        <w:spacing w:before="1"/>
        <w:rPr>
          <w:b/>
          <w:sz w:val="24"/>
        </w:rPr>
      </w:pPr>
      <w:bookmarkStart w:id="93" w:name="19_磋商文件的送达"/>
      <w:bookmarkEnd w:id="93"/>
      <w:r>
        <w:rPr>
          <w:b/>
          <w:w w:val="95"/>
          <w:sz w:val="24"/>
        </w:rPr>
        <w:t>磋商文件的送达</w:t>
      </w:r>
    </w:p>
    <w:p>
      <w:pPr>
        <w:pStyle w:val="27"/>
        <w:numPr>
          <w:ilvl w:val="1"/>
          <w:numId w:val="3"/>
        </w:numPr>
        <w:tabs>
          <w:tab w:val="left" w:pos="1272"/>
        </w:tabs>
        <w:spacing w:before="177" w:line="376" w:lineRule="auto"/>
        <w:ind w:right="310" w:firstLine="480"/>
        <w:rPr>
          <w:rFonts w:ascii="Times New Roman" w:eastAsia="Times New Roman"/>
          <w:sz w:val="24"/>
        </w:rPr>
      </w:pPr>
      <w:bookmarkStart w:id="94" w:name="19.1_供应商应当在磋商文件要求的截止时间前，将响应文件密封送达指定地点。在截"/>
      <w:bookmarkEnd w:id="94"/>
      <w:r>
        <w:rPr>
          <w:sz w:val="24"/>
        </w:rPr>
        <w:t>供应商应当在磋商文件要求的截止时间前，将响应文件密封送达指定地点。在截止时间后送达的响应文件为无效文件，采购人、采购代理机构或者磋商小组应当拒收。</w:t>
      </w:r>
    </w:p>
    <w:p>
      <w:pPr>
        <w:pStyle w:val="27"/>
        <w:numPr>
          <w:ilvl w:val="1"/>
          <w:numId w:val="3"/>
        </w:numPr>
        <w:tabs>
          <w:tab w:val="left" w:pos="1272"/>
        </w:tabs>
        <w:spacing w:before="1" w:line="379" w:lineRule="auto"/>
        <w:ind w:left="219" w:right="200" w:firstLine="480"/>
        <w:rPr>
          <w:rFonts w:ascii="Times New Roman" w:eastAsia="Times New Roman"/>
          <w:sz w:val="24"/>
        </w:rPr>
      </w:pPr>
      <w:bookmarkStart w:id="95" w:name="19.2_供应商在提交响应文件截止时间前，可以对所提交的响应文件进行补充、修改或"/>
      <w:bookmarkEnd w:id="95"/>
      <w:r>
        <w:rPr>
          <w:sz w:val="24"/>
        </w:rPr>
        <w:t>供应商在提交响应文件截止时间前，可以对所提交的响应文件进行补充、修改或者</w:t>
      </w:r>
      <w:r>
        <w:rPr>
          <w:spacing w:val="-16"/>
          <w:sz w:val="24"/>
        </w:rPr>
        <w:t>撤回，并书面通知采购人、采购代理机构。补充、修改的内容作为响应文件的组成部分。补充、</w:t>
      </w:r>
      <w:r>
        <w:rPr>
          <w:sz w:val="24"/>
        </w:rPr>
        <w:t>修改的内容与响应文件不一致的，以补充、修改的内容为准。</w:t>
      </w:r>
    </w:p>
    <w:p>
      <w:pPr>
        <w:pStyle w:val="27"/>
        <w:numPr>
          <w:ilvl w:val="1"/>
          <w:numId w:val="3"/>
        </w:numPr>
        <w:tabs>
          <w:tab w:val="left" w:pos="1272"/>
        </w:tabs>
        <w:spacing w:line="379" w:lineRule="auto"/>
        <w:ind w:left="219" w:right="310" w:firstLine="480"/>
        <w:jc w:val="both"/>
        <w:rPr>
          <w:rFonts w:ascii="Times New Roman" w:eastAsia="Times New Roman"/>
          <w:sz w:val="24"/>
        </w:rPr>
      </w:pPr>
      <w:bookmarkStart w:id="96" w:name="19.3_采购代理机构按磋商文件规定的时间、地点举行磋商仪式。磋商仪式由采购代理"/>
      <w:bookmarkEnd w:id="96"/>
      <w:r>
        <w:rPr>
          <w:sz w:val="24"/>
        </w:rPr>
        <w:t>采购代理机构按磋商文件规定的时间、地点举行磋商仪式。磋商仪式由采购代理机</w:t>
      </w:r>
      <w:r>
        <w:rPr>
          <w:spacing w:val="-10"/>
          <w:sz w:val="24"/>
        </w:rPr>
        <w:t>构主持，邀请采购人代表、供应商代表及有关工作人员参加。供应商的法定代表人或法定代表人授权的代表必须参加磋商仪式。</w:t>
      </w:r>
    </w:p>
    <w:p>
      <w:pPr>
        <w:numPr>
          <w:ilvl w:val="0"/>
          <w:numId w:val="3"/>
        </w:numPr>
        <w:tabs>
          <w:tab w:val="left" w:pos="645"/>
        </w:tabs>
        <w:spacing w:line="304" w:lineRule="exact"/>
        <w:jc w:val="both"/>
        <w:rPr>
          <w:b/>
          <w:sz w:val="24"/>
        </w:rPr>
      </w:pPr>
      <w:bookmarkStart w:id="97" w:name="20_磋商小组"/>
      <w:bookmarkEnd w:id="97"/>
      <w:r>
        <w:rPr>
          <w:b/>
          <w:sz w:val="24"/>
        </w:rPr>
        <w:t>磋商小组</w:t>
      </w:r>
    </w:p>
    <w:p>
      <w:pPr>
        <w:pStyle w:val="27"/>
        <w:numPr>
          <w:ilvl w:val="1"/>
          <w:numId w:val="3"/>
        </w:numPr>
        <w:tabs>
          <w:tab w:val="left" w:pos="1272"/>
        </w:tabs>
        <w:spacing w:before="172"/>
        <w:ind w:left="1271"/>
        <w:rPr>
          <w:rFonts w:ascii="Times New Roman" w:eastAsia="Times New Roman"/>
          <w:sz w:val="24"/>
        </w:rPr>
      </w:pPr>
      <w:bookmarkStart w:id="98" w:name="20.1_磋商小组的组成：见供应商须知前附表。"/>
      <w:bookmarkEnd w:id="98"/>
      <w:r>
        <w:rPr>
          <w:sz w:val="24"/>
        </w:rPr>
        <w:t>磋商小组的组成：见供应商须知前附表。</w:t>
      </w:r>
    </w:p>
    <w:p>
      <w:pPr>
        <w:pStyle w:val="27"/>
        <w:numPr>
          <w:ilvl w:val="1"/>
          <w:numId w:val="3"/>
        </w:numPr>
        <w:tabs>
          <w:tab w:val="left" w:pos="1272"/>
        </w:tabs>
        <w:spacing w:before="178"/>
        <w:ind w:left="1271"/>
        <w:rPr>
          <w:rFonts w:ascii="Times New Roman" w:eastAsia="Times New Roman"/>
          <w:sz w:val="24"/>
        </w:rPr>
      </w:pPr>
      <w:bookmarkStart w:id="99" w:name="20.2_评审方法：见供应商须知前附表。"/>
      <w:bookmarkEnd w:id="99"/>
      <w:r>
        <w:rPr>
          <w:sz w:val="24"/>
        </w:rPr>
        <w:t>评审方法：见供应商须知前附表。</w:t>
      </w:r>
    </w:p>
    <w:p>
      <w:pPr>
        <w:numPr>
          <w:ilvl w:val="0"/>
          <w:numId w:val="3"/>
        </w:numPr>
        <w:tabs>
          <w:tab w:val="left" w:pos="645"/>
        </w:tabs>
        <w:spacing w:before="177"/>
        <w:jc w:val="both"/>
        <w:rPr>
          <w:b/>
          <w:sz w:val="24"/>
        </w:rPr>
      </w:pPr>
      <w:bookmarkStart w:id="100" w:name="21_磋商方式和内容"/>
      <w:bookmarkEnd w:id="100"/>
      <w:r>
        <w:rPr>
          <w:b/>
          <w:sz w:val="24"/>
        </w:rPr>
        <w:t>磋商方式和内容</w:t>
      </w:r>
    </w:p>
    <w:p>
      <w:pPr>
        <w:pStyle w:val="27"/>
        <w:numPr>
          <w:ilvl w:val="1"/>
          <w:numId w:val="3"/>
        </w:numPr>
        <w:tabs>
          <w:tab w:val="left" w:pos="1272"/>
        </w:tabs>
        <w:spacing w:before="177" w:line="379" w:lineRule="auto"/>
        <w:ind w:right="310" w:firstLine="480"/>
        <w:jc w:val="both"/>
        <w:rPr>
          <w:rFonts w:ascii="Times New Roman" w:eastAsia="Times New Roman"/>
          <w:sz w:val="24"/>
        </w:rPr>
      </w:pPr>
      <w:bookmarkStart w:id="101" w:name="21.1_磋商小组按供应商提交响应文件的顺序分别与通过资格审查的供应商进行磋商，"/>
      <w:bookmarkEnd w:id="101"/>
      <w:r>
        <w:rPr>
          <w:sz w:val="24"/>
        </w:rPr>
        <w:t>磋商小组按供应商提交响应文件的顺序分别与通过资格审查的供应商进行磋商，并给予所有参加磋商的供应商平等的磋商机会。</w:t>
      </w:r>
    </w:p>
    <w:p>
      <w:pPr>
        <w:pStyle w:val="27"/>
        <w:numPr>
          <w:ilvl w:val="1"/>
          <w:numId w:val="3"/>
        </w:numPr>
        <w:tabs>
          <w:tab w:val="left" w:pos="1272"/>
        </w:tabs>
        <w:spacing w:line="376" w:lineRule="auto"/>
        <w:ind w:right="310" w:firstLine="480"/>
        <w:jc w:val="both"/>
        <w:rPr>
          <w:rFonts w:ascii="Times New Roman" w:eastAsia="Times New Roman"/>
          <w:sz w:val="24"/>
        </w:rPr>
      </w:pPr>
      <w:bookmarkStart w:id="102" w:name="21.2_磋商内容包括技术方案响应情况、服务内容标准与承诺、施工能力、合同条件、"/>
      <w:bookmarkEnd w:id="102"/>
      <w:r>
        <w:rPr>
          <w:sz w:val="24"/>
        </w:rPr>
        <w:t>磋商内容包括技术方案响应情况、服务内容标准与承诺、施工能力、合同条件、采</w:t>
      </w:r>
      <w:r>
        <w:rPr>
          <w:spacing w:val="-8"/>
          <w:sz w:val="24"/>
        </w:rPr>
        <w:t>购要求的优化建议等。在磋商过程中，磋商小组可以根据磋商文件和磋商情况实质性变动采购</w:t>
      </w:r>
      <w:r>
        <w:rPr>
          <w:spacing w:val="-12"/>
          <w:sz w:val="24"/>
        </w:rPr>
        <w:t>需求中的技术、服务要求以及合同草案条款，但不得变动磋商文件中的其他内容。实质性变动的内容，须经采购人代表确认。</w:t>
      </w:r>
    </w:p>
    <w:p>
      <w:pPr>
        <w:pStyle w:val="27"/>
        <w:numPr>
          <w:ilvl w:val="1"/>
          <w:numId w:val="3"/>
        </w:numPr>
        <w:tabs>
          <w:tab w:val="left" w:pos="1272"/>
        </w:tabs>
        <w:spacing w:before="4"/>
        <w:ind w:left="1271"/>
        <w:jc w:val="both"/>
        <w:rPr>
          <w:rFonts w:ascii="Times New Roman" w:eastAsia="Times New Roman"/>
          <w:sz w:val="24"/>
        </w:rPr>
      </w:pPr>
      <w:bookmarkStart w:id="103" w:name="21.3_磋商小组可以根据磋商的实际情况决定磋商的轮次，但最多不能超过三轮磋商。"/>
      <w:bookmarkEnd w:id="103"/>
      <w:r>
        <w:rPr>
          <w:sz w:val="24"/>
        </w:rPr>
        <w:t>磋商小组可以根据磋商的实际情况决定磋商的轮次，但最多不能超过三轮磋商。</w:t>
      </w:r>
    </w:p>
    <w:p>
      <w:pPr>
        <w:pStyle w:val="27"/>
        <w:numPr>
          <w:ilvl w:val="1"/>
          <w:numId w:val="3"/>
        </w:numPr>
        <w:tabs>
          <w:tab w:val="left" w:pos="1272"/>
        </w:tabs>
        <w:spacing w:before="177"/>
        <w:ind w:left="1271"/>
        <w:jc w:val="both"/>
        <w:rPr>
          <w:rFonts w:ascii="Times New Roman" w:eastAsia="Times New Roman"/>
          <w:sz w:val="24"/>
        </w:rPr>
      </w:pPr>
      <w:bookmarkStart w:id="104" w:name="21.4_供应商在磋商中作出的承诺，是其响应文件的组成部分。"/>
      <w:bookmarkEnd w:id="104"/>
      <w:r>
        <w:rPr>
          <w:sz w:val="24"/>
        </w:rPr>
        <w:t>供应商在磋商中作出的承诺，是其响应文件的组成部分。</w:t>
      </w:r>
    </w:p>
    <w:p>
      <w:pPr>
        <w:numPr>
          <w:ilvl w:val="0"/>
          <w:numId w:val="3"/>
        </w:numPr>
        <w:tabs>
          <w:tab w:val="left" w:pos="645"/>
        </w:tabs>
        <w:spacing w:before="177"/>
        <w:rPr>
          <w:b/>
          <w:sz w:val="24"/>
        </w:rPr>
      </w:pPr>
      <w:bookmarkStart w:id="105" w:name="22_磋商内容的保密"/>
      <w:bookmarkEnd w:id="105"/>
      <w:r>
        <w:rPr>
          <w:b/>
          <w:sz w:val="24"/>
        </w:rPr>
        <w:t>磋商内容的保密</w:t>
      </w:r>
    </w:p>
    <w:p>
      <w:pPr>
        <w:pStyle w:val="27"/>
        <w:numPr>
          <w:ilvl w:val="1"/>
          <w:numId w:val="3"/>
        </w:numPr>
        <w:tabs>
          <w:tab w:val="left" w:pos="1272"/>
        </w:tabs>
        <w:spacing w:before="178" w:line="379" w:lineRule="auto"/>
        <w:ind w:right="313" w:firstLine="480"/>
        <w:rPr>
          <w:rFonts w:ascii="Times New Roman" w:eastAsia="Times New Roman"/>
          <w:sz w:val="24"/>
        </w:rPr>
      </w:pPr>
      <w:bookmarkStart w:id="106" w:name="22.1_磋商后，至正式授予成交供应商合同止，凡属于审查、澄清、评价和比较的所有"/>
      <w:bookmarkEnd w:id="106"/>
      <w:r>
        <w:rPr>
          <w:sz w:val="24"/>
        </w:rPr>
        <w:t>磋商后，至正式授予成交供应商合同止，凡属于审查、澄清、评价和比较的所有资料、有关授予合同的信息等，都不能向供应商或与磋商无关的其他人泄露。</w:t>
      </w:r>
    </w:p>
    <w:p>
      <w:pPr>
        <w:pStyle w:val="27"/>
        <w:numPr>
          <w:ilvl w:val="1"/>
          <w:numId w:val="3"/>
        </w:numPr>
        <w:tabs>
          <w:tab w:val="left" w:pos="1272"/>
        </w:tabs>
        <w:spacing w:line="379" w:lineRule="auto"/>
        <w:ind w:right="310" w:firstLine="480"/>
        <w:rPr>
          <w:rFonts w:ascii="Times New Roman" w:eastAsia="Times New Roman"/>
          <w:sz w:val="24"/>
        </w:rPr>
      </w:pPr>
      <w:bookmarkStart w:id="107" w:name="22.2_在响应文件的审查、澄清、评价和比较以及授予合同的过程中，供应商对采购人"/>
      <w:bookmarkEnd w:id="107"/>
      <w:r>
        <w:rPr>
          <w:sz w:val="24"/>
        </w:rPr>
        <w:t>在响应文件的审查、澄清、评价和比较以及授予合同的过程中，供应商对采购人、采购代理机构和磋商小组成员施加影响的任何行为，都将导致其磋商资格被取消。</w:t>
      </w:r>
    </w:p>
    <w:p>
      <w:pPr>
        <w:numPr>
          <w:ilvl w:val="0"/>
          <w:numId w:val="3"/>
        </w:numPr>
        <w:tabs>
          <w:tab w:val="left" w:pos="645"/>
        </w:tabs>
        <w:spacing w:line="303" w:lineRule="exact"/>
        <w:rPr>
          <w:b/>
          <w:sz w:val="24"/>
        </w:rPr>
      </w:pPr>
      <w:bookmarkStart w:id="108" w:name="23_对响应文件的评审"/>
      <w:bookmarkEnd w:id="108"/>
      <w:r>
        <w:rPr>
          <w:b/>
          <w:sz w:val="24"/>
        </w:rPr>
        <w:t>对响应文件的评审</w:t>
      </w:r>
    </w:p>
    <w:p>
      <w:pPr>
        <w:pStyle w:val="27"/>
        <w:numPr>
          <w:ilvl w:val="1"/>
          <w:numId w:val="3"/>
        </w:numPr>
        <w:tabs>
          <w:tab w:val="left" w:pos="1272"/>
        </w:tabs>
        <w:spacing w:before="50"/>
        <w:ind w:left="1271"/>
        <w:rPr>
          <w:rFonts w:ascii="Times New Roman" w:eastAsia="Times New Roman"/>
          <w:sz w:val="24"/>
        </w:rPr>
      </w:pPr>
      <w:bookmarkStart w:id="109" w:name="23.1_评审程序、评审方法和评审标准见第五部分"/>
      <w:bookmarkEnd w:id="109"/>
      <w:r>
        <w:rPr>
          <w:sz w:val="24"/>
        </w:rPr>
        <w:t>评审程序、评审方法和评审标准见第五部分</w:t>
      </w:r>
    </w:p>
    <w:p>
      <w:pPr>
        <w:numPr>
          <w:ilvl w:val="0"/>
          <w:numId w:val="3"/>
        </w:numPr>
        <w:tabs>
          <w:tab w:val="left" w:pos="645"/>
        </w:tabs>
        <w:spacing w:before="177"/>
        <w:jc w:val="both"/>
        <w:rPr>
          <w:b/>
          <w:sz w:val="24"/>
        </w:rPr>
      </w:pPr>
      <w:bookmarkStart w:id="110" w:name="24_确认成交结果"/>
      <w:bookmarkEnd w:id="110"/>
      <w:r>
        <w:rPr>
          <w:b/>
          <w:sz w:val="24"/>
        </w:rPr>
        <w:t>确认成交结果</w:t>
      </w:r>
    </w:p>
    <w:p>
      <w:pPr>
        <w:pStyle w:val="27"/>
        <w:numPr>
          <w:ilvl w:val="1"/>
          <w:numId w:val="3"/>
        </w:numPr>
        <w:tabs>
          <w:tab w:val="left" w:pos="1272"/>
        </w:tabs>
        <w:spacing w:before="178" w:line="376" w:lineRule="auto"/>
        <w:ind w:right="319" w:firstLine="480"/>
        <w:jc w:val="both"/>
        <w:rPr>
          <w:rFonts w:ascii="Times New Roman" w:eastAsia="Times New Roman"/>
          <w:sz w:val="24"/>
        </w:rPr>
      </w:pPr>
      <w:bookmarkStart w:id="111" w:name="24.1_采购代理机构在评审结束后2个工作日内将评审报告送采购人确认。采购人应当"/>
      <w:bookmarkEnd w:id="111"/>
      <w:r>
        <w:rPr>
          <w:spacing w:val="-3"/>
          <w:sz w:val="24"/>
        </w:rPr>
        <w:t xml:space="preserve">采购代理机构在评审结束后 </w:t>
      </w:r>
      <w:r>
        <w:rPr>
          <w:sz w:val="24"/>
        </w:rPr>
        <w:t>2</w:t>
      </w:r>
      <w:r>
        <w:rPr>
          <w:spacing w:val="-7"/>
          <w:sz w:val="24"/>
        </w:rPr>
        <w:t xml:space="preserve"> 个工作日内将评审报告送采购人确认。采购人应当在</w:t>
      </w:r>
      <w:r>
        <w:rPr>
          <w:spacing w:val="-8"/>
          <w:sz w:val="24"/>
        </w:rPr>
        <w:t xml:space="preserve">收到评审报告后 </w:t>
      </w:r>
      <w:r>
        <w:rPr>
          <w:sz w:val="24"/>
        </w:rPr>
        <w:t>5</w:t>
      </w:r>
      <w:r>
        <w:rPr>
          <w:spacing w:val="-14"/>
          <w:sz w:val="24"/>
        </w:rPr>
        <w:t xml:space="preserve"> 个工作日内，从评审报告推荐出的成交候选供应商中，按照排序由高到低的</w:t>
      </w:r>
      <w:r>
        <w:rPr>
          <w:sz w:val="24"/>
        </w:rPr>
        <w:t>原则确定成交供应商，也可以书面授权磋商小组直接确定成交供应商。</w:t>
      </w:r>
    </w:p>
    <w:p>
      <w:pPr>
        <w:pStyle w:val="27"/>
        <w:numPr>
          <w:ilvl w:val="1"/>
          <w:numId w:val="3"/>
        </w:numPr>
        <w:tabs>
          <w:tab w:val="left" w:pos="1272"/>
        </w:tabs>
        <w:spacing w:before="3" w:line="379" w:lineRule="auto"/>
        <w:ind w:right="319" w:firstLine="480"/>
        <w:jc w:val="both"/>
        <w:rPr>
          <w:rFonts w:ascii="Times New Roman" w:eastAsia="Times New Roman"/>
          <w:sz w:val="24"/>
        </w:rPr>
      </w:pPr>
      <w:bookmarkStart w:id="112" w:name="24.2_采购人或者采购代理机构应当在成交供应商确定后2个工作日内，在省级以上财"/>
      <w:bookmarkEnd w:id="112"/>
      <w:r>
        <w:rPr>
          <w:spacing w:val="-2"/>
          <w:sz w:val="24"/>
        </w:rPr>
        <w:t xml:space="preserve">采购人或者采购代理机构应当在成交供应商确定后 </w:t>
      </w:r>
      <w:r>
        <w:rPr>
          <w:sz w:val="24"/>
        </w:rPr>
        <w:t>2</w:t>
      </w:r>
      <w:r>
        <w:rPr>
          <w:spacing w:val="-7"/>
          <w:sz w:val="24"/>
        </w:rPr>
        <w:t xml:space="preserve"> 个工作日内，在省级以上财政</w:t>
      </w:r>
      <w:r>
        <w:rPr>
          <w:spacing w:val="-6"/>
          <w:sz w:val="24"/>
        </w:rPr>
        <w:t>部门指定的政府采购信息发布媒体上公告成交结果，同时向成交供应商发出成交通知书，并将</w:t>
      </w:r>
      <w:r>
        <w:rPr>
          <w:spacing w:val="-7"/>
          <w:sz w:val="24"/>
        </w:rPr>
        <w:t>磋商文件随成交结果同时公告。成交通知书是成交供应商与采购人签订合同的依据。合同签订</w:t>
      </w:r>
      <w:r>
        <w:rPr>
          <w:sz w:val="24"/>
        </w:rPr>
        <w:t>后，成交通知书成为合同的一部分。</w:t>
      </w:r>
    </w:p>
    <w:p>
      <w:pPr>
        <w:pStyle w:val="2"/>
        <w:numPr>
          <w:ilvl w:val="0"/>
          <w:numId w:val="2"/>
        </w:numPr>
        <w:tabs>
          <w:tab w:val="left" w:pos="760"/>
        </w:tabs>
        <w:spacing w:before="114"/>
        <w:jc w:val="center"/>
      </w:pPr>
      <w:bookmarkStart w:id="113" w:name="F._授予合同"/>
      <w:bookmarkEnd w:id="113"/>
      <w:bookmarkStart w:id="114" w:name="_Toc13474"/>
      <w:r>
        <w:t>授予合同</w:t>
      </w:r>
      <w:bookmarkEnd w:id="114"/>
    </w:p>
    <w:p>
      <w:pPr>
        <w:pStyle w:val="13"/>
        <w:spacing w:before="7"/>
        <w:rPr>
          <w:b/>
          <w:sz w:val="26"/>
        </w:rPr>
      </w:pPr>
    </w:p>
    <w:p>
      <w:pPr>
        <w:numPr>
          <w:ilvl w:val="0"/>
          <w:numId w:val="3"/>
        </w:numPr>
        <w:tabs>
          <w:tab w:val="left" w:pos="645"/>
        </w:tabs>
        <w:rPr>
          <w:b/>
          <w:sz w:val="24"/>
        </w:rPr>
      </w:pPr>
      <w:bookmarkStart w:id="115" w:name="25_成交供应商的确认"/>
      <w:bookmarkEnd w:id="115"/>
      <w:r>
        <w:rPr>
          <w:b/>
          <w:sz w:val="24"/>
        </w:rPr>
        <w:t>成交供应商的确认</w:t>
      </w:r>
    </w:p>
    <w:p>
      <w:pPr>
        <w:pStyle w:val="27"/>
        <w:numPr>
          <w:ilvl w:val="1"/>
          <w:numId w:val="3"/>
        </w:numPr>
        <w:tabs>
          <w:tab w:val="left" w:pos="1272"/>
        </w:tabs>
        <w:spacing w:before="177" w:line="379" w:lineRule="auto"/>
        <w:ind w:right="310" w:firstLine="480"/>
        <w:rPr>
          <w:rFonts w:ascii="Times New Roman" w:eastAsia="Times New Roman"/>
          <w:sz w:val="24"/>
        </w:rPr>
      </w:pPr>
      <w:bookmarkStart w:id="116" w:name="25.1_磋商小组根据本磋商文件第五部分的规定，对供应商进行审查，对响应文件进行"/>
      <w:bookmarkEnd w:id="116"/>
      <w:r>
        <w:rPr>
          <w:sz w:val="24"/>
        </w:rPr>
        <w:t>磋商小组根据本磋商文件第五部分的规定，对供应商进行审查，对响应文件进行评价和比较，按照磋商文件规定的排序原则推荐成交候选人。</w:t>
      </w:r>
    </w:p>
    <w:p>
      <w:pPr>
        <w:pStyle w:val="27"/>
        <w:numPr>
          <w:ilvl w:val="1"/>
          <w:numId w:val="3"/>
        </w:numPr>
        <w:tabs>
          <w:tab w:val="left" w:pos="1272"/>
        </w:tabs>
        <w:spacing w:line="379" w:lineRule="auto"/>
        <w:ind w:right="310" w:firstLine="480"/>
        <w:rPr>
          <w:rFonts w:ascii="Times New Roman" w:eastAsia="Times New Roman"/>
          <w:sz w:val="24"/>
        </w:rPr>
      </w:pPr>
      <w:bookmarkStart w:id="117" w:name="25.2_磋商小组有权按磋商文件的要求评定并推荐成交候选供应商，也有权拒绝任何或"/>
      <w:bookmarkEnd w:id="117"/>
      <w:r>
        <w:rPr>
          <w:sz w:val="24"/>
        </w:rPr>
        <w:t>磋商小组有权按磋商文件的要求评定并推荐成交候选供应商，也有权拒绝任何或所有不符合磋商文件要求的供应商的响应文件。</w:t>
      </w:r>
    </w:p>
    <w:p>
      <w:pPr>
        <w:pStyle w:val="27"/>
        <w:numPr>
          <w:ilvl w:val="1"/>
          <w:numId w:val="3"/>
        </w:numPr>
        <w:tabs>
          <w:tab w:val="left" w:pos="1272"/>
        </w:tabs>
        <w:spacing w:line="376" w:lineRule="auto"/>
        <w:ind w:right="310" w:firstLine="480"/>
        <w:rPr>
          <w:rFonts w:ascii="Times New Roman" w:eastAsia="Times New Roman"/>
          <w:sz w:val="24"/>
        </w:rPr>
      </w:pPr>
      <w:bookmarkStart w:id="118" w:name="25.3_采购人按照磋商小组推荐的成交候选供应商顺序确定成交供应商，磋商小组推荐"/>
      <w:bookmarkEnd w:id="118"/>
      <w:r>
        <w:rPr>
          <w:sz w:val="24"/>
        </w:rPr>
        <w:t>采购人按照磋商小组推荐的成交候选供应商顺序确定成交供应商，磋商小组推荐成交候选人的人数见供应商须知前附表。</w:t>
      </w:r>
    </w:p>
    <w:p>
      <w:pPr>
        <w:numPr>
          <w:ilvl w:val="0"/>
          <w:numId w:val="3"/>
        </w:numPr>
        <w:tabs>
          <w:tab w:val="left" w:pos="645"/>
        </w:tabs>
        <w:rPr>
          <w:b/>
          <w:sz w:val="24"/>
        </w:rPr>
      </w:pPr>
      <w:bookmarkStart w:id="119" w:name="26_合同授予标准"/>
      <w:bookmarkEnd w:id="119"/>
      <w:r>
        <w:rPr>
          <w:b/>
          <w:sz w:val="24"/>
        </w:rPr>
        <w:t>合同授予标准</w:t>
      </w:r>
    </w:p>
    <w:p>
      <w:pPr>
        <w:pStyle w:val="27"/>
        <w:numPr>
          <w:ilvl w:val="1"/>
          <w:numId w:val="3"/>
        </w:numPr>
        <w:tabs>
          <w:tab w:val="left" w:pos="1272"/>
        </w:tabs>
        <w:spacing w:before="175" w:line="379" w:lineRule="auto"/>
        <w:ind w:right="310" w:firstLine="480"/>
        <w:jc w:val="both"/>
        <w:rPr>
          <w:rFonts w:ascii="Times New Roman" w:eastAsia="Times New Roman"/>
          <w:sz w:val="24"/>
        </w:rPr>
      </w:pPr>
      <w:bookmarkStart w:id="120" w:name="26.1_采购人应当把合同授予磋商小组推荐的第一顺序成交候选人。被授予合同的供应"/>
      <w:bookmarkEnd w:id="120"/>
      <w:r>
        <w:rPr>
          <w:sz w:val="24"/>
        </w:rPr>
        <w:t>采购人应当把合同授予磋商小组推荐的第一顺序成交候选人。被授予合同的供应商必须具有实施本合同的能力和资源。</w:t>
      </w:r>
    </w:p>
    <w:p>
      <w:pPr>
        <w:pStyle w:val="27"/>
        <w:numPr>
          <w:ilvl w:val="1"/>
          <w:numId w:val="3"/>
        </w:numPr>
        <w:tabs>
          <w:tab w:val="left" w:pos="1272"/>
        </w:tabs>
        <w:spacing w:line="376" w:lineRule="auto"/>
        <w:ind w:right="310" w:firstLine="480"/>
        <w:jc w:val="both"/>
        <w:rPr>
          <w:rFonts w:ascii="Times New Roman" w:eastAsia="Times New Roman"/>
          <w:sz w:val="24"/>
        </w:rPr>
      </w:pPr>
      <w:bookmarkStart w:id="121" w:name="26.2_确认成交供应商之前，采购人有权对成交候选人诚信履约的能力进行最后审查。"/>
      <w:bookmarkEnd w:id="121"/>
      <w:r>
        <w:rPr>
          <w:sz w:val="24"/>
        </w:rPr>
        <w:t>确认成交供应商之前，采购人有权对成交候选人诚信履约的能力进行最后审查。审</w:t>
      </w:r>
      <w:r>
        <w:rPr>
          <w:spacing w:val="-8"/>
          <w:sz w:val="24"/>
        </w:rPr>
        <w:t>查方式包括询问、调查、考察、要求成交候选人作出履约承诺或担保等。如果发现成交候选人</w:t>
      </w:r>
      <w:r>
        <w:rPr>
          <w:spacing w:val="-12"/>
          <w:sz w:val="24"/>
        </w:rPr>
        <w:t>提供了虚假材料，在响应文件中有故意隐瞒或虚报的情节，在以往的成交项目中有不诚信履约</w:t>
      </w:r>
      <w:r>
        <w:rPr>
          <w:spacing w:val="-11"/>
          <w:sz w:val="24"/>
        </w:rPr>
        <w:t>的情形，不能按采购人要求作出相应的履约承诺或担保等，采购人有权否决其成交资格，按顺序确定排名随后的供应商作为成交供应商。</w:t>
      </w:r>
    </w:p>
    <w:p>
      <w:pPr>
        <w:keepNext w:val="0"/>
        <w:keepLines w:val="0"/>
        <w:pageBreakBefore w:val="0"/>
        <w:widowControl w:val="0"/>
        <w:numPr>
          <w:ilvl w:val="0"/>
          <w:numId w:val="3"/>
        </w:numPr>
        <w:tabs>
          <w:tab w:val="left" w:pos="645"/>
        </w:tabs>
        <w:kinsoku/>
        <w:wordWrap/>
        <w:overflowPunct/>
        <w:topLinePunct w:val="0"/>
        <w:autoSpaceDE w:val="0"/>
        <w:autoSpaceDN w:val="0"/>
        <w:bidi w:val="0"/>
        <w:adjustRightInd/>
        <w:snapToGrid/>
        <w:spacing w:before="6" w:line="360" w:lineRule="auto"/>
        <w:jc w:val="both"/>
        <w:textAlignment w:val="auto"/>
        <w:rPr>
          <w:b/>
          <w:sz w:val="24"/>
        </w:rPr>
      </w:pPr>
      <w:bookmarkStart w:id="122" w:name="27_成交通知"/>
      <w:bookmarkEnd w:id="122"/>
      <w:r>
        <w:rPr>
          <w:b/>
          <w:sz w:val="24"/>
        </w:rPr>
        <w:t>成交通知</w:t>
      </w:r>
    </w:p>
    <w:p>
      <w:pPr>
        <w:pStyle w:val="27"/>
        <w:keepNext w:val="0"/>
        <w:keepLines w:val="0"/>
        <w:pageBreakBefore w:val="0"/>
        <w:widowControl w:val="0"/>
        <w:numPr>
          <w:ilvl w:val="1"/>
          <w:numId w:val="3"/>
        </w:numPr>
        <w:tabs>
          <w:tab w:val="left" w:pos="1272"/>
        </w:tabs>
        <w:kinsoku/>
        <w:wordWrap/>
        <w:overflowPunct/>
        <w:topLinePunct w:val="0"/>
        <w:autoSpaceDE w:val="0"/>
        <w:autoSpaceDN w:val="0"/>
        <w:bidi w:val="0"/>
        <w:adjustRightInd/>
        <w:snapToGrid/>
        <w:spacing w:line="360" w:lineRule="auto"/>
        <w:ind w:right="310" w:firstLine="480"/>
        <w:jc w:val="both"/>
        <w:textAlignment w:val="auto"/>
        <w:rPr>
          <w:spacing w:val="-12"/>
          <w:sz w:val="24"/>
        </w:rPr>
      </w:pPr>
      <w:bookmarkStart w:id="123" w:name="27.1_确定成交供应商后，采购代理机构在发布成交公告的同时，以书面形式向成交供"/>
      <w:bookmarkEnd w:id="123"/>
      <w:r>
        <w:rPr>
          <w:spacing w:val="-12"/>
          <w:sz w:val="24"/>
        </w:rPr>
        <w:t>确定成交供应商后，采购代理机构在发布成交公告的同时，以书面形式向成交供应商发出成交通知书。成交通知书应当规定签署合同的日期和地点。</w:t>
      </w:r>
      <w:bookmarkStart w:id="124" w:name="27.2_成交通知书是合同的组成部分。"/>
      <w:bookmarkEnd w:id="124"/>
    </w:p>
    <w:p>
      <w:pPr>
        <w:pStyle w:val="27"/>
        <w:numPr>
          <w:ilvl w:val="1"/>
          <w:numId w:val="3"/>
        </w:numPr>
        <w:tabs>
          <w:tab w:val="left" w:pos="1272"/>
        </w:tabs>
        <w:spacing w:line="376" w:lineRule="auto"/>
        <w:ind w:right="310" w:firstLine="480"/>
        <w:jc w:val="both"/>
        <w:rPr>
          <w:spacing w:val="-12"/>
          <w:sz w:val="24"/>
        </w:rPr>
      </w:pPr>
      <w:r>
        <w:rPr>
          <w:spacing w:val="-12"/>
          <w:sz w:val="24"/>
        </w:rPr>
        <w:t>成交通知书是合同的组成部分。</w:t>
      </w:r>
    </w:p>
    <w:p>
      <w:pPr>
        <w:numPr>
          <w:ilvl w:val="0"/>
          <w:numId w:val="3"/>
        </w:numPr>
        <w:tabs>
          <w:tab w:val="left" w:pos="645"/>
        </w:tabs>
        <w:spacing w:before="177"/>
        <w:jc w:val="both"/>
        <w:rPr>
          <w:b/>
          <w:sz w:val="24"/>
        </w:rPr>
      </w:pPr>
      <w:bookmarkStart w:id="125" w:name="28_签订合同"/>
      <w:bookmarkEnd w:id="125"/>
      <w:r>
        <w:rPr>
          <w:b/>
          <w:sz w:val="24"/>
        </w:rPr>
        <w:t>签订合同</w:t>
      </w:r>
    </w:p>
    <w:p>
      <w:pPr>
        <w:pStyle w:val="27"/>
        <w:numPr>
          <w:ilvl w:val="1"/>
          <w:numId w:val="3"/>
        </w:numPr>
        <w:tabs>
          <w:tab w:val="left" w:pos="1272"/>
        </w:tabs>
        <w:spacing w:before="178" w:line="379" w:lineRule="auto"/>
        <w:ind w:right="310" w:firstLine="480"/>
        <w:jc w:val="both"/>
        <w:rPr>
          <w:rFonts w:ascii="Times New Roman" w:eastAsia="Times New Roman"/>
          <w:sz w:val="24"/>
        </w:rPr>
      </w:pPr>
      <w:bookmarkStart w:id="126" w:name="28.1_采购人和成交供应商应当按照成交通知书规定的期限与成交供应商签订合同。成"/>
      <w:bookmarkEnd w:id="126"/>
      <w:r>
        <w:rPr>
          <w:sz w:val="24"/>
        </w:rPr>
        <w:t>采购人和成交供应商应当按照成交通知书规定的期限与成交供应商签订合同。成交</w:t>
      </w:r>
      <w:r>
        <w:rPr>
          <w:spacing w:val="-4"/>
          <w:sz w:val="24"/>
        </w:rPr>
        <w:t xml:space="preserve">通知书规定的期限最长不得超过 </w:t>
      </w:r>
      <w:r>
        <w:rPr>
          <w:rFonts w:hint="eastAsia"/>
          <w:sz w:val="24"/>
          <w:lang w:val="en-US" w:eastAsia="zh-CN"/>
        </w:rPr>
        <w:t>5个工作日</w:t>
      </w:r>
      <w:r>
        <w:rPr>
          <w:spacing w:val="-20"/>
          <w:sz w:val="24"/>
        </w:rPr>
        <w:t>。</w:t>
      </w:r>
    </w:p>
    <w:p>
      <w:pPr>
        <w:pStyle w:val="27"/>
        <w:numPr>
          <w:ilvl w:val="1"/>
          <w:numId w:val="3"/>
        </w:numPr>
        <w:tabs>
          <w:tab w:val="left" w:pos="1272"/>
        </w:tabs>
        <w:spacing w:line="379" w:lineRule="auto"/>
        <w:ind w:right="310" w:firstLine="480"/>
        <w:jc w:val="both"/>
        <w:rPr>
          <w:rFonts w:ascii="Times New Roman" w:eastAsia="Times New Roman"/>
          <w:sz w:val="24"/>
        </w:rPr>
      </w:pPr>
      <w:bookmarkStart w:id="127" w:name="28.2_成交供应商拒签合同，或不能在规定的期限内与采购人签订合同，采购人有权取"/>
      <w:bookmarkEnd w:id="127"/>
      <w:r>
        <w:rPr>
          <w:sz w:val="24"/>
        </w:rPr>
        <w:t>成交供应商拒签合同，或不能在规定的期限内与采购人签订合同，采购人有权取消其成交资格，其磋商保证金不予退还。</w:t>
      </w:r>
    </w:p>
    <w:p>
      <w:pPr>
        <w:pStyle w:val="27"/>
        <w:numPr>
          <w:ilvl w:val="1"/>
          <w:numId w:val="3"/>
        </w:numPr>
        <w:tabs>
          <w:tab w:val="left" w:pos="1272"/>
        </w:tabs>
        <w:spacing w:line="305" w:lineRule="exact"/>
        <w:ind w:left="1271"/>
        <w:jc w:val="both"/>
        <w:rPr>
          <w:rFonts w:ascii="Times New Roman" w:eastAsia="Times New Roman"/>
          <w:sz w:val="24"/>
        </w:rPr>
      </w:pPr>
      <w:bookmarkStart w:id="128" w:name="28.3_成交供应商放弃成交，其磋商保证金不予退还。"/>
      <w:bookmarkEnd w:id="128"/>
      <w:r>
        <w:rPr>
          <w:sz w:val="24"/>
        </w:rPr>
        <w:t>成交供应商放弃成交，其磋商保证金不予退还。</w:t>
      </w:r>
    </w:p>
    <w:p>
      <w:pPr>
        <w:pStyle w:val="27"/>
        <w:numPr>
          <w:ilvl w:val="1"/>
          <w:numId w:val="3"/>
        </w:numPr>
        <w:tabs>
          <w:tab w:val="left" w:pos="1272"/>
        </w:tabs>
        <w:spacing w:before="172" w:line="379" w:lineRule="auto"/>
        <w:ind w:right="310" w:firstLine="480"/>
        <w:jc w:val="both"/>
        <w:rPr>
          <w:rFonts w:ascii="Times New Roman" w:eastAsia="Times New Roman"/>
          <w:sz w:val="24"/>
        </w:rPr>
      </w:pPr>
      <w:bookmarkStart w:id="129" w:name="28.4_成交供应商放弃成交或被取消成交资格后，采购人有权按磋商小组推荐的顺序确"/>
      <w:bookmarkEnd w:id="129"/>
      <w:r>
        <w:rPr>
          <w:sz w:val="24"/>
        </w:rPr>
        <w:t>成交供应商放弃成交或被取消成交资格后，采购人有权按磋商小组推荐的顺序确定</w:t>
      </w:r>
      <w:r>
        <w:rPr>
          <w:spacing w:val="-6"/>
          <w:sz w:val="24"/>
        </w:rPr>
        <w:t>备选成交候选人成交并与之签订合同。所有被确定成交的候选供应商均放弃成交或被取消成交资格，采购人应当重新组织采购。放弃或被取消成交资格的供应商不得参与重新采购。</w:t>
      </w:r>
    </w:p>
    <w:p>
      <w:pPr>
        <w:pStyle w:val="27"/>
        <w:numPr>
          <w:ilvl w:val="1"/>
          <w:numId w:val="3"/>
        </w:numPr>
        <w:tabs>
          <w:tab w:val="left" w:pos="1272"/>
        </w:tabs>
        <w:spacing w:line="379" w:lineRule="auto"/>
        <w:ind w:right="310" w:firstLine="480"/>
        <w:jc w:val="both"/>
        <w:rPr>
          <w:rFonts w:ascii="Times New Roman" w:eastAsia="Times New Roman"/>
          <w:sz w:val="24"/>
        </w:rPr>
      </w:pPr>
      <w:bookmarkStart w:id="130" w:name="28.5_成交供应商拒签合同或放弃成交是违约行为，应当依法赔偿违约行为给采购人造"/>
      <w:bookmarkEnd w:id="130"/>
      <w:r>
        <w:rPr>
          <w:sz w:val="24"/>
        </w:rPr>
        <w:t>成交供应商拒签合同或放弃成交是违约行为，应当依法赔偿违约行为给采购人造成的实际损失。</w:t>
      </w:r>
    </w:p>
    <w:p>
      <w:pPr>
        <w:pStyle w:val="27"/>
        <w:numPr>
          <w:ilvl w:val="1"/>
          <w:numId w:val="3"/>
        </w:numPr>
        <w:tabs>
          <w:tab w:val="left" w:pos="1272"/>
        </w:tabs>
        <w:spacing w:line="379" w:lineRule="auto"/>
        <w:ind w:right="310" w:firstLine="480"/>
        <w:jc w:val="both"/>
        <w:rPr>
          <w:rFonts w:ascii="Times New Roman" w:hAnsi="Times New Roman" w:eastAsia="Times New Roman"/>
          <w:sz w:val="24"/>
        </w:rPr>
      </w:pPr>
      <w:bookmarkStart w:id="131" w:name="28.6_前款所称“违约行为给采购人造成的实际损失”，是指顺延成交供应商的成交价"/>
      <w:bookmarkEnd w:id="131"/>
      <w:r>
        <w:rPr>
          <w:sz w:val="24"/>
        </w:rPr>
        <w:t>前款所称“违约行为给采购人造成的实际损失”，是指顺延成交供应商的成交价格高于违约人成交价格的高出部分。</w:t>
      </w:r>
    </w:p>
    <w:p>
      <w:pPr>
        <w:pStyle w:val="27"/>
        <w:numPr>
          <w:ilvl w:val="1"/>
          <w:numId w:val="3"/>
        </w:numPr>
        <w:tabs>
          <w:tab w:val="left" w:pos="1272"/>
        </w:tabs>
        <w:spacing w:line="305" w:lineRule="exact"/>
        <w:ind w:left="1271"/>
        <w:jc w:val="both"/>
        <w:rPr>
          <w:rFonts w:ascii="Times New Roman" w:eastAsia="Times New Roman"/>
          <w:sz w:val="24"/>
        </w:rPr>
      </w:pPr>
      <w:bookmarkStart w:id="132" w:name="28.7_签订合同及合同条款应以磋商文件和成交供应商的响应文件为依据。"/>
      <w:bookmarkEnd w:id="132"/>
      <w:r>
        <w:rPr>
          <w:sz w:val="24"/>
        </w:rPr>
        <w:t>签订合同及合同条款应以磋商文件和成交供应商的响应文件为依据。</w:t>
      </w:r>
    </w:p>
    <w:p>
      <w:pPr>
        <w:numPr>
          <w:ilvl w:val="0"/>
          <w:numId w:val="3"/>
        </w:numPr>
        <w:tabs>
          <w:tab w:val="left" w:pos="645"/>
        </w:tabs>
        <w:spacing w:before="170"/>
        <w:rPr>
          <w:b/>
          <w:sz w:val="24"/>
        </w:rPr>
      </w:pPr>
      <w:bookmarkStart w:id="133" w:name="29_验收"/>
      <w:bookmarkEnd w:id="133"/>
      <w:r>
        <w:rPr>
          <w:b/>
          <w:sz w:val="24"/>
        </w:rPr>
        <w:t>验收</w:t>
      </w:r>
    </w:p>
    <w:p>
      <w:pPr>
        <w:pStyle w:val="27"/>
        <w:numPr>
          <w:ilvl w:val="1"/>
          <w:numId w:val="3"/>
        </w:numPr>
        <w:tabs>
          <w:tab w:val="left" w:pos="1272"/>
        </w:tabs>
        <w:spacing w:before="177" w:line="379" w:lineRule="auto"/>
        <w:ind w:right="310" w:firstLine="480"/>
        <w:rPr>
          <w:rFonts w:ascii="Times New Roman" w:eastAsia="Times New Roman"/>
          <w:sz w:val="24"/>
        </w:rPr>
      </w:pPr>
      <w:bookmarkStart w:id="134" w:name="29.1_成交供应商与采购人应严格按照磋商文件规定的标准和响应文件承诺的条件进行"/>
      <w:bookmarkEnd w:id="134"/>
      <w:r>
        <w:rPr>
          <w:sz w:val="24"/>
        </w:rPr>
        <w:t>成交供应商与采购人应严格按照磋商文件规定的标准和响应文件承诺的条件进行验收。</w:t>
      </w:r>
    </w:p>
    <w:p>
      <w:pPr>
        <w:pStyle w:val="27"/>
        <w:numPr>
          <w:ilvl w:val="1"/>
          <w:numId w:val="3"/>
        </w:numPr>
        <w:tabs>
          <w:tab w:val="left" w:pos="1272"/>
        </w:tabs>
        <w:spacing w:line="379" w:lineRule="auto"/>
        <w:ind w:right="310" w:firstLine="480"/>
        <w:rPr>
          <w:rFonts w:ascii="Times New Roman" w:eastAsia="Times New Roman"/>
          <w:sz w:val="24"/>
        </w:rPr>
      </w:pPr>
      <w:bookmarkStart w:id="135" w:name="29.2_采购人可以独立邀请第三方参与验收。验收出现争议时，成交供应商可以与采购"/>
      <w:bookmarkEnd w:id="135"/>
      <w:r>
        <w:rPr>
          <w:sz w:val="24"/>
        </w:rPr>
        <w:t>采购人可以独立邀请第三方参与验收。验收出现争议时，成交供应商可以与采购人协商共同邀请第三方参与验收。</w:t>
      </w:r>
    </w:p>
    <w:p>
      <w:pPr>
        <w:numPr>
          <w:ilvl w:val="0"/>
          <w:numId w:val="3"/>
        </w:numPr>
        <w:tabs>
          <w:tab w:val="left" w:pos="645"/>
        </w:tabs>
        <w:spacing w:line="303" w:lineRule="exact"/>
        <w:rPr>
          <w:b/>
          <w:sz w:val="24"/>
        </w:rPr>
      </w:pPr>
      <w:bookmarkStart w:id="136" w:name="30_招标代理服务费"/>
      <w:bookmarkEnd w:id="136"/>
      <w:r>
        <w:rPr>
          <w:b/>
          <w:sz w:val="24"/>
        </w:rPr>
        <w:t>招标代理服务费</w:t>
      </w:r>
      <w:bookmarkStart w:id="137" w:name="30.1_国家计委计价格[2002]1980号文规定的收费标准计算收取招标代理服"/>
      <w:bookmarkEnd w:id="137"/>
    </w:p>
    <w:p>
      <w:pPr>
        <w:tabs>
          <w:tab w:val="left" w:pos="645"/>
        </w:tabs>
        <w:spacing w:line="303" w:lineRule="exact"/>
        <w:ind w:left="644"/>
        <w:rPr>
          <w:b/>
          <w:sz w:val="24"/>
        </w:rPr>
      </w:pPr>
    </w:p>
    <w:p>
      <w:pPr>
        <w:keepNext w:val="0"/>
        <w:keepLines w:val="0"/>
        <w:pageBreakBefore w:val="0"/>
        <w:widowControl w:val="0"/>
        <w:tabs>
          <w:tab w:val="left" w:pos="0"/>
        </w:tabs>
        <w:kinsoku/>
        <w:wordWrap/>
        <w:overflowPunct/>
        <w:topLinePunct w:val="0"/>
        <w:autoSpaceDE w:val="0"/>
        <w:autoSpaceDN w:val="0"/>
        <w:bidi w:val="0"/>
        <w:adjustRightInd/>
        <w:snapToGrid/>
        <w:spacing w:line="360" w:lineRule="auto"/>
        <w:ind w:left="6" w:leftChars="0" w:firstLine="638" w:firstLineChars="266"/>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30.1招标代理服务费以按照（琼价费管[2011]225号）文件以预算金额1732674.00元为基准价，招标代理服务费为人民币：贰万零捌佰陆拾壹元整（￥20861.00元）计取。由成交供应商支付，在发出成交通知书前一次性付清。</w:t>
      </w:r>
    </w:p>
    <w:p>
      <w:pPr>
        <w:keepNext w:val="0"/>
        <w:keepLines w:val="0"/>
        <w:pageBreakBefore w:val="0"/>
        <w:widowControl w:val="0"/>
        <w:tabs>
          <w:tab w:val="left" w:pos="0"/>
        </w:tabs>
        <w:kinsoku/>
        <w:wordWrap/>
        <w:overflowPunct/>
        <w:topLinePunct w:val="0"/>
        <w:autoSpaceDE w:val="0"/>
        <w:autoSpaceDN w:val="0"/>
        <w:bidi w:val="0"/>
        <w:adjustRightInd/>
        <w:snapToGrid/>
        <w:spacing w:line="360" w:lineRule="auto"/>
        <w:ind w:left="6" w:leftChars="0" w:firstLine="638" w:firstLineChars="266"/>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30.2招标代理服务费可由现金支付或转账支付，收款账户信息如下：</w:t>
      </w: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 xml:space="preserve">              账户：海南鑫翔建设项目管理有限公司</w:t>
      </w: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 xml:space="preserve">              账号：461899991010003160650</w:t>
      </w:r>
    </w:p>
    <w:p>
      <w:pPr>
        <w:pStyle w:val="11"/>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sz w:val="24"/>
          <w:szCs w:val="22"/>
          <w:lang w:val="en-US" w:eastAsia="zh-CN" w:bidi="zh-CN"/>
        </w:rPr>
      </w:pPr>
      <w:r>
        <w:rPr>
          <w:rFonts w:hint="eastAsia" w:ascii="宋体" w:hAnsi="宋体" w:eastAsia="宋体" w:cs="宋体"/>
          <w:sz w:val="24"/>
          <w:szCs w:val="22"/>
          <w:lang w:val="en-US" w:eastAsia="zh-CN" w:bidi="zh-CN"/>
        </w:rPr>
        <w:t xml:space="preserve">              开户行：交通银行股份有限公司儋州支行</w:t>
      </w:r>
    </w:p>
    <w:p>
      <w:pPr>
        <w:pStyle w:val="11"/>
        <w:rPr>
          <w:rFonts w:hint="eastAsia"/>
          <w:lang w:val="en-US"/>
        </w:rPr>
      </w:pPr>
    </w:p>
    <w:p>
      <w:pPr>
        <w:pStyle w:val="2"/>
        <w:numPr>
          <w:ilvl w:val="0"/>
          <w:numId w:val="2"/>
        </w:numPr>
        <w:tabs>
          <w:tab w:val="left" w:pos="760"/>
        </w:tabs>
        <w:spacing w:before="0"/>
      </w:pPr>
      <w:bookmarkStart w:id="138" w:name="G._询问、质疑和投诉"/>
      <w:bookmarkEnd w:id="138"/>
      <w:bookmarkStart w:id="139" w:name="_Toc12406"/>
      <w:r>
        <w:t>询问、质疑和投诉</w:t>
      </w:r>
      <w:bookmarkEnd w:id="139"/>
    </w:p>
    <w:p>
      <w:pPr>
        <w:pStyle w:val="13"/>
        <w:spacing w:before="9"/>
        <w:rPr>
          <w:b/>
          <w:sz w:val="26"/>
        </w:rPr>
      </w:pPr>
    </w:p>
    <w:p>
      <w:pPr>
        <w:numPr>
          <w:ilvl w:val="0"/>
          <w:numId w:val="3"/>
        </w:numPr>
        <w:tabs>
          <w:tab w:val="left" w:pos="645"/>
        </w:tabs>
        <w:rPr>
          <w:b/>
          <w:sz w:val="24"/>
        </w:rPr>
      </w:pPr>
      <w:bookmarkStart w:id="140" w:name="31_询问"/>
      <w:bookmarkEnd w:id="140"/>
      <w:r>
        <w:rPr>
          <w:b/>
          <w:sz w:val="24"/>
        </w:rPr>
        <w:t>询问</w:t>
      </w:r>
    </w:p>
    <w:p>
      <w:pPr>
        <w:pStyle w:val="27"/>
        <w:numPr>
          <w:ilvl w:val="1"/>
          <w:numId w:val="3"/>
        </w:numPr>
        <w:tabs>
          <w:tab w:val="left" w:pos="1272"/>
        </w:tabs>
        <w:spacing w:before="175" w:line="379" w:lineRule="auto"/>
        <w:ind w:right="310" w:firstLine="480"/>
        <w:rPr>
          <w:rFonts w:ascii="Times New Roman" w:eastAsia="Times New Roman"/>
          <w:sz w:val="24"/>
        </w:rPr>
      </w:pPr>
      <w:bookmarkStart w:id="141" w:name="31.1_供应商对本采购活动事项有疑问的，应当以书面形式向采购人或采购代理机构提"/>
      <w:bookmarkEnd w:id="141"/>
      <w:r>
        <w:rPr>
          <w:sz w:val="24"/>
        </w:rPr>
        <w:t>供应商对本采购活动事项有疑问的，应当以书面形式向采购人或采购代理机构提出询问。</w:t>
      </w:r>
    </w:p>
    <w:p>
      <w:pPr>
        <w:pStyle w:val="27"/>
        <w:numPr>
          <w:ilvl w:val="1"/>
          <w:numId w:val="3"/>
        </w:numPr>
        <w:tabs>
          <w:tab w:val="left" w:pos="1272"/>
        </w:tabs>
        <w:spacing w:line="305" w:lineRule="exact"/>
        <w:ind w:left="1271"/>
        <w:rPr>
          <w:rFonts w:ascii="Times New Roman" w:eastAsia="Times New Roman"/>
          <w:sz w:val="24"/>
        </w:rPr>
      </w:pPr>
      <w:bookmarkStart w:id="142" w:name="31.2_询问应当用传真、信函、电子邮件等方式提出。"/>
      <w:bookmarkEnd w:id="142"/>
      <w:r>
        <w:rPr>
          <w:sz w:val="24"/>
        </w:rPr>
        <w:t>询问应当用传真、信函、电子邮件等方式提出。</w:t>
      </w:r>
    </w:p>
    <w:p>
      <w:pPr>
        <w:pStyle w:val="27"/>
        <w:numPr>
          <w:ilvl w:val="1"/>
          <w:numId w:val="3"/>
        </w:numPr>
        <w:tabs>
          <w:tab w:val="left" w:pos="1272"/>
        </w:tabs>
        <w:spacing w:before="178"/>
        <w:ind w:left="1271"/>
        <w:rPr>
          <w:rFonts w:ascii="Times New Roman" w:eastAsia="Times New Roman"/>
          <w:sz w:val="24"/>
        </w:rPr>
      </w:pPr>
      <w:bookmarkStart w:id="143" w:name="31.3_对询问的答复，将依据是否是重要的共性问题，决定是否同时告知其他供应商。"/>
      <w:bookmarkEnd w:id="143"/>
      <w:r>
        <w:rPr>
          <w:sz w:val="24"/>
        </w:rPr>
        <w:t>对询问的答复，将依据是否是重要的共性问题，决定是否同时告知其他供应商。</w:t>
      </w:r>
    </w:p>
    <w:p>
      <w:pPr>
        <w:pStyle w:val="11"/>
        <w:ind w:left="0" w:leftChars="0" w:firstLine="0" w:firstLineChars="0"/>
        <w:rPr>
          <w:rFonts w:ascii="Times New Roman" w:eastAsia="Times New Roman"/>
          <w:sz w:val="24"/>
        </w:rPr>
      </w:pPr>
    </w:p>
    <w:p>
      <w:pPr>
        <w:numPr>
          <w:ilvl w:val="0"/>
          <w:numId w:val="3"/>
        </w:numPr>
        <w:tabs>
          <w:tab w:val="left" w:pos="645"/>
        </w:tabs>
        <w:spacing w:before="50"/>
        <w:jc w:val="both"/>
        <w:rPr>
          <w:b/>
          <w:sz w:val="24"/>
        </w:rPr>
      </w:pPr>
      <w:bookmarkStart w:id="144" w:name="32_质疑"/>
      <w:bookmarkEnd w:id="144"/>
      <w:r>
        <w:rPr>
          <w:b/>
          <w:sz w:val="24"/>
        </w:rPr>
        <w:t>质疑</w:t>
      </w:r>
    </w:p>
    <w:p>
      <w:pPr>
        <w:pStyle w:val="27"/>
        <w:numPr>
          <w:ilvl w:val="1"/>
          <w:numId w:val="3"/>
        </w:numPr>
        <w:tabs>
          <w:tab w:val="left" w:pos="1272"/>
        </w:tabs>
        <w:spacing w:before="177" w:line="379" w:lineRule="auto"/>
        <w:ind w:right="308" w:firstLine="480"/>
        <w:jc w:val="both"/>
        <w:rPr>
          <w:rFonts w:ascii="Times New Roman" w:eastAsia="Times New Roman"/>
          <w:sz w:val="24"/>
        </w:rPr>
      </w:pPr>
      <w:bookmarkStart w:id="145" w:name="32.1_供应商认为采购文件、采购过程和成交结果使自己的权益受到损害的，可以在知"/>
      <w:bookmarkEnd w:id="145"/>
      <w:r>
        <w:rPr>
          <w:sz w:val="24"/>
        </w:rPr>
        <w:t>供应商认为采购文件、采购过程和成交结果使自己的权益受到损害的，可以在知道或者应知其权益受到损害之日起七个工作日内，以书面形式向本代理机构或向采购人提出质疑。</w:t>
      </w:r>
    </w:p>
    <w:p>
      <w:pPr>
        <w:pStyle w:val="27"/>
        <w:numPr>
          <w:ilvl w:val="1"/>
          <w:numId w:val="3"/>
        </w:numPr>
        <w:tabs>
          <w:tab w:val="left" w:pos="1272"/>
        </w:tabs>
        <w:spacing w:line="379" w:lineRule="auto"/>
        <w:ind w:right="310" w:firstLine="480"/>
        <w:jc w:val="both"/>
        <w:rPr>
          <w:rFonts w:ascii="Times New Roman" w:eastAsia="Times New Roman"/>
          <w:sz w:val="24"/>
        </w:rPr>
      </w:pPr>
      <w:bookmarkStart w:id="146" w:name="32.2_质疑必须以书面形式提出。质疑函应当包括但不限于下列内容：供应商的名称、"/>
      <w:bookmarkEnd w:id="146"/>
      <w:r>
        <w:rPr>
          <w:sz w:val="24"/>
        </w:rPr>
        <w:t>质疑必须以书面形式提出。质疑函应当包括但不限于下列内容：供应商的名称、地</w:t>
      </w:r>
      <w:r>
        <w:rPr>
          <w:spacing w:val="-11"/>
          <w:sz w:val="24"/>
        </w:rPr>
        <w:t>址、邮编、联系人及联系电话；质疑项目的名称、编号；质疑事项；事实依据和证明材料；法</w:t>
      </w:r>
      <w:r>
        <w:rPr>
          <w:spacing w:val="-12"/>
          <w:sz w:val="24"/>
        </w:rPr>
        <w:t>律依据；提出质疑的日期。质疑函必须由提出质疑的供应商的法定代表人亲笔签署，并加盖企业法人公章。</w:t>
      </w:r>
    </w:p>
    <w:p>
      <w:pPr>
        <w:pStyle w:val="27"/>
        <w:numPr>
          <w:ilvl w:val="1"/>
          <w:numId w:val="3"/>
        </w:numPr>
        <w:tabs>
          <w:tab w:val="left" w:pos="1272"/>
        </w:tabs>
        <w:spacing w:line="379" w:lineRule="auto"/>
        <w:ind w:right="310" w:firstLine="480"/>
        <w:jc w:val="both"/>
        <w:rPr>
          <w:rFonts w:ascii="Times New Roman" w:eastAsia="Times New Roman"/>
          <w:sz w:val="24"/>
        </w:rPr>
      </w:pPr>
      <w:bookmarkStart w:id="147" w:name="32.3_质疑应当用传真、信函或电子邮件送达。信函的邮发地必须是供应商的注册地；"/>
      <w:bookmarkEnd w:id="147"/>
      <w:r>
        <w:rPr>
          <w:sz w:val="24"/>
        </w:rPr>
        <w:t>质疑应当用传真、信函或电子邮件送达。信函的邮发地必须是供应商的注册地；发出传真的号码和发出邮件的邮箱必须是供应商以网站或其他形式公布的号码及邮箱。</w:t>
      </w:r>
    </w:p>
    <w:p>
      <w:pPr>
        <w:pStyle w:val="27"/>
        <w:numPr>
          <w:ilvl w:val="1"/>
          <w:numId w:val="3"/>
        </w:numPr>
        <w:tabs>
          <w:tab w:val="left" w:pos="1272"/>
        </w:tabs>
        <w:spacing w:line="305" w:lineRule="exact"/>
        <w:ind w:left="1271"/>
        <w:jc w:val="both"/>
        <w:rPr>
          <w:rFonts w:ascii="Times New Roman" w:eastAsia="Times New Roman"/>
          <w:sz w:val="24"/>
        </w:rPr>
      </w:pPr>
      <w:bookmarkStart w:id="148" w:name="32.4_不符合本章第32.1、32.2和32.3款规定的质疑是无效质疑，不予受"/>
      <w:bookmarkEnd w:id="148"/>
      <w:r>
        <w:rPr>
          <w:spacing w:val="-9"/>
          <w:sz w:val="24"/>
        </w:rPr>
        <w:t xml:space="preserve">不符合本章第 </w:t>
      </w:r>
      <w:r>
        <w:rPr>
          <w:sz w:val="24"/>
        </w:rPr>
        <w:t>32.1、32.2</w:t>
      </w:r>
      <w:r>
        <w:rPr>
          <w:spacing w:val="-40"/>
          <w:sz w:val="24"/>
        </w:rPr>
        <w:t xml:space="preserve"> 和 </w:t>
      </w:r>
      <w:r>
        <w:rPr>
          <w:sz w:val="24"/>
        </w:rPr>
        <w:t>32.3</w:t>
      </w:r>
      <w:r>
        <w:rPr>
          <w:spacing w:val="-8"/>
          <w:sz w:val="24"/>
        </w:rPr>
        <w:t xml:space="preserve"> 款规定的质疑是无效质疑，不予受理。</w:t>
      </w:r>
    </w:p>
    <w:p>
      <w:pPr>
        <w:pStyle w:val="27"/>
        <w:numPr>
          <w:ilvl w:val="1"/>
          <w:numId w:val="3"/>
        </w:numPr>
        <w:tabs>
          <w:tab w:val="left" w:pos="1272"/>
        </w:tabs>
        <w:spacing w:before="168" w:line="376" w:lineRule="auto"/>
        <w:ind w:right="310" w:firstLine="480"/>
        <w:jc w:val="both"/>
        <w:rPr>
          <w:rFonts w:ascii="Times New Roman" w:eastAsia="Times New Roman"/>
          <w:sz w:val="24"/>
        </w:rPr>
      </w:pPr>
      <w:bookmarkStart w:id="149" w:name="32.5_对于供应商的有效质疑，我们将按照未按照《中华人民共和国政府采购法》、《"/>
      <w:bookmarkEnd w:id="149"/>
      <w:r>
        <w:rPr>
          <w:sz w:val="24"/>
        </w:rPr>
        <w:t>对于供应商的有效质疑，我们将按照未按照《中华人民共和国政府采购法》、《政</w:t>
      </w:r>
      <w:r>
        <w:rPr>
          <w:spacing w:val="-6"/>
          <w:sz w:val="24"/>
        </w:rPr>
        <w:t>府采购货物和服务招标投标管理办法》、《中华人民共和国政府采购法实施条例》的规定及时予以答复。</w:t>
      </w:r>
    </w:p>
    <w:p>
      <w:pPr>
        <w:pStyle w:val="27"/>
        <w:numPr>
          <w:ilvl w:val="1"/>
          <w:numId w:val="3"/>
        </w:numPr>
        <w:tabs>
          <w:tab w:val="left" w:pos="1272"/>
        </w:tabs>
        <w:spacing w:before="4" w:line="379" w:lineRule="auto"/>
        <w:ind w:right="310" w:firstLine="480"/>
        <w:jc w:val="both"/>
        <w:rPr>
          <w:rFonts w:ascii="Times New Roman" w:eastAsia="Times New Roman"/>
          <w:sz w:val="24"/>
        </w:rPr>
      </w:pPr>
      <w:bookmarkStart w:id="150" w:name="32.6_供应商应当慎重使用质疑的权利。属于对政府采购活动事项产生一般疑问的，应"/>
      <w:bookmarkEnd w:id="150"/>
      <w:r>
        <w:rPr>
          <w:sz w:val="24"/>
        </w:rPr>
        <w:t>供应商应当慎重使用质疑的权利。属于对政府采购活动事项产生一般疑问的，应当</w:t>
      </w:r>
      <w:r>
        <w:rPr>
          <w:spacing w:val="-7"/>
          <w:sz w:val="24"/>
        </w:rPr>
        <w:t xml:space="preserve">根据政府采购法第 </w:t>
      </w:r>
      <w:r>
        <w:rPr>
          <w:sz w:val="24"/>
        </w:rPr>
        <w:t>52</w:t>
      </w:r>
      <w:r>
        <w:rPr>
          <w:spacing w:val="-8"/>
          <w:sz w:val="24"/>
        </w:rPr>
        <w:t xml:space="preserve"> 条的规定提出询问，本代理机构有义务及时作出答复。</w:t>
      </w:r>
    </w:p>
    <w:p>
      <w:pPr>
        <w:numPr>
          <w:ilvl w:val="0"/>
          <w:numId w:val="3"/>
        </w:numPr>
        <w:tabs>
          <w:tab w:val="left" w:pos="645"/>
        </w:tabs>
        <w:spacing w:line="305" w:lineRule="exact"/>
        <w:jc w:val="both"/>
        <w:rPr>
          <w:b/>
          <w:sz w:val="24"/>
        </w:rPr>
      </w:pPr>
      <w:bookmarkStart w:id="151" w:name="33_投诉"/>
      <w:bookmarkEnd w:id="151"/>
      <w:r>
        <w:rPr>
          <w:b/>
          <w:sz w:val="24"/>
        </w:rPr>
        <w:t>投诉</w:t>
      </w:r>
    </w:p>
    <w:p>
      <w:pPr>
        <w:pStyle w:val="27"/>
        <w:numPr>
          <w:ilvl w:val="1"/>
          <w:numId w:val="3"/>
        </w:numPr>
        <w:tabs>
          <w:tab w:val="left" w:pos="1272"/>
        </w:tabs>
        <w:spacing w:before="177" w:line="379" w:lineRule="auto"/>
        <w:ind w:right="310" w:firstLine="480"/>
        <w:jc w:val="both"/>
        <w:rPr>
          <w:rFonts w:ascii="Times New Roman" w:eastAsia="Times New Roman"/>
          <w:sz w:val="24"/>
        </w:rPr>
      </w:pPr>
      <w:bookmarkStart w:id="152" w:name="33.1_供应商对质疑事项的答复不满意，或者没有在法定期限内得到答复的，可以依法"/>
      <w:bookmarkEnd w:id="152"/>
      <w:r>
        <w:rPr>
          <w:sz w:val="24"/>
        </w:rPr>
        <w:t>供应商对质疑事项的答复不满意，或者没有在法定期限内得到答复的，可以依法向政府采购监管部门进行投诉。</w:t>
      </w:r>
    </w:p>
    <w:p>
      <w:pPr>
        <w:pStyle w:val="27"/>
        <w:numPr>
          <w:ilvl w:val="1"/>
          <w:numId w:val="3"/>
        </w:numPr>
        <w:tabs>
          <w:tab w:val="left" w:pos="1272"/>
        </w:tabs>
        <w:spacing w:line="376" w:lineRule="auto"/>
        <w:ind w:right="310" w:firstLine="480"/>
        <w:jc w:val="both"/>
        <w:rPr>
          <w:rFonts w:ascii="Times New Roman" w:eastAsia="Times New Roman"/>
          <w:sz w:val="24"/>
        </w:rPr>
      </w:pPr>
      <w:bookmarkStart w:id="153" w:name="33.2_供应商的投诉，应当符合《中华人共和国政府采购法》、《政府采购供应商投诉"/>
      <w:bookmarkEnd w:id="153"/>
      <w:r>
        <w:rPr>
          <w:sz w:val="24"/>
        </w:rPr>
        <w:t>供应商的投诉，应当符合《中华人共和国政府采购法》、《政府采购供应商投诉处理办法》、《财政部关于加强政府采购供应商投诉受理审查工作的通知》的相关规定。</w:t>
      </w:r>
    </w:p>
    <w:p>
      <w:pPr>
        <w:pStyle w:val="2"/>
        <w:keepNext w:val="0"/>
        <w:keepLines w:val="0"/>
        <w:pageBreakBefore w:val="0"/>
        <w:widowControl w:val="0"/>
        <w:numPr>
          <w:ilvl w:val="0"/>
          <w:numId w:val="2"/>
        </w:numPr>
        <w:tabs>
          <w:tab w:val="left" w:pos="760"/>
        </w:tabs>
        <w:kinsoku/>
        <w:wordWrap/>
        <w:overflowPunct/>
        <w:topLinePunct w:val="0"/>
        <w:autoSpaceDE w:val="0"/>
        <w:autoSpaceDN w:val="0"/>
        <w:bidi w:val="0"/>
        <w:adjustRightInd/>
        <w:snapToGrid/>
        <w:spacing w:before="0" w:line="400" w:lineRule="exact"/>
        <w:ind w:left="760" w:hanging="539"/>
        <w:textAlignment w:val="auto"/>
      </w:pPr>
      <w:bookmarkStart w:id="154" w:name="H._纪律和监督"/>
      <w:bookmarkEnd w:id="154"/>
      <w:bookmarkStart w:id="155" w:name="_Toc31382"/>
      <w:r>
        <w:t>纪律和监督</w:t>
      </w:r>
      <w:bookmarkEnd w:id="155"/>
    </w:p>
    <w:p>
      <w:pPr>
        <w:numPr>
          <w:ilvl w:val="0"/>
          <w:numId w:val="3"/>
        </w:numPr>
        <w:tabs>
          <w:tab w:val="left" w:pos="645"/>
        </w:tabs>
        <w:spacing w:before="67"/>
        <w:rPr>
          <w:b/>
          <w:sz w:val="24"/>
        </w:rPr>
      </w:pPr>
      <w:bookmarkStart w:id="156" w:name="34_对采购人的纪律要求"/>
      <w:bookmarkEnd w:id="156"/>
      <w:r>
        <w:rPr>
          <w:b/>
          <w:sz w:val="24"/>
        </w:rPr>
        <w:t>对采购人的纪律要求</w:t>
      </w:r>
    </w:p>
    <w:p>
      <w:pPr>
        <w:pStyle w:val="13"/>
        <w:spacing w:before="177" w:line="379" w:lineRule="auto"/>
        <w:ind w:left="220" w:right="313" w:firstLine="480"/>
      </w:pPr>
      <w:bookmarkStart w:id="157" w:name="采购人不得泄漏磋商采购活动中应当保密的情况和资料，不得与供应商串通损害国家利益、"/>
      <w:bookmarkEnd w:id="157"/>
      <w:r>
        <w:t>采购人不得泄漏磋商采购活动中应当保密的情况和资料，不得与供应商串通损害国家利益、社会公共利益或他人的合法权益。</w:t>
      </w:r>
    </w:p>
    <w:p>
      <w:pPr>
        <w:numPr>
          <w:ilvl w:val="0"/>
          <w:numId w:val="3"/>
        </w:numPr>
        <w:tabs>
          <w:tab w:val="left" w:pos="645"/>
        </w:tabs>
        <w:spacing w:line="305" w:lineRule="exact"/>
        <w:rPr>
          <w:b/>
          <w:sz w:val="24"/>
        </w:rPr>
      </w:pPr>
      <w:bookmarkStart w:id="158" w:name="35_对供应商的纪律要求"/>
      <w:bookmarkEnd w:id="158"/>
      <w:r>
        <w:rPr>
          <w:b/>
          <w:sz w:val="24"/>
        </w:rPr>
        <w:t>对供应商的纪律要求</w:t>
      </w:r>
    </w:p>
    <w:p>
      <w:pPr>
        <w:pStyle w:val="13"/>
        <w:spacing w:before="178" w:line="376" w:lineRule="auto"/>
        <w:ind w:left="220" w:right="200" w:firstLine="480"/>
      </w:pPr>
      <w:bookmarkStart w:id="159" w:name="不得提供虚假材料谋取成交；不得采取不正当手段诋毁、排挤其他供应商；不得与采购人、"/>
      <w:bookmarkEnd w:id="159"/>
      <w:r>
        <w:rPr>
          <w:spacing w:val="-12"/>
        </w:rPr>
        <w:t>不得提供虚假材料谋取成交；不得采取不正当手段诋毁、排挤其他供应商；不得与采购人、</w:t>
      </w:r>
      <w:r>
        <w:rPr>
          <w:spacing w:val="-8"/>
        </w:rPr>
        <w:t>采购代理机构、其他供应商恶意串通；不得向采购人、采购代理机构、磋商小组成员行贿或者提供其他不正当利益；不得拒不遵守磋商纪律，故意扰乱磋商会场秩序或其他无理取闹行为；</w:t>
      </w:r>
    </w:p>
    <w:p>
      <w:pPr>
        <w:pStyle w:val="13"/>
        <w:spacing w:before="50" w:line="379" w:lineRule="auto"/>
        <w:ind w:left="220" w:right="319"/>
        <w:jc w:val="both"/>
      </w:pPr>
      <w:r>
        <w:rPr>
          <w:spacing w:val="-7"/>
        </w:rPr>
        <w:t>不得在采购过程中与采购人、采购代理机构进行协商谈判；不得拒绝有关部门的监督检查或者向监督检查部门提供虚假情况。有上述情形之一的供应商，属于不合格供应商，其成交资格将</w:t>
      </w:r>
      <w:r>
        <w:t>被取消。</w:t>
      </w:r>
    </w:p>
    <w:p>
      <w:pPr>
        <w:numPr>
          <w:ilvl w:val="0"/>
          <w:numId w:val="3"/>
        </w:numPr>
        <w:tabs>
          <w:tab w:val="left" w:pos="645"/>
        </w:tabs>
        <w:spacing w:line="304" w:lineRule="exact"/>
        <w:jc w:val="both"/>
        <w:rPr>
          <w:b/>
          <w:sz w:val="24"/>
        </w:rPr>
      </w:pPr>
      <w:bookmarkStart w:id="160" w:name="36_对磋商小组成员的纪律要求"/>
      <w:bookmarkEnd w:id="160"/>
      <w:r>
        <w:rPr>
          <w:b/>
          <w:sz w:val="24"/>
        </w:rPr>
        <w:t>对磋商小组成员的纪律要求</w:t>
      </w:r>
    </w:p>
    <w:p>
      <w:pPr>
        <w:pStyle w:val="13"/>
        <w:spacing w:before="175" w:line="379" w:lineRule="auto"/>
        <w:ind w:left="220" w:right="319" w:firstLine="480"/>
        <w:jc w:val="both"/>
      </w:pPr>
      <w:bookmarkStart w:id="161" w:name="磋商小组成员不得收受他人的财物或者其他好处，不得向他人透漏对响应文件的评审和比较"/>
      <w:bookmarkEnd w:id="161"/>
      <w:r>
        <w:rPr>
          <w:spacing w:val="-6"/>
        </w:rPr>
        <w:t>磋商小组成员不得收受他人的财物或者其他好处，不得向他人透漏对响应文件的评审和比</w:t>
      </w:r>
      <w:r>
        <w:rPr>
          <w:spacing w:val="-10"/>
        </w:rPr>
        <w:t>较、成交候选人的推荐情况以及磋商有关的其他情况。在磋商活动中，磋商小组成员不得擅离</w:t>
      </w:r>
      <w:r>
        <w:rPr>
          <w:spacing w:val="-11"/>
        </w:rPr>
        <w:t>职守，影响磋商程序正常进行，不得使用本磋商文件第五部分规定之外的评审因素和标准进行</w:t>
      </w:r>
      <w:r>
        <w:t>评标。</w:t>
      </w:r>
    </w:p>
    <w:p>
      <w:pPr>
        <w:numPr>
          <w:ilvl w:val="0"/>
          <w:numId w:val="3"/>
        </w:numPr>
        <w:tabs>
          <w:tab w:val="left" w:pos="645"/>
        </w:tabs>
        <w:spacing w:line="303" w:lineRule="exact"/>
        <w:jc w:val="both"/>
        <w:rPr>
          <w:b/>
          <w:sz w:val="24"/>
        </w:rPr>
      </w:pPr>
      <w:bookmarkStart w:id="162" w:name="37_对与磋商活动有关的工作人员的纪律要求"/>
      <w:bookmarkEnd w:id="162"/>
      <w:r>
        <w:rPr>
          <w:b/>
          <w:sz w:val="24"/>
        </w:rPr>
        <w:t>对与磋商活动有关的工作人员的纪律要求</w:t>
      </w:r>
    </w:p>
    <w:p>
      <w:pPr>
        <w:pStyle w:val="13"/>
        <w:spacing w:before="177" w:line="379" w:lineRule="auto"/>
        <w:ind w:left="220" w:right="319" w:firstLine="480"/>
        <w:jc w:val="both"/>
      </w:pPr>
      <w:bookmarkStart w:id="163" w:name="与磋商活动有关的工作人员不得收受他人的财物或者其他好处，不得向他人透漏对响应文件"/>
      <w:bookmarkEnd w:id="163"/>
      <w:r>
        <w:rPr>
          <w:spacing w:val="-5"/>
        </w:rPr>
        <w:t>与磋商活动有关的工作人员不得收受他人的财物或者其他好处，不得向他人透漏对响应文</w:t>
      </w:r>
      <w:r>
        <w:rPr>
          <w:spacing w:val="-7"/>
        </w:rPr>
        <w:t>件的评审和比较、成交候选人的推荐情况以及磋商有关的其他情况。在磋商活动中，与磋商活</w:t>
      </w:r>
      <w:r>
        <w:t>动有关的工作人员不得擅离职守，影响磋商程序正常进行。</w:t>
      </w:r>
    </w:p>
    <w:p>
      <w:bookmarkStart w:id="164" w:name="38__需要补充的其他内容"/>
      <w:bookmarkEnd w:id="164"/>
    </w:p>
    <w:p>
      <w:pPr>
        <w:pStyle w:val="11"/>
      </w:pPr>
    </w:p>
    <w:p>
      <w:pPr>
        <w:pStyle w:val="3"/>
        <w:tabs>
          <w:tab w:val="left" w:pos="2210"/>
        </w:tabs>
        <w:spacing w:before="26" w:line="360" w:lineRule="auto"/>
        <w:ind w:right="100"/>
      </w:pPr>
      <w:bookmarkStart w:id="165" w:name="第三部分__采购需求"/>
      <w:bookmarkEnd w:id="165"/>
      <w:bookmarkStart w:id="166" w:name="_Toc12345"/>
    </w:p>
    <w:p>
      <w:pPr>
        <w:pStyle w:val="3"/>
        <w:tabs>
          <w:tab w:val="left" w:pos="2210"/>
        </w:tabs>
        <w:spacing w:before="26" w:line="360" w:lineRule="auto"/>
        <w:ind w:right="100"/>
      </w:pPr>
    </w:p>
    <w:p>
      <w:pPr>
        <w:pStyle w:val="3"/>
        <w:tabs>
          <w:tab w:val="left" w:pos="2210"/>
        </w:tabs>
        <w:spacing w:before="26" w:line="360" w:lineRule="auto"/>
        <w:ind w:right="100"/>
      </w:pPr>
    </w:p>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
      <w:pPr>
        <w:pStyle w:val="11"/>
      </w:pPr>
    </w:p>
    <w:p>
      <w:pPr>
        <w:pStyle w:val="3"/>
        <w:tabs>
          <w:tab w:val="left" w:pos="2210"/>
        </w:tabs>
        <w:spacing w:before="26" w:line="360" w:lineRule="auto"/>
        <w:ind w:right="100"/>
      </w:pPr>
    </w:p>
    <w:p>
      <w:pPr>
        <w:pStyle w:val="11"/>
        <w:ind w:left="0" w:leftChars="0" w:firstLine="0" w:firstLineChars="0"/>
      </w:pPr>
    </w:p>
    <w:p>
      <w:pPr>
        <w:pStyle w:val="3"/>
        <w:numPr>
          <w:ilvl w:val="0"/>
          <w:numId w:val="4"/>
        </w:numPr>
        <w:tabs>
          <w:tab w:val="left" w:pos="2210"/>
        </w:tabs>
        <w:spacing w:before="26" w:line="360" w:lineRule="auto"/>
        <w:ind w:right="100"/>
      </w:pPr>
      <w:r>
        <w:t>采购需求</w:t>
      </w:r>
      <w:bookmarkEnd w:id="166"/>
    </w:p>
    <w:p>
      <w:pPr>
        <w:widowControl/>
        <w:numPr>
          <w:ilvl w:val="0"/>
          <w:numId w:val="5"/>
        </w:numPr>
        <w:shd w:val="solid" w:color="FFFFFF" w:fill="auto"/>
        <w:autoSpaceDN w:val="0"/>
        <w:spacing w:line="560" w:lineRule="exact"/>
        <w:ind w:firstLine="480" w:firstLineChars="200"/>
        <w:jc w:val="left"/>
        <w:rPr>
          <w:rFonts w:asciiTheme="minorEastAsia" w:hAnsiTheme="minorEastAsia" w:eastAsiaTheme="minorEastAsia" w:cstheme="minorEastAsia"/>
          <w:sz w:val="32"/>
          <w:szCs w:val="32"/>
        </w:rPr>
      </w:pPr>
      <w:r>
        <w:rPr>
          <w:rFonts w:hint="eastAsia"/>
          <w:sz w:val="24"/>
          <w:szCs w:val="24"/>
        </w:rPr>
        <w:t xml:space="preserve">   </w:t>
      </w:r>
      <w:bookmarkStart w:id="167" w:name="_Toc69"/>
      <w:r>
        <w:rPr>
          <w:rFonts w:hint="eastAsia" w:asciiTheme="minorEastAsia" w:hAnsiTheme="minorEastAsia" w:eastAsiaTheme="minorEastAsia" w:cstheme="minorEastAsia"/>
          <w:b/>
          <w:sz w:val="32"/>
          <w:szCs w:val="32"/>
          <w:shd w:val="clear" w:color="auto" w:fill="FFFFFF"/>
        </w:rPr>
        <w:t>项目概况</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项目名称：儋州市人民检察院物业管理服务项目。</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服务区域：包括我院综合大楼、干警周转房、白马井检察室、雅星检察室和木棠检察室，物业管理面积合计32970㎡。其中：综合大楼、干警周转房物业管理面积20854㎡，白马井检察室物业管理面积4791㎡，雅星检察室物业管理面积3652㎡，木棠检察室物业管理面积3673㎡。</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项目采购预算：1732674元，其中物业管理费预算1228374元，食堂504300元。</w:t>
      </w:r>
    </w:p>
    <w:p>
      <w:pPr>
        <w:numPr>
          <w:ilvl w:val="0"/>
          <w:numId w:val="6"/>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项目服务期限：合同签订生效之日起一年。</w:t>
      </w:r>
    </w:p>
    <w:p>
      <w:pPr>
        <w:widowControl/>
        <w:numPr>
          <w:ilvl w:val="0"/>
          <w:numId w:val="5"/>
        </w:numPr>
        <w:shd w:val="solid" w:color="FFFFFF" w:fill="auto"/>
        <w:autoSpaceDN w:val="0"/>
        <w:spacing w:line="560" w:lineRule="exact"/>
        <w:ind w:firstLine="643" w:firstLineChars="200"/>
        <w:jc w:val="left"/>
        <w:rPr>
          <w:rFonts w:asciiTheme="minorEastAsia" w:hAnsiTheme="minorEastAsia" w:eastAsiaTheme="minorEastAsia" w:cstheme="minorEastAsia"/>
          <w:b/>
          <w:sz w:val="32"/>
          <w:szCs w:val="32"/>
          <w:shd w:val="clear" w:color="auto" w:fill="FFFFFF"/>
        </w:rPr>
      </w:pPr>
      <w:r>
        <w:rPr>
          <w:rFonts w:hint="eastAsia" w:asciiTheme="minorEastAsia" w:hAnsiTheme="minorEastAsia" w:eastAsiaTheme="minorEastAsia" w:cstheme="minorEastAsia"/>
          <w:b/>
          <w:sz w:val="32"/>
          <w:szCs w:val="32"/>
          <w:shd w:val="clear" w:color="auto" w:fill="FFFFFF"/>
        </w:rPr>
        <w:t>物业管理服务的内容</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（一）安保管理服务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1.负责日常门岗值班值勤，包括综合大楼、12309检察服务大厅、三个乡镇检察室的主要出入通道人员和车辆进出管理。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2.维护交通秩序，合理指挥车辆停放，维护公共区域的正常工作秩序。</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3.24小时不间断地开展安全监控，定时区域巡查工作。</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（二）保洁管理服务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1.负责服务区域内所有办公场所、公共场所的清洁卫生工作，包括综合大楼、干警周转房、三个乡镇检察室楼宇内外、院落以及一楼办案区、会议室、法警训练室等公共场所。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2.按照市里“一创两建”等工作要求对各类垃圾进行分类，及时做好垃圾的收集、清运。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3.按要求结合我院实际情况定期开展灭鼠、灭蚊、灭蚁及灭蟑螂等除四害工作及疫情防控工作。</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（三）绿化养护服务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1.做好服务区域内的绿化养护，包括草地、花卉、绿篱等绿化的养护工作，定期进行修剪，保持平整美观。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2.做好服务区域内所有树木（含果树）的养护，每个季度对所有树木修剪一次，台风天气及时修剪，防止损毁和枯死。</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（四）食堂管理服务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1.负责干警食堂的管理运营，提供工作日早餐、中餐、晚餐（待议）及公务接待用餐等相关供餐服务，保障食品安全。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2.负责食堂物品、餐具等各种设备的保管保养和卫生清洁工作。</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（五）会务服务及其他</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1.安排专人负责各个会议室的清洁工作，管理好各类茶具，并做好倒茶、倒水等会务服务工作。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2.报刊整理及发放。</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（六）院领导办公室服务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负责每日对院领导办公室进行卫生清洁和绿植养护，检查各类设施使用及水、电状况，发现问题及时上报。</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（七）水电、消防等公用设施设备的维护管理服务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1.负责服务区域内日常的水电维修和设施、设备维护管理工作。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2.定期检查水电、消防等公用设施设备运行情况，发现问题及时上报。</w:t>
      </w:r>
    </w:p>
    <w:p>
      <w:pPr>
        <w:widowControl/>
        <w:numPr>
          <w:ilvl w:val="0"/>
          <w:numId w:val="5"/>
        </w:numPr>
        <w:shd w:val="solid" w:color="FFFFFF" w:fill="auto"/>
        <w:autoSpaceDN w:val="0"/>
        <w:spacing w:line="560" w:lineRule="exact"/>
        <w:ind w:firstLine="643" w:firstLineChars="200"/>
        <w:jc w:val="left"/>
        <w:rPr>
          <w:rFonts w:asciiTheme="minorEastAsia" w:hAnsiTheme="minorEastAsia" w:eastAsiaTheme="minorEastAsia" w:cstheme="minorEastAsia"/>
          <w:b/>
          <w:sz w:val="32"/>
          <w:szCs w:val="32"/>
          <w:shd w:val="clear" w:color="auto" w:fill="FFFFFF"/>
        </w:rPr>
      </w:pPr>
      <w:r>
        <w:rPr>
          <w:rFonts w:hint="eastAsia" w:asciiTheme="minorEastAsia" w:hAnsiTheme="minorEastAsia" w:eastAsiaTheme="minorEastAsia" w:cstheme="minorEastAsia"/>
          <w:b/>
          <w:sz w:val="32"/>
          <w:szCs w:val="32"/>
          <w:shd w:val="clear" w:color="auto" w:fill="FFFFFF"/>
        </w:rPr>
        <w:t>物业管理服务要求</w:t>
      </w:r>
    </w:p>
    <w:p>
      <w:pPr>
        <w:pStyle w:val="11"/>
        <w:tabs>
          <w:tab w:val="left" w:pos="0"/>
        </w:tabs>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（一）基本要求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1.有完善的项目管理方案、工作计划和各类工作处置预案（特别是疫情、灾情防控处置工作应急预案或工作方案）。</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2.有科学合理的质量管理体系和管理制度。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3.具备物业管理经验和能力，有党政企事业单位提供服务经验，业绩情况良好，能积极配合和协助管理。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4.有本企业的形象识别标识，有完善的服务理念和行为规范(如专业统一着装、佩戴标志、语言规范、文明服务等)。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.物业管理企业应当运用信息化技术开展物业管理工作。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.如涉及专业岗位，该员工应当持有专业证书。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.有完善的人事、工资档案，如劳动合同、工资发放表、社保缴纳证明等。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.定期征求我院对物业服务的意见，接受监督检查，对指出的问题或建议及时制定整改方案，并严格整改。</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（二）具体要求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1.安保管理服务标准及要求</w:t>
      </w:r>
    </w:p>
    <w:tbl>
      <w:tblPr>
        <w:tblStyle w:val="22"/>
        <w:tblW w:w="861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13"/>
        <w:gridCol w:w="3203"/>
        <w:gridCol w:w="45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trPr>
        <w:tc>
          <w:tcPr>
            <w:tcW w:w="813"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203"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服务特性</w:t>
            </w:r>
          </w:p>
        </w:tc>
        <w:tc>
          <w:tcPr>
            <w:tcW w:w="4594"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服务标准及要求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5" w:hRule="atLeast"/>
          <w:jc w:val="center"/>
        </w:trPr>
        <w:tc>
          <w:tcPr>
            <w:tcW w:w="81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20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人员要求</w:t>
            </w:r>
          </w:p>
        </w:tc>
        <w:tc>
          <w:tcPr>
            <w:tcW w:w="4594"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有一支合格的秩序维护队伍；</w:t>
            </w: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保障配备有14名安保人员，其中三个检察室各2名，共6名，院机关8名。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5" w:hRule="atLeast"/>
          <w:jc w:val="center"/>
        </w:trPr>
        <w:tc>
          <w:tcPr>
            <w:tcW w:w="81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20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确保我院良好正常的治安环境，维护干警生命财产的安全</w:t>
            </w:r>
          </w:p>
        </w:tc>
        <w:tc>
          <w:tcPr>
            <w:tcW w:w="4594"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本院内秩序井然，外来人员进出登记管理，干警人身和财产安全有保障。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3" w:hRule="atLeast"/>
          <w:jc w:val="center"/>
        </w:trPr>
        <w:tc>
          <w:tcPr>
            <w:tcW w:w="81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20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安全保卫措施切实有力，效果好</w:t>
            </w:r>
          </w:p>
        </w:tc>
        <w:tc>
          <w:tcPr>
            <w:tcW w:w="4594"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有健全的岗位职责和完善的安全管理措施</w:t>
            </w: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24小时值班，多方位治安管理</w:t>
            </w: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节假日、夜间管理制度完善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5" w:hRule="atLeast"/>
          <w:jc w:val="center"/>
        </w:trPr>
        <w:tc>
          <w:tcPr>
            <w:tcW w:w="81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20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秩序维护人员文明执勤，礼貌服务</w:t>
            </w:r>
          </w:p>
        </w:tc>
        <w:tc>
          <w:tcPr>
            <w:tcW w:w="4594"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秩序维护人员具有较高的业务和身体素质</w:t>
            </w: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风纪严明，处事文明，无违法、违纪现象</w:t>
            </w:r>
          </w:p>
          <w:p>
            <w:pPr>
              <w:pStyle w:val="20"/>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白天上班时间，站岗执勤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5" w:hRule="atLeast"/>
          <w:jc w:val="center"/>
        </w:trPr>
        <w:tc>
          <w:tcPr>
            <w:tcW w:w="81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20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建立了完善的进出物品管理制度</w:t>
            </w:r>
          </w:p>
        </w:tc>
        <w:tc>
          <w:tcPr>
            <w:tcW w:w="4594"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控制易燃、易爆危险物品的进入</w:t>
            </w: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物品搬出放行手续齐全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3" w:hRule="atLeast"/>
          <w:jc w:val="center"/>
        </w:trPr>
        <w:tc>
          <w:tcPr>
            <w:tcW w:w="81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20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秩序维护设施和装备完善</w:t>
            </w:r>
          </w:p>
        </w:tc>
        <w:tc>
          <w:tcPr>
            <w:tcW w:w="4594"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秩序维护设施和装备配置按法定程序逐级申请审批</w:t>
            </w: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秩序维护装备的使用符合《秩序维护岗位安全设备、服装、警用器械发放使用规定》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jc w:val="center"/>
        </w:trPr>
        <w:tc>
          <w:tcPr>
            <w:tcW w:w="81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20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治安问题处置及时</w:t>
            </w:r>
          </w:p>
        </w:tc>
        <w:tc>
          <w:tcPr>
            <w:tcW w:w="4594"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对治安问题高度重视，认真对待，及时处置</w:t>
            </w:r>
          </w:p>
        </w:tc>
      </w:tr>
    </w:tbl>
    <w:p>
      <w:pPr>
        <w:numPr>
          <w:ilvl w:val="0"/>
          <w:numId w:val="7"/>
        </w:num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保洁管理服务标准及要求</w:t>
      </w:r>
    </w:p>
    <w:p>
      <w:pPr>
        <w:numPr>
          <w:ilvl w:val="0"/>
          <w:numId w:val="8"/>
        </w:numPr>
        <w:adjustRightInd w:val="0"/>
        <w:snapToGrid w:val="0"/>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人员要求</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配备若干名保洁人员，其中保障三个检察室各1名保洁。</w:t>
      </w:r>
    </w:p>
    <w:p>
      <w:pPr>
        <w:numPr>
          <w:ilvl w:val="0"/>
          <w:numId w:val="8"/>
        </w:numPr>
        <w:adjustRightInd w:val="0"/>
        <w:snapToGrid w:val="0"/>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服务标准</w:t>
      </w:r>
    </w:p>
    <w:tbl>
      <w:tblPr>
        <w:tblStyle w:val="22"/>
        <w:tblW w:w="860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2"/>
        <w:gridCol w:w="2191"/>
        <w:gridCol w:w="975"/>
        <w:gridCol w:w="611"/>
        <w:gridCol w:w="1222"/>
        <w:gridCol w:w="2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652" w:type="dxa"/>
            <w:vMerge w:val="restart"/>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区域</w:t>
            </w:r>
          </w:p>
        </w:tc>
        <w:tc>
          <w:tcPr>
            <w:tcW w:w="2191" w:type="dxa"/>
            <w:vMerge w:val="restart"/>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清洁项目</w:t>
            </w:r>
          </w:p>
        </w:tc>
        <w:tc>
          <w:tcPr>
            <w:tcW w:w="2808" w:type="dxa"/>
            <w:gridSpan w:val="3"/>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工作频次</w:t>
            </w:r>
          </w:p>
        </w:tc>
        <w:tc>
          <w:tcPr>
            <w:tcW w:w="2956" w:type="dxa"/>
            <w:vMerge w:val="restart"/>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975" w:type="dxa"/>
            <w:shd w:val="clear" w:color="auto" w:fill="FFFFFF"/>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每日</w:t>
            </w:r>
          </w:p>
        </w:tc>
        <w:tc>
          <w:tcPr>
            <w:tcW w:w="611" w:type="dxa"/>
            <w:shd w:val="clear" w:color="auto" w:fill="FFFFFF"/>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每周</w:t>
            </w:r>
          </w:p>
        </w:tc>
        <w:tc>
          <w:tcPr>
            <w:tcW w:w="1222" w:type="dxa"/>
            <w:shd w:val="clear" w:color="auto" w:fill="FFFFFF"/>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每月</w:t>
            </w:r>
          </w:p>
        </w:tc>
        <w:tc>
          <w:tcPr>
            <w:tcW w:w="2956"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restart"/>
            <w:shd w:val="clear" w:color="auto" w:fill="FFFFFF"/>
            <w:vAlign w:val="center"/>
          </w:tcPr>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外</w:t>
            </w: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环</w:t>
            </w: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境</w:t>
            </w: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路面、停车场</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冲洗一次</w:t>
            </w: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无杂物、无积水、无严重污渍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绿化带、花池沿</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无纸屑、烟头等杂物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指示牌、铭牌、标示等</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无积尘、无污渍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墙壁低位（1.5M以下）</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清洗1次</w:t>
            </w: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无积尘、无污渍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漏沙井、排水沟</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清理1次</w:t>
            </w: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无堵塞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高位灯饰等</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清洁一次</w:t>
            </w: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无严重积尘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门岗房、电动门</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无积尘、无污渍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 w:hRule="atLeast"/>
          <w:jc w:val="center"/>
        </w:trPr>
        <w:tc>
          <w:tcPr>
            <w:tcW w:w="652" w:type="dxa"/>
            <w:vMerge w:val="restart"/>
            <w:shd w:val="clear" w:color="auto" w:fill="FFFFFF"/>
            <w:vAlign w:val="center"/>
          </w:tcPr>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w:t>
            </w:r>
          </w:p>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堂</w:t>
            </w: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大理石地面</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随时保洁</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晶面处理1次</w:t>
            </w: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大理石地面、柱及其它石材</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随时保洁</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全面清洁1次</w:t>
            </w: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无灰尘、无污渍，无蛛网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门、玻璃</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刮洗1次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无灰尘、无污渍、无水迹、光亮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台阶</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随时保洁</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机洗1次</w:t>
            </w: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天花、风口，悬挂灯饰、牌</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无积尘、无污渍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接待台</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垃圾桶</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无积尘、无污渍、无异味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花卉植物</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干净鲜活，无积尘、无污渍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装饰物</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 w:hRule="atLeast"/>
          <w:jc w:val="center"/>
        </w:trPr>
        <w:tc>
          <w:tcPr>
            <w:tcW w:w="652" w:type="dxa"/>
            <w:vMerge w:val="restart"/>
            <w:shd w:val="clear" w:color="auto" w:fill="FFFFFF"/>
            <w:vAlign w:val="center"/>
          </w:tcPr>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楼层走廊</w:t>
            </w: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大理石地面</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随时保洁</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晶面处理1次</w:t>
            </w: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墙壁低位（1.5M以下）</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墙壁高位（1.5M以下）</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掸尘1次</w:t>
            </w: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无积尘、无污渍、无蛛网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52"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91"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门、窗、窗台</w:t>
            </w:r>
          </w:p>
        </w:tc>
        <w:tc>
          <w:tcPr>
            <w:tcW w:w="97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清洁1次</w:t>
            </w:r>
          </w:p>
        </w:tc>
        <w:tc>
          <w:tcPr>
            <w:tcW w:w="611"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122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95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bl>
    <w:p>
      <w:pPr>
        <w:spacing w:line="560" w:lineRule="exact"/>
        <w:jc w:val="left"/>
        <w:rPr>
          <w:rFonts w:ascii="仿宋_GB2312" w:hAnsi="仿宋_GB2312" w:eastAsia="仿宋_GB2312" w:cs="仿宋_GB2312"/>
          <w:vanish/>
          <w:sz w:val="28"/>
          <w:szCs w:val="28"/>
        </w:rPr>
      </w:pPr>
    </w:p>
    <w:tbl>
      <w:tblPr>
        <w:tblStyle w:val="22"/>
        <w:tblpPr w:leftFromText="180" w:rightFromText="180" w:vertAnchor="text" w:horzAnchor="page" w:tblpX="1900" w:tblpY="48"/>
        <w:tblOverlap w:val="never"/>
        <w:tblW w:w="865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9"/>
        <w:gridCol w:w="2176"/>
        <w:gridCol w:w="992"/>
        <w:gridCol w:w="623"/>
        <w:gridCol w:w="899"/>
        <w:gridCol w:w="32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 w:hRule="atLeast"/>
        </w:trPr>
        <w:tc>
          <w:tcPr>
            <w:tcW w:w="669" w:type="dxa"/>
            <w:vMerge w:val="restart"/>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办案区、法警训练室等</w:t>
            </w: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地面</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 w:hRule="atLeast"/>
        </w:trPr>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墙面、天花</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 w:hRule="atLeast"/>
        </w:trPr>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门窗、玻璃</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 w:hRule="atLeast"/>
        </w:trPr>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桌椅、健身设施等</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 w:hRule="atLeast"/>
        </w:trPr>
        <w:tc>
          <w:tcPr>
            <w:tcW w:w="669" w:type="dxa"/>
            <w:vMerge w:val="restart"/>
            <w:shd w:val="clear" w:color="auto" w:fill="FFFFFF"/>
            <w:vAlign w:val="center"/>
          </w:tcPr>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p>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洗手间</w:t>
            </w: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地面</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随时保洁</w:t>
            </w: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无灰尘、无污渍、无积水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隔板、墙面</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清洁1次</w:t>
            </w: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洁净、无污渍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理容镜</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随时保洁</w:t>
            </w: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洁净、无污渍、光亮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门、窗、窗台</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无积尘、无污渍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天花、风口、灯饰、牌</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1次</w:t>
            </w: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无积尘、无污渍、无蛛网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窗玻璃内面</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刮洗1次</w:t>
            </w: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无积尘、无污渍、光亮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垃圾桶</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随时保洁</w:t>
            </w: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无严重污渍、垃圾不超过2/3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厕位</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随时保洁</w:t>
            </w: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更换香球1次</w:t>
            </w: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洁净、无污渍、无积水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669" w:type="dxa"/>
            <w:vMerge w:val="continue"/>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小便池</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随时保洁</w:t>
            </w: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更换香球1次</w:t>
            </w: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无灰尘、无污渍、无积水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669" w:type="dxa"/>
            <w:vMerge w:val="continue"/>
            <w:tcBorders>
              <w:bottom w:val="single" w:color="auto" w:sz="4" w:space="0"/>
            </w:tcBorders>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空气清新剂</w:t>
            </w:r>
          </w:p>
        </w:tc>
        <w:tc>
          <w:tcPr>
            <w:tcW w:w="992"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随时喷洒</w:t>
            </w:r>
          </w:p>
        </w:tc>
        <w:tc>
          <w:tcPr>
            <w:tcW w:w="623"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899" w:type="dxa"/>
            <w:shd w:val="clear" w:color="auto" w:fill="FFFFFF"/>
            <w:vAlign w:val="center"/>
          </w:tcPr>
          <w:p>
            <w:pPr>
              <w:spacing w:line="560" w:lineRule="exact"/>
              <w:jc w:val="left"/>
              <w:rPr>
                <w:rFonts w:ascii="仿宋_GB2312" w:hAnsi="仿宋_GB2312" w:eastAsia="仿宋_GB2312" w:cs="仿宋_GB2312"/>
                <w:color w:val="000000"/>
                <w:sz w:val="28"/>
                <w:szCs w:val="28"/>
              </w:rPr>
            </w:pP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无异味，空气清新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669" w:type="dxa"/>
            <w:tcBorders>
              <w:top w:val="single" w:color="auto" w:sz="4" w:space="0"/>
              <w:bottom w:val="single" w:color="auto" w:sz="4" w:space="0"/>
            </w:tcBorders>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其它</w:t>
            </w:r>
          </w:p>
        </w:tc>
        <w:tc>
          <w:tcPr>
            <w:tcW w:w="2176"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楼顶、平台</w:t>
            </w:r>
          </w:p>
        </w:tc>
        <w:tc>
          <w:tcPr>
            <w:tcW w:w="2514" w:type="dxa"/>
            <w:gridSpan w:val="3"/>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每月清洁1次</w:t>
            </w:r>
          </w:p>
        </w:tc>
        <w:tc>
          <w:tcPr>
            <w:tcW w:w="3295" w:type="dxa"/>
            <w:shd w:val="clear" w:color="auto" w:fill="FFFFFF"/>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无垃圾、无堵塞</w:t>
            </w:r>
          </w:p>
        </w:tc>
      </w:tr>
    </w:tbl>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3.绿化养护服务标准</w:t>
      </w:r>
    </w:p>
    <w:tbl>
      <w:tblPr>
        <w:tblStyle w:val="22"/>
        <w:tblW w:w="8677" w:type="dxa"/>
        <w:tblInd w:w="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424"/>
        <w:gridCol w:w="4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服务内容</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工作要求</w:t>
            </w:r>
          </w:p>
        </w:tc>
        <w:tc>
          <w:tcPr>
            <w:tcW w:w="45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绿地卫生管理</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每日循环清扫。</w:t>
            </w:r>
          </w:p>
        </w:tc>
        <w:tc>
          <w:tcPr>
            <w:tcW w:w="45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绿化带内无杂草、无污物杂物、无积水，清洁卫生。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绿化养护</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定期浇水/修剪，每季度/每月定期施肥施药。</w:t>
            </w:r>
          </w:p>
        </w:tc>
        <w:tc>
          <w:tcPr>
            <w:tcW w:w="45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确保树木、草坪、花圃长势良好，保持青绿、平整、无病害；树木长势保持良好，修剪及时。</w:t>
            </w:r>
          </w:p>
        </w:tc>
      </w:tr>
    </w:tbl>
    <w:p>
      <w:pPr>
        <w:adjustRightInd w:val="0"/>
        <w:snapToGrid w:val="0"/>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4.食堂管理服务标准</w:t>
      </w:r>
    </w:p>
    <w:tbl>
      <w:tblPr>
        <w:tblStyle w:val="23"/>
        <w:tblW w:w="8757" w:type="dxa"/>
        <w:tblInd w:w="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3"/>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7004"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具体服务要求及标准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人员要求</w:t>
            </w:r>
          </w:p>
        </w:tc>
        <w:tc>
          <w:tcPr>
            <w:tcW w:w="7004" w:type="dxa"/>
          </w:tcPr>
          <w:p>
            <w:pPr>
              <w:spacing w:line="56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t>餐饮工作团队</w:t>
            </w:r>
            <w:r>
              <w:rPr>
                <w:rFonts w:hint="eastAsia" w:ascii="仿宋_GB2312" w:hAnsi="仿宋_GB2312" w:eastAsia="仿宋_GB2312" w:cs="仿宋_GB2312"/>
                <w:sz w:val="28"/>
                <w:szCs w:val="28"/>
              </w:rPr>
              <w:t>必须</w:t>
            </w:r>
            <w:r>
              <w:rPr>
                <w:rFonts w:ascii="仿宋_GB2312" w:hAnsi="仿宋_GB2312" w:eastAsia="仿宋_GB2312" w:cs="仿宋_GB2312"/>
                <w:sz w:val="28"/>
                <w:szCs w:val="28"/>
              </w:rPr>
              <w:t>具有从事餐饮服务的资质。</w:t>
            </w:r>
            <w:r>
              <w:rPr>
                <w:rFonts w:hint="eastAsia" w:ascii="仿宋_GB2312" w:hAnsi="仿宋_GB2312" w:eastAsia="仿宋_GB2312" w:cs="仿宋_GB2312"/>
                <w:sz w:val="28"/>
                <w:szCs w:val="28"/>
              </w:rPr>
              <w:t>人员需保障配备有</w:t>
            </w:r>
            <w:r>
              <w:rPr>
                <w:rFonts w:ascii="仿宋_GB2312" w:hAnsi="仿宋_GB2312" w:eastAsia="仿宋_GB2312" w:cs="仿宋_GB2312"/>
                <w:sz w:val="28"/>
                <w:szCs w:val="28"/>
              </w:rPr>
              <w:t>与本服务相适应</w:t>
            </w:r>
            <w:r>
              <w:rPr>
                <w:rFonts w:hint="eastAsia" w:ascii="仿宋_GB2312" w:hAnsi="仿宋_GB2312" w:eastAsia="仿宋_GB2312" w:cs="仿宋_GB2312"/>
                <w:sz w:val="28"/>
                <w:szCs w:val="28"/>
              </w:rPr>
              <w:t>2名厨师（其中1名擅长本地口味，1名擅长北方口味）、1名面点师</w:t>
            </w:r>
            <w:r>
              <w:rPr>
                <w:rFonts w:ascii="仿宋_GB2312" w:hAnsi="仿宋_GB2312" w:eastAsia="仿宋_GB2312" w:cs="仿宋_GB2312"/>
                <w:sz w:val="28"/>
                <w:szCs w:val="28"/>
              </w:rPr>
              <w:t>，能够满足</w:t>
            </w:r>
            <w:r>
              <w:rPr>
                <w:rFonts w:hint="eastAsia" w:ascii="仿宋_GB2312" w:hAnsi="仿宋_GB2312" w:eastAsia="仿宋_GB2312" w:cs="仿宋_GB2312"/>
                <w:sz w:val="28"/>
                <w:szCs w:val="28"/>
              </w:rPr>
              <w:t>干警用</w:t>
            </w:r>
            <w:r>
              <w:rPr>
                <w:rFonts w:ascii="仿宋_GB2312" w:hAnsi="仿宋_GB2312" w:eastAsia="仿宋_GB2312" w:cs="仿宋_GB2312"/>
                <w:sz w:val="28"/>
                <w:szCs w:val="28"/>
              </w:rPr>
              <w:t>餐和接待用餐的需求。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就餐人数</w:t>
            </w:r>
          </w:p>
        </w:tc>
        <w:tc>
          <w:tcPr>
            <w:tcW w:w="7004" w:type="dxa"/>
          </w:tcPr>
          <w:p>
            <w:pPr>
              <w:spacing w:line="56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t>需为</w:t>
            </w:r>
            <w:r>
              <w:rPr>
                <w:rFonts w:hint="eastAsia" w:ascii="仿宋_GB2312" w:hAnsi="仿宋_GB2312" w:eastAsia="仿宋_GB2312" w:cs="仿宋_GB2312"/>
                <w:sz w:val="28"/>
                <w:szCs w:val="28"/>
              </w:rPr>
              <w:t>我院干警</w:t>
            </w:r>
            <w:r>
              <w:rPr>
                <w:rFonts w:ascii="仿宋_GB2312" w:hAnsi="仿宋_GB2312" w:eastAsia="仿宋_GB2312" w:cs="仿宋_GB2312"/>
                <w:sz w:val="28"/>
                <w:szCs w:val="28"/>
              </w:rPr>
              <w:t>提供</w:t>
            </w:r>
            <w:r>
              <w:rPr>
                <w:rFonts w:hint="eastAsia" w:ascii="仿宋_GB2312" w:hAnsi="仿宋_GB2312" w:eastAsia="仿宋_GB2312" w:cs="仿宋_GB2312"/>
                <w:sz w:val="28"/>
                <w:szCs w:val="28"/>
              </w:rPr>
              <w:t>就餐服务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其中</w:t>
            </w:r>
            <w:r>
              <w:rPr>
                <w:rFonts w:ascii="仿宋_GB2312" w:hAnsi="仿宋_GB2312" w:eastAsia="仿宋_GB2312" w:cs="仿宋_GB2312"/>
                <w:sz w:val="28"/>
                <w:szCs w:val="28"/>
              </w:rPr>
              <w:t>早餐约30</w:t>
            </w:r>
            <w:r>
              <w:rPr>
                <w:rFonts w:hint="eastAsia" w:ascii="仿宋_GB2312" w:hAnsi="仿宋_GB2312" w:eastAsia="仿宋_GB2312" w:cs="仿宋_GB2312"/>
                <w:sz w:val="28"/>
                <w:szCs w:val="28"/>
              </w:rPr>
              <w:t>人次，</w:t>
            </w:r>
            <w:r>
              <w:rPr>
                <w:rFonts w:ascii="仿宋_GB2312" w:hAnsi="仿宋_GB2312" w:eastAsia="仿宋_GB2312" w:cs="仿宋_GB2312"/>
                <w:sz w:val="28"/>
                <w:szCs w:val="28"/>
              </w:rPr>
              <w:t>午餐约</w:t>
            </w:r>
            <w:r>
              <w:rPr>
                <w:rFonts w:hint="eastAsia" w:ascii="仿宋_GB2312" w:hAnsi="仿宋_GB2312" w:eastAsia="仿宋_GB2312" w:cs="仿宋_GB2312"/>
                <w:sz w:val="28"/>
                <w:szCs w:val="28"/>
              </w:rPr>
              <w:t>80</w:t>
            </w:r>
            <w:r>
              <w:rPr>
                <w:rFonts w:ascii="仿宋_GB2312" w:hAnsi="仿宋_GB2312" w:eastAsia="仿宋_GB2312" w:cs="仿宋_GB2312"/>
                <w:sz w:val="28"/>
                <w:szCs w:val="28"/>
              </w:rPr>
              <w:t>人</w:t>
            </w:r>
            <w:r>
              <w:rPr>
                <w:rFonts w:hint="eastAsia" w:ascii="仿宋_GB2312" w:hAnsi="仿宋_GB2312" w:eastAsia="仿宋_GB2312" w:cs="仿宋_GB2312"/>
                <w:sz w:val="28"/>
                <w:szCs w:val="28"/>
              </w:rPr>
              <w:t>次，</w:t>
            </w:r>
            <w:r>
              <w:rPr>
                <w:rFonts w:ascii="仿宋_GB2312" w:hAnsi="仿宋_GB2312" w:eastAsia="仿宋_GB2312" w:cs="仿宋_GB2312"/>
                <w:sz w:val="28"/>
                <w:szCs w:val="28"/>
              </w:rPr>
              <w:t>晚餐</w:t>
            </w:r>
            <w:r>
              <w:rPr>
                <w:rFonts w:hint="eastAsia" w:ascii="仿宋_GB2312" w:hAnsi="仿宋_GB2312" w:eastAsia="仿宋_GB2312" w:cs="仿宋_GB2312"/>
                <w:sz w:val="28"/>
                <w:szCs w:val="28"/>
              </w:rPr>
              <w:t>及公务</w:t>
            </w:r>
            <w:r>
              <w:rPr>
                <w:rFonts w:ascii="仿宋_GB2312" w:hAnsi="仿宋_GB2312" w:eastAsia="仿宋_GB2312" w:cs="仿宋_GB2312"/>
                <w:sz w:val="28"/>
                <w:szCs w:val="28"/>
              </w:rPr>
              <w:t>接待餐视情况而定。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3" w:type="dxa"/>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就餐时间</w:t>
            </w:r>
          </w:p>
        </w:tc>
        <w:tc>
          <w:tcPr>
            <w:tcW w:w="7004" w:type="dxa"/>
          </w:tcPr>
          <w:p>
            <w:pPr>
              <w:spacing w:line="56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t>按规定准时开餐，每餐所供食品在开餐前布置完毕</w:t>
            </w:r>
            <w:r>
              <w:rPr>
                <w:rFonts w:hint="eastAsia" w:ascii="仿宋_GB2312" w:hAnsi="仿宋_GB2312" w:eastAsia="仿宋_GB2312" w:cs="仿宋_GB2312"/>
                <w:sz w:val="28"/>
                <w:szCs w:val="28"/>
              </w:rPr>
              <w:t>，其中</w:t>
            </w:r>
            <w:r>
              <w:rPr>
                <w:rFonts w:ascii="仿宋_GB2312" w:hAnsi="仿宋_GB2312" w:eastAsia="仿宋_GB2312" w:cs="仿宋_GB2312"/>
                <w:sz w:val="28"/>
                <w:szCs w:val="28"/>
              </w:rPr>
              <w:t>早餐7：00-8：</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0，中餐1</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0</w:t>
            </w:r>
            <w:r>
              <w:rPr>
                <w:rFonts w:ascii="仿宋_GB2312" w:hAnsi="仿宋_GB2312" w:eastAsia="仿宋_GB2312" w:cs="仿宋_GB2312"/>
                <w:sz w:val="28"/>
                <w:szCs w:val="28"/>
              </w:rPr>
              <w:t>0-13：00，晚餐17：30-19：00，</w:t>
            </w:r>
            <w:r>
              <w:rPr>
                <w:rFonts w:hint="eastAsia" w:ascii="仿宋_GB2312" w:hAnsi="仿宋_GB2312" w:eastAsia="仿宋_GB2312" w:cs="仿宋_GB2312"/>
                <w:sz w:val="28"/>
                <w:szCs w:val="28"/>
              </w:rPr>
              <w:t>公务</w:t>
            </w:r>
            <w:r>
              <w:rPr>
                <w:rFonts w:ascii="仿宋_GB2312" w:hAnsi="仿宋_GB2312" w:eastAsia="仿宋_GB2312" w:cs="仿宋_GB2312"/>
                <w:sz w:val="28"/>
                <w:szCs w:val="28"/>
              </w:rPr>
              <w:t>接待</w:t>
            </w:r>
            <w:r>
              <w:rPr>
                <w:rFonts w:hint="eastAsia" w:ascii="仿宋_GB2312" w:hAnsi="仿宋_GB2312" w:eastAsia="仿宋_GB2312" w:cs="仿宋_GB2312"/>
                <w:sz w:val="28"/>
                <w:szCs w:val="28"/>
              </w:rPr>
              <w:t>用</w:t>
            </w:r>
            <w:r>
              <w:rPr>
                <w:rFonts w:ascii="仿宋_GB2312" w:hAnsi="仿宋_GB2312" w:eastAsia="仿宋_GB2312" w:cs="仿宋_GB2312"/>
                <w:sz w:val="28"/>
                <w:szCs w:val="28"/>
              </w:rPr>
              <w:t>餐根据工作需要</w:t>
            </w:r>
            <w:r>
              <w:rPr>
                <w:rFonts w:hint="eastAsia" w:ascii="仿宋_GB2312" w:hAnsi="仿宋_GB2312" w:eastAsia="仿宋_GB2312" w:cs="仿宋_GB2312"/>
                <w:sz w:val="28"/>
                <w:szCs w:val="28"/>
              </w:rPr>
              <w:t>而定</w:t>
            </w:r>
            <w:r>
              <w:rPr>
                <w:rFonts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就餐收费</w:t>
            </w:r>
          </w:p>
        </w:tc>
        <w:tc>
          <w:tcPr>
            <w:tcW w:w="7004" w:type="dxa"/>
          </w:tcPr>
          <w:p>
            <w:pPr>
              <w:spacing w:line="56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t>早餐</w:t>
            </w:r>
            <w:r>
              <w:rPr>
                <w:rFonts w:hint="eastAsia" w:ascii="仿宋_GB2312" w:hAnsi="仿宋_GB2312" w:eastAsia="仿宋_GB2312" w:cs="仿宋_GB2312"/>
                <w:sz w:val="28"/>
                <w:szCs w:val="28"/>
              </w:rPr>
              <w:t>及晚餐以自助</w:t>
            </w:r>
            <w:r>
              <w:rPr>
                <w:rFonts w:ascii="仿宋_GB2312" w:hAnsi="仿宋_GB2312" w:eastAsia="仿宋_GB2312" w:cs="仿宋_GB2312"/>
                <w:sz w:val="28"/>
                <w:szCs w:val="28"/>
              </w:rPr>
              <w:t>点餐方式</w:t>
            </w:r>
            <w:r>
              <w:rPr>
                <w:rFonts w:hint="eastAsia" w:ascii="仿宋_GB2312" w:hAnsi="仿宋_GB2312" w:eastAsia="仿宋_GB2312" w:cs="仿宋_GB2312"/>
                <w:sz w:val="28"/>
                <w:szCs w:val="28"/>
              </w:rPr>
              <w:t>收费</w:t>
            </w:r>
            <w:r>
              <w:rPr>
                <w:rFonts w:ascii="仿宋_GB2312" w:hAnsi="仿宋_GB2312" w:eastAsia="仿宋_GB2312" w:cs="仿宋_GB2312"/>
                <w:sz w:val="28"/>
                <w:szCs w:val="28"/>
              </w:rPr>
              <w:t>，中餐</w:t>
            </w:r>
            <w:r>
              <w:rPr>
                <w:rFonts w:hint="eastAsia" w:ascii="仿宋_GB2312" w:hAnsi="仿宋_GB2312" w:eastAsia="仿宋_GB2312" w:cs="仿宋_GB2312"/>
                <w:sz w:val="28"/>
                <w:szCs w:val="28"/>
              </w:rPr>
              <w:t>为15元/人/餐</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公务接待用餐</w:t>
            </w:r>
            <w:r>
              <w:rPr>
                <w:rFonts w:ascii="仿宋_GB2312" w:hAnsi="仿宋_GB2312" w:eastAsia="仿宋_GB2312" w:cs="仿宋_GB2312"/>
                <w:sz w:val="28"/>
                <w:szCs w:val="28"/>
              </w:rPr>
              <w:t>视情况而定，收费标准</w:t>
            </w:r>
            <w:r>
              <w:rPr>
                <w:rFonts w:hint="eastAsia" w:ascii="仿宋_GB2312" w:hAnsi="仿宋_GB2312" w:eastAsia="仿宋_GB2312" w:cs="仿宋_GB2312"/>
                <w:sz w:val="28"/>
                <w:szCs w:val="28"/>
              </w:rPr>
              <w:t>均不得高于</w:t>
            </w:r>
            <w:r>
              <w:rPr>
                <w:rFonts w:ascii="仿宋_GB2312" w:hAnsi="仿宋_GB2312" w:eastAsia="仿宋_GB2312" w:cs="仿宋_GB2312"/>
                <w:sz w:val="28"/>
                <w:szCs w:val="28"/>
              </w:rPr>
              <w:t>市场价格。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菜品要求</w:t>
            </w:r>
          </w:p>
        </w:tc>
        <w:tc>
          <w:tcPr>
            <w:tcW w:w="7004" w:type="dxa"/>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营养搭配菜品，种类丰富多样，注重膳食平衡和饭菜质量，做到</w:t>
            </w:r>
            <w:r>
              <w:rPr>
                <w:rFonts w:ascii="仿宋_GB2312" w:hAnsi="仿宋_GB2312" w:eastAsia="仿宋_GB2312" w:cs="仿宋_GB2312"/>
                <w:sz w:val="28"/>
                <w:szCs w:val="28"/>
              </w:rPr>
              <w:t>及时进行补餐，保证菜量</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其他</w:t>
            </w:r>
          </w:p>
        </w:tc>
        <w:tc>
          <w:tcPr>
            <w:tcW w:w="7004" w:type="dxa"/>
          </w:tcPr>
          <w:p>
            <w:pPr>
              <w:spacing w:line="56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t>做好用餐人员分流工作，避免用餐人员等候拥挤混乱现象</w:t>
            </w:r>
            <w:r>
              <w:rPr>
                <w:rFonts w:hint="eastAsia" w:ascii="仿宋_GB2312" w:hAnsi="仿宋_GB2312" w:eastAsia="仿宋_GB2312" w:cs="仿宋_GB2312"/>
                <w:sz w:val="28"/>
                <w:szCs w:val="28"/>
              </w:rPr>
              <w:t>；工作人员</w:t>
            </w:r>
            <w:r>
              <w:rPr>
                <w:rFonts w:ascii="仿宋_GB2312" w:hAnsi="仿宋_GB2312" w:eastAsia="仿宋_GB2312" w:cs="仿宋_GB2312"/>
                <w:sz w:val="28"/>
                <w:szCs w:val="28"/>
              </w:rPr>
              <w:t>按规定着装，保持仪表仪容</w:t>
            </w:r>
            <w:r>
              <w:rPr>
                <w:rFonts w:hint="eastAsia" w:ascii="仿宋_GB2312" w:hAnsi="仿宋_GB2312" w:eastAsia="仿宋_GB2312" w:cs="仿宋_GB2312"/>
                <w:sz w:val="28"/>
                <w:szCs w:val="28"/>
              </w:rPr>
              <w:t>，做好食堂物品保管和卫生清洁。</w:t>
            </w:r>
          </w:p>
        </w:tc>
      </w:tr>
    </w:tbl>
    <w:p>
      <w:pPr>
        <w:spacing w:line="560" w:lineRule="exact"/>
        <w:ind w:firstLine="48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5.会务服务及其他标准</w:t>
      </w:r>
    </w:p>
    <w:tbl>
      <w:tblPr>
        <w:tblStyle w:val="22"/>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873"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服务内容</w:t>
            </w:r>
          </w:p>
        </w:tc>
        <w:tc>
          <w:tcPr>
            <w:tcW w:w="6918"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873"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会前准备</w:t>
            </w:r>
          </w:p>
        </w:tc>
        <w:tc>
          <w:tcPr>
            <w:tcW w:w="6918"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根据要求布置会场，按需要将指示牌、会标、签到表、座椅、席卡、笔、纸、资料、纸巾、茶水等放置到位，提前半小时，将会议室灯、门、空调、开水等一切设备准备就绪。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873"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会中服务</w:t>
            </w:r>
          </w:p>
        </w:tc>
        <w:tc>
          <w:tcPr>
            <w:tcW w:w="6918"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开会时按要求为参会人员提供迎宾、沏茶、更换纸巾等服务。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873"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会后收尾</w:t>
            </w:r>
          </w:p>
        </w:tc>
        <w:tc>
          <w:tcPr>
            <w:tcW w:w="6918"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会后，做好清理保洁，关闭会议室。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873"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w:t>
            </w:r>
          </w:p>
        </w:tc>
        <w:tc>
          <w:tcPr>
            <w:tcW w:w="6918"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每日做好报刊整理及发放。</w:t>
            </w:r>
          </w:p>
        </w:tc>
      </w:tr>
    </w:tbl>
    <w:p>
      <w:pPr>
        <w:spacing w:line="560" w:lineRule="exact"/>
        <w:ind w:left="48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6.院领导办公室服务</w:t>
      </w:r>
    </w:p>
    <w:tbl>
      <w:tblPr>
        <w:tblStyle w:val="23"/>
        <w:tblW w:w="0" w:type="auto"/>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服务内容</w:t>
            </w:r>
          </w:p>
        </w:tc>
        <w:tc>
          <w:tcPr>
            <w:tcW w:w="7289" w:type="dxa"/>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卫生清洁及绿植养护</w:t>
            </w:r>
          </w:p>
        </w:tc>
        <w:tc>
          <w:tcPr>
            <w:tcW w:w="7289" w:type="dxa"/>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每日清扫院领导办公室，做到整洁干净、无灰尘，定期养护绿植，防止毁损和枯死。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办公室内设施设备运行情况</w:t>
            </w:r>
          </w:p>
        </w:tc>
        <w:tc>
          <w:tcPr>
            <w:tcW w:w="7289" w:type="dxa"/>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每日检查院领导办公室内的设施设备运行情况，发现问题及时上报，并做好相关检修工作，确保正常运行。</w:t>
            </w:r>
          </w:p>
        </w:tc>
      </w:tr>
    </w:tbl>
    <w:p>
      <w:pPr>
        <w:spacing w:line="560" w:lineRule="exact"/>
        <w:ind w:firstLine="48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7.水电、消防等公用设施的维护管理服务</w:t>
      </w:r>
    </w:p>
    <w:tbl>
      <w:tblPr>
        <w:tblStyle w:val="22"/>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36"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服务内容</w:t>
            </w:r>
          </w:p>
        </w:tc>
        <w:tc>
          <w:tcPr>
            <w:tcW w:w="6461" w:type="dxa"/>
            <w:vAlign w:val="center"/>
          </w:tcPr>
          <w:p>
            <w:pPr>
              <w:spacing w:line="560" w:lineRule="exact"/>
              <w:ind w:firstLine="422"/>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36"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日常检修及维护</w:t>
            </w:r>
          </w:p>
        </w:tc>
        <w:tc>
          <w:tcPr>
            <w:tcW w:w="6461"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负责办公区日常水电检修及办公区设备日常维护，并做好记录；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36"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其它维修</w:t>
            </w:r>
          </w:p>
        </w:tc>
        <w:tc>
          <w:tcPr>
            <w:tcW w:w="6461" w:type="dxa"/>
            <w:vAlign w:val="center"/>
          </w:tcPr>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其它需要特殊维修或重大维修的及时报告，安排人员维修，并做好记录。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797" w:type="dxa"/>
            <w:gridSpan w:val="2"/>
            <w:vAlign w:val="center"/>
          </w:tcPr>
          <w:p>
            <w:pPr>
              <w:spacing w:line="560" w:lineRule="exact"/>
              <w:ind w:firstLine="42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备注：全年服务，按每天8小时制上班。</w:t>
            </w:r>
          </w:p>
        </w:tc>
      </w:tr>
    </w:tbl>
    <w:p>
      <w:pPr>
        <w:adjustRightInd w:val="0"/>
        <w:snapToGrid w:val="0"/>
        <w:spacing w:line="560" w:lineRule="exact"/>
        <w:ind w:firstLine="560" w:firstLineChars="200"/>
        <w:rPr>
          <w:rFonts w:ascii="宋体" w:hAnsi="宋体" w:cs="宋体"/>
          <w:sz w:val="28"/>
          <w:szCs w:val="28"/>
        </w:rPr>
      </w:pPr>
    </w:p>
    <w:p>
      <w:pPr>
        <w:spacing w:line="360" w:lineRule="auto"/>
        <w:rPr>
          <w:sz w:val="24"/>
          <w:szCs w:val="24"/>
          <w:highlight w:val="yellow"/>
        </w:rPr>
      </w:pPr>
    </w:p>
    <w:p>
      <w:pPr>
        <w:spacing w:before="32"/>
        <w:ind w:right="95"/>
        <w:jc w:val="center"/>
        <w:outlineLvl w:val="0"/>
        <w:rPr>
          <w:b/>
          <w:sz w:val="48"/>
        </w:rPr>
      </w:pPr>
    </w:p>
    <w:p>
      <w:pPr>
        <w:pStyle w:val="2"/>
        <w:rPr>
          <w:b/>
          <w:sz w:val="48"/>
        </w:rPr>
      </w:pPr>
    </w:p>
    <w:p>
      <w:pPr>
        <w:rPr>
          <w:b/>
          <w:sz w:val="48"/>
        </w:rPr>
      </w:pPr>
    </w:p>
    <w:p>
      <w:pPr>
        <w:pStyle w:val="2"/>
        <w:rPr>
          <w:b/>
          <w:sz w:val="48"/>
        </w:rPr>
      </w:pPr>
    </w:p>
    <w:p>
      <w:pPr>
        <w:rPr>
          <w:b/>
          <w:sz w:val="48"/>
        </w:rPr>
      </w:pPr>
    </w:p>
    <w:p>
      <w:pPr>
        <w:pStyle w:val="2"/>
        <w:rPr>
          <w:b/>
          <w:sz w:val="48"/>
        </w:rPr>
      </w:pPr>
    </w:p>
    <w:p>
      <w:pPr>
        <w:rPr>
          <w:b/>
          <w:sz w:val="48"/>
        </w:rPr>
      </w:pPr>
    </w:p>
    <w:p/>
    <w:p>
      <w:pPr>
        <w:spacing w:before="32"/>
        <w:ind w:right="95"/>
        <w:jc w:val="center"/>
        <w:outlineLvl w:val="0"/>
        <w:rPr>
          <w:b/>
          <w:sz w:val="48"/>
        </w:rPr>
      </w:pPr>
      <w:r>
        <w:rPr>
          <w:b/>
          <w:sz w:val="48"/>
        </w:rPr>
        <w:t>第四部分 合同文本</w:t>
      </w:r>
      <w:bookmarkEnd w:id="167"/>
    </w:p>
    <w:p>
      <w:pPr>
        <w:spacing w:before="42"/>
        <w:ind w:right="3298"/>
        <w:jc w:val="right"/>
        <w:rPr>
          <w:sz w:val="21"/>
        </w:rPr>
      </w:pPr>
      <w:r>
        <w:rPr>
          <w:sz w:val="21"/>
        </w:rPr>
        <w:t>（格式仅供参考，以双方最终协议为准）</w:t>
      </w:r>
    </w:p>
    <w:p>
      <w:pPr>
        <w:tabs>
          <w:tab w:val="left" w:pos="1975"/>
        </w:tabs>
        <w:spacing w:before="55"/>
        <w:ind w:right="3301"/>
        <w:jc w:val="right"/>
        <w:rPr>
          <w:rFonts w:ascii="Times New Roman" w:eastAsia="Times New Roman"/>
          <w:sz w:val="21"/>
        </w:rPr>
      </w:pPr>
      <w:r>
        <w:rPr>
          <w:sz w:val="21"/>
        </w:rPr>
        <w:t>合同</w:t>
      </w:r>
      <w:r>
        <w:rPr>
          <w:spacing w:val="-3"/>
          <w:sz w:val="21"/>
        </w:rPr>
        <w:t>编</w:t>
      </w:r>
      <w:r>
        <w:rPr>
          <w:sz w:val="21"/>
        </w:rPr>
        <w:t>号：</w:t>
      </w:r>
      <w:r>
        <w:rPr>
          <w:rFonts w:ascii="Times New Roman" w:eastAsia="Times New Roman"/>
          <w:sz w:val="21"/>
          <w:u w:val="single"/>
        </w:rPr>
        <w:t xml:space="preserve"> </w:t>
      </w:r>
      <w:r>
        <w:rPr>
          <w:rFonts w:ascii="Times New Roman" w:eastAsia="Times New Roman"/>
          <w:sz w:val="21"/>
          <w:u w:val="single"/>
        </w:rPr>
        <w:tab/>
      </w:r>
    </w:p>
    <w:p>
      <w:pPr>
        <w:pStyle w:val="13"/>
        <w:spacing w:before="10"/>
        <w:rPr>
          <w:rFonts w:ascii="Times New Roman"/>
          <w:sz w:val="23"/>
        </w:rPr>
      </w:pPr>
    </w:p>
    <w:p>
      <w:pPr>
        <w:tabs>
          <w:tab w:val="left" w:pos="6368"/>
        </w:tabs>
        <w:spacing w:before="78"/>
        <w:ind w:left="700"/>
        <w:rPr>
          <w:rFonts w:ascii="Times New Roman" w:eastAsia="Times New Roman"/>
          <w:sz w:val="21"/>
        </w:rPr>
      </w:pPr>
      <w:r>
        <w:rPr>
          <w:spacing w:val="-1"/>
          <w:sz w:val="21"/>
        </w:rPr>
        <w:t>甲方</w:t>
      </w:r>
      <w:r>
        <w:rPr>
          <w:spacing w:val="-3"/>
          <w:sz w:val="21"/>
        </w:rPr>
        <w:t>（</w:t>
      </w:r>
      <w:r>
        <w:rPr>
          <w:spacing w:val="-1"/>
          <w:sz w:val="21"/>
        </w:rPr>
        <w:t>采</w:t>
      </w:r>
      <w:r>
        <w:rPr>
          <w:spacing w:val="-3"/>
          <w:sz w:val="21"/>
        </w:rPr>
        <w:t>购</w:t>
      </w:r>
      <w:r>
        <w:rPr>
          <w:spacing w:val="-1"/>
          <w:sz w:val="21"/>
        </w:rPr>
        <w:t>人</w:t>
      </w:r>
      <w:r>
        <w:rPr>
          <w:sz w:val="21"/>
        </w:rPr>
        <w:t>）：</w:t>
      </w:r>
      <w:r>
        <w:rPr>
          <w:rFonts w:ascii="Times New Roman" w:eastAsia="Times New Roman"/>
          <w:sz w:val="21"/>
          <w:u w:val="single"/>
        </w:rPr>
        <w:t xml:space="preserve"> </w:t>
      </w:r>
      <w:r>
        <w:rPr>
          <w:rFonts w:ascii="Times New Roman" w:eastAsia="Times New Roman"/>
          <w:sz w:val="21"/>
          <w:u w:val="single"/>
        </w:rPr>
        <w:tab/>
      </w:r>
    </w:p>
    <w:p>
      <w:pPr>
        <w:tabs>
          <w:tab w:val="left" w:pos="6788"/>
        </w:tabs>
        <w:spacing w:before="55"/>
        <w:ind w:left="700"/>
        <w:rPr>
          <w:rFonts w:ascii="Times New Roman" w:eastAsia="Times New Roman"/>
          <w:sz w:val="21"/>
        </w:rPr>
      </w:pPr>
      <w:r>
        <w:rPr>
          <w:spacing w:val="-1"/>
          <w:sz w:val="21"/>
        </w:rPr>
        <w:t>乙方</w:t>
      </w:r>
      <w:r>
        <w:rPr>
          <w:spacing w:val="-3"/>
          <w:sz w:val="21"/>
        </w:rPr>
        <w:t>（</w:t>
      </w:r>
      <w:r>
        <w:rPr>
          <w:spacing w:val="-1"/>
          <w:sz w:val="21"/>
        </w:rPr>
        <w:t>成</w:t>
      </w:r>
      <w:r>
        <w:rPr>
          <w:spacing w:val="-3"/>
          <w:sz w:val="21"/>
        </w:rPr>
        <w:t>交</w:t>
      </w:r>
      <w:r>
        <w:rPr>
          <w:sz w:val="21"/>
        </w:rPr>
        <w:t>供</w:t>
      </w:r>
      <w:r>
        <w:rPr>
          <w:spacing w:val="-3"/>
          <w:sz w:val="21"/>
        </w:rPr>
        <w:t>应</w:t>
      </w:r>
      <w:r>
        <w:rPr>
          <w:sz w:val="21"/>
        </w:rPr>
        <w:t>商）：</w:t>
      </w:r>
      <w:r>
        <w:rPr>
          <w:rFonts w:ascii="Times New Roman" w:eastAsia="Times New Roman"/>
          <w:sz w:val="21"/>
          <w:u w:val="single"/>
        </w:rPr>
        <w:t xml:space="preserve"> </w:t>
      </w:r>
      <w:r>
        <w:rPr>
          <w:rFonts w:ascii="Times New Roman" w:eastAsia="Times New Roman"/>
          <w:sz w:val="21"/>
          <w:u w:val="single"/>
        </w:rPr>
        <w:tab/>
      </w:r>
    </w:p>
    <w:p>
      <w:pPr>
        <w:pStyle w:val="13"/>
        <w:spacing w:before="6"/>
        <w:rPr>
          <w:rFonts w:ascii="Times New Roman"/>
          <w:sz w:val="21"/>
        </w:rPr>
      </w:pPr>
    </w:p>
    <w:p>
      <w:pPr>
        <w:tabs>
          <w:tab w:val="left" w:pos="2492"/>
          <w:tab w:val="left" w:pos="3121"/>
          <w:tab w:val="left" w:pos="3755"/>
          <w:tab w:val="left" w:pos="4283"/>
          <w:tab w:val="left" w:pos="5334"/>
          <w:tab w:val="left" w:pos="6493"/>
          <w:tab w:val="left" w:pos="8070"/>
        </w:tabs>
        <w:spacing w:before="79" w:line="242" w:lineRule="auto"/>
        <w:ind w:left="219" w:right="318" w:firstLine="480"/>
        <w:rPr>
          <w:sz w:val="21"/>
        </w:rPr>
      </w:pPr>
      <w:r>
        <w:rPr>
          <w:sz w:val="21"/>
        </w:rPr>
        <w:t>甲乙双方</w:t>
      </w:r>
      <w:r>
        <w:rPr>
          <w:spacing w:val="-3"/>
          <w:sz w:val="21"/>
        </w:rPr>
        <w:t>根</w:t>
      </w:r>
      <w:r>
        <w:rPr>
          <w:sz w:val="21"/>
        </w:rPr>
        <w:t>据</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r>
        <w:rPr>
          <w:spacing w:val="-3"/>
          <w:sz w:val="21"/>
          <w:u w:val="single"/>
        </w:rPr>
        <w:t>项</w:t>
      </w:r>
      <w:r>
        <w:rPr>
          <w:sz w:val="21"/>
          <w:u w:val="single"/>
        </w:rPr>
        <w:t>目名称</w:t>
      </w:r>
      <w:r>
        <w:rPr>
          <w:rFonts w:hint="eastAsia"/>
          <w:sz w:val="21"/>
          <w:u w:val="single"/>
          <w:lang w:val="en-US"/>
        </w:rPr>
        <w:t xml:space="preserve">        </w:t>
      </w:r>
      <w:r>
        <w:rPr>
          <w:sz w:val="21"/>
        </w:rPr>
        <w:t>（</w:t>
      </w:r>
      <w:r>
        <w:rPr>
          <w:spacing w:val="-3"/>
          <w:sz w:val="21"/>
        </w:rPr>
        <w:t>项</w:t>
      </w:r>
      <w:r>
        <w:rPr>
          <w:sz w:val="21"/>
        </w:rPr>
        <w:t>目编</w:t>
      </w:r>
      <w:r>
        <w:rPr>
          <w:spacing w:val="-3"/>
          <w:sz w:val="21"/>
        </w:rPr>
        <w:t>号</w:t>
      </w:r>
      <w:r>
        <w:rPr>
          <w:sz w:val="21"/>
        </w:rPr>
        <w:t>:</w:t>
      </w:r>
      <w:r>
        <w:rPr>
          <w:sz w:val="21"/>
        </w:rPr>
        <w:tab/>
      </w:r>
      <w:r>
        <w:rPr>
          <w:sz w:val="21"/>
        </w:rPr>
        <w:t>）采购</w:t>
      </w:r>
      <w:r>
        <w:rPr>
          <w:spacing w:val="-3"/>
          <w:sz w:val="21"/>
        </w:rPr>
        <w:t>结</w:t>
      </w:r>
      <w:r>
        <w:rPr>
          <w:sz w:val="21"/>
        </w:rPr>
        <w:t>果及磋</w:t>
      </w:r>
      <w:r>
        <w:rPr>
          <w:spacing w:val="-3"/>
          <w:sz w:val="21"/>
        </w:rPr>
        <w:t>商</w:t>
      </w:r>
      <w:r>
        <w:rPr>
          <w:spacing w:val="-17"/>
          <w:sz w:val="21"/>
        </w:rPr>
        <w:t>文</w:t>
      </w:r>
      <w:r>
        <w:rPr>
          <w:sz w:val="21"/>
        </w:rPr>
        <w:t>件的</w:t>
      </w:r>
      <w:r>
        <w:rPr>
          <w:spacing w:val="-3"/>
          <w:sz w:val="21"/>
        </w:rPr>
        <w:t>要</w:t>
      </w:r>
      <w:r>
        <w:rPr>
          <w:sz w:val="21"/>
        </w:rPr>
        <w:t>求</w:t>
      </w:r>
      <w:r>
        <w:rPr>
          <w:spacing w:val="-3"/>
          <w:sz w:val="21"/>
        </w:rPr>
        <w:t>,</w:t>
      </w:r>
      <w:r>
        <w:rPr>
          <w:sz w:val="21"/>
        </w:rPr>
        <w:t>经</w:t>
      </w:r>
      <w:r>
        <w:rPr>
          <w:spacing w:val="-3"/>
          <w:sz w:val="21"/>
        </w:rPr>
        <w:t>协</w:t>
      </w:r>
      <w:r>
        <w:rPr>
          <w:sz w:val="21"/>
        </w:rPr>
        <w:t>商</w:t>
      </w:r>
      <w:r>
        <w:rPr>
          <w:spacing w:val="-3"/>
          <w:sz w:val="21"/>
        </w:rPr>
        <w:t>一</w:t>
      </w:r>
      <w:r>
        <w:rPr>
          <w:sz w:val="21"/>
        </w:rPr>
        <w:t>致,</w:t>
      </w:r>
      <w:r>
        <w:rPr>
          <w:spacing w:val="-3"/>
          <w:sz w:val="21"/>
        </w:rPr>
        <w:t>愿</w:t>
      </w:r>
      <w:r>
        <w:rPr>
          <w:sz w:val="21"/>
        </w:rPr>
        <w:t>意共</w:t>
      </w:r>
      <w:r>
        <w:rPr>
          <w:spacing w:val="-3"/>
          <w:sz w:val="21"/>
        </w:rPr>
        <w:t>同</w:t>
      </w:r>
      <w:r>
        <w:rPr>
          <w:sz w:val="21"/>
        </w:rPr>
        <w:t>遵</w:t>
      </w:r>
      <w:r>
        <w:rPr>
          <w:spacing w:val="-3"/>
          <w:sz w:val="21"/>
        </w:rPr>
        <w:t>守</w:t>
      </w:r>
      <w:r>
        <w:rPr>
          <w:sz w:val="21"/>
        </w:rPr>
        <w:t>并</w:t>
      </w:r>
      <w:r>
        <w:rPr>
          <w:spacing w:val="-3"/>
          <w:sz w:val="21"/>
        </w:rPr>
        <w:t>履</w:t>
      </w:r>
      <w:r>
        <w:rPr>
          <w:sz w:val="21"/>
        </w:rPr>
        <w:t>行</w:t>
      </w:r>
      <w:r>
        <w:rPr>
          <w:spacing w:val="-3"/>
          <w:sz w:val="21"/>
        </w:rPr>
        <w:t>本</w:t>
      </w:r>
      <w:r>
        <w:rPr>
          <w:sz w:val="21"/>
        </w:rPr>
        <w:t>合</w:t>
      </w:r>
      <w:r>
        <w:rPr>
          <w:spacing w:val="-3"/>
          <w:sz w:val="21"/>
        </w:rPr>
        <w:t>同</w:t>
      </w:r>
      <w:r>
        <w:rPr>
          <w:sz w:val="21"/>
        </w:rPr>
        <w:t>各条</w:t>
      </w:r>
      <w:r>
        <w:rPr>
          <w:spacing w:val="-3"/>
          <w:sz w:val="21"/>
        </w:rPr>
        <w:t>款</w:t>
      </w:r>
      <w:r>
        <w:rPr>
          <w:sz w:val="21"/>
        </w:rPr>
        <w:t>。</w:t>
      </w:r>
    </w:p>
    <w:p>
      <w:pPr>
        <w:spacing w:before="27"/>
        <w:ind w:left="220"/>
        <w:rPr>
          <w:b/>
          <w:sz w:val="21"/>
        </w:rPr>
      </w:pPr>
      <w:r>
        <w:rPr>
          <w:b/>
          <w:sz w:val="21"/>
        </w:rPr>
        <w:t>一、项目的名称、项目内容、总价</w:t>
      </w:r>
    </w:p>
    <w:p>
      <w:pPr>
        <w:pStyle w:val="27"/>
        <w:numPr>
          <w:ilvl w:val="0"/>
          <w:numId w:val="9"/>
        </w:numPr>
        <w:tabs>
          <w:tab w:val="left" w:pos="913"/>
          <w:tab w:val="left" w:pos="5111"/>
        </w:tabs>
        <w:spacing w:before="53"/>
        <w:rPr>
          <w:sz w:val="21"/>
        </w:rPr>
      </w:pPr>
      <w:r>
        <w:rPr>
          <w:sz w:val="21"/>
        </w:rPr>
        <w:t>采</w:t>
      </w:r>
      <w:r>
        <w:rPr>
          <w:spacing w:val="-3"/>
          <w:sz w:val="21"/>
        </w:rPr>
        <w:t>购</w:t>
      </w:r>
      <w:r>
        <w:rPr>
          <w:sz w:val="21"/>
        </w:rPr>
        <w:t>项</w:t>
      </w:r>
      <w:r>
        <w:rPr>
          <w:spacing w:val="-3"/>
          <w:sz w:val="21"/>
        </w:rPr>
        <w:t>目</w:t>
      </w:r>
      <w:r>
        <w:rPr>
          <w:sz w:val="21"/>
        </w:rPr>
        <w:t>名</w:t>
      </w:r>
      <w:r>
        <w:rPr>
          <w:spacing w:val="-3"/>
          <w:sz w:val="21"/>
        </w:rPr>
        <w:t>称</w:t>
      </w:r>
      <w:r>
        <w:rPr>
          <w:sz w:val="21"/>
        </w:rPr>
        <w:t>：</w:t>
      </w:r>
      <w:r>
        <w:rPr>
          <w:sz w:val="21"/>
          <w:u w:val="single"/>
        </w:rPr>
        <w:t xml:space="preserve"> </w:t>
      </w:r>
      <w:r>
        <w:rPr>
          <w:sz w:val="21"/>
          <w:u w:val="single"/>
        </w:rPr>
        <w:tab/>
      </w:r>
      <w:r>
        <w:rPr>
          <w:sz w:val="21"/>
        </w:rPr>
        <w:t>；</w:t>
      </w:r>
    </w:p>
    <w:p>
      <w:pPr>
        <w:pStyle w:val="27"/>
        <w:numPr>
          <w:ilvl w:val="0"/>
          <w:numId w:val="9"/>
        </w:numPr>
        <w:tabs>
          <w:tab w:val="left" w:pos="913"/>
        </w:tabs>
        <w:spacing w:before="55" w:after="27"/>
        <w:rPr>
          <w:sz w:val="21"/>
        </w:rPr>
      </w:pPr>
      <w:r>
        <w:rPr>
          <w:spacing w:val="-3"/>
          <w:sz w:val="21"/>
        </w:rPr>
        <w:t>项目内容：</w:t>
      </w:r>
    </w:p>
    <w:tbl>
      <w:tblPr>
        <w:tblStyle w:val="22"/>
        <w:tblW w:w="0" w:type="auto"/>
        <w:tblInd w:w="2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3"/>
        <w:gridCol w:w="2480"/>
        <w:gridCol w:w="1699"/>
        <w:gridCol w:w="852"/>
        <w:gridCol w:w="763"/>
        <w:gridCol w:w="902"/>
        <w:gridCol w:w="900"/>
        <w:gridCol w:w="90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8" w:hRule="atLeast"/>
        </w:trPr>
        <w:tc>
          <w:tcPr>
            <w:tcW w:w="923" w:type="dxa"/>
          </w:tcPr>
          <w:p>
            <w:pPr>
              <w:pStyle w:val="28"/>
              <w:spacing w:before="9"/>
            </w:pPr>
          </w:p>
          <w:p>
            <w:pPr>
              <w:pStyle w:val="28"/>
              <w:ind w:left="123" w:right="102"/>
              <w:jc w:val="center"/>
              <w:rPr>
                <w:b/>
                <w:sz w:val="21"/>
              </w:rPr>
            </w:pPr>
            <w:r>
              <w:rPr>
                <w:b/>
                <w:sz w:val="21"/>
              </w:rPr>
              <w:t>序号</w:t>
            </w:r>
          </w:p>
        </w:tc>
        <w:tc>
          <w:tcPr>
            <w:tcW w:w="2480" w:type="dxa"/>
          </w:tcPr>
          <w:p>
            <w:pPr>
              <w:pStyle w:val="28"/>
              <w:spacing w:before="9"/>
            </w:pPr>
          </w:p>
          <w:p>
            <w:pPr>
              <w:pStyle w:val="28"/>
              <w:ind w:left="397"/>
              <w:rPr>
                <w:b/>
                <w:sz w:val="21"/>
              </w:rPr>
            </w:pPr>
            <w:r>
              <w:rPr>
                <w:b/>
                <w:sz w:val="21"/>
              </w:rPr>
              <w:t>服务内容</w:t>
            </w:r>
          </w:p>
        </w:tc>
        <w:tc>
          <w:tcPr>
            <w:tcW w:w="1699" w:type="dxa"/>
          </w:tcPr>
          <w:p>
            <w:pPr>
              <w:pStyle w:val="28"/>
              <w:spacing w:before="130" w:line="288" w:lineRule="auto"/>
              <w:ind w:left="426" w:right="88" w:hanging="317"/>
              <w:rPr>
                <w:b/>
                <w:sz w:val="21"/>
              </w:rPr>
            </w:pPr>
            <w:r>
              <w:rPr>
                <w:b/>
                <w:sz w:val="21"/>
              </w:rPr>
              <w:t>技术参数规格或服务要求</w:t>
            </w:r>
          </w:p>
        </w:tc>
        <w:tc>
          <w:tcPr>
            <w:tcW w:w="852" w:type="dxa"/>
          </w:tcPr>
          <w:p>
            <w:pPr>
              <w:pStyle w:val="28"/>
              <w:spacing w:before="9"/>
            </w:pPr>
          </w:p>
          <w:p>
            <w:pPr>
              <w:pStyle w:val="28"/>
              <w:ind w:left="216"/>
              <w:rPr>
                <w:b/>
                <w:sz w:val="21"/>
              </w:rPr>
            </w:pPr>
            <w:r>
              <w:rPr>
                <w:b/>
                <w:sz w:val="21"/>
              </w:rPr>
              <w:t>单位</w:t>
            </w:r>
          </w:p>
        </w:tc>
        <w:tc>
          <w:tcPr>
            <w:tcW w:w="763" w:type="dxa"/>
          </w:tcPr>
          <w:p>
            <w:pPr>
              <w:pStyle w:val="28"/>
              <w:spacing w:before="9"/>
            </w:pPr>
          </w:p>
          <w:p>
            <w:pPr>
              <w:pStyle w:val="28"/>
              <w:ind w:left="167"/>
              <w:rPr>
                <w:b/>
                <w:sz w:val="21"/>
              </w:rPr>
            </w:pPr>
            <w:r>
              <w:rPr>
                <w:b/>
                <w:sz w:val="21"/>
              </w:rPr>
              <w:t>数量</w:t>
            </w:r>
          </w:p>
        </w:tc>
        <w:tc>
          <w:tcPr>
            <w:tcW w:w="902" w:type="dxa"/>
          </w:tcPr>
          <w:p>
            <w:pPr>
              <w:pStyle w:val="28"/>
              <w:spacing w:before="9"/>
            </w:pPr>
          </w:p>
          <w:p>
            <w:pPr>
              <w:pStyle w:val="28"/>
              <w:ind w:left="237"/>
              <w:rPr>
                <w:b/>
                <w:sz w:val="21"/>
              </w:rPr>
            </w:pPr>
            <w:r>
              <w:rPr>
                <w:b/>
                <w:sz w:val="21"/>
              </w:rPr>
              <w:t>价格</w:t>
            </w:r>
          </w:p>
        </w:tc>
        <w:tc>
          <w:tcPr>
            <w:tcW w:w="900" w:type="dxa"/>
          </w:tcPr>
          <w:p>
            <w:pPr>
              <w:pStyle w:val="28"/>
              <w:spacing w:before="9"/>
            </w:pPr>
          </w:p>
          <w:p>
            <w:pPr>
              <w:pStyle w:val="28"/>
              <w:ind w:left="238"/>
              <w:rPr>
                <w:b/>
                <w:sz w:val="21"/>
              </w:rPr>
            </w:pPr>
            <w:r>
              <w:rPr>
                <w:b/>
                <w:sz w:val="21"/>
              </w:rPr>
              <w:t>总价</w:t>
            </w:r>
          </w:p>
        </w:tc>
        <w:tc>
          <w:tcPr>
            <w:tcW w:w="902" w:type="dxa"/>
          </w:tcPr>
          <w:p>
            <w:pPr>
              <w:pStyle w:val="28"/>
              <w:spacing w:before="9"/>
            </w:pPr>
          </w:p>
          <w:p>
            <w:pPr>
              <w:pStyle w:val="28"/>
              <w:ind w:left="240"/>
              <w:rPr>
                <w:b/>
                <w:sz w:val="21"/>
              </w:rPr>
            </w:pPr>
            <w:r>
              <w:rPr>
                <w:b/>
                <w:sz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trPr>
        <w:tc>
          <w:tcPr>
            <w:tcW w:w="923" w:type="dxa"/>
          </w:tcPr>
          <w:p>
            <w:pPr>
              <w:pStyle w:val="28"/>
              <w:spacing w:before="128"/>
              <w:ind w:left="21"/>
              <w:jc w:val="center"/>
              <w:rPr>
                <w:sz w:val="21"/>
              </w:rPr>
            </w:pPr>
            <w:r>
              <w:rPr>
                <w:sz w:val="21"/>
              </w:rPr>
              <w:t>1</w:t>
            </w:r>
          </w:p>
        </w:tc>
        <w:tc>
          <w:tcPr>
            <w:tcW w:w="2480" w:type="dxa"/>
          </w:tcPr>
          <w:p>
            <w:pPr>
              <w:pStyle w:val="28"/>
              <w:rPr>
                <w:rFonts w:ascii="Times New Roman"/>
                <w:sz w:val="20"/>
              </w:rPr>
            </w:pPr>
          </w:p>
        </w:tc>
        <w:tc>
          <w:tcPr>
            <w:tcW w:w="1699" w:type="dxa"/>
          </w:tcPr>
          <w:p>
            <w:pPr>
              <w:pStyle w:val="28"/>
              <w:rPr>
                <w:rFonts w:ascii="Times New Roman"/>
                <w:sz w:val="20"/>
              </w:rPr>
            </w:pPr>
          </w:p>
        </w:tc>
        <w:tc>
          <w:tcPr>
            <w:tcW w:w="852" w:type="dxa"/>
          </w:tcPr>
          <w:p>
            <w:pPr>
              <w:pStyle w:val="28"/>
              <w:rPr>
                <w:rFonts w:ascii="Times New Roman"/>
                <w:sz w:val="20"/>
              </w:rPr>
            </w:pPr>
          </w:p>
        </w:tc>
        <w:tc>
          <w:tcPr>
            <w:tcW w:w="763" w:type="dxa"/>
          </w:tcPr>
          <w:p>
            <w:pPr>
              <w:pStyle w:val="28"/>
              <w:rPr>
                <w:rFonts w:ascii="Times New Roman"/>
                <w:sz w:val="20"/>
              </w:rPr>
            </w:pPr>
          </w:p>
        </w:tc>
        <w:tc>
          <w:tcPr>
            <w:tcW w:w="902" w:type="dxa"/>
          </w:tcPr>
          <w:p>
            <w:pPr>
              <w:pStyle w:val="28"/>
              <w:rPr>
                <w:rFonts w:ascii="Times New Roman"/>
                <w:sz w:val="20"/>
              </w:rPr>
            </w:pPr>
          </w:p>
        </w:tc>
        <w:tc>
          <w:tcPr>
            <w:tcW w:w="900" w:type="dxa"/>
          </w:tcPr>
          <w:p>
            <w:pPr>
              <w:pStyle w:val="28"/>
              <w:rPr>
                <w:rFonts w:ascii="Times New Roman"/>
                <w:sz w:val="20"/>
              </w:rPr>
            </w:pPr>
          </w:p>
        </w:tc>
        <w:tc>
          <w:tcPr>
            <w:tcW w:w="902" w:type="dxa"/>
          </w:tcPr>
          <w:p>
            <w:pPr>
              <w:pStyle w:val="2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923" w:type="dxa"/>
          </w:tcPr>
          <w:p>
            <w:pPr>
              <w:pStyle w:val="28"/>
              <w:spacing w:before="132"/>
              <w:ind w:left="21"/>
              <w:jc w:val="center"/>
              <w:rPr>
                <w:sz w:val="21"/>
              </w:rPr>
            </w:pPr>
            <w:r>
              <w:rPr>
                <w:sz w:val="21"/>
              </w:rPr>
              <w:t>2</w:t>
            </w:r>
          </w:p>
        </w:tc>
        <w:tc>
          <w:tcPr>
            <w:tcW w:w="2480" w:type="dxa"/>
          </w:tcPr>
          <w:p>
            <w:pPr>
              <w:pStyle w:val="28"/>
              <w:rPr>
                <w:rFonts w:ascii="Times New Roman"/>
                <w:sz w:val="20"/>
              </w:rPr>
            </w:pPr>
          </w:p>
        </w:tc>
        <w:tc>
          <w:tcPr>
            <w:tcW w:w="1699" w:type="dxa"/>
          </w:tcPr>
          <w:p>
            <w:pPr>
              <w:pStyle w:val="28"/>
              <w:rPr>
                <w:rFonts w:ascii="Times New Roman"/>
                <w:sz w:val="20"/>
              </w:rPr>
            </w:pPr>
          </w:p>
        </w:tc>
        <w:tc>
          <w:tcPr>
            <w:tcW w:w="852" w:type="dxa"/>
          </w:tcPr>
          <w:p>
            <w:pPr>
              <w:pStyle w:val="28"/>
              <w:rPr>
                <w:rFonts w:ascii="Times New Roman"/>
                <w:sz w:val="20"/>
              </w:rPr>
            </w:pPr>
          </w:p>
        </w:tc>
        <w:tc>
          <w:tcPr>
            <w:tcW w:w="763" w:type="dxa"/>
          </w:tcPr>
          <w:p>
            <w:pPr>
              <w:pStyle w:val="28"/>
              <w:rPr>
                <w:rFonts w:ascii="Times New Roman"/>
                <w:sz w:val="20"/>
              </w:rPr>
            </w:pPr>
          </w:p>
        </w:tc>
        <w:tc>
          <w:tcPr>
            <w:tcW w:w="902" w:type="dxa"/>
          </w:tcPr>
          <w:p>
            <w:pPr>
              <w:pStyle w:val="28"/>
              <w:rPr>
                <w:rFonts w:ascii="Times New Roman"/>
                <w:sz w:val="20"/>
              </w:rPr>
            </w:pPr>
          </w:p>
        </w:tc>
        <w:tc>
          <w:tcPr>
            <w:tcW w:w="900" w:type="dxa"/>
          </w:tcPr>
          <w:p>
            <w:pPr>
              <w:pStyle w:val="28"/>
              <w:rPr>
                <w:rFonts w:ascii="Times New Roman"/>
                <w:sz w:val="20"/>
              </w:rPr>
            </w:pPr>
          </w:p>
        </w:tc>
        <w:tc>
          <w:tcPr>
            <w:tcW w:w="902" w:type="dxa"/>
          </w:tcPr>
          <w:p>
            <w:pPr>
              <w:pStyle w:val="2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7" w:hRule="atLeast"/>
        </w:trPr>
        <w:tc>
          <w:tcPr>
            <w:tcW w:w="923" w:type="dxa"/>
          </w:tcPr>
          <w:p>
            <w:pPr>
              <w:pStyle w:val="28"/>
              <w:spacing w:before="76"/>
              <w:ind w:left="174"/>
              <w:rPr>
                <w:sz w:val="18"/>
              </w:rPr>
            </w:pPr>
            <w:r>
              <w:rPr>
                <w:sz w:val="18"/>
              </w:rPr>
              <w:t>……</w:t>
            </w:r>
          </w:p>
          <w:p>
            <w:pPr>
              <w:pStyle w:val="28"/>
              <w:spacing w:before="65" w:line="244" w:lineRule="auto"/>
              <w:ind w:left="30" w:right="-72"/>
              <w:jc w:val="both"/>
              <w:rPr>
                <w:sz w:val="18"/>
              </w:rPr>
            </w:pPr>
            <w:r>
              <w:rPr>
                <w:spacing w:val="55"/>
                <w:sz w:val="18"/>
              </w:rPr>
              <w:t>（</w:t>
            </w:r>
            <w:r>
              <w:rPr>
                <w:spacing w:val="27"/>
                <w:sz w:val="18"/>
              </w:rPr>
              <w:t>可进</w:t>
            </w:r>
            <w:r>
              <w:rPr>
                <w:spacing w:val="17"/>
                <w:sz w:val="18"/>
              </w:rPr>
              <w:t xml:space="preserve">行调整， </w:t>
            </w:r>
            <w:r>
              <w:rPr>
                <w:spacing w:val="36"/>
                <w:sz w:val="18"/>
              </w:rPr>
              <w:t>若无则删除）</w:t>
            </w:r>
          </w:p>
        </w:tc>
        <w:tc>
          <w:tcPr>
            <w:tcW w:w="2480" w:type="dxa"/>
          </w:tcPr>
          <w:p>
            <w:pPr>
              <w:pStyle w:val="28"/>
              <w:rPr>
                <w:rFonts w:ascii="Times New Roman"/>
                <w:sz w:val="20"/>
              </w:rPr>
            </w:pPr>
          </w:p>
        </w:tc>
        <w:tc>
          <w:tcPr>
            <w:tcW w:w="1699" w:type="dxa"/>
          </w:tcPr>
          <w:p>
            <w:pPr>
              <w:pStyle w:val="28"/>
              <w:rPr>
                <w:rFonts w:ascii="Times New Roman"/>
                <w:sz w:val="20"/>
              </w:rPr>
            </w:pPr>
          </w:p>
        </w:tc>
        <w:tc>
          <w:tcPr>
            <w:tcW w:w="852" w:type="dxa"/>
          </w:tcPr>
          <w:p>
            <w:pPr>
              <w:pStyle w:val="28"/>
              <w:rPr>
                <w:rFonts w:ascii="Times New Roman"/>
                <w:sz w:val="20"/>
              </w:rPr>
            </w:pPr>
          </w:p>
        </w:tc>
        <w:tc>
          <w:tcPr>
            <w:tcW w:w="763" w:type="dxa"/>
          </w:tcPr>
          <w:p>
            <w:pPr>
              <w:pStyle w:val="28"/>
              <w:rPr>
                <w:rFonts w:ascii="Times New Roman"/>
                <w:sz w:val="20"/>
              </w:rPr>
            </w:pPr>
          </w:p>
        </w:tc>
        <w:tc>
          <w:tcPr>
            <w:tcW w:w="902" w:type="dxa"/>
          </w:tcPr>
          <w:p>
            <w:pPr>
              <w:pStyle w:val="28"/>
              <w:rPr>
                <w:rFonts w:ascii="Times New Roman"/>
                <w:sz w:val="20"/>
              </w:rPr>
            </w:pPr>
          </w:p>
        </w:tc>
        <w:tc>
          <w:tcPr>
            <w:tcW w:w="900" w:type="dxa"/>
          </w:tcPr>
          <w:p>
            <w:pPr>
              <w:pStyle w:val="28"/>
              <w:rPr>
                <w:rFonts w:ascii="Times New Roman"/>
                <w:sz w:val="20"/>
              </w:rPr>
            </w:pPr>
          </w:p>
        </w:tc>
        <w:tc>
          <w:tcPr>
            <w:tcW w:w="902" w:type="dxa"/>
          </w:tcPr>
          <w:p>
            <w:pPr>
              <w:pStyle w:val="28"/>
              <w:rPr>
                <w:rFonts w:ascii="Times New Roman"/>
                <w:sz w:val="20"/>
              </w:rPr>
            </w:pPr>
          </w:p>
        </w:tc>
      </w:tr>
    </w:tbl>
    <w:p>
      <w:pPr>
        <w:pStyle w:val="13"/>
        <w:rPr>
          <w:sz w:val="20"/>
        </w:rPr>
      </w:pPr>
    </w:p>
    <w:p>
      <w:pPr>
        <w:pStyle w:val="13"/>
        <w:spacing w:before="10"/>
        <w:rPr>
          <w:sz w:val="16"/>
        </w:rPr>
      </w:pPr>
    </w:p>
    <w:p>
      <w:pPr>
        <w:pStyle w:val="27"/>
        <w:numPr>
          <w:ilvl w:val="0"/>
          <w:numId w:val="9"/>
        </w:numPr>
        <w:tabs>
          <w:tab w:val="left" w:pos="213"/>
          <w:tab w:val="left" w:pos="4411"/>
        </w:tabs>
        <w:ind w:left="852" w:right="5022" w:hanging="853"/>
        <w:jc w:val="right"/>
        <w:rPr>
          <w:sz w:val="21"/>
        </w:rPr>
      </w:pPr>
      <w:r>
        <w:rPr>
          <w:sz w:val="21"/>
        </w:rPr>
        <w:t>合</w:t>
      </w:r>
      <w:r>
        <w:rPr>
          <w:spacing w:val="-3"/>
          <w:sz w:val="21"/>
        </w:rPr>
        <w:t>同</w:t>
      </w:r>
      <w:r>
        <w:rPr>
          <w:sz w:val="21"/>
        </w:rPr>
        <w:t>总</w:t>
      </w:r>
      <w:r>
        <w:rPr>
          <w:spacing w:val="-3"/>
          <w:sz w:val="21"/>
        </w:rPr>
        <w:t>价</w:t>
      </w:r>
      <w:r>
        <w:rPr>
          <w:sz w:val="21"/>
        </w:rPr>
        <w:t>：</w:t>
      </w:r>
      <w:r>
        <w:rPr>
          <w:sz w:val="21"/>
          <w:u w:val="single"/>
        </w:rPr>
        <w:t>（小</w:t>
      </w:r>
      <w:r>
        <w:rPr>
          <w:spacing w:val="-3"/>
          <w:sz w:val="21"/>
          <w:u w:val="single"/>
        </w:rPr>
        <w:t>写</w:t>
      </w:r>
      <w:r>
        <w:rPr>
          <w:sz w:val="21"/>
          <w:u w:val="single"/>
        </w:rPr>
        <w:t>）</w:t>
      </w:r>
      <w:r>
        <w:rPr>
          <w:sz w:val="21"/>
          <w:u w:val="single"/>
        </w:rPr>
        <w:tab/>
      </w:r>
      <w:r>
        <w:rPr>
          <w:sz w:val="21"/>
        </w:rPr>
        <w:t>；</w:t>
      </w:r>
    </w:p>
    <w:p>
      <w:pPr>
        <w:tabs>
          <w:tab w:val="left" w:pos="3148"/>
        </w:tabs>
        <w:spacing w:before="53"/>
        <w:ind w:right="4962"/>
        <w:jc w:val="right"/>
        <w:rPr>
          <w:sz w:val="21"/>
        </w:rPr>
      </w:pPr>
      <w:r>
        <w:rPr>
          <w:spacing w:val="-3"/>
          <w:sz w:val="21"/>
          <w:u w:val="single"/>
        </w:rPr>
        <w:t>（</w:t>
      </w:r>
      <w:r>
        <w:rPr>
          <w:sz w:val="21"/>
          <w:u w:val="single"/>
        </w:rPr>
        <w:t>大</w:t>
      </w:r>
      <w:r>
        <w:rPr>
          <w:spacing w:val="-3"/>
          <w:sz w:val="21"/>
          <w:u w:val="single"/>
        </w:rPr>
        <w:t>写</w:t>
      </w:r>
      <w:r>
        <w:rPr>
          <w:sz w:val="21"/>
          <w:u w:val="single"/>
        </w:rPr>
        <w:t>）</w:t>
      </w:r>
      <w:r>
        <w:rPr>
          <w:sz w:val="21"/>
          <w:u w:val="single"/>
        </w:rPr>
        <w:tab/>
      </w:r>
      <w:r>
        <w:rPr>
          <w:sz w:val="21"/>
        </w:rPr>
        <w:t>；</w:t>
      </w:r>
    </w:p>
    <w:p>
      <w:pPr>
        <w:spacing w:before="55" w:line="288" w:lineRule="auto"/>
        <w:ind w:left="220" w:right="3908" w:firstLine="480"/>
        <w:rPr>
          <w:sz w:val="21"/>
        </w:rPr>
      </w:pPr>
      <w:r>
        <w:rPr>
          <w:sz w:val="21"/>
        </w:rPr>
        <w:t>甲方不再另付任何费用。合同总价为完成项目含税的全包价。</w:t>
      </w:r>
    </w:p>
    <w:p>
      <w:pPr>
        <w:spacing w:before="55" w:line="288" w:lineRule="auto"/>
        <w:ind w:left="220" w:right="3908" w:firstLine="480"/>
        <w:rPr>
          <w:b/>
          <w:sz w:val="21"/>
        </w:rPr>
      </w:pPr>
      <w:r>
        <w:rPr>
          <w:b/>
          <w:sz w:val="21"/>
        </w:rPr>
        <w:t>二、履约时间及方式、地点</w:t>
      </w:r>
    </w:p>
    <w:p>
      <w:pPr>
        <w:pStyle w:val="27"/>
        <w:numPr>
          <w:ilvl w:val="0"/>
          <w:numId w:val="10"/>
        </w:numPr>
        <w:tabs>
          <w:tab w:val="left" w:pos="1017"/>
          <w:tab w:val="left" w:pos="5111"/>
        </w:tabs>
        <w:rPr>
          <w:sz w:val="21"/>
        </w:rPr>
      </w:pPr>
      <w:r>
        <w:rPr>
          <w:spacing w:val="-3"/>
          <w:sz w:val="21"/>
        </w:rPr>
        <w:t>履</w:t>
      </w:r>
      <w:r>
        <w:rPr>
          <w:sz w:val="21"/>
        </w:rPr>
        <w:t>约</w:t>
      </w:r>
      <w:r>
        <w:rPr>
          <w:spacing w:val="-3"/>
          <w:sz w:val="21"/>
        </w:rPr>
        <w:t>时</w:t>
      </w:r>
      <w:r>
        <w:rPr>
          <w:sz w:val="21"/>
        </w:rPr>
        <w:t>间</w:t>
      </w:r>
      <w:r>
        <w:rPr>
          <w:spacing w:val="-3"/>
          <w:sz w:val="21"/>
        </w:rPr>
        <w:t>及</w:t>
      </w:r>
      <w:r>
        <w:rPr>
          <w:sz w:val="21"/>
        </w:rPr>
        <w:t>方</w:t>
      </w:r>
      <w:r>
        <w:rPr>
          <w:spacing w:val="-3"/>
          <w:sz w:val="21"/>
        </w:rPr>
        <w:t>式</w:t>
      </w:r>
      <w:r>
        <w:rPr>
          <w:sz w:val="21"/>
        </w:rPr>
        <w:t>：</w:t>
      </w:r>
      <w:r>
        <w:rPr>
          <w:sz w:val="21"/>
          <w:u w:val="single"/>
        </w:rPr>
        <w:t xml:space="preserve"> </w:t>
      </w:r>
      <w:r>
        <w:rPr>
          <w:sz w:val="21"/>
          <w:u w:val="single"/>
        </w:rPr>
        <w:tab/>
      </w:r>
      <w:r>
        <w:rPr>
          <w:sz w:val="21"/>
        </w:rPr>
        <w:t>。</w:t>
      </w:r>
    </w:p>
    <w:p>
      <w:pPr>
        <w:pStyle w:val="27"/>
        <w:numPr>
          <w:ilvl w:val="0"/>
          <w:numId w:val="10"/>
        </w:numPr>
        <w:tabs>
          <w:tab w:val="left" w:pos="1017"/>
          <w:tab w:val="left" w:pos="5111"/>
        </w:tabs>
        <w:spacing w:before="54" w:line="288" w:lineRule="auto"/>
        <w:ind w:left="220" w:right="4962" w:firstLine="480"/>
        <w:rPr>
          <w:b/>
          <w:sz w:val="21"/>
        </w:rPr>
      </w:pPr>
      <w:r>
        <w:rPr>
          <w:spacing w:val="-3"/>
          <w:sz w:val="21"/>
        </w:rPr>
        <w:t>履</w:t>
      </w:r>
      <w:r>
        <w:rPr>
          <w:sz w:val="21"/>
        </w:rPr>
        <w:t>约</w:t>
      </w:r>
      <w:r>
        <w:rPr>
          <w:spacing w:val="-3"/>
          <w:sz w:val="21"/>
        </w:rPr>
        <w:t>地</w:t>
      </w:r>
      <w:r>
        <w:rPr>
          <w:sz w:val="21"/>
        </w:rPr>
        <w:t>点：</w:t>
      </w:r>
      <w:r>
        <w:rPr>
          <w:sz w:val="21"/>
          <w:u w:val="single"/>
        </w:rPr>
        <w:t xml:space="preserve"> </w:t>
      </w:r>
      <w:r>
        <w:rPr>
          <w:sz w:val="21"/>
          <w:u w:val="single"/>
        </w:rPr>
        <w:tab/>
      </w:r>
      <w:r>
        <w:rPr>
          <w:spacing w:val="-18"/>
          <w:sz w:val="21"/>
        </w:rPr>
        <w:t>。</w:t>
      </w:r>
    </w:p>
    <w:p>
      <w:pPr>
        <w:pStyle w:val="27"/>
        <w:tabs>
          <w:tab w:val="left" w:pos="1017"/>
          <w:tab w:val="left" w:pos="5111"/>
        </w:tabs>
        <w:spacing w:before="54" w:line="288" w:lineRule="auto"/>
        <w:ind w:left="700" w:right="4962" w:firstLine="0"/>
        <w:rPr>
          <w:b/>
          <w:sz w:val="21"/>
        </w:rPr>
      </w:pPr>
      <w:r>
        <w:rPr>
          <w:b/>
          <w:sz w:val="21"/>
        </w:rPr>
        <w:t>三、付款方式、付</w:t>
      </w:r>
      <w:r>
        <w:rPr>
          <w:b/>
          <w:spacing w:val="-3"/>
          <w:sz w:val="21"/>
        </w:rPr>
        <w:t>款</w:t>
      </w:r>
      <w:r>
        <w:rPr>
          <w:b/>
          <w:sz w:val="21"/>
        </w:rPr>
        <w:t>时间</w:t>
      </w:r>
    </w:p>
    <w:p>
      <w:pPr>
        <w:pStyle w:val="27"/>
        <w:numPr>
          <w:ilvl w:val="0"/>
          <w:numId w:val="11"/>
        </w:numPr>
        <w:tabs>
          <w:tab w:val="left" w:pos="853"/>
          <w:tab w:val="left" w:pos="5051"/>
        </w:tabs>
        <w:jc w:val="left"/>
        <w:rPr>
          <w:sz w:val="21"/>
        </w:rPr>
      </w:pPr>
      <w:r>
        <w:rPr>
          <w:sz w:val="21"/>
        </w:rPr>
        <w:t>付</w:t>
      </w:r>
      <w:r>
        <w:rPr>
          <w:spacing w:val="-3"/>
          <w:sz w:val="21"/>
        </w:rPr>
        <w:t>款</w:t>
      </w:r>
      <w:r>
        <w:rPr>
          <w:sz w:val="21"/>
        </w:rPr>
        <w:t>方</w:t>
      </w:r>
      <w:r>
        <w:rPr>
          <w:spacing w:val="-3"/>
          <w:sz w:val="21"/>
        </w:rPr>
        <w:t>式</w:t>
      </w:r>
      <w:r>
        <w:rPr>
          <w:sz w:val="21"/>
        </w:rPr>
        <w:t>：</w:t>
      </w:r>
      <w:r>
        <w:rPr>
          <w:sz w:val="21"/>
          <w:u w:val="single"/>
        </w:rPr>
        <w:t xml:space="preserve"> </w:t>
      </w:r>
      <w:r>
        <w:rPr>
          <w:sz w:val="21"/>
          <w:u w:val="single"/>
        </w:rPr>
        <w:tab/>
      </w:r>
      <w:r>
        <w:rPr>
          <w:sz w:val="21"/>
        </w:rPr>
        <w:t>。</w:t>
      </w:r>
    </w:p>
    <w:p>
      <w:pPr>
        <w:pStyle w:val="27"/>
        <w:numPr>
          <w:ilvl w:val="0"/>
          <w:numId w:val="11"/>
        </w:numPr>
        <w:tabs>
          <w:tab w:val="left" w:pos="913"/>
          <w:tab w:val="left" w:pos="5111"/>
        </w:tabs>
        <w:spacing w:before="53" w:line="288" w:lineRule="auto"/>
        <w:ind w:left="220" w:right="4962" w:firstLine="480"/>
        <w:jc w:val="left"/>
        <w:rPr>
          <w:b/>
          <w:sz w:val="21"/>
        </w:rPr>
      </w:pPr>
      <w:r>
        <w:rPr>
          <w:sz w:val="21"/>
        </w:rPr>
        <w:t>付</w:t>
      </w:r>
      <w:r>
        <w:rPr>
          <w:spacing w:val="-3"/>
          <w:sz w:val="21"/>
        </w:rPr>
        <w:t>款</w:t>
      </w:r>
      <w:r>
        <w:rPr>
          <w:sz w:val="21"/>
        </w:rPr>
        <w:t>时</w:t>
      </w:r>
      <w:r>
        <w:rPr>
          <w:spacing w:val="-3"/>
          <w:sz w:val="21"/>
        </w:rPr>
        <w:t>间</w:t>
      </w:r>
      <w:r>
        <w:rPr>
          <w:sz w:val="21"/>
        </w:rPr>
        <w:t>：</w:t>
      </w:r>
      <w:r>
        <w:rPr>
          <w:sz w:val="21"/>
          <w:u w:val="single"/>
        </w:rPr>
        <w:t xml:space="preserve"> </w:t>
      </w:r>
      <w:r>
        <w:rPr>
          <w:sz w:val="21"/>
          <w:u w:val="single"/>
        </w:rPr>
        <w:tab/>
      </w:r>
      <w:r>
        <w:rPr>
          <w:spacing w:val="-18"/>
          <w:sz w:val="21"/>
        </w:rPr>
        <w:t>。</w:t>
      </w:r>
    </w:p>
    <w:p>
      <w:pPr>
        <w:pStyle w:val="27"/>
        <w:tabs>
          <w:tab w:val="left" w:pos="913"/>
          <w:tab w:val="left" w:pos="5111"/>
        </w:tabs>
        <w:spacing w:before="53" w:line="288" w:lineRule="auto"/>
        <w:ind w:left="700" w:right="4962" w:firstLine="0"/>
        <w:rPr>
          <w:b/>
          <w:sz w:val="21"/>
        </w:rPr>
      </w:pPr>
      <w:r>
        <w:rPr>
          <w:b/>
          <w:sz w:val="21"/>
        </w:rPr>
        <w:t>四、验收</w:t>
      </w:r>
    </w:p>
    <w:p>
      <w:pPr>
        <w:pStyle w:val="27"/>
        <w:numPr>
          <w:ilvl w:val="0"/>
          <w:numId w:val="12"/>
        </w:numPr>
        <w:tabs>
          <w:tab w:val="left" w:pos="853"/>
          <w:tab w:val="left" w:pos="5051"/>
        </w:tabs>
        <w:spacing w:before="2"/>
        <w:rPr>
          <w:sz w:val="21"/>
        </w:rPr>
      </w:pPr>
      <w:r>
        <w:rPr>
          <w:sz w:val="21"/>
        </w:rPr>
        <w:t>验</w:t>
      </w:r>
      <w:r>
        <w:rPr>
          <w:spacing w:val="-3"/>
          <w:sz w:val="21"/>
        </w:rPr>
        <w:t>收</w:t>
      </w:r>
      <w:r>
        <w:rPr>
          <w:sz w:val="21"/>
        </w:rPr>
        <w:t>方</w:t>
      </w:r>
      <w:r>
        <w:rPr>
          <w:spacing w:val="-3"/>
          <w:sz w:val="21"/>
        </w:rPr>
        <w:t>式</w:t>
      </w:r>
      <w:r>
        <w:rPr>
          <w:sz w:val="21"/>
        </w:rPr>
        <w:t>：</w:t>
      </w:r>
      <w:r>
        <w:rPr>
          <w:sz w:val="21"/>
          <w:u w:val="single"/>
        </w:rPr>
        <w:t xml:space="preserve"> </w:t>
      </w:r>
      <w:r>
        <w:rPr>
          <w:sz w:val="21"/>
          <w:u w:val="single"/>
        </w:rPr>
        <w:tab/>
      </w:r>
      <w:r>
        <w:rPr>
          <w:sz w:val="21"/>
        </w:rPr>
        <w:t>。</w:t>
      </w:r>
    </w:p>
    <w:p>
      <w:pPr>
        <w:pStyle w:val="27"/>
        <w:numPr>
          <w:ilvl w:val="0"/>
          <w:numId w:val="12"/>
        </w:numPr>
        <w:tabs>
          <w:tab w:val="left" w:pos="853"/>
          <w:tab w:val="left" w:pos="5051"/>
        </w:tabs>
        <w:spacing w:before="53" w:line="288" w:lineRule="auto"/>
        <w:ind w:left="220" w:right="5022" w:firstLine="420"/>
        <w:rPr>
          <w:b/>
          <w:sz w:val="21"/>
        </w:rPr>
      </w:pPr>
      <w:r>
        <w:rPr>
          <w:sz w:val="21"/>
        </w:rPr>
        <w:t>验</w:t>
      </w:r>
      <w:r>
        <w:rPr>
          <w:spacing w:val="-3"/>
          <w:sz w:val="21"/>
        </w:rPr>
        <w:t>收</w:t>
      </w:r>
      <w:r>
        <w:rPr>
          <w:sz w:val="21"/>
        </w:rPr>
        <w:t>标</w:t>
      </w:r>
      <w:r>
        <w:rPr>
          <w:spacing w:val="-3"/>
          <w:sz w:val="21"/>
        </w:rPr>
        <w:t>准</w:t>
      </w:r>
      <w:r>
        <w:rPr>
          <w:sz w:val="21"/>
        </w:rPr>
        <w:t>：</w:t>
      </w:r>
      <w:r>
        <w:rPr>
          <w:sz w:val="21"/>
          <w:u w:val="single"/>
        </w:rPr>
        <w:t xml:space="preserve"> </w:t>
      </w:r>
      <w:r>
        <w:rPr>
          <w:sz w:val="21"/>
          <w:u w:val="single"/>
        </w:rPr>
        <w:tab/>
      </w:r>
      <w:r>
        <w:rPr>
          <w:spacing w:val="-18"/>
          <w:sz w:val="21"/>
        </w:rPr>
        <w:t>。</w:t>
      </w:r>
    </w:p>
    <w:p>
      <w:pPr>
        <w:pStyle w:val="27"/>
        <w:tabs>
          <w:tab w:val="left" w:pos="853"/>
          <w:tab w:val="left" w:pos="5051"/>
        </w:tabs>
        <w:spacing w:before="53" w:line="288" w:lineRule="auto"/>
        <w:ind w:left="640" w:right="5022" w:firstLine="0"/>
        <w:rPr>
          <w:b/>
          <w:sz w:val="21"/>
        </w:rPr>
      </w:pPr>
      <w:r>
        <w:rPr>
          <w:b/>
          <w:sz w:val="21"/>
        </w:rPr>
        <w:t>五、违约责任</w:t>
      </w:r>
    </w:p>
    <w:p>
      <w:pPr>
        <w:pStyle w:val="27"/>
        <w:numPr>
          <w:ilvl w:val="0"/>
          <w:numId w:val="13"/>
        </w:numPr>
        <w:tabs>
          <w:tab w:val="left" w:pos="913"/>
        </w:tabs>
        <w:spacing w:line="288" w:lineRule="auto"/>
        <w:ind w:right="319" w:firstLine="480"/>
        <w:jc w:val="left"/>
        <w:rPr>
          <w:rFonts w:ascii="Times New Roman" w:eastAsia="Times New Roman"/>
          <w:sz w:val="19"/>
        </w:rPr>
      </w:pPr>
      <w:r>
        <w:rPr>
          <w:spacing w:val="-4"/>
          <w:sz w:val="21"/>
        </w:rPr>
        <w:t>乙方所提供的服务质量、拟投入人员不符合合同规定的，由乙方负责按照原磋商文件、更正公告内</w:t>
      </w:r>
      <w:r>
        <w:rPr>
          <w:spacing w:val="-3"/>
          <w:sz w:val="21"/>
        </w:rPr>
        <w:t>容和质疑答疑文件、响应文件、成交供应商等实质性内容重新免费提供该项目服务内容。</w:t>
      </w:r>
    </w:p>
    <w:p>
      <w:pPr>
        <w:pStyle w:val="27"/>
        <w:numPr>
          <w:ilvl w:val="0"/>
          <w:numId w:val="13"/>
        </w:numPr>
        <w:tabs>
          <w:tab w:val="left" w:pos="852"/>
        </w:tabs>
        <w:spacing w:before="2"/>
        <w:ind w:left="852"/>
        <w:jc w:val="left"/>
        <w:rPr>
          <w:sz w:val="19"/>
        </w:rPr>
        <w:sectPr>
          <w:footerReference r:id="rId5" w:type="default"/>
          <w:pgSz w:w="11910" w:h="16840"/>
          <w:pgMar w:top="1580" w:right="760" w:bottom="1040" w:left="1300" w:header="0" w:footer="776" w:gutter="0"/>
          <w:cols w:space="720" w:num="1"/>
        </w:sectPr>
      </w:pPr>
      <w:r>
        <w:rPr>
          <w:spacing w:val="-3"/>
          <w:sz w:val="21"/>
        </w:rPr>
        <w:t>甲方违反合同规定的，应当承担由此对乙方造成的损失。</w:t>
      </w:r>
    </w:p>
    <w:p>
      <w:pPr>
        <w:pStyle w:val="27"/>
        <w:numPr>
          <w:ilvl w:val="0"/>
          <w:numId w:val="13"/>
        </w:numPr>
        <w:tabs>
          <w:tab w:val="left" w:pos="853"/>
          <w:tab w:val="left" w:pos="2216"/>
        </w:tabs>
        <w:spacing w:before="49" w:line="288" w:lineRule="auto"/>
        <w:ind w:left="220" w:right="7856" w:firstLine="420"/>
        <w:jc w:val="left"/>
        <w:rPr>
          <w:b/>
          <w:sz w:val="19"/>
        </w:rPr>
      </w:pPr>
      <w:r>
        <w:rPr>
          <w:sz w:val="21"/>
        </w:rPr>
        <w:t>其</w:t>
      </w:r>
      <w:r>
        <w:rPr>
          <w:spacing w:val="-3"/>
          <w:sz w:val="21"/>
        </w:rPr>
        <w:t>他</w:t>
      </w:r>
      <w:r>
        <w:rPr>
          <w:sz w:val="21"/>
        </w:rPr>
        <w:t>：</w:t>
      </w:r>
      <w:r>
        <w:rPr>
          <w:sz w:val="21"/>
          <w:u w:val="single"/>
        </w:rPr>
        <w:t xml:space="preserve"> </w:t>
      </w:r>
      <w:r>
        <w:rPr>
          <w:sz w:val="21"/>
          <w:u w:val="single"/>
        </w:rPr>
        <w:tab/>
      </w:r>
      <w:r>
        <w:rPr>
          <w:spacing w:val="-17"/>
          <w:sz w:val="21"/>
        </w:rPr>
        <w:t>。</w:t>
      </w:r>
      <w:r>
        <w:rPr>
          <w:b/>
          <w:sz w:val="21"/>
        </w:rPr>
        <w:t>六、解决争议的办法</w:t>
      </w:r>
    </w:p>
    <w:p>
      <w:pPr>
        <w:tabs>
          <w:tab w:val="left" w:pos="9445"/>
        </w:tabs>
        <w:ind w:left="640"/>
        <w:rPr>
          <w:sz w:val="21"/>
        </w:rPr>
      </w:pPr>
      <w:r>
        <w:rPr>
          <w:sz w:val="21"/>
        </w:rPr>
        <w:t>合同</w:t>
      </w:r>
      <w:r>
        <w:rPr>
          <w:spacing w:val="-3"/>
          <w:sz w:val="21"/>
        </w:rPr>
        <w:t>实</w:t>
      </w:r>
      <w:r>
        <w:rPr>
          <w:sz w:val="21"/>
        </w:rPr>
        <w:t>施</w:t>
      </w:r>
      <w:r>
        <w:rPr>
          <w:spacing w:val="-3"/>
          <w:sz w:val="21"/>
        </w:rPr>
        <w:t>或</w:t>
      </w:r>
      <w:r>
        <w:rPr>
          <w:sz w:val="21"/>
        </w:rPr>
        <w:t>与</w:t>
      </w:r>
      <w:r>
        <w:rPr>
          <w:spacing w:val="-3"/>
          <w:sz w:val="21"/>
        </w:rPr>
        <w:t>合</w:t>
      </w:r>
      <w:r>
        <w:rPr>
          <w:sz w:val="21"/>
        </w:rPr>
        <w:t>同</w:t>
      </w:r>
      <w:r>
        <w:rPr>
          <w:spacing w:val="-3"/>
          <w:sz w:val="21"/>
        </w:rPr>
        <w:t>有</w:t>
      </w:r>
      <w:r>
        <w:rPr>
          <w:sz w:val="21"/>
        </w:rPr>
        <w:t>关</w:t>
      </w:r>
      <w:r>
        <w:rPr>
          <w:spacing w:val="-3"/>
          <w:sz w:val="21"/>
        </w:rPr>
        <w:t>的</w:t>
      </w:r>
      <w:r>
        <w:rPr>
          <w:sz w:val="21"/>
        </w:rPr>
        <w:t>一切</w:t>
      </w:r>
      <w:r>
        <w:rPr>
          <w:spacing w:val="-3"/>
          <w:sz w:val="21"/>
        </w:rPr>
        <w:t>争</w:t>
      </w:r>
      <w:r>
        <w:rPr>
          <w:sz w:val="21"/>
        </w:rPr>
        <w:t>议</w:t>
      </w:r>
      <w:r>
        <w:rPr>
          <w:spacing w:val="-3"/>
          <w:sz w:val="21"/>
        </w:rPr>
        <w:t>应</w:t>
      </w:r>
      <w:r>
        <w:rPr>
          <w:sz w:val="21"/>
        </w:rPr>
        <w:t>通</w:t>
      </w:r>
      <w:r>
        <w:rPr>
          <w:spacing w:val="-3"/>
          <w:sz w:val="21"/>
        </w:rPr>
        <w:t>过</w:t>
      </w:r>
      <w:r>
        <w:rPr>
          <w:sz w:val="21"/>
        </w:rPr>
        <w:t>双</w:t>
      </w:r>
      <w:r>
        <w:rPr>
          <w:spacing w:val="-3"/>
          <w:sz w:val="21"/>
        </w:rPr>
        <w:t>方</w:t>
      </w:r>
      <w:r>
        <w:rPr>
          <w:sz w:val="21"/>
        </w:rPr>
        <w:t>友</w:t>
      </w:r>
      <w:r>
        <w:rPr>
          <w:spacing w:val="-3"/>
          <w:sz w:val="21"/>
        </w:rPr>
        <w:t>好</w:t>
      </w:r>
      <w:r>
        <w:rPr>
          <w:sz w:val="21"/>
        </w:rPr>
        <w:t>协商</w:t>
      </w:r>
      <w:r>
        <w:rPr>
          <w:spacing w:val="-3"/>
          <w:sz w:val="21"/>
        </w:rPr>
        <w:t>解</w:t>
      </w:r>
      <w:r>
        <w:rPr>
          <w:sz w:val="21"/>
        </w:rPr>
        <w:t>决</w:t>
      </w:r>
      <w:r>
        <w:rPr>
          <w:spacing w:val="-65"/>
          <w:sz w:val="21"/>
        </w:rPr>
        <w:t>。</w:t>
      </w:r>
      <w:r>
        <w:rPr>
          <w:sz w:val="21"/>
        </w:rPr>
        <w:t>如</w:t>
      </w:r>
      <w:r>
        <w:rPr>
          <w:spacing w:val="-3"/>
          <w:sz w:val="21"/>
        </w:rPr>
        <w:t>果</w:t>
      </w:r>
      <w:r>
        <w:rPr>
          <w:sz w:val="21"/>
        </w:rPr>
        <w:t>友</w:t>
      </w:r>
      <w:r>
        <w:rPr>
          <w:spacing w:val="-3"/>
          <w:sz w:val="21"/>
        </w:rPr>
        <w:t>好</w:t>
      </w:r>
      <w:r>
        <w:rPr>
          <w:sz w:val="21"/>
        </w:rPr>
        <w:t>协</w:t>
      </w:r>
      <w:r>
        <w:rPr>
          <w:spacing w:val="-3"/>
          <w:sz w:val="21"/>
        </w:rPr>
        <w:t>商</w:t>
      </w:r>
      <w:r>
        <w:rPr>
          <w:sz w:val="21"/>
        </w:rPr>
        <w:t>不能</w:t>
      </w:r>
      <w:r>
        <w:rPr>
          <w:spacing w:val="-3"/>
          <w:sz w:val="21"/>
        </w:rPr>
        <w:t>解</w:t>
      </w:r>
      <w:r>
        <w:rPr>
          <w:sz w:val="21"/>
        </w:rPr>
        <w:t>决</w:t>
      </w:r>
      <w:r>
        <w:rPr>
          <w:spacing w:val="-65"/>
          <w:sz w:val="21"/>
        </w:rPr>
        <w:t>，</w:t>
      </w:r>
      <w:r>
        <w:rPr>
          <w:sz w:val="21"/>
        </w:rPr>
        <w:t>作</w:t>
      </w:r>
      <w:r>
        <w:rPr>
          <w:spacing w:val="-3"/>
          <w:sz w:val="21"/>
        </w:rPr>
        <w:t>如</w:t>
      </w:r>
      <w:r>
        <w:rPr>
          <w:sz w:val="21"/>
        </w:rPr>
        <w:t>下</w:t>
      </w:r>
      <w:r>
        <w:rPr>
          <w:sz w:val="21"/>
          <w:u w:val="single"/>
        </w:rPr>
        <w:t xml:space="preserve"> </w:t>
      </w:r>
      <w:r>
        <w:rPr>
          <w:sz w:val="21"/>
          <w:u w:val="single"/>
        </w:rPr>
        <w:tab/>
      </w:r>
      <w:r>
        <w:rPr>
          <w:spacing w:val="-3"/>
          <w:sz w:val="21"/>
        </w:rPr>
        <w:t>处理：</w:t>
      </w:r>
    </w:p>
    <w:p>
      <w:pPr>
        <w:pStyle w:val="27"/>
        <w:numPr>
          <w:ilvl w:val="0"/>
          <w:numId w:val="14"/>
        </w:numPr>
        <w:tabs>
          <w:tab w:val="left" w:pos="1170"/>
        </w:tabs>
        <w:spacing w:before="55"/>
        <w:ind w:hanging="530"/>
        <w:rPr>
          <w:sz w:val="21"/>
        </w:rPr>
      </w:pPr>
      <w:r>
        <w:rPr>
          <w:spacing w:val="-3"/>
          <w:sz w:val="21"/>
        </w:rPr>
        <w:t>、申请仲裁。仲裁机构为海南仲裁委员会。</w:t>
      </w:r>
    </w:p>
    <w:p>
      <w:pPr>
        <w:pStyle w:val="27"/>
        <w:numPr>
          <w:ilvl w:val="0"/>
          <w:numId w:val="14"/>
        </w:numPr>
        <w:tabs>
          <w:tab w:val="left" w:pos="1170"/>
        </w:tabs>
        <w:spacing w:before="52" w:line="266" w:lineRule="auto"/>
        <w:ind w:left="220" w:right="5335" w:firstLine="420"/>
        <w:rPr>
          <w:b/>
          <w:sz w:val="21"/>
        </w:rPr>
      </w:pPr>
      <w:r>
        <w:rPr>
          <w:spacing w:val="-4"/>
          <w:sz w:val="21"/>
        </w:rPr>
        <w:t>、提起诉讼。诉讼地点为采购人所在地。</w:t>
      </w:r>
      <w:r>
        <w:rPr>
          <w:b/>
          <w:sz w:val="21"/>
        </w:rPr>
        <w:t>七、合同生效</w:t>
      </w:r>
    </w:p>
    <w:p>
      <w:pPr>
        <w:spacing w:line="241" w:lineRule="exact"/>
        <w:ind w:left="640"/>
        <w:rPr>
          <w:sz w:val="21"/>
        </w:rPr>
      </w:pPr>
      <w:r>
        <w:rPr>
          <w:sz w:val="21"/>
        </w:rPr>
        <w:t>本合同由甲乙双方签字盖章后生效。</w:t>
      </w:r>
    </w:p>
    <w:p>
      <w:pPr>
        <w:spacing w:before="31" w:line="264" w:lineRule="auto"/>
        <w:ind w:left="220" w:right="5845"/>
        <w:rPr>
          <w:b/>
          <w:sz w:val="21"/>
        </w:rPr>
      </w:pPr>
      <w:r>
        <w:rPr>
          <w:b/>
          <w:sz w:val="21"/>
        </w:rPr>
        <w:t>八、其他未尽事宜由甲乙双方友好协商确定。九、合同鉴证</w:t>
      </w:r>
    </w:p>
    <w:p>
      <w:pPr>
        <w:spacing w:before="3" w:line="288" w:lineRule="auto"/>
        <w:ind w:left="219" w:right="345" w:firstLine="480"/>
        <w:rPr>
          <w:sz w:val="21"/>
        </w:rPr>
      </w:pPr>
      <w:r>
        <w:rPr>
          <w:sz w:val="21"/>
        </w:rPr>
        <w:t>采购代理机构应当在本合同上签章，以证明本合同条款与磋商文件、响应文件的相关要求相符并且未对采购内容或技术参数进行实质性修改。</w:t>
      </w:r>
    </w:p>
    <w:p>
      <w:pPr>
        <w:spacing w:line="262" w:lineRule="exact"/>
        <w:ind w:left="220"/>
        <w:rPr>
          <w:b/>
          <w:sz w:val="21"/>
        </w:rPr>
      </w:pPr>
      <w:r>
        <w:rPr>
          <w:b/>
          <w:sz w:val="21"/>
        </w:rPr>
        <w:t>十、本合同的组成文件</w:t>
      </w:r>
    </w:p>
    <w:p>
      <w:pPr>
        <w:pStyle w:val="27"/>
        <w:numPr>
          <w:ilvl w:val="1"/>
          <w:numId w:val="14"/>
        </w:numPr>
        <w:tabs>
          <w:tab w:val="left" w:pos="987"/>
        </w:tabs>
        <w:spacing w:before="22"/>
        <w:rPr>
          <w:sz w:val="21"/>
        </w:rPr>
      </w:pPr>
      <w:r>
        <w:rPr>
          <w:spacing w:val="-3"/>
          <w:sz w:val="21"/>
        </w:rPr>
        <w:t>竞争性磋商文件、乙方的响应文件和评审时的澄清函（</w:t>
      </w:r>
      <w:r>
        <w:rPr>
          <w:spacing w:val="-2"/>
          <w:sz w:val="21"/>
        </w:rPr>
        <w:t>如有</w:t>
      </w:r>
      <w:r>
        <w:rPr>
          <w:sz w:val="21"/>
        </w:rPr>
        <w:t>）；</w:t>
      </w:r>
    </w:p>
    <w:p>
      <w:pPr>
        <w:pStyle w:val="27"/>
        <w:numPr>
          <w:ilvl w:val="1"/>
          <w:numId w:val="14"/>
        </w:numPr>
        <w:tabs>
          <w:tab w:val="left" w:pos="987"/>
        </w:tabs>
        <w:spacing w:before="23"/>
        <w:rPr>
          <w:sz w:val="21"/>
        </w:rPr>
      </w:pPr>
      <w:r>
        <w:rPr>
          <w:spacing w:val="-3"/>
          <w:sz w:val="21"/>
        </w:rPr>
        <w:t>成交通知书；</w:t>
      </w:r>
    </w:p>
    <w:p>
      <w:pPr>
        <w:pStyle w:val="27"/>
        <w:numPr>
          <w:ilvl w:val="1"/>
          <w:numId w:val="14"/>
        </w:numPr>
        <w:tabs>
          <w:tab w:val="left" w:pos="987"/>
        </w:tabs>
        <w:spacing w:before="22"/>
        <w:rPr>
          <w:sz w:val="21"/>
        </w:rPr>
      </w:pPr>
      <w:r>
        <w:rPr>
          <w:spacing w:val="-3"/>
          <w:sz w:val="21"/>
        </w:rPr>
        <w:t>甲乙双方商定的其他必要文件。</w:t>
      </w:r>
    </w:p>
    <w:p>
      <w:pPr>
        <w:spacing w:before="23" w:line="259" w:lineRule="auto"/>
        <w:ind w:left="220" w:right="3908" w:firstLine="480"/>
        <w:rPr>
          <w:b/>
          <w:sz w:val="21"/>
        </w:rPr>
      </w:pPr>
      <w:r>
        <w:rPr>
          <w:sz w:val="21"/>
        </w:rPr>
        <w:t>上述合同文件内容互为补充，如有不明确，由甲方负责解释。</w:t>
      </w:r>
      <w:r>
        <w:rPr>
          <w:b/>
          <w:sz w:val="21"/>
        </w:rPr>
        <w:t>十一、合同备案</w:t>
      </w:r>
    </w:p>
    <w:p>
      <w:pPr>
        <w:tabs>
          <w:tab w:val="left" w:pos="2065"/>
          <w:tab w:val="left" w:pos="4239"/>
          <w:tab w:val="left" w:pos="5377"/>
        </w:tabs>
        <w:spacing w:line="269" w:lineRule="exact"/>
        <w:ind w:left="699"/>
        <w:rPr>
          <w:sz w:val="21"/>
        </w:rPr>
      </w:pPr>
      <w:r>
        <w:rPr>
          <w:sz w:val="21"/>
        </w:rPr>
        <w:t>本合</w:t>
      </w:r>
      <w:r>
        <w:rPr>
          <w:spacing w:val="-3"/>
          <w:sz w:val="21"/>
        </w:rPr>
        <w:t>同</w:t>
      </w:r>
      <w:r>
        <w:rPr>
          <w:sz w:val="21"/>
        </w:rPr>
        <w:t>一</w:t>
      </w:r>
      <w:r>
        <w:rPr>
          <w:spacing w:val="-3"/>
          <w:sz w:val="21"/>
        </w:rPr>
        <w:t>式</w:t>
      </w:r>
      <w:r>
        <w:rPr>
          <w:spacing w:val="-3"/>
          <w:sz w:val="21"/>
          <w:u w:val="single"/>
        </w:rPr>
        <w:t xml:space="preserve"> </w:t>
      </w:r>
      <w:r>
        <w:rPr>
          <w:spacing w:val="-3"/>
          <w:sz w:val="21"/>
          <w:u w:val="single"/>
        </w:rPr>
        <w:tab/>
      </w:r>
      <w:r>
        <w:rPr>
          <w:sz w:val="21"/>
        </w:rPr>
        <w:t>份</w:t>
      </w:r>
      <w:r>
        <w:rPr>
          <w:spacing w:val="-17"/>
          <w:sz w:val="21"/>
        </w:rPr>
        <w:t>，</w:t>
      </w:r>
      <w:r>
        <w:rPr>
          <w:spacing w:val="-3"/>
          <w:sz w:val="21"/>
        </w:rPr>
        <w:t>中</w:t>
      </w:r>
      <w:r>
        <w:rPr>
          <w:sz w:val="21"/>
        </w:rPr>
        <w:t>文</w:t>
      </w:r>
      <w:r>
        <w:rPr>
          <w:spacing w:val="-3"/>
          <w:sz w:val="21"/>
        </w:rPr>
        <w:t>书</w:t>
      </w:r>
      <w:r>
        <w:rPr>
          <w:sz w:val="21"/>
        </w:rPr>
        <w:t>写</w:t>
      </w:r>
      <w:r>
        <w:rPr>
          <w:spacing w:val="-17"/>
          <w:sz w:val="21"/>
        </w:rPr>
        <w:t>。</w:t>
      </w:r>
      <w:r>
        <w:rPr>
          <w:spacing w:val="-3"/>
          <w:sz w:val="21"/>
        </w:rPr>
        <w:t>甲</w:t>
      </w:r>
      <w:r>
        <w:rPr>
          <w:sz w:val="21"/>
        </w:rPr>
        <w:t>方</w:t>
      </w:r>
      <w:r>
        <w:rPr>
          <w:sz w:val="21"/>
          <w:u w:val="single"/>
        </w:rPr>
        <w:t xml:space="preserve"> </w:t>
      </w:r>
      <w:r>
        <w:rPr>
          <w:sz w:val="21"/>
          <w:u w:val="single"/>
        </w:rPr>
        <w:tab/>
      </w:r>
      <w:r>
        <w:rPr>
          <w:sz w:val="21"/>
        </w:rPr>
        <w:t>份</w:t>
      </w:r>
      <w:r>
        <w:rPr>
          <w:spacing w:val="-17"/>
          <w:sz w:val="21"/>
        </w:rPr>
        <w:t>、</w:t>
      </w:r>
      <w:r>
        <w:rPr>
          <w:spacing w:val="-3"/>
          <w:sz w:val="21"/>
        </w:rPr>
        <w:t>乙</w:t>
      </w:r>
      <w:r>
        <w:rPr>
          <w:sz w:val="21"/>
        </w:rPr>
        <w:t>方</w:t>
      </w:r>
      <w:r>
        <w:rPr>
          <w:sz w:val="21"/>
          <w:u w:val="single"/>
        </w:rPr>
        <w:t xml:space="preserve"> </w:t>
      </w:r>
      <w:r>
        <w:rPr>
          <w:sz w:val="21"/>
          <w:u w:val="single"/>
        </w:rPr>
        <w:tab/>
      </w:r>
      <w:r>
        <w:rPr>
          <w:sz w:val="21"/>
        </w:rPr>
        <w:t>份</w:t>
      </w:r>
      <w:r>
        <w:rPr>
          <w:spacing w:val="-17"/>
          <w:sz w:val="21"/>
        </w:rPr>
        <w:t>，</w:t>
      </w:r>
      <w:r>
        <w:rPr>
          <w:spacing w:val="-3"/>
          <w:sz w:val="21"/>
        </w:rPr>
        <w:t>采</w:t>
      </w:r>
      <w:r>
        <w:rPr>
          <w:sz w:val="21"/>
        </w:rPr>
        <w:t>购</w:t>
      </w:r>
      <w:r>
        <w:rPr>
          <w:spacing w:val="-3"/>
          <w:sz w:val="21"/>
        </w:rPr>
        <w:t>代</w:t>
      </w:r>
      <w:r>
        <w:rPr>
          <w:sz w:val="21"/>
        </w:rPr>
        <w:t>理</w:t>
      </w:r>
      <w:r>
        <w:rPr>
          <w:spacing w:val="-3"/>
          <w:sz w:val="21"/>
        </w:rPr>
        <w:t>机</w:t>
      </w:r>
      <w:r>
        <w:rPr>
          <w:sz w:val="21"/>
        </w:rPr>
        <w:t>构</w:t>
      </w:r>
      <w:r>
        <w:rPr>
          <w:spacing w:val="-3"/>
          <w:sz w:val="21"/>
        </w:rPr>
        <w:t>壹</w:t>
      </w:r>
      <w:r>
        <w:rPr>
          <w:sz w:val="21"/>
        </w:rPr>
        <w:t>份</w:t>
      </w:r>
      <w:r>
        <w:rPr>
          <w:spacing w:val="-20"/>
          <w:sz w:val="21"/>
        </w:rPr>
        <w:t>，</w:t>
      </w:r>
      <w:r>
        <w:rPr>
          <w:sz w:val="21"/>
        </w:rPr>
        <w:t>政府</w:t>
      </w:r>
      <w:r>
        <w:rPr>
          <w:spacing w:val="-3"/>
          <w:sz w:val="21"/>
        </w:rPr>
        <w:t>采</w:t>
      </w:r>
      <w:r>
        <w:rPr>
          <w:sz w:val="21"/>
        </w:rPr>
        <w:t>购</w:t>
      </w:r>
      <w:r>
        <w:rPr>
          <w:spacing w:val="-3"/>
          <w:sz w:val="21"/>
        </w:rPr>
        <w:t>行</w:t>
      </w:r>
      <w:r>
        <w:rPr>
          <w:sz w:val="21"/>
        </w:rPr>
        <w:t>政</w:t>
      </w:r>
      <w:r>
        <w:rPr>
          <w:spacing w:val="-3"/>
          <w:sz w:val="21"/>
        </w:rPr>
        <w:t>主</w:t>
      </w:r>
      <w:r>
        <w:rPr>
          <w:sz w:val="21"/>
        </w:rPr>
        <w:t>管</w:t>
      </w:r>
      <w:r>
        <w:rPr>
          <w:spacing w:val="-3"/>
          <w:sz w:val="21"/>
        </w:rPr>
        <w:t>部</w:t>
      </w:r>
      <w:r>
        <w:rPr>
          <w:sz w:val="21"/>
        </w:rPr>
        <w:t>门壹</w:t>
      </w:r>
    </w:p>
    <w:p>
      <w:pPr>
        <w:spacing w:before="5"/>
        <w:ind w:left="220"/>
        <w:rPr>
          <w:sz w:val="21"/>
        </w:rPr>
      </w:pPr>
      <w:r>
        <w:rPr>
          <w:sz w:val="21"/>
        </w:rPr>
        <w:t>份。</w:t>
      </w:r>
    </w:p>
    <w:p>
      <w:pPr>
        <w:pStyle w:val="13"/>
        <w:rPr>
          <w:sz w:val="20"/>
        </w:rPr>
      </w:pPr>
    </w:p>
    <w:p>
      <w:pPr>
        <w:pStyle w:val="13"/>
        <w:rPr>
          <w:sz w:val="20"/>
        </w:rPr>
      </w:pPr>
    </w:p>
    <w:p>
      <w:pPr>
        <w:pStyle w:val="13"/>
        <w:spacing w:before="1"/>
        <w:rPr>
          <w:sz w:val="17"/>
        </w:rPr>
      </w:pPr>
    </w:p>
    <w:p>
      <w:pPr>
        <w:tabs>
          <w:tab w:val="left" w:pos="2855"/>
          <w:tab w:val="left" w:pos="4227"/>
          <w:tab w:val="left" w:pos="6757"/>
        </w:tabs>
        <w:ind w:left="220"/>
        <w:rPr>
          <w:b/>
          <w:sz w:val="21"/>
        </w:rPr>
      </w:pPr>
      <w:r>
        <w:rPr>
          <w:b/>
          <w:sz w:val="21"/>
        </w:rPr>
        <w:t>甲方：</w:t>
      </w:r>
      <w:r>
        <w:rPr>
          <w:b/>
          <w:sz w:val="21"/>
          <w:u w:val="single"/>
        </w:rPr>
        <w:t xml:space="preserve"> </w:t>
      </w:r>
      <w:r>
        <w:rPr>
          <w:b/>
          <w:sz w:val="21"/>
          <w:u w:val="single"/>
        </w:rPr>
        <w:tab/>
      </w:r>
      <w:r>
        <w:rPr>
          <w:b/>
          <w:sz w:val="21"/>
          <w:u w:val="single"/>
        </w:rPr>
        <w:t>（盖章）</w:t>
      </w:r>
      <w:r>
        <w:rPr>
          <w:b/>
          <w:sz w:val="21"/>
        </w:rPr>
        <w:tab/>
      </w:r>
      <w:r>
        <w:rPr>
          <w:b/>
          <w:sz w:val="21"/>
        </w:rPr>
        <w:t>乙</w:t>
      </w:r>
      <w:r>
        <w:rPr>
          <w:b/>
          <w:spacing w:val="-3"/>
          <w:sz w:val="21"/>
        </w:rPr>
        <w:t>方</w:t>
      </w:r>
      <w:r>
        <w:rPr>
          <w:b/>
          <w:sz w:val="21"/>
        </w:rPr>
        <w:t>：</w:t>
      </w:r>
      <w:r>
        <w:rPr>
          <w:b/>
          <w:sz w:val="21"/>
          <w:u w:val="single"/>
        </w:rPr>
        <w:t xml:space="preserve"> </w:t>
      </w:r>
      <w:r>
        <w:rPr>
          <w:b/>
          <w:sz w:val="21"/>
          <w:u w:val="single"/>
        </w:rPr>
        <w:tab/>
      </w:r>
      <w:r>
        <w:rPr>
          <w:b/>
          <w:spacing w:val="-3"/>
          <w:sz w:val="21"/>
          <w:u w:val="single"/>
        </w:rPr>
        <w:t>（</w:t>
      </w:r>
      <w:r>
        <w:rPr>
          <w:b/>
          <w:sz w:val="21"/>
          <w:u w:val="single"/>
        </w:rPr>
        <w:t>盖</w:t>
      </w:r>
      <w:r>
        <w:rPr>
          <w:b/>
          <w:spacing w:val="-3"/>
          <w:sz w:val="21"/>
          <w:u w:val="single"/>
        </w:rPr>
        <w:t>章）</w:t>
      </w:r>
    </w:p>
    <w:p>
      <w:pPr>
        <w:pStyle w:val="13"/>
        <w:spacing w:before="5"/>
        <w:rPr>
          <w:b/>
          <w:sz w:val="13"/>
        </w:rPr>
      </w:pPr>
    </w:p>
    <w:p>
      <w:pPr>
        <w:tabs>
          <w:tab w:val="left" w:pos="3685"/>
          <w:tab w:val="left" w:pos="4316"/>
          <w:tab w:val="left" w:pos="7779"/>
          <w:tab w:val="left" w:pos="9966"/>
        </w:tabs>
        <w:spacing w:before="78"/>
        <w:ind w:left="220"/>
        <w:rPr>
          <w:rFonts w:ascii="Times New Roman" w:eastAsia="Times New Roman"/>
          <w:sz w:val="21"/>
        </w:rPr>
      </w:pPr>
      <w:r>
        <w:rPr>
          <w:sz w:val="21"/>
        </w:rPr>
        <w:t>地址</w:t>
      </w:r>
      <w:r>
        <w:rPr>
          <w:spacing w:val="-3"/>
          <w:sz w:val="21"/>
        </w:rPr>
        <w:t>：</w:t>
      </w:r>
      <w:r>
        <w:rPr>
          <w:spacing w:val="-3"/>
          <w:sz w:val="21"/>
          <w:u w:val="single"/>
        </w:rPr>
        <w:t xml:space="preserve"> </w:t>
      </w:r>
      <w:r>
        <w:rPr>
          <w:spacing w:val="-3"/>
          <w:sz w:val="21"/>
          <w:u w:val="single"/>
        </w:rPr>
        <w:tab/>
      </w:r>
      <w:r>
        <w:rPr>
          <w:spacing w:val="-3"/>
          <w:sz w:val="21"/>
        </w:rPr>
        <w:tab/>
      </w:r>
      <w:r>
        <w:rPr>
          <w:spacing w:val="-3"/>
          <w:sz w:val="21"/>
        </w:rPr>
        <w:t>地</w:t>
      </w:r>
      <w:r>
        <w:rPr>
          <w:sz w:val="21"/>
        </w:rPr>
        <w:t>址</w:t>
      </w:r>
      <w:r>
        <w:rPr>
          <w:spacing w:val="-3"/>
          <w:sz w:val="21"/>
        </w:rPr>
        <w:t>：</w:t>
      </w:r>
      <w:r>
        <w:rPr>
          <w:rFonts w:ascii="Times New Roman" w:eastAsia="Times New Roman"/>
          <w:sz w:val="21"/>
          <w:u w:val="single"/>
        </w:rPr>
        <w:t xml:space="preserve"> </w:t>
      </w:r>
      <w:r>
        <w:rPr>
          <w:rFonts w:ascii="Times New Roman" w:eastAsia="Times New Roman"/>
          <w:sz w:val="21"/>
          <w:u w:val="single"/>
        </w:rPr>
        <w:tab/>
      </w:r>
      <w:r>
        <w:rPr>
          <w:rFonts w:ascii="Times New Roman" w:eastAsia="Times New Roman"/>
          <w:sz w:val="21"/>
        </w:rPr>
        <w:t xml:space="preserve"> </w:t>
      </w:r>
    </w:p>
    <w:p>
      <w:pPr>
        <w:pStyle w:val="13"/>
        <w:spacing w:before="10"/>
        <w:rPr>
          <w:rFonts w:ascii="Times New Roman"/>
          <w:sz w:val="14"/>
        </w:rPr>
      </w:pPr>
    </w:p>
    <w:p>
      <w:pPr>
        <w:tabs>
          <w:tab w:val="left" w:pos="3791"/>
          <w:tab w:val="left" w:pos="4316"/>
          <w:tab w:val="left" w:pos="7885"/>
        </w:tabs>
        <w:spacing w:before="79"/>
        <w:ind w:left="220"/>
        <w:rPr>
          <w:rFonts w:ascii="Times New Roman" w:eastAsia="Times New Roman"/>
          <w:sz w:val="21"/>
        </w:rPr>
      </w:pPr>
      <w:r>
        <w:rPr>
          <w:sz w:val="21"/>
        </w:rPr>
        <w:t>法定</w:t>
      </w:r>
      <w:r>
        <w:rPr>
          <w:spacing w:val="-3"/>
          <w:sz w:val="21"/>
        </w:rPr>
        <w:t>（</w:t>
      </w:r>
      <w:r>
        <w:rPr>
          <w:sz w:val="21"/>
        </w:rPr>
        <w:t>或</w:t>
      </w:r>
      <w:r>
        <w:rPr>
          <w:spacing w:val="-3"/>
          <w:sz w:val="21"/>
        </w:rPr>
        <w:t>授</w:t>
      </w:r>
      <w:r>
        <w:rPr>
          <w:sz w:val="21"/>
        </w:rPr>
        <w:t>权</w:t>
      </w:r>
      <w:r>
        <w:rPr>
          <w:spacing w:val="-3"/>
          <w:sz w:val="21"/>
        </w:rPr>
        <w:t>）</w:t>
      </w:r>
      <w:r>
        <w:rPr>
          <w:sz w:val="21"/>
        </w:rPr>
        <w:t>代</w:t>
      </w:r>
      <w:r>
        <w:rPr>
          <w:spacing w:val="-3"/>
          <w:sz w:val="21"/>
        </w:rPr>
        <w:t>表</w:t>
      </w:r>
      <w:r>
        <w:rPr>
          <w:sz w:val="21"/>
        </w:rPr>
        <w:t>人</w:t>
      </w:r>
      <w:r>
        <w:rPr>
          <w:spacing w:val="-3"/>
          <w:sz w:val="21"/>
        </w:rPr>
        <w:t>：</w:t>
      </w:r>
      <w:r>
        <w:rPr>
          <w:spacing w:val="-3"/>
          <w:sz w:val="21"/>
          <w:u w:val="single"/>
        </w:rPr>
        <w:t xml:space="preserve"> </w:t>
      </w:r>
      <w:r>
        <w:rPr>
          <w:spacing w:val="-3"/>
          <w:sz w:val="21"/>
          <w:u w:val="single"/>
        </w:rPr>
        <w:tab/>
      </w:r>
      <w:r>
        <w:rPr>
          <w:spacing w:val="-3"/>
          <w:sz w:val="21"/>
        </w:rPr>
        <w:tab/>
      </w:r>
      <w:r>
        <w:rPr>
          <w:spacing w:val="-3"/>
          <w:sz w:val="21"/>
        </w:rPr>
        <w:t>法</w:t>
      </w:r>
      <w:r>
        <w:rPr>
          <w:spacing w:val="-1"/>
          <w:sz w:val="21"/>
        </w:rPr>
        <w:t>定</w:t>
      </w:r>
      <w:r>
        <w:rPr>
          <w:spacing w:val="-3"/>
          <w:sz w:val="21"/>
        </w:rPr>
        <w:t>（</w:t>
      </w:r>
      <w:r>
        <w:rPr>
          <w:sz w:val="21"/>
        </w:rPr>
        <w:t>或授</w:t>
      </w:r>
      <w:r>
        <w:rPr>
          <w:spacing w:val="-3"/>
          <w:sz w:val="21"/>
        </w:rPr>
        <w:t>权</w:t>
      </w:r>
      <w:r>
        <w:rPr>
          <w:sz w:val="21"/>
        </w:rPr>
        <w:t>）</w:t>
      </w:r>
      <w:r>
        <w:rPr>
          <w:spacing w:val="-3"/>
          <w:sz w:val="21"/>
        </w:rPr>
        <w:t>代</w:t>
      </w:r>
      <w:r>
        <w:rPr>
          <w:sz w:val="21"/>
        </w:rPr>
        <w:t>表</w:t>
      </w:r>
      <w:r>
        <w:rPr>
          <w:spacing w:val="-3"/>
          <w:sz w:val="21"/>
        </w:rPr>
        <w:t>人</w:t>
      </w:r>
      <w:r>
        <w:rPr>
          <w:sz w:val="21"/>
        </w:rPr>
        <w:t>：</w:t>
      </w:r>
      <w:r>
        <w:rPr>
          <w:rFonts w:ascii="Times New Roman" w:eastAsia="Times New Roman"/>
          <w:sz w:val="21"/>
          <w:u w:val="single"/>
        </w:rPr>
        <w:t xml:space="preserve"> </w:t>
      </w:r>
      <w:r>
        <w:rPr>
          <w:rFonts w:ascii="Times New Roman" w:eastAsia="Times New Roman"/>
          <w:sz w:val="21"/>
          <w:u w:val="single"/>
        </w:rPr>
        <w:tab/>
      </w:r>
    </w:p>
    <w:p>
      <w:pPr>
        <w:pStyle w:val="13"/>
        <w:spacing w:before="10"/>
        <w:rPr>
          <w:rFonts w:ascii="Times New Roman"/>
          <w:sz w:val="14"/>
        </w:rPr>
      </w:pPr>
    </w:p>
    <w:p>
      <w:pPr>
        <w:tabs>
          <w:tab w:val="left" w:pos="1062"/>
          <w:tab w:val="left" w:pos="1585"/>
          <w:tab w:val="left" w:pos="2216"/>
          <w:tab w:val="left" w:pos="4422"/>
          <w:tab w:val="left" w:pos="5259"/>
          <w:tab w:val="left" w:pos="5785"/>
          <w:tab w:val="left" w:pos="6414"/>
        </w:tabs>
        <w:spacing w:before="78"/>
        <w:ind w:left="220"/>
        <w:rPr>
          <w:sz w:val="21"/>
        </w:rPr>
      </w:pPr>
      <w:r>
        <w:rPr>
          <w:rFonts w:ascii="Times New Roman" w:eastAsia="Times New Roman"/>
          <w:sz w:val="21"/>
          <w:u w:val="single"/>
        </w:rPr>
        <w:t xml:space="preserve"> </w:t>
      </w:r>
      <w:r>
        <w:rPr>
          <w:rFonts w:ascii="Times New Roman" w:eastAsia="Times New Roman"/>
          <w:sz w:val="21"/>
          <w:u w:val="single"/>
        </w:rPr>
        <w:tab/>
      </w:r>
      <w:r>
        <w:rPr>
          <w:spacing w:val="-3"/>
          <w:sz w:val="21"/>
        </w:rPr>
        <w:t>年</w:t>
      </w:r>
      <w:r>
        <w:rPr>
          <w:spacing w:val="-3"/>
          <w:sz w:val="21"/>
          <w:u w:val="single"/>
        </w:rPr>
        <w:t xml:space="preserve"> </w:t>
      </w:r>
      <w:r>
        <w:rPr>
          <w:spacing w:val="-3"/>
          <w:sz w:val="21"/>
          <w:u w:val="single"/>
        </w:rPr>
        <w:tab/>
      </w:r>
      <w:r>
        <w:rPr>
          <w:sz w:val="21"/>
        </w:rPr>
        <w:t>月</w:t>
      </w:r>
      <w:r>
        <w:rPr>
          <w:sz w:val="21"/>
          <w:u w:val="single"/>
        </w:rPr>
        <w:t xml:space="preserve"> </w:t>
      </w:r>
      <w:r>
        <w:rPr>
          <w:sz w:val="21"/>
          <w:u w:val="single"/>
        </w:rPr>
        <w:tab/>
      </w:r>
      <w:r>
        <w:rPr>
          <w:sz w:val="21"/>
        </w:rPr>
        <w:t>日</w:t>
      </w:r>
      <w:r>
        <w:rPr>
          <w:sz w:val="21"/>
        </w:rPr>
        <w:tab/>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pStyle w:val="13"/>
        <w:spacing w:before="6"/>
        <w:rPr>
          <w:sz w:val="27"/>
        </w:rPr>
      </w:pPr>
    </w:p>
    <w:p>
      <w:pPr>
        <w:pStyle w:val="3"/>
      </w:pPr>
      <w:bookmarkStart w:id="168" w:name="_Toc14375"/>
    </w:p>
    <w:p>
      <w:pPr>
        <w:pStyle w:val="3"/>
      </w:pPr>
    </w:p>
    <w:p>
      <w:pPr>
        <w:pStyle w:val="3"/>
      </w:pPr>
    </w:p>
    <w:p>
      <w:pPr>
        <w:pStyle w:val="3"/>
      </w:pPr>
    </w:p>
    <w:p>
      <w:pPr>
        <w:pStyle w:val="3"/>
      </w:pPr>
    </w:p>
    <w:p>
      <w:pPr>
        <w:pStyle w:val="3"/>
      </w:pPr>
    </w:p>
    <w:p>
      <w:pPr>
        <w:pStyle w:val="3"/>
      </w:pPr>
    </w:p>
    <w:p>
      <w:pPr>
        <w:pStyle w:val="3"/>
      </w:pPr>
    </w:p>
    <w:p>
      <w:pPr>
        <w:pStyle w:val="3"/>
      </w:pPr>
    </w:p>
    <w:p>
      <w:pPr>
        <w:pStyle w:val="3"/>
        <w:jc w:val="center"/>
      </w:pPr>
      <w:r>
        <w:t>第五部分</w:t>
      </w:r>
      <w:r>
        <w:tab/>
      </w:r>
      <w:r>
        <w:t>评审程序、方法和标准</w:t>
      </w:r>
      <w:bookmarkEnd w:id="168"/>
    </w:p>
    <w:p>
      <w:pPr>
        <w:pStyle w:val="13"/>
        <w:spacing w:before="2"/>
        <w:rPr>
          <w:b/>
          <w:sz w:val="28"/>
        </w:rPr>
      </w:pPr>
    </w:p>
    <w:p>
      <w:pPr>
        <w:spacing w:before="66"/>
        <w:ind w:left="220"/>
        <w:outlineLvl w:val="1"/>
        <w:rPr>
          <w:b/>
          <w:sz w:val="24"/>
        </w:rPr>
      </w:pPr>
      <w:bookmarkStart w:id="169" w:name="一、总则"/>
      <w:bookmarkEnd w:id="169"/>
      <w:r>
        <w:rPr>
          <w:b/>
          <w:sz w:val="24"/>
        </w:rPr>
        <w:t>一、总则</w:t>
      </w:r>
    </w:p>
    <w:p>
      <w:pPr>
        <w:pStyle w:val="13"/>
        <w:spacing w:before="177" w:line="376" w:lineRule="auto"/>
        <w:ind w:left="220" w:right="199" w:firstLine="480"/>
      </w:pPr>
      <w:r>
        <w:t>1</w:t>
      </w:r>
      <w:r>
        <w:rPr>
          <w:spacing w:val="-11"/>
        </w:rPr>
        <w:t>、根据《中华人民共和国政府采购法》、《政府采购竞争性磋商采购方式管理暂行办法》</w:t>
      </w:r>
      <w:r>
        <w:t>和《政府采购货物和服务招标投标管理办法》（</w:t>
      </w:r>
      <w:r>
        <w:rPr>
          <w:spacing w:val="-10"/>
        </w:rPr>
        <w:t xml:space="preserve">财政部第 </w:t>
      </w:r>
      <w:r>
        <w:t>87</w:t>
      </w:r>
      <w:r>
        <w:rPr>
          <w:spacing w:val="-16"/>
        </w:rPr>
        <w:t xml:space="preserve"> 号令</w:t>
      </w:r>
      <w:r>
        <w:t>）等法律和规章，结合本采购项目特点制定本评审办法。</w:t>
      </w:r>
    </w:p>
    <w:p>
      <w:pPr>
        <w:pStyle w:val="13"/>
        <w:spacing w:before="4" w:line="379" w:lineRule="auto"/>
        <w:ind w:left="220" w:right="320" w:firstLine="480"/>
      </w:pPr>
      <w:r>
        <w:t>2、磋商工作由采购人、采购代理机构负责组织，评审由采购人、采购代理机构依法组建的磋商小组负责。磋商小组由采购人代表和有关技术、经济等方面的专家组成。</w:t>
      </w:r>
    </w:p>
    <w:p>
      <w:pPr>
        <w:pStyle w:val="13"/>
        <w:spacing w:line="379" w:lineRule="auto"/>
        <w:ind w:left="220" w:right="320" w:firstLine="480"/>
        <w:jc w:val="both"/>
      </w:pPr>
      <w:r>
        <w:t>3</w:t>
      </w:r>
      <w:r>
        <w:rPr>
          <w:spacing w:val="-1"/>
        </w:rPr>
        <w:t>、磋商小组成员应当按照客观、公正、审慎的原则，根据磋商文件规定的评审程序、评</w:t>
      </w:r>
      <w:r>
        <w:rPr>
          <w:spacing w:val="-7"/>
        </w:rPr>
        <w:t>审方法和评审标准进行独立评审。未实质性响应磋商文件的响应文件按无效响应处理，磋商小</w:t>
      </w:r>
      <w:r>
        <w:t>组应当告知提交响应文件的供应商。</w:t>
      </w:r>
    </w:p>
    <w:p>
      <w:pPr>
        <w:pStyle w:val="13"/>
        <w:spacing w:line="376" w:lineRule="auto"/>
        <w:ind w:left="220" w:right="320" w:firstLine="480"/>
      </w:pPr>
      <w:r>
        <w:t>4、评审过程严格保密。供应商对磋商小组的评审过程或合同授予决定施加影响的任何行为都可能导致其响应文件被拒绝。</w:t>
      </w:r>
    </w:p>
    <w:p>
      <w:pPr>
        <w:pStyle w:val="13"/>
        <w:spacing w:line="379" w:lineRule="auto"/>
        <w:ind w:left="220" w:right="320" w:firstLine="480"/>
      </w:pPr>
      <w:r>
        <w:t>5、磋商小组发现磋商文件表述不明确或需要说明的事项，可提请采购人、采购代理机构书面解释说明。</w:t>
      </w:r>
    </w:p>
    <w:p>
      <w:pPr>
        <w:pStyle w:val="13"/>
        <w:spacing w:line="379" w:lineRule="auto"/>
        <w:ind w:left="220" w:right="320" w:firstLine="480"/>
      </w:pPr>
      <w:r>
        <w:t>6、磋商小组对响应文件的判定，只依据响应文件和磋商过程中认定的文件，不依据磋商后的任何外来证明。</w:t>
      </w:r>
    </w:p>
    <w:p>
      <w:pPr>
        <w:spacing w:line="305" w:lineRule="exact"/>
        <w:ind w:left="220"/>
        <w:outlineLvl w:val="1"/>
        <w:rPr>
          <w:b/>
          <w:sz w:val="24"/>
        </w:rPr>
      </w:pPr>
      <w:r>
        <w:rPr>
          <w:sz w:val="24"/>
        </w:rPr>
        <w:t>二、</w:t>
      </w:r>
      <w:r>
        <w:rPr>
          <w:b/>
          <w:sz w:val="24"/>
        </w:rPr>
        <w:t>评审程序、评审方法和评审标准</w:t>
      </w:r>
    </w:p>
    <w:p>
      <w:pPr>
        <w:spacing w:before="172"/>
        <w:ind w:left="702"/>
        <w:jc w:val="both"/>
        <w:rPr>
          <w:b/>
          <w:sz w:val="24"/>
        </w:rPr>
      </w:pPr>
      <w:r>
        <w:rPr>
          <w:b/>
          <w:sz w:val="24"/>
        </w:rPr>
        <w:t>1、响应文件的有效性、完整性和响应程度审查（见附件 1）</w:t>
      </w:r>
    </w:p>
    <w:p>
      <w:pPr>
        <w:pStyle w:val="13"/>
        <w:spacing w:before="177" w:line="379" w:lineRule="auto"/>
        <w:ind w:left="220" w:right="319" w:firstLine="480"/>
        <w:jc w:val="both"/>
      </w:pPr>
      <w:r>
        <w:t>1.1</w:t>
      </w:r>
      <w:r>
        <w:rPr>
          <w:spacing w:val="-6"/>
        </w:rPr>
        <w:t xml:space="preserve"> 磋商小组在对响应文件的有效性、完整性和响应程度进行审查时，可以要求供应商对</w:t>
      </w:r>
      <w:r>
        <w:rPr>
          <w:spacing w:val="-10"/>
        </w:rPr>
        <w:t>响应文件中含义不明确、同类问题表述不一致或者有明显文字和计算错误的内容等作出必要的</w:t>
      </w:r>
      <w:r>
        <w:rPr>
          <w:spacing w:val="-12"/>
        </w:rPr>
        <w:t>澄清、说明或者更正。供应商的澄清、说明或者更正不得超出响应文件的范围或者改变响应文</w:t>
      </w:r>
      <w:r>
        <w:rPr>
          <w:spacing w:val="-10"/>
        </w:rPr>
        <w:t>件的实质性内容。供应商的澄清、说明或者更正应当由法定代表人或其授权代表签字或者加盖公章。由授权代表签字的，应当附法定代表人授权书。供应商为自然人的，应当由本人签字并</w:t>
      </w:r>
      <w:r>
        <w:t>附身份证明。</w:t>
      </w:r>
    </w:p>
    <w:p>
      <w:pPr>
        <w:spacing w:line="299" w:lineRule="exact"/>
        <w:ind w:left="702"/>
        <w:rPr>
          <w:b/>
          <w:sz w:val="24"/>
        </w:rPr>
      </w:pPr>
      <w:r>
        <w:rPr>
          <w:b/>
          <w:sz w:val="24"/>
        </w:rPr>
        <w:t>2、分别与单一供应商进行磋商</w:t>
      </w:r>
    </w:p>
    <w:p>
      <w:pPr>
        <w:pStyle w:val="27"/>
        <w:numPr>
          <w:ilvl w:val="0"/>
          <w:numId w:val="0"/>
        </w:numPr>
        <w:tabs>
          <w:tab w:val="left" w:pos="1180"/>
        </w:tabs>
        <w:spacing w:before="177" w:line="379" w:lineRule="auto"/>
        <w:ind w:left="220" w:leftChars="0" w:right="319" w:rightChars="0" w:firstLine="460" w:firstLineChars="200"/>
        <w:rPr>
          <w:sz w:val="24"/>
        </w:rPr>
      </w:pPr>
      <w:r>
        <w:rPr>
          <w:rFonts w:hint="eastAsia"/>
          <w:spacing w:val="-5"/>
          <w:sz w:val="24"/>
          <w:lang w:val="en-US" w:eastAsia="zh-CN"/>
        </w:rPr>
        <w:t>2.1</w:t>
      </w:r>
      <w:r>
        <w:rPr>
          <w:spacing w:val="-5"/>
          <w:sz w:val="24"/>
        </w:rPr>
        <w:t>磋商小组所有成员应当集中与单一供应商分别进行磋商，并给予所有参加磋商的供应</w:t>
      </w:r>
      <w:r>
        <w:rPr>
          <w:sz w:val="24"/>
        </w:rPr>
        <w:t>商平等的磋商机会。</w:t>
      </w:r>
    </w:p>
    <w:p>
      <w:pPr>
        <w:spacing w:line="379" w:lineRule="auto"/>
        <w:rPr>
          <w:sz w:val="24"/>
        </w:rPr>
        <w:sectPr>
          <w:pgSz w:w="11910" w:h="16840"/>
          <w:pgMar w:top="1420" w:right="760" w:bottom="1040" w:left="860" w:header="0" w:footer="776" w:gutter="0"/>
          <w:cols w:space="720" w:num="1"/>
        </w:sectPr>
      </w:pPr>
    </w:p>
    <w:p>
      <w:pPr>
        <w:pStyle w:val="27"/>
        <w:numPr>
          <w:ilvl w:val="0"/>
          <w:numId w:val="0"/>
        </w:numPr>
        <w:tabs>
          <w:tab w:val="left" w:pos="1185"/>
        </w:tabs>
        <w:spacing w:before="50" w:line="379" w:lineRule="auto"/>
        <w:ind w:left="220" w:leftChars="0" w:right="310" w:rightChars="0" w:firstLine="480" w:firstLineChars="200"/>
        <w:jc w:val="both"/>
        <w:rPr>
          <w:sz w:val="24"/>
        </w:rPr>
      </w:pPr>
      <w:r>
        <w:rPr>
          <w:rFonts w:hint="eastAsia"/>
          <w:sz w:val="24"/>
          <w:lang w:val="en-US" w:eastAsia="zh-CN"/>
        </w:rPr>
        <w:t>2.2</w:t>
      </w:r>
      <w:r>
        <w:rPr>
          <w:sz w:val="24"/>
        </w:rPr>
        <w:t>在磋商过程中，磋商小组可以根据磋商文件和磋商情况实质性变动采购需求中的技</w:t>
      </w:r>
      <w:r>
        <w:rPr>
          <w:spacing w:val="-9"/>
          <w:sz w:val="24"/>
        </w:rPr>
        <w:t>术、服务要求以及合同草案条款，但不得变动磋商文件中的其他内容。实质性变动的内容，须</w:t>
      </w:r>
      <w:r>
        <w:rPr>
          <w:spacing w:val="-13"/>
          <w:sz w:val="24"/>
        </w:rPr>
        <w:t>经采购人代表确认。对磋商文件做出的实质性变动是磋商文件的有效组成部分，磋商小组应当</w:t>
      </w:r>
      <w:r>
        <w:rPr>
          <w:spacing w:val="-17"/>
          <w:sz w:val="24"/>
        </w:rPr>
        <w:t>及时以书面形式同时通知所有参加磋商的供应商。供应商应当按照磋商文件的变动情况和磋商</w:t>
      </w:r>
      <w:r>
        <w:rPr>
          <w:spacing w:val="-18"/>
          <w:sz w:val="24"/>
        </w:rPr>
        <w:t>小组的要求重新提交响应文件，并由其法定代表人或授权代表签字或者加盖公章。由授权代表签字的，应当附法定代表人授权书。供应商为自然人的，应当由本人签字并附身份证明。</w:t>
      </w:r>
    </w:p>
    <w:p>
      <w:pPr>
        <w:spacing w:line="299" w:lineRule="exact"/>
        <w:ind w:left="702"/>
        <w:rPr>
          <w:b/>
          <w:sz w:val="24"/>
        </w:rPr>
      </w:pPr>
      <w:r>
        <w:rPr>
          <w:b/>
          <w:sz w:val="24"/>
        </w:rPr>
        <w:t>3、供应商提交最后报价</w:t>
      </w:r>
    </w:p>
    <w:p>
      <w:pPr>
        <w:pStyle w:val="27"/>
        <w:numPr>
          <w:ilvl w:val="0"/>
          <w:numId w:val="0"/>
        </w:numPr>
        <w:tabs>
          <w:tab w:val="left" w:pos="1180"/>
        </w:tabs>
        <w:spacing w:before="177" w:line="379" w:lineRule="auto"/>
        <w:ind w:left="220" w:leftChars="0" w:right="313" w:rightChars="0" w:firstLine="456" w:firstLineChars="200"/>
        <w:jc w:val="both"/>
        <w:rPr>
          <w:sz w:val="24"/>
        </w:rPr>
      </w:pPr>
      <w:r>
        <w:rPr>
          <w:rFonts w:hint="eastAsia"/>
          <w:spacing w:val="-6"/>
          <w:sz w:val="24"/>
          <w:lang w:val="en-US" w:eastAsia="zh-CN"/>
        </w:rPr>
        <w:t>3.1</w:t>
      </w:r>
      <w:r>
        <w:rPr>
          <w:spacing w:val="-6"/>
          <w:sz w:val="24"/>
        </w:rPr>
        <w:t>磋商文件能够详细列明采购标的的技术、服务要求的，磋商结束后，磋商小组应当要</w:t>
      </w:r>
      <w:r>
        <w:rPr>
          <w:sz w:val="24"/>
        </w:rPr>
        <w:t xml:space="preserve">求所有实质性响应的供应商在规定时间内提交最后报价，提交最后报价的供应商不得少于 3 </w:t>
      </w:r>
      <w:r>
        <w:rPr>
          <w:spacing w:val="-10"/>
          <w:sz w:val="24"/>
        </w:rPr>
        <w:t>家。磋商文件不能详细列明采购标的的技术、服务要求，需经磋商由供应商提供最终设计方案</w:t>
      </w:r>
      <w:r>
        <w:rPr>
          <w:spacing w:val="-13"/>
          <w:sz w:val="24"/>
        </w:rPr>
        <w:t xml:space="preserve">或解决方案的，磋商结束后，磋商小组应当按照少数服从多数的原则投票推荐 </w:t>
      </w:r>
      <w:r>
        <w:rPr>
          <w:sz w:val="24"/>
        </w:rPr>
        <w:t>3</w:t>
      </w:r>
      <w:r>
        <w:rPr>
          <w:spacing w:val="-11"/>
          <w:sz w:val="24"/>
        </w:rPr>
        <w:t xml:space="preserve"> 家以上供应商</w:t>
      </w:r>
      <w:r>
        <w:rPr>
          <w:spacing w:val="-7"/>
          <w:sz w:val="24"/>
        </w:rPr>
        <w:t>的设计方案或者解决方案，并要求其在规定时间内提交最后报价。最后报价是供应商响应文件</w:t>
      </w:r>
      <w:r>
        <w:rPr>
          <w:sz w:val="24"/>
        </w:rPr>
        <w:t>的有效组成部分。</w:t>
      </w:r>
    </w:p>
    <w:p>
      <w:pPr>
        <w:pStyle w:val="27"/>
        <w:numPr>
          <w:ilvl w:val="0"/>
          <w:numId w:val="0"/>
        </w:numPr>
        <w:tabs>
          <w:tab w:val="left" w:pos="1180"/>
        </w:tabs>
        <w:spacing w:line="379" w:lineRule="auto"/>
        <w:ind w:left="220" w:leftChars="100" w:right="319" w:rightChars="0" w:firstLine="452" w:firstLineChars="200"/>
        <w:jc w:val="both"/>
        <w:rPr>
          <w:sz w:val="24"/>
        </w:rPr>
      </w:pPr>
      <w:r>
        <w:rPr>
          <w:rFonts w:hint="eastAsia"/>
          <w:spacing w:val="-7"/>
          <w:sz w:val="24"/>
          <w:lang w:val="en-US" w:eastAsia="zh-CN"/>
        </w:rPr>
        <w:t>3.2</w:t>
      </w:r>
      <w:r>
        <w:rPr>
          <w:spacing w:val="-7"/>
          <w:sz w:val="24"/>
        </w:rPr>
        <w:t>已提交响应文件的供应商，在提交最后报价之前，可以根据磋商情况退出磋商。采购</w:t>
      </w:r>
      <w:r>
        <w:rPr>
          <w:sz w:val="24"/>
        </w:rPr>
        <w:t>人、采购代理机构应当退还退出磋商的供应商的磋商保证金。</w:t>
      </w:r>
    </w:p>
    <w:p>
      <w:pPr>
        <w:pStyle w:val="27"/>
        <w:numPr>
          <w:ilvl w:val="0"/>
          <w:numId w:val="0"/>
        </w:numPr>
        <w:tabs>
          <w:tab w:val="left" w:pos="1065"/>
        </w:tabs>
        <w:spacing w:line="305" w:lineRule="exact"/>
        <w:ind w:left="643" w:leftChars="0"/>
        <w:jc w:val="both"/>
        <w:rPr>
          <w:sz w:val="24"/>
        </w:rPr>
      </w:pPr>
      <w:bookmarkStart w:id="170" w:name="3.3关于政策性优惠"/>
      <w:bookmarkEnd w:id="170"/>
      <w:r>
        <w:rPr>
          <w:rFonts w:hint="eastAsia"/>
          <w:sz w:val="24"/>
          <w:lang w:val="en-US" w:eastAsia="zh-CN"/>
        </w:rPr>
        <w:t>3.3</w:t>
      </w:r>
      <w:r>
        <w:rPr>
          <w:sz w:val="24"/>
        </w:rPr>
        <w:t>关于政策性优惠</w:t>
      </w:r>
    </w:p>
    <w:p>
      <w:pPr>
        <w:pStyle w:val="13"/>
        <w:spacing w:before="6"/>
        <w:rPr>
          <w:sz w:val="17"/>
        </w:rPr>
      </w:pPr>
    </w:p>
    <w:p>
      <w:pPr>
        <w:spacing w:line="374" w:lineRule="auto"/>
        <w:ind w:left="700" w:right="344" w:firstLine="2"/>
      </w:pPr>
      <w:r>
        <w:rPr>
          <w:b/>
          <w:sz w:val="24"/>
        </w:rPr>
        <w:t xml:space="preserve">因落实政府采购政策进行价格调整的，以调整后的价格计算评标基准价和投标报价。 </w:t>
      </w:r>
      <w:r>
        <w:rPr>
          <w:spacing w:val="-2"/>
          <w:sz w:val="24"/>
        </w:rPr>
        <w:t>投标人同时满足以下情况一种以上情形者，</w:t>
      </w:r>
      <w:r>
        <w:rPr>
          <w:b/>
          <w:sz w:val="24"/>
          <w:u w:val="single"/>
        </w:rPr>
        <w:t>不重复享受本项优惠</w:t>
      </w:r>
      <w:r>
        <w:rPr>
          <w:spacing w:val="-9"/>
          <w:sz w:val="24"/>
        </w:rPr>
        <w:t>。均按一次折扣</w:t>
      </w:r>
      <w:r>
        <w:rPr>
          <w:spacing w:val="-7"/>
          <w:sz w:val="24"/>
        </w:rPr>
        <w:t>（</w:t>
      </w:r>
      <w:r>
        <w:rPr>
          <w:rFonts w:hint="eastAsia"/>
          <w:spacing w:val="-7"/>
          <w:sz w:val="24"/>
          <w:lang w:val="en-US" w:eastAsia="zh-CN"/>
        </w:rPr>
        <w:t>10</w:t>
      </w:r>
      <w:r>
        <w:rPr>
          <w:spacing w:val="-7"/>
          <w:sz w:val="24"/>
        </w:rPr>
        <w:t>%）</w:t>
      </w:r>
      <w:r>
        <w:rPr>
          <w:spacing w:val="-40"/>
          <w:sz w:val="24"/>
        </w:rPr>
        <w:t>的</w:t>
      </w:r>
      <w:r>
        <w:t>优惠折算后计算投标报价得分。</w:t>
      </w:r>
    </w:p>
    <w:p>
      <w:pPr>
        <w:pStyle w:val="13"/>
        <w:spacing w:before="172"/>
        <w:ind w:left="685"/>
      </w:pPr>
      <w:r>
        <w:t>1、小微企业</w:t>
      </w:r>
    </w:p>
    <w:p>
      <w:pPr>
        <w:pStyle w:val="27"/>
        <w:numPr>
          <w:ilvl w:val="1"/>
          <w:numId w:val="15"/>
        </w:numPr>
        <w:tabs>
          <w:tab w:val="left" w:pos="1120"/>
        </w:tabs>
        <w:spacing w:before="173" w:line="374" w:lineRule="auto"/>
        <w:ind w:left="219" w:right="315" w:firstLine="480"/>
        <w:jc w:val="both"/>
        <w:rPr>
          <w:sz w:val="24"/>
        </w:rPr>
      </w:pPr>
      <w:r>
        <w:rPr>
          <w:spacing w:val="-2"/>
          <w:sz w:val="24"/>
        </w:rPr>
        <w:t>小微企业</w:t>
      </w:r>
      <w:r>
        <w:rPr>
          <w:sz w:val="24"/>
        </w:rPr>
        <w:t>（供应商</w:t>
      </w:r>
      <w:r>
        <w:rPr>
          <w:spacing w:val="-5"/>
          <w:sz w:val="24"/>
        </w:rPr>
        <w:t>）</w:t>
      </w:r>
      <w:r>
        <w:rPr>
          <w:spacing w:val="-6"/>
          <w:sz w:val="24"/>
        </w:rPr>
        <w:t>：指符合《小企业划型标准规定》的投标人，通过投标提供该企</w:t>
      </w:r>
      <w:r>
        <w:rPr>
          <w:spacing w:val="-9"/>
          <w:sz w:val="24"/>
        </w:rPr>
        <w:t>业制造的货物，由该企业承担的工程或者服务，或者提供其他小微企业制造的货物。本项所指</w:t>
      </w:r>
      <w:r>
        <w:rPr>
          <w:sz w:val="24"/>
        </w:rPr>
        <w:t>货物不包括使用大型、中型企业注册商标的货物。</w:t>
      </w:r>
    </w:p>
    <w:p>
      <w:pPr>
        <w:pStyle w:val="27"/>
        <w:numPr>
          <w:ilvl w:val="1"/>
          <w:numId w:val="15"/>
        </w:numPr>
        <w:tabs>
          <w:tab w:val="left" w:pos="1106"/>
        </w:tabs>
        <w:spacing w:before="1" w:line="374" w:lineRule="auto"/>
        <w:ind w:left="685" w:right="1498" w:firstLine="0"/>
        <w:jc w:val="both"/>
        <w:rPr>
          <w:sz w:val="24"/>
        </w:rPr>
      </w:pPr>
      <w:r>
        <w:rPr>
          <w:sz w:val="24"/>
        </w:rPr>
        <w:t>投标人为小型和微型企业，必须提供“小微企业声明函”（详见格式）</w:t>
      </w:r>
      <w:r>
        <w:rPr>
          <w:spacing w:val="-17"/>
          <w:sz w:val="24"/>
        </w:rPr>
        <w:t>。</w:t>
      </w:r>
      <w:r>
        <w:rPr>
          <w:sz w:val="24"/>
        </w:rPr>
        <w:t>中小企业认定标准为：</w:t>
      </w:r>
    </w:p>
    <w:p>
      <w:pPr>
        <w:pStyle w:val="27"/>
        <w:numPr>
          <w:ilvl w:val="2"/>
          <w:numId w:val="15"/>
        </w:numPr>
        <w:tabs>
          <w:tab w:val="left" w:pos="1346"/>
        </w:tabs>
        <w:spacing w:line="374" w:lineRule="auto"/>
        <w:ind w:left="219" w:right="199" w:firstLine="465"/>
        <w:jc w:val="both"/>
        <w:rPr>
          <w:sz w:val="24"/>
        </w:rPr>
      </w:pPr>
      <w:r>
        <w:rPr>
          <w:spacing w:val="-9"/>
          <w:sz w:val="24"/>
        </w:rPr>
        <w:t>本规定所称中小企业划分标准，是指国务院有关部门根据企业从业人员、营业收入、</w:t>
      </w:r>
      <w:r>
        <w:rPr>
          <w:sz w:val="24"/>
        </w:rPr>
        <w:t>资产总额等指标制定的中小企业划型标准（工信部联企业〔2011〕300</w:t>
      </w:r>
      <w:r>
        <w:rPr>
          <w:spacing w:val="-30"/>
          <w:sz w:val="24"/>
        </w:rPr>
        <w:t xml:space="preserve"> 号</w:t>
      </w:r>
      <w:r>
        <w:rPr>
          <w:sz w:val="24"/>
        </w:rPr>
        <w:t>）。</w:t>
      </w:r>
    </w:p>
    <w:p>
      <w:pPr>
        <w:pStyle w:val="27"/>
        <w:numPr>
          <w:ilvl w:val="2"/>
          <w:numId w:val="15"/>
        </w:numPr>
        <w:tabs>
          <w:tab w:val="left" w:pos="1346"/>
        </w:tabs>
        <w:spacing w:before="1"/>
        <w:ind w:left="1345" w:hanging="661"/>
        <w:jc w:val="both"/>
        <w:rPr>
          <w:sz w:val="24"/>
        </w:rPr>
      </w:pPr>
      <w:r>
        <w:rPr>
          <w:spacing w:val="-5"/>
          <w:sz w:val="24"/>
        </w:rPr>
        <w:t>小型、微型企业提供有中型企业制造的货物的，视同为中型企业；小型、微型、中</w:t>
      </w:r>
    </w:p>
    <w:p>
      <w:pPr>
        <w:jc w:val="both"/>
        <w:rPr>
          <w:sz w:val="24"/>
        </w:rPr>
        <w:sectPr>
          <w:pgSz w:w="11910" w:h="16840"/>
          <w:pgMar w:top="1460" w:right="760" w:bottom="1040" w:left="860" w:header="0" w:footer="776" w:gutter="0"/>
          <w:cols w:space="720" w:num="1"/>
        </w:sectPr>
      </w:pPr>
    </w:p>
    <w:p>
      <w:pPr>
        <w:pStyle w:val="13"/>
        <w:spacing w:before="45"/>
        <w:ind w:left="220"/>
      </w:pPr>
      <w:r>
        <w:t>型企业提供有大型企业制造的货物的，视同为大型企业。</w:t>
      </w:r>
    </w:p>
    <w:p>
      <w:pPr>
        <w:pStyle w:val="13"/>
        <w:spacing w:before="173"/>
        <w:ind w:left="685"/>
      </w:pPr>
      <w:r>
        <w:t>2、监狱企业</w:t>
      </w:r>
    </w:p>
    <w:p>
      <w:pPr>
        <w:pStyle w:val="13"/>
        <w:spacing w:before="172" w:line="374" w:lineRule="auto"/>
        <w:ind w:left="220" w:right="320" w:firstLine="480"/>
      </w:pPr>
      <w:r>
        <w:t>2.1</w:t>
      </w:r>
      <w:r>
        <w:rPr>
          <w:spacing w:val="-11"/>
        </w:rPr>
        <w:t xml:space="preserve"> 监狱企业参加政府采购活动时，应当提供由省级以上监狱管理局、戒毒管理局</w:t>
      </w:r>
      <w:r>
        <w:t>（</w:t>
      </w:r>
      <w:r>
        <w:rPr>
          <w:spacing w:val="-9"/>
        </w:rPr>
        <w:t>含新</w:t>
      </w:r>
      <w:r>
        <w:t>疆生产建设兵团）等出具的属于监狱企业的证明文件。</w:t>
      </w:r>
    </w:p>
    <w:p>
      <w:pPr>
        <w:pStyle w:val="13"/>
        <w:spacing w:before="1"/>
        <w:ind w:left="700"/>
      </w:pPr>
      <w:r>
        <w:t>3、残疾人福利性单位</w:t>
      </w:r>
    </w:p>
    <w:p>
      <w:pPr>
        <w:pStyle w:val="27"/>
        <w:numPr>
          <w:ilvl w:val="1"/>
          <w:numId w:val="16"/>
        </w:numPr>
        <w:tabs>
          <w:tab w:val="left" w:pos="1120"/>
        </w:tabs>
        <w:spacing w:before="172" w:line="374" w:lineRule="auto"/>
        <w:ind w:right="284" w:firstLine="480"/>
        <w:rPr>
          <w:sz w:val="24"/>
        </w:rPr>
      </w:pPr>
      <w:r>
        <w:rPr>
          <w:spacing w:val="-3"/>
          <w:sz w:val="24"/>
        </w:rPr>
        <w:t>符合财政部民政部中国残疾人联合会《关于促进残疾人就业政府采购政策的通知》财库[2017]141</w:t>
      </w:r>
      <w:r>
        <w:rPr>
          <w:spacing w:val="-9"/>
          <w:sz w:val="24"/>
        </w:rPr>
        <w:t xml:space="preserve"> 号要求。投标人为残疾人福利性单位，必须提供“残疾人福利性单位声明函”。</w:t>
      </w:r>
    </w:p>
    <w:p>
      <w:pPr>
        <w:pStyle w:val="27"/>
        <w:numPr>
          <w:ilvl w:val="1"/>
          <w:numId w:val="16"/>
        </w:numPr>
        <w:tabs>
          <w:tab w:val="left" w:pos="1120"/>
        </w:tabs>
        <w:spacing w:before="1" w:line="374" w:lineRule="auto"/>
        <w:ind w:left="219" w:right="319" w:firstLine="480"/>
        <w:rPr>
          <w:sz w:val="24"/>
        </w:rPr>
      </w:pPr>
      <w:r>
        <w:rPr>
          <w:spacing w:val="-6"/>
          <w:sz w:val="24"/>
        </w:rPr>
        <w:t>中标、成交供应商为残疾人福利性单位的，采购人或者其委托的采购代理机构应当随</w:t>
      </w:r>
      <w:r>
        <w:rPr>
          <w:sz w:val="24"/>
        </w:rPr>
        <w:t>中标、成交结果同时公告其《残疾人福利性单位声明函》，接受社会监督。</w:t>
      </w:r>
    </w:p>
    <w:p>
      <w:pPr>
        <w:spacing w:before="1" w:line="331" w:lineRule="auto"/>
        <w:ind w:left="685" w:right="344" w:firstLine="14"/>
        <w:rPr>
          <w:b/>
          <w:sz w:val="24"/>
        </w:rPr>
      </w:pPr>
      <w:r>
        <w:rPr>
          <w:sz w:val="24"/>
        </w:rPr>
        <w:t>特别声明:对于未能按照要求填写及未能提供证明资料或提供资料不完整的视同未提供。</w:t>
      </w:r>
      <w:r>
        <w:rPr>
          <w:b/>
          <w:sz w:val="24"/>
        </w:rPr>
        <w:t>如有虚假骗取政策性优惠，将依法承担相应责任。</w:t>
      </w:r>
    </w:p>
    <w:p>
      <w:pPr>
        <w:spacing w:before="61"/>
        <w:ind w:left="702"/>
        <w:rPr>
          <w:b/>
          <w:sz w:val="24"/>
        </w:rPr>
      </w:pPr>
      <w:r>
        <w:rPr>
          <w:b/>
          <w:sz w:val="24"/>
        </w:rPr>
        <w:t>4、综合评分（见附件 2）</w:t>
      </w:r>
    </w:p>
    <w:p>
      <w:pPr>
        <w:pStyle w:val="27"/>
        <w:numPr>
          <w:ilvl w:val="0"/>
          <w:numId w:val="0"/>
        </w:numPr>
        <w:tabs>
          <w:tab w:val="left" w:pos="1180"/>
        </w:tabs>
        <w:spacing w:before="177" w:line="379" w:lineRule="auto"/>
        <w:ind w:left="220" w:leftChars="0" w:right="319" w:rightChars="0" w:firstLine="460" w:firstLineChars="200"/>
        <w:rPr>
          <w:sz w:val="24"/>
        </w:rPr>
      </w:pPr>
      <w:r>
        <w:rPr>
          <w:rFonts w:hint="eastAsia"/>
          <w:spacing w:val="-5"/>
          <w:sz w:val="24"/>
          <w:lang w:val="en-US" w:eastAsia="zh-CN"/>
        </w:rPr>
        <w:t>4.1</w:t>
      </w:r>
      <w:r>
        <w:rPr>
          <w:spacing w:val="-5"/>
          <w:sz w:val="24"/>
        </w:rPr>
        <w:t>经磋商确定最终采购需求和提交最后报价的供应商后，由磋商小组采用综合评分法对</w:t>
      </w:r>
      <w:r>
        <w:rPr>
          <w:sz w:val="24"/>
        </w:rPr>
        <w:t>提交最后报价的供应商的响应文件和最后报价进行综合评分。</w:t>
      </w:r>
    </w:p>
    <w:p>
      <w:pPr>
        <w:pStyle w:val="13"/>
        <w:spacing w:line="379" w:lineRule="auto"/>
        <w:ind w:left="220" w:right="319" w:firstLine="480"/>
      </w:pPr>
      <w:r>
        <w:rPr>
          <w:spacing w:val="-11"/>
        </w:rPr>
        <w:t>综合评分法，是指响应文件满足磋商文件全部实质性要求且按评审因素的量化指标评审得</w:t>
      </w:r>
      <w:r>
        <w:t>分最高的供应商为成交候选供应商的评审方法。</w:t>
      </w:r>
    </w:p>
    <w:p>
      <w:pPr>
        <w:pStyle w:val="27"/>
        <w:numPr>
          <w:ilvl w:val="0"/>
          <w:numId w:val="0"/>
        </w:numPr>
        <w:tabs>
          <w:tab w:val="left" w:pos="1180"/>
        </w:tabs>
        <w:spacing w:line="379" w:lineRule="auto"/>
        <w:ind w:left="220" w:leftChars="100" w:right="319" w:rightChars="0" w:firstLine="460" w:firstLineChars="200"/>
        <w:rPr>
          <w:sz w:val="24"/>
        </w:rPr>
      </w:pPr>
      <w:r>
        <w:rPr>
          <w:rFonts w:hint="eastAsia"/>
          <w:spacing w:val="-5"/>
          <w:sz w:val="24"/>
          <w:lang w:val="en-US" w:eastAsia="zh-CN"/>
        </w:rPr>
        <w:t>4.2</w:t>
      </w:r>
      <w:r>
        <w:rPr>
          <w:spacing w:val="-5"/>
          <w:sz w:val="24"/>
        </w:rPr>
        <w:t>综合评分法评审标准中的分值设置应当与评审因素的量化指标相对应。磋商文件中没</w:t>
      </w:r>
      <w:r>
        <w:rPr>
          <w:sz w:val="24"/>
        </w:rPr>
        <w:t>有规定的评审标准不得作为评审依据。</w:t>
      </w:r>
    </w:p>
    <w:p>
      <w:pPr>
        <w:pStyle w:val="13"/>
        <w:spacing w:line="379" w:lineRule="auto"/>
        <w:ind w:left="220" w:right="319" w:firstLine="480"/>
      </w:pPr>
      <w:r>
        <w:rPr>
          <w:spacing w:val="-9"/>
        </w:rPr>
        <w:t>评审时，磋商小组各成员应当独立对每个有效响应的文件进行评价、打分，然后汇总每个</w:t>
      </w:r>
      <w:r>
        <w:t>供应商每项评分因素的得分。</w:t>
      </w:r>
    </w:p>
    <w:p>
      <w:pPr>
        <w:spacing w:line="305" w:lineRule="exact"/>
        <w:ind w:left="702"/>
        <w:rPr>
          <w:b/>
          <w:sz w:val="24"/>
        </w:rPr>
      </w:pPr>
      <w:r>
        <w:rPr>
          <w:b/>
          <w:w w:val="95"/>
          <w:sz w:val="24"/>
        </w:rPr>
        <w:t>5、推荐成交候选供应商</w:t>
      </w:r>
    </w:p>
    <w:p>
      <w:pPr>
        <w:pStyle w:val="27"/>
        <w:numPr>
          <w:ilvl w:val="0"/>
          <w:numId w:val="0"/>
        </w:numPr>
        <w:tabs>
          <w:tab w:val="left" w:pos="1180"/>
        </w:tabs>
        <w:spacing w:before="168" w:line="376" w:lineRule="auto"/>
        <w:ind w:left="220" w:leftChars="0" w:right="318" w:rightChars="0" w:firstLine="479" w:firstLineChars="218"/>
        <w:jc w:val="both"/>
        <w:rPr>
          <w:sz w:val="24"/>
        </w:rPr>
      </w:pPr>
      <w:r>
        <w:rPr>
          <w:rFonts w:hint="eastAsia"/>
          <w:spacing w:val="-10"/>
          <w:sz w:val="24"/>
          <w:lang w:val="en-US" w:eastAsia="zh-CN"/>
        </w:rPr>
        <w:t>5.1</w:t>
      </w:r>
      <w:r>
        <w:rPr>
          <w:spacing w:val="-10"/>
          <w:sz w:val="24"/>
        </w:rPr>
        <w:t xml:space="preserve">磋商小组根据综合评分情况，按照评审得分由高到低顺序推荐 </w:t>
      </w:r>
      <w:r>
        <w:rPr>
          <w:sz w:val="24"/>
        </w:rPr>
        <w:t>3</w:t>
      </w:r>
      <w:r>
        <w:rPr>
          <w:spacing w:val="-9"/>
          <w:sz w:val="24"/>
        </w:rPr>
        <w:t xml:space="preserve"> 名以上成交候选供应</w:t>
      </w:r>
      <w:r>
        <w:rPr>
          <w:sz w:val="24"/>
        </w:rPr>
        <w:t>商，并编写评审报告。</w:t>
      </w:r>
    </w:p>
    <w:p>
      <w:pPr>
        <w:pStyle w:val="27"/>
        <w:numPr>
          <w:ilvl w:val="0"/>
          <w:numId w:val="0"/>
        </w:numPr>
        <w:tabs>
          <w:tab w:val="left" w:pos="1120"/>
        </w:tabs>
        <w:spacing w:before="2" w:line="379" w:lineRule="auto"/>
        <w:ind w:left="220" w:leftChars="0" w:right="319" w:rightChars="0" w:firstLine="456" w:firstLineChars="200"/>
        <w:jc w:val="both"/>
        <w:rPr>
          <w:sz w:val="24"/>
        </w:rPr>
      </w:pPr>
      <w:r>
        <w:rPr>
          <w:rFonts w:hint="eastAsia"/>
          <w:spacing w:val="-6"/>
          <w:sz w:val="24"/>
          <w:lang w:val="en-US" w:eastAsia="zh-CN"/>
        </w:rPr>
        <w:t>5.2</w:t>
      </w:r>
      <w:r>
        <w:rPr>
          <w:spacing w:val="-6"/>
          <w:sz w:val="24"/>
        </w:rPr>
        <w:t>符合《政府采购竞争性磋商采购方式管理暂行办法》第二十一条第三款情形的，可以</w:t>
      </w:r>
      <w:r>
        <w:rPr>
          <w:spacing w:val="-20"/>
          <w:sz w:val="24"/>
        </w:rPr>
        <w:t xml:space="preserve">推荐 </w:t>
      </w:r>
      <w:r>
        <w:rPr>
          <w:sz w:val="24"/>
        </w:rPr>
        <w:t>2</w:t>
      </w:r>
      <w:r>
        <w:rPr>
          <w:spacing w:val="-14"/>
          <w:sz w:val="24"/>
        </w:rPr>
        <w:t xml:space="preserve"> 家成交候选供应商。评审得分相同的，按照最后报价由低到高的顺序推荐。评审得分且</w:t>
      </w:r>
      <w:r>
        <w:rPr>
          <w:sz w:val="24"/>
        </w:rPr>
        <w:t>最后报价相同的，按照技术指标优劣顺序推荐。</w:t>
      </w:r>
    </w:p>
    <w:p>
      <w:pPr>
        <w:spacing w:line="304" w:lineRule="exact"/>
        <w:ind w:left="702"/>
        <w:rPr>
          <w:b/>
          <w:sz w:val="24"/>
        </w:rPr>
      </w:pPr>
      <w:r>
        <w:rPr>
          <w:b/>
          <w:sz w:val="24"/>
        </w:rPr>
        <w:t>6、编写评审报告</w:t>
      </w:r>
    </w:p>
    <w:p>
      <w:pPr>
        <w:pStyle w:val="13"/>
        <w:spacing w:before="177"/>
        <w:ind w:left="700"/>
      </w:pPr>
      <w:r>
        <w:t>评审报告应当包括以下主要内容：</w:t>
      </w:r>
    </w:p>
    <w:p>
      <w:pPr>
        <w:pStyle w:val="27"/>
        <w:numPr>
          <w:ilvl w:val="1"/>
          <w:numId w:val="17"/>
        </w:numPr>
        <w:tabs>
          <w:tab w:val="left" w:pos="1120"/>
        </w:tabs>
        <w:spacing w:before="178"/>
        <w:rPr>
          <w:sz w:val="24"/>
        </w:rPr>
      </w:pPr>
      <w:r>
        <w:rPr>
          <w:sz w:val="24"/>
        </w:rPr>
        <w:t>邀请供应商参加采购活动的具体方式和相关情况；</w:t>
      </w:r>
    </w:p>
    <w:p>
      <w:pPr>
        <w:rPr>
          <w:sz w:val="24"/>
        </w:rPr>
        <w:sectPr>
          <w:pgSz w:w="11910" w:h="16840"/>
          <w:pgMar w:top="1520" w:right="760" w:bottom="1040" w:left="860" w:header="0" w:footer="776" w:gutter="0"/>
          <w:cols w:space="720" w:num="1"/>
        </w:sectPr>
      </w:pPr>
    </w:p>
    <w:p>
      <w:pPr>
        <w:pStyle w:val="27"/>
        <w:numPr>
          <w:ilvl w:val="1"/>
          <w:numId w:val="17"/>
        </w:numPr>
        <w:tabs>
          <w:tab w:val="left" w:pos="1120"/>
        </w:tabs>
        <w:spacing w:before="50"/>
        <w:rPr>
          <w:sz w:val="24"/>
        </w:rPr>
      </w:pPr>
      <w:r>
        <w:rPr>
          <w:sz w:val="24"/>
        </w:rPr>
        <w:t>响应文件开启日期和地点；</w:t>
      </w:r>
    </w:p>
    <w:p>
      <w:pPr>
        <w:pStyle w:val="27"/>
        <w:numPr>
          <w:ilvl w:val="1"/>
          <w:numId w:val="17"/>
        </w:numPr>
        <w:tabs>
          <w:tab w:val="left" w:pos="1120"/>
        </w:tabs>
        <w:spacing w:before="177"/>
        <w:rPr>
          <w:sz w:val="24"/>
        </w:rPr>
      </w:pPr>
      <w:r>
        <w:rPr>
          <w:sz w:val="24"/>
        </w:rPr>
        <w:t>获取磋商文件的供应商名单和磋商小组成员名单；</w:t>
      </w:r>
    </w:p>
    <w:p>
      <w:pPr>
        <w:pStyle w:val="27"/>
        <w:numPr>
          <w:ilvl w:val="1"/>
          <w:numId w:val="17"/>
        </w:numPr>
        <w:tabs>
          <w:tab w:val="left" w:pos="1120"/>
        </w:tabs>
        <w:spacing w:before="178" w:line="379" w:lineRule="auto"/>
        <w:ind w:left="220" w:right="320" w:firstLine="480"/>
        <w:rPr>
          <w:sz w:val="24"/>
        </w:rPr>
      </w:pPr>
      <w:r>
        <w:rPr>
          <w:spacing w:val="-5"/>
          <w:sz w:val="24"/>
        </w:rPr>
        <w:t>评审情况记录和说明，包括对供应商的资格审查情况、供应商响应文件评审情况、磋</w:t>
      </w:r>
      <w:r>
        <w:rPr>
          <w:sz w:val="24"/>
        </w:rPr>
        <w:t>商情况、报价情况等；</w:t>
      </w:r>
    </w:p>
    <w:p>
      <w:pPr>
        <w:pStyle w:val="27"/>
        <w:numPr>
          <w:ilvl w:val="1"/>
          <w:numId w:val="17"/>
        </w:numPr>
        <w:tabs>
          <w:tab w:val="left" w:pos="1120"/>
        </w:tabs>
        <w:spacing w:line="303" w:lineRule="exact"/>
        <w:rPr>
          <w:sz w:val="24"/>
        </w:rPr>
      </w:pPr>
      <w:r>
        <w:rPr>
          <w:sz w:val="24"/>
        </w:rPr>
        <w:t>提出的成交候选供应商的排序名单及理由。</w:t>
      </w:r>
    </w:p>
    <w:p>
      <w:pPr>
        <w:spacing w:before="177"/>
        <w:ind w:left="702"/>
        <w:rPr>
          <w:b/>
          <w:sz w:val="24"/>
        </w:rPr>
      </w:pPr>
      <w:r>
        <w:rPr>
          <w:b/>
          <w:sz w:val="24"/>
        </w:rPr>
        <w:t>7、终止采购</w:t>
      </w:r>
    </w:p>
    <w:p>
      <w:pPr>
        <w:pStyle w:val="13"/>
        <w:spacing w:before="177" w:line="379" w:lineRule="auto"/>
        <w:ind w:left="220" w:right="320" w:firstLine="480"/>
      </w:pPr>
      <w:r>
        <w:rPr>
          <w:spacing w:val="-8"/>
        </w:rPr>
        <w:t>出现下列情形之一的，采购人或者采购代理机构应当终止竞争性磋商采购活动，发布项目</w:t>
      </w:r>
      <w:r>
        <w:t>终止公告并说明原因，重新开展采购活动：</w:t>
      </w:r>
    </w:p>
    <w:p>
      <w:pPr>
        <w:pStyle w:val="27"/>
        <w:numPr>
          <w:ilvl w:val="1"/>
          <w:numId w:val="18"/>
        </w:numPr>
        <w:tabs>
          <w:tab w:val="left" w:pos="1120"/>
        </w:tabs>
        <w:spacing w:line="305" w:lineRule="exact"/>
        <w:rPr>
          <w:sz w:val="24"/>
        </w:rPr>
      </w:pPr>
      <w:r>
        <w:rPr>
          <w:sz w:val="24"/>
        </w:rPr>
        <w:t>因情况变化，不再符合规定的竞争性磋商采购方式适用情形的；</w:t>
      </w:r>
    </w:p>
    <w:p>
      <w:pPr>
        <w:pStyle w:val="27"/>
        <w:numPr>
          <w:ilvl w:val="1"/>
          <w:numId w:val="18"/>
        </w:numPr>
        <w:tabs>
          <w:tab w:val="left" w:pos="1120"/>
        </w:tabs>
        <w:spacing w:before="178"/>
        <w:rPr>
          <w:sz w:val="24"/>
        </w:rPr>
      </w:pPr>
      <w:r>
        <w:rPr>
          <w:sz w:val="24"/>
        </w:rPr>
        <w:t>出现影响采购公正的违法、违规行为的；</w:t>
      </w:r>
    </w:p>
    <w:p>
      <w:pPr>
        <w:pStyle w:val="27"/>
        <w:numPr>
          <w:ilvl w:val="1"/>
          <w:numId w:val="18"/>
        </w:numPr>
        <w:tabs>
          <w:tab w:val="left" w:pos="1120"/>
        </w:tabs>
        <w:spacing w:before="177" w:line="379" w:lineRule="auto"/>
        <w:ind w:left="220" w:right="284" w:firstLine="480"/>
        <w:rPr>
          <w:sz w:val="24"/>
        </w:rPr>
      </w:pPr>
      <w:r>
        <w:rPr>
          <w:spacing w:val="-1"/>
          <w:sz w:val="24"/>
        </w:rPr>
        <w:t xml:space="preserve">除《政府采购竞争性磋商采购方式管理暂行办法》第二十一条第三款规定的情形外， </w:t>
      </w:r>
      <w:r>
        <w:rPr>
          <w:spacing w:val="-2"/>
          <w:sz w:val="24"/>
        </w:rPr>
        <w:t xml:space="preserve">在采购过程中符合要求的供应商或者报价未超过采购预算的供应商不足 </w:t>
      </w:r>
      <w:r>
        <w:rPr>
          <w:sz w:val="24"/>
        </w:rPr>
        <w:t>3</w:t>
      </w:r>
      <w:r>
        <w:rPr>
          <w:spacing w:val="-15"/>
          <w:sz w:val="24"/>
        </w:rPr>
        <w:t xml:space="preserve"> 家的。</w:t>
      </w:r>
    </w:p>
    <w:p>
      <w:pPr>
        <w:pStyle w:val="13"/>
        <w:spacing w:line="379" w:lineRule="auto"/>
        <w:ind w:left="220" w:right="199" w:firstLine="480"/>
      </w:pPr>
      <w:r>
        <w:rPr>
          <w:spacing w:val="-15"/>
        </w:rPr>
        <w:t xml:space="preserve">在采购活动中因重大变故，采购任务取消的，采购人或者采购代理机构应当终止采购活动， </w:t>
      </w:r>
      <w:r>
        <w:t>通知所有参加采购活动的供应商，并将项目实施情况和采购任务取消原因报送本级财政部门。</w:t>
      </w:r>
    </w:p>
    <w:p>
      <w:pPr>
        <w:spacing w:line="379" w:lineRule="auto"/>
        <w:sectPr>
          <w:pgSz w:w="11910" w:h="16840"/>
          <w:pgMar w:top="1460" w:right="760" w:bottom="1040" w:left="860" w:header="0" w:footer="776" w:gutter="0"/>
          <w:cols w:space="720" w:num="1"/>
        </w:sectPr>
      </w:pPr>
    </w:p>
    <w:p>
      <w:pPr>
        <w:pStyle w:val="9"/>
        <w:spacing w:before="50"/>
        <w:ind w:left="220"/>
      </w:pPr>
      <w:r>
        <w:t>附件 1：审查表</w:t>
      </w:r>
    </w:p>
    <w:p>
      <w:pPr>
        <w:pStyle w:val="13"/>
        <w:rPr>
          <w:b/>
          <w:sz w:val="20"/>
        </w:rPr>
      </w:pPr>
    </w:p>
    <w:p>
      <w:pPr>
        <w:pStyle w:val="13"/>
        <w:spacing w:before="5"/>
        <w:rPr>
          <w:b/>
          <w:sz w:val="29"/>
        </w:rPr>
      </w:pPr>
    </w:p>
    <w:p>
      <w:pPr>
        <w:pStyle w:val="2"/>
        <w:spacing w:before="49"/>
        <w:ind w:right="94"/>
      </w:pPr>
      <w:r>
        <w:t>（一）初步审查表</w:t>
      </w:r>
    </w:p>
    <w:p>
      <w:pPr>
        <w:pStyle w:val="13"/>
        <w:rPr>
          <w:b/>
          <w:sz w:val="20"/>
        </w:rPr>
      </w:pPr>
    </w:p>
    <w:p>
      <w:pPr>
        <w:pStyle w:val="13"/>
        <w:spacing w:before="5"/>
        <w:rPr>
          <w:b/>
        </w:rPr>
      </w:pPr>
    </w:p>
    <w:tbl>
      <w:tblPr>
        <w:tblStyle w:val="2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412"/>
        <w:gridCol w:w="4250"/>
        <w:gridCol w:w="540"/>
        <w:gridCol w:w="540"/>
        <w:gridCol w:w="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16" w:type="dxa"/>
            <w:vMerge w:val="restart"/>
          </w:tcPr>
          <w:p>
            <w:pPr>
              <w:pStyle w:val="28"/>
              <w:spacing w:before="182"/>
              <w:ind w:left="165"/>
              <w:rPr>
                <w:b/>
                <w:sz w:val="24"/>
              </w:rPr>
            </w:pPr>
            <w:r>
              <w:rPr>
                <w:b/>
                <w:sz w:val="24"/>
              </w:rPr>
              <w:t>序号</w:t>
            </w:r>
          </w:p>
        </w:tc>
        <w:tc>
          <w:tcPr>
            <w:tcW w:w="2412" w:type="dxa"/>
            <w:vMerge w:val="restart"/>
          </w:tcPr>
          <w:p>
            <w:pPr>
              <w:pStyle w:val="28"/>
              <w:spacing w:before="187"/>
              <w:ind w:left="722"/>
              <w:rPr>
                <w:b/>
                <w:sz w:val="24"/>
              </w:rPr>
            </w:pPr>
            <w:r>
              <w:rPr>
                <w:b/>
                <w:sz w:val="24"/>
              </w:rPr>
              <w:t>审查项目</w:t>
            </w:r>
          </w:p>
        </w:tc>
        <w:tc>
          <w:tcPr>
            <w:tcW w:w="4250" w:type="dxa"/>
            <w:vMerge w:val="restart"/>
          </w:tcPr>
          <w:p>
            <w:pPr>
              <w:pStyle w:val="28"/>
              <w:spacing w:before="187"/>
              <w:ind w:left="1161"/>
              <w:rPr>
                <w:b/>
                <w:sz w:val="24"/>
              </w:rPr>
            </w:pPr>
            <w:r>
              <w:rPr>
                <w:b/>
                <w:sz w:val="24"/>
              </w:rPr>
              <w:t>有效投标认定条件</w:t>
            </w:r>
          </w:p>
        </w:tc>
        <w:tc>
          <w:tcPr>
            <w:tcW w:w="1630" w:type="dxa"/>
            <w:gridSpan w:val="3"/>
          </w:tcPr>
          <w:p>
            <w:pPr>
              <w:pStyle w:val="28"/>
              <w:spacing w:before="9" w:line="287" w:lineRule="exact"/>
              <w:ind w:left="453"/>
              <w:rPr>
                <w:b/>
                <w:sz w:val="24"/>
              </w:rPr>
            </w:pPr>
            <w:r>
              <w:rPr>
                <w:b/>
                <w:sz w:val="24"/>
              </w:rPr>
              <w:t>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16"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250" w:type="dxa"/>
            <w:vMerge w:val="continue"/>
            <w:tcBorders>
              <w:top w:val="nil"/>
            </w:tcBorders>
          </w:tcPr>
          <w:p>
            <w:pPr>
              <w:rPr>
                <w:sz w:val="2"/>
                <w:szCs w:val="2"/>
              </w:rPr>
            </w:pPr>
          </w:p>
        </w:tc>
        <w:tc>
          <w:tcPr>
            <w:tcW w:w="540" w:type="dxa"/>
          </w:tcPr>
          <w:p>
            <w:pPr>
              <w:pStyle w:val="28"/>
              <w:spacing w:before="21" w:line="304" w:lineRule="exact"/>
              <w:ind w:left="148"/>
              <w:rPr>
                <w:b/>
                <w:sz w:val="24"/>
              </w:rPr>
            </w:pPr>
            <w:r>
              <w:rPr>
                <w:b/>
                <w:sz w:val="24"/>
              </w:rPr>
              <w:t>1#</w:t>
            </w:r>
          </w:p>
        </w:tc>
        <w:tc>
          <w:tcPr>
            <w:tcW w:w="540" w:type="dxa"/>
          </w:tcPr>
          <w:p>
            <w:pPr>
              <w:pStyle w:val="28"/>
              <w:spacing w:before="21" w:line="304" w:lineRule="exact"/>
              <w:ind w:left="148"/>
              <w:rPr>
                <w:b/>
                <w:sz w:val="24"/>
              </w:rPr>
            </w:pPr>
            <w:r>
              <w:rPr>
                <w:b/>
                <w:sz w:val="24"/>
              </w:rPr>
              <w:t>2#</w:t>
            </w:r>
          </w:p>
        </w:tc>
        <w:tc>
          <w:tcPr>
            <w:tcW w:w="550" w:type="dxa"/>
          </w:tcPr>
          <w:p>
            <w:pPr>
              <w:pStyle w:val="28"/>
              <w:spacing w:before="21" w:line="304" w:lineRule="exact"/>
              <w:ind w:left="153"/>
              <w:rPr>
                <w:b/>
                <w:sz w:val="24"/>
              </w:rPr>
            </w:pPr>
            <w:r>
              <w:rPr>
                <w:b/>
                <w:sz w:val="24"/>
              </w:rPr>
              <w:t>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trPr>
        <w:tc>
          <w:tcPr>
            <w:tcW w:w="816" w:type="dxa"/>
          </w:tcPr>
          <w:p>
            <w:pPr>
              <w:pStyle w:val="28"/>
              <w:rPr>
                <w:b/>
                <w:sz w:val="24"/>
              </w:rPr>
            </w:pPr>
          </w:p>
          <w:p>
            <w:pPr>
              <w:pStyle w:val="28"/>
              <w:spacing w:before="155"/>
              <w:ind w:right="336"/>
              <w:jc w:val="right"/>
              <w:rPr>
                <w:sz w:val="24"/>
              </w:rPr>
            </w:pPr>
            <w:r>
              <w:rPr>
                <w:sz w:val="24"/>
              </w:rPr>
              <w:t>1</w:t>
            </w:r>
          </w:p>
        </w:tc>
        <w:tc>
          <w:tcPr>
            <w:tcW w:w="2412" w:type="dxa"/>
          </w:tcPr>
          <w:p>
            <w:pPr>
              <w:pStyle w:val="28"/>
              <w:rPr>
                <w:b/>
                <w:sz w:val="24"/>
              </w:rPr>
            </w:pPr>
          </w:p>
          <w:p>
            <w:pPr>
              <w:pStyle w:val="28"/>
              <w:spacing w:before="155"/>
              <w:ind w:left="107"/>
              <w:rPr>
                <w:sz w:val="24"/>
              </w:rPr>
            </w:pPr>
            <w:r>
              <w:rPr>
                <w:sz w:val="24"/>
              </w:rPr>
              <w:t>供应商的资格</w:t>
            </w:r>
          </w:p>
        </w:tc>
        <w:tc>
          <w:tcPr>
            <w:tcW w:w="4250" w:type="dxa"/>
          </w:tcPr>
          <w:p>
            <w:pPr>
              <w:pStyle w:val="28"/>
              <w:spacing w:before="50" w:line="360" w:lineRule="atLeast"/>
              <w:ind w:left="107" w:right="92"/>
              <w:jc w:val="both"/>
              <w:rPr>
                <w:sz w:val="24"/>
              </w:rPr>
            </w:pPr>
            <w:r>
              <w:rPr>
                <w:spacing w:val="17"/>
                <w:sz w:val="24"/>
              </w:rPr>
              <w:t xml:space="preserve">符合磋商文件对供应商资格的要求, </w:t>
            </w:r>
            <w:r>
              <w:rPr>
                <w:spacing w:val="-6"/>
                <w:sz w:val="24"/>
              </w:rPr>
              <w:t>见第一部分磋商公告“二、申请人的资</w:t>
            </w:r>
            <w:r>
              <w:rPr>
                <w:sz w:val="24"/>
              </w:rPr>
              <w:t>格要求”</w:t>
            </w:r>
          </w:p>
        </w:tc>
        <w:tc>
          <w:tcPr>
            <w:tcW w:w="540" w:type="dxa"/>
          </w:tcPr>
          <w:p>
            <w:pPr>
              <w:pStyle w:val="28"/>
              <w:rPr>
                <w:rFonts w:ascii="Times New Roman"/>
                <w:sz w:val="24"/>
              </w:rPr>
            </w:pPr>
          </w:p>
        </w:tc>
        <w:tc>
          <w:tcPr>
            <w:tcW w:w="540" w:type="dxa"/>
          </w:tcPr>
          <w:p>
            <w:pPr>
              <w:pStyle w:val="28"/>
              <w:rPr>
                <w:rFonts w:ascii="Times New Roman"/>
                <w:sz w:val="24"/>
              </w:rPr>
            </w:pPr>
          </w:p>
        </w:tc>
        <w:tc>
          <w:tcPr>
            <w:tcW w:w="55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816" w:type="dxa"/>
          </w:tcPr>
          <w:p>
            <w:pPr>
              <w:pStyle w:val="28"/>
              <w:spacing w:before="9"/>
              <w:rPr>
                <w:b/>
                <w:sz w:val="18"/>
              </w:rPr>
            </w:pPr>
          </w:p>
          <w:p>
            <w:pPr>
              <w:pStyle w:val="28"/>
              <w:ind w:right="336"/>
              <w:jc w:val="right"/>
              <w:rPr>
                <w:sz w:val="24"/>
              </w:rPr>
            </w:pPr>
            <w:r>
              <w:rPr>
                <w:sz w:val="24"/>
              </w:rPr>
              <w:t>2</w:t>
            </w:r>
          </w:p>
        </w:tc>
        <w:tc>
          <w:tcPr>
            <w:tcW w:w="2412" w:type="dxa"/>
          </w:tcPr>
          <w:p>
            <w:pPr>
              <w:pStyle w:val="28"/>
              <w:spacing w:before="9"/>
              <w:rPr>
                <w:b/>
                <w:sz w:val="18"/>
              </w:rPr>
            </w:pPr>
          </w:p>
          <w:p>
            <w:pPr>
              <w:pStyle w:val="28"/>
              <w:ind w:left="107"/>
              <w:rPr>
                <w:sz w:val="24"/>
              </w:rPr>
            </w:pPr>
            <w:r>
              <w:rPr>
                <w:sz w:val="24"/>
              </w:rPr>
              <w:t>响应文件递交</w:t>
            </w:r>
          </w:p>
        </w:tc>
        <w:tc>
          <w:tcPr>
            <w:tcW w:w="4250" w:type="dxa"/>
          </w:tcPr>
          <w:p>
            <w:pPr>
              <w:pStyle w:val="28"/>
              <w:spacing w:before="7" w:line="360" w:lineRule="atLeast"/>
              <w:ind w:left="107" w:right="33"/>
              <w:rPr>
                <w:sz w:val="24"/>
              </w:rPr>
            </w:pPr>
            <w:r>
              <w:rPr>
                <w:sz w:val="24"/>
              </w:rPr>
              <w:t>一份正本，</w:t>
            </w:r>
            <w:r>
              <w:rPr>
                <w:rFonts w:hint="eastAsia"/>
                <w:sz w:val="24"/>
                <w:lang w:val="en-US"/>
              </w:rPr>
              <w:t>贰</w:t>
            </w:r>
            <w:r>
              <w:rPr>
                <w:sz w:val="24"/>
              </w:rPr>
              <w:t>份副本，电子版响应文件一份（U 盘）</w:t>
            </w:r>
          </w:p>
        </w:tc>
        <w:tc>
          <w:tcPr>
            <w:tcW w:w="540" w:type="dxa"/>
          </w:tcPr>
          <w:p>
            <w:pPr>
              <w:pStyle w:val="28"/>
              <w:rPr>
                <w:rFonts w:ascii="Times New Roman"/>
                <w:sz w:val="24"/>
              </w:rPr>
            </w:pPr>
          </w:p>
        </w:tc>
        <w:tc>
          <w:tcPr>
            <w:tcW w:w="540" w:type="dxa"/>
          </w:tcPr>
          <w:p>
            <w:pPr>
              <w:pStyle w:val="28"/>
              <w:rPr>
                <w:rFonts w:ascii="Times New Roman"/>
                <w:sz w:val="24"/>
              </w:rPr>
            </w:pPr>
          </w:p>
        </w:tc>
        <w:tc>
          <w:tcPr>
            <w:tcW w:w="55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16" w:type="dxa"/>
          </w:tcPr>
          <w:p>
            <w:pPr>
              <w:pStyle w:val="28"/>
              <w:spacing w:before="100"/>
              <w:ind w:right="336"/>
              <w:jc w:val="right"/>
              <w:rPr>
                <w:sz w:val="24"/>
              </w:rPr>
            </w:pPr>
            <w:r>
              <w:rPr>
                <w:sz w:val="24"/>
              </w:rPr>
              <w:t>3</w:t>
            </w:r>
          </w:p>
        </w:tc>
        <w:tc>
          <w:tcPr>
            <w:tcW w:w="2412" w:type="dxa"/>
          </w:tcPr>
          <w:p>
            <w:pPr>
              <w:pStyle w:val="28"/>
              <w:spacing w:before="100"/>
              <w:ind w:left="107"/>
              <w:rPr>
                <w:sz w:val="24"/>
              </w:rPr>
            </w:pPr>
            <w:r>
              <w:rPr>
                <w:sz w:val="24"/>
              </w:rPr>
              <w:t>投标有效期</w:t>
            </w:r>
          </w:p>
        </w:tc>
        <w:tc>
          <w:tcPr>
            <w:tcW w:w="4250" w:type="dxa"/>
          </w:tcPr>
          <w:p>
            <w:pPr>
              <w:pStyle w:val="28"/>
              <w:spacing w:before="100"/>
              <w:ind w:left="107"/>
              <w:rPr>
                <w:sz w:val="24"/>
              </w:rPr>
            </w:pPr>
            <w:r>
              <w:rPr>
                <w:sz w:val="24"/>
              </w:rPr>
              <w:t>投标有效期满足 60 天</w:t>
            </w:r>
          </w:p>
        </w:tc>
        <w:tc>
          <w:tcPr>
            <w:tcW w:w="540" w:type="dxa"/>
          </w:tcPr>
          <w:p>
            <w:pPr>
              <w:pStyle w:val="28"/>
              <w:rPr>
                <w:rFonts w:ascii="Times New Roman"/>
                <w:sz w:val="24"/>
              </w:rPr>
            </w:pPr>
          </w:p>
        </w:tc>
        <w:tc>
          <w:tcPr>
            <w:tcW w:w="540" w:type="dxa"/>
          </w:tcPr>
          <w:p>
            <w:pPr>
              <w:pStyle w:val="28"/>
              <w:rPr>
                <w:rFonts w:ascii="Times New Roman"/>
                <w:sz w:val="24"/>
              </w:rPr>
            </w:pPr>
          </w:p>
        </w:tc>
        <w:tc>
          <w:tcPr>
            <w:tcW w:w="55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16" w:type="dxa"/>
          </w:tcPr>
          <w:p>
            <w:pPr>
              <w:pStyle w:val="28"/>
              <w:spacing w:before="100"/>
              <w:ind w:right="336"/>
              <w:jc w:val="right"/>
              <w:rPr>
                <w:sz w:val="24"/>
              </w:rPr>
            </w:pPr>
            <w:r>
              <w:rPr>
                <w:sz w:val="24"/>
              </w:rPr>
              <w:t>4</w:t>
            </w:r>
          </w:p>
        </w:tc>
        <w:tc>
          <w:tcPr>
            <w:tcW w:w="2412" w:type="dxa"/>
          </w:tcPr>
          <w:p>
            <w:pPr>
              <w:pStyle w:val="28"/>
              <w:spacing w:before="100"/>
              <w:ind w:left="107"/>
              <w:rPr>
                <w:sz w:val="24"/>
              </w:rPr>
            </w:pPr>
            <w:r>
              <w:rPr>
                <w:sz w:val="24"/>
              </w:rPr>
              <w:t>磋商保证金</w:t>
            </w:r>
          </w:p>
        </w:tc>
        <w:tc>
          <w:tcPr>
            <w:tcW w:w="4250" w:type="dxa"/>
          </w:tcPr>
          <w:p>
            <w:pPr>
              <w:pStyle w:val="28"/>
              <w:spacing w:before="100"/>
              <w:ind w:left="107"/>
              <w:rPr>
                <w:sz w:val="24"/>
              </w:rPr>
            </w:pPr>
            <w:r>
              <w:rPr>
                <w:sz w:val="24"/>
              </w:rPr>
              <w:t>按时、足额缴纳了磋商保证金</w:t>
            </w:r>
          </w:p>
        </w:tc>
        <w:tc>
          <w:tcPr>
            <w:tcW w:w="540" w:type="dxa"/>
          </w:tcPr>
          <w:p>
            <w:pPr>
              <w:pStyle w:val="28"/>
              <w:rPr>
                <w:rFonts w:ascii="Times New Roman"/>
                <w:sz w:val="24"/>
              </w:rPr>
            </w:pPr>
          </w:p>
        </w:tc>
        <w:tc>
          <w:tcPr>
            <w:tcW w:w="540" w:type="dxa"/>
          </w:tcPr>
          <w:p>
            <w:pPr>
              <w:pStyle w:val="28"/>
              <w:rPr>
                <w:rFonts w:ascii="Times New Roman"/>
                <w:sz w:val="24"/>
              </w:rPr>
            </w:pPr>
          </w:p>
        </w:tc>
        <w:tc>
          <w:tcPr>
            <w:tcW w:w="55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tcPr>
          <w:p>
            <w:pPr>
              <w:pStyle w:val="28"/>
              <w:spacing w:before="9"/>
              <w:rPr>
                <w:b/>
                <w:sz w:val="17"/>
              </w:rPr>
            </w:pPr>
          </w:p>
          <w:p>
            <w:pPr>
              <w:pStyle w:val="28"/>
              <w:spacing w:before="1"/>
              <w:ind w:right="336"/>
              <w:jc w:val="right"/>
              <w:rPr>
                <w:sz w:val="24"/>
              </w:rPr>
            </w:pPr>
            <w:r>
              <w:rPr>
                <w:sz w:val="24"/>
              </w:rPr>
              <w:t>5</w:t>
            </w:r>
          </w:p>
        </w:tc>
        <w:tc>
          <w:tcPr>
            <w:tcW w:w="2412" w:type="dxa"/>
          </w:tcPr>
          <w:p>
            <w:pPr>
              <w:pStyle w:val="28"/>
              <w:spacing w:before="9"/>
              <w:rPr>
                <w:b/>
                <w:sz w:val="17"/>
              </w:rPr>
            </w:pPr>
          </w:p>
          <w:p>
            <w:pPr>
              <w:pStyle w:val="28"/>
              <w:spacing w:before="1"/>
              <w:ind w:left="107"/>
              <w:rPr>
                <w:sz w:val="24"/>
              </w:rPr>
            </w:pPr>
            <w:r>
              <w:rPr>
                <w:sz w:val="24"/>
              </w:rPr>
              <w:t>投标报价</w:t>
            </w:r>
          </w:p>
        </w:tc>
        <w:tc>
          <w:tcPr>
            <w:tcW w:w="4250" w:type="dxa"/>
          </w:tcPr>
          <w:p>
            <w:pPr>
              <w:pStyle w:val="28"/>
              <w:spacing w:before="47"/>
              <w:ind w:left="107"/>
              <w:rPr>
                <w:sz w:val="24"/>
              </w:rPr>
            </w:pPr>
            <w:r>
              <w:rPr>
                <w:sz w:val="24"/>
              </w:rPr>
              <w:t>投标报价未超出预算(最高限价）（如</w:t>
            </w:r>
          </w:p>
          <w:p>
            <w:pPr>
              <w:pStyle w:val="28"/>
              <w:spacing w:before="53" w:line="292" w:lineRule="exact"/>
              <w:ind w:left="107"/>
              <w:rPr>
                <w:sz w:val="24"/>
              </w:rPr>
            </w:pPr>
            <w:r>
              <w:rPr>
                <w:sz w:val="24"/>
              </w:rPr>
              <w:t>超出控制价视为无效报价）</w:t>
            </w:r>
          </w:p>
        </w:tc>
        <w:tc>
          <w:tcPr>
            <w:tcW w:w="540" w:type="dxa"/>
          </w:tcPr>
          <w:p>
            <w:pPr>
              <w:pStyle w:val="28"/>
              <w:rPr>
                <w:rFonts w:ascii="Times New Roman"/>
                <w:sz w:val="24"/>
              </w:rPr>
            </w:pPr>
          </w:p>
        </w:tc>
        <w:tc>
          <w:tcPr>
            <w:tcW w:w="540" w:type="dxa"/>
          </w:tcPr>
          <w:p>
            <w:pPr>
              <w:pStyle w:val="28"/>
              <w:rPr>
                <w:rFonts w:ascii="Times New Roman"/>
                <w:sz w:val="24"/>
              </w:rPr>
            </w:pPr>
          </w:p>
        </w:tc>
        <w:tc>
          <w:tcPr>
            <w:tcW w:w="55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816" w:type="dxa"/>
          </w:tcPr>
          <w:p>
            <w:pPr>
              <w:pStyle w:val="28"/>
              <w:spacing w:before="206"/>
              <w:ind w:right="336"/>
              <w:jc w:val="right"/>
              <w:rPr>
                <w:sz w:val="24"/>
              </w:rPr>
            </w:pPr>
            <w:r>
              <w:rPr>
                <w:sz w:val="24"/>
              </w:rPr>
              <w:t>6</w:t>
            </w:r>
          </w:p>
        </w:tc>
        <w:tc>
          <w:tcPr>
            <w:tcW w:w="2412" w:type="dxa"/>
          </w:tcPr>
          <w:p>
            <w:pPr>
              <w:pStyle w:val="28"/>
              <w:spacing w:before="184"/>
              <w:ind w:left="107"/>
              <w:rPr>
                <w:sz w:val="24"/>
              </w:rPr>
            </w:pPr>
            <w:r>
              <w:rPr>
                <w:sz w:val="24"/>
              </w:rPr>
              <w:t>服务期限</w:t>
            </w:r>
          </w:p>
        </w:tc>
        <w:tc>
          <w:tcPr>
            <w:tcW w:w="4250" w:type="dxa"/>
          </w:tcPr>
          <w:p>
            <w:pPr>
              <w:pStyle w:val="28"/>
              <w:spacing w:before="11"/>
              <w:rPr>
                <w:b/>
                <w:sz w:val="18"/>
              </w:rPr>
            </w:pPr>
          </w:p>
          <w:p>
            <w:pPr>
              <w:pStyle w:val="28"/>
              <w:ind w:left="107"/>
              <w:rPr>
                <w:sz w:val="24"/>
              </w:rPr>
            </w:pPr>
            <w:r>
              <w:rPr>
                <w:sz w:val="24"/>
              </w:rPr>
              <w:t>符合磋商文件的要求</w:t>
            </w:r>
          </w:p>
        </w:tc>
        <w:tc>
          <w:tcPr>
            <w:tcW w:w="540" w:type="dxa"/>
          </w:tcPr>
          <w:p>
            <w:pPr>
              <w:pStyle w:val="28"/>
              <w:rPr>
                <w:rFonts w:ascii="Times New Roman"/>
                <w:sz w:val="24"/>
              </w:rPr>
            </w:pPr>
          </w:p>
        </w:tc>
        <w:tc>
          <w:tcPr>
            <w:tcW w:w="540" w:type="dxa"/>
          </w:tcPr>
          <w:p>
            <w:pPr>
              <w:pStyle w:val="28"/>
              <w:rPr>
                <w:rFonts w:ascii="Times New Roman"/>
                <w:sz w:val="24"/>
              </w:rPr>
            </w:pPr>
          </w:p>
        </w:tc>
        <w:tc>
          <w:tcPr>
            <w:tcW w:w="55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16" w:type="dxa"/>
          </w:tcPr>
          <w:p>
            <w:pPr>
              <w:pStyle w:val="28"/>
              <w:spacing w:before="103"/>
              <w:ind w:right="336"/>
              <w:jc w:val="right"/>
              <w:rPr>
                <w:sz w:val="24"/>
              </w:rPr>
            </w:pPr>
            <w:r>
              <w:rPr>
                <w:sz w:val="24"/>
              </w:rPr>
              <w:t>7</w:t>
            </w:r>
          </w:p>
        </w:tc>
        <w:tc>
          <w:tcPr>
            <w:tcW w:w="2412" w:type="dxa"/>
          </w:tcPr>
          <w:p>
            <w:pPr>
              <w:pStyle w:val="28"/>
              <w:spacing w:before="103"/>
              <w:ind w:left="107"/>
              <w:rPr>
                <w:sz w:val="24"/>
              </w:rPr>
            </w:pPr>
            <w:r>
              <w:rPr>
                <w:sz w:val="24"/>
              </w:rPr>
              <w:t>信用记录</w:t>
            </w:r>
          </w:p>
        </w:tc>
        <w:tc>
          <w:tcPr>
            <w:tcW w:w="4250" w:type="dxa"/>
          </w:tcPr>
          <w:p>
            <w:pPr>
              <w:pStyle w:val="28"/>
              <w:spacing w:before="103"/>
              <w:ind w:left="107"/>
              <w:rPr>
                <w:sz w:val="24"/>
              </w:rPr>
            </w:pPr>
            <w:r>
              <w:rPr>
                <w:sz w:val="24"/>
              </w:rPr>
              <w:t>无严重违法失信行为记录</w:t>
            </w:r>
          </w:p>
        </w:tc>
        <w:tc>
          <w:tcPr>
            <w:tcW w:w="540" w:type="dxa"/>
          </w:tcPr>
          <w:p>
            <w:pPr>
              <w:pStyle w:val="28"/>
              <w:rPr>
                <w:rFonts w:ascii="Times New Roman"/>
                <w:sz w:val="24"/>
              </w:rPr>
            </w:pPr>
          </w:p>
        </w:tc>
        <w:tc>
          <w:tcPr>
            <w:tcW w:w="540" w:type="dxa"/>
          </w:tcPr>
          <w:p>
            <w:pPr>
              <w:pStyle w:val="28"/>
              <w:rPr>
                <w:rFonts w:ascii="Times New Roman"/>
                <w:sz w:val="24"/>
              </w:rPr>
            </w:pPr>
          </w:p>
        </w:tc>
        <w:tc>
          <w:tcPr>
            <w:tcW w:w="55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816" w:type="dxa"/>
          </w:tcPr>
          <w:p>
            <w:pPr>
              <w:pStyle w:val="28"/>
              <w:spacing w:before="100"/>
              <w:ind w:right="336"/>
              <w:jc w:val="right"/>
              <w:rPr>
                <w:sz w:val="24"/>
              </w:rPr>
            </w:pPr>
            <w:r>
              <w:rPr>
                <w:sz w:val="24"/>
              </w:rPr>
              <w:t>8</w:t>
            </w:r>
          </w:p>
        </w:tc>
        <w:tc>
          <w:tcPr>
            <w:tcW w:w="2412" w:type="dxa"/>
          </w:tcPr>
          <w:p>
            <w:pPr>
              <w:pStyle w:val="28"/>
              <w:spacing w:before="100"/>
              <w:ind w:left="107"/>
              <w:rPr>
                <w:sz w:val="24"/>
              </w:rPr>
            </w:pPr>
            <w:r>
              <w:rPr>
                <w:sz w:val="24"/>
              </w:rPr>
              <w:t>其它</w:t>
            </w:r>
          </w:p>
        </w:tc>
        <w:tc>
          <w:tcPr>
            <w:tcW w:w="4250" w:type="dxa"/>
          </w:tcPr>
          <w:p>
            <w:pPr>
              <w:pStyle w:val="28"/>
              <w:spacing w:before="100"/>
              <w:ind w:left="107"/>
              <w:rPr>
                <w:sz w:val="24"/>
              </w:rPr>
            </w:pPr>
            <w:r>
              <w:rPr>
                <w:sz w:val="24"/>
              </w:rPr>
              <w:t>无其它无效投标认定条件</w:t>
            </w:r>
          </w:p>
        </w:tc>
        <w:tc>
          <w:tcPr>
            <w:tcW w:w="540" w:type="dxa"/>
          </w:tcPr>
          <w:p>
            <w:pPr>
              <w:pStyle w:val="28"/>
              <w:rPr>
                <w:rFonts w:ascii="Times New Roman"/>
                <w:sz w:val="24"/>
              </w:rPr>
            </w:pPr>
          </w:p>
        </w:tc>
        <w:tc>
          <w:tcPr>
            <w:tcW w:w="540" w:type="dxa"/>
          </w:tcPr>
          <w:p>
            <w:pPr>
              <w:pStyle w:val="28"/>
              <w:rPr>
                <w:rFonts w:ascii="Times New Roman"/>
                <w:sz w:val="24"/>
              </w:rPr>
            </w:pPr>
          </w:p>
        </w:tc>
        <w:tc>
          <w:tcPr>
            <w:tcW w:w="550"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478" w:type="dxa"/>
            <w:gridSpan w:val="3"/>
          </w:tcPr>
          <w:p>
            <w:pPr>
              <w:pStyle w:val="28"/>
              <w:spacing w:before="100"/>
              <w:ind w:left="3478" w:right="3468"/>
              <w:jc w:val="center"/>
              <w:rPr>
                <w:b/>
                <w:sz w:val="24"/>
              </w:rPr>
            </w:pPr>
            <w:r>
              <w:rPr>
                <w:b/>
                <w:sz w:val="24"/>
              </w:rPr>
              <w:t>结论</w:t>
            </w:r>
          </w:p>
        </w:tc>
        <w:tc>
          <w:tcPr>
            <w:tcW w:w="540" w:type="dxa"/>
          </w:tcPr>
          <w:p>
            <w:pPr>
              <w:pStyle w:val="28"/>
              <w:rPr>
                <w:rFonts w:ascii="Times New Roman"/>
                <w:sz w:val="24"/>
              </w:rPr>
            </w:pPr>
          </w:p>
        </w:tc>
        <w:tc>
          <w:tcPr>
            <w:tcW w:w="540" w:type="dxa"/>
          </w:tcPr>
          <w:p>
            <w:pPr>
              <w:pStyle w:val="28"/>
              <w:rPr>
                <w:rFonts w:ascii="Times New Roman"/>
                <w:sz w:val="24"/>
              </w:rPr>
            </w:pPr>
          </w:p>
        </w:tc>
        <w:tc>
          <w:tcPr>
            <w:tcW w:w="550" w:type="dxa"/>
          </w:tcPr>
          <w:p>
            <w:pPr>
              <w:pStyle w:val="28"/>
              <w:rPr>
                <w:rFonts w:ascii="Times New Roman"/>
                <w:sz w:val="24"/>
              </w:rPr>
            </w:pPr>
          </w:p>
        </w:tc>
      </w:tr>
    </w:tbl>
    <w:p>
      <w:pPr>
        <w:pStyle w:val="13"/>
        <w:spacing w:before="89"/>
        <w:ind w:left="220"/>
      </w:pPr>
      <w:r>
        <w:t>说明：</w:t>
      </w:r>
    </w:p>
    <w:p>
      <w:pPr>
        <w:pStyle w:val="13"/>
        <w:spacing w:before="174"/>
        <w:ind w:left="700"/>
      </w:pPr>
      <w:r>
        <w:t>1、表中只需填写“√/通过”或“×/不通过”。</w:t>
      </w:r>
    </w:p>
    <w:p>
      <w:pPr>
        <w:pStyle w:val="13"/>
        <w:spacing w:before="178" w:line="379" w:lineRule="auto"/>
        <w:ind w:left="220" w:right="320" w:firstLine="480"/>
      </w:pPr>
      <w:r>
        <w:t>2</w:t>
      </w:r>
      <w:r>
        <w:rPr>
          <w:spacing w:val="-7"/>
        </w:rPr>
        <w:t>、在结论中按“一项否决”的原则，只有全部是</w:t>
      </w:r>
      <w:r>
        <w:t>√/</w:t>
      </w:r>
      <w:r>
        <w:rPr>
          <w:spacing w:val="-8"/>
        </w:rPr>
        <w:t>通过的，填写“合格”；只要其中有</w:t>
      </w:r>
      <w:r>
        <w:t>一项是×/不通过的，填写“不合格”。</w:t>
      </w:r>
    </w:p>
    <w:p>
      <w:pPr>
        <w:pStyle w:val="13"/>
        <w:spacing w:line="305" w:lineRule="exact"/>
        <w:ind w:left="700"/>
      </w:pPr>
      <w:r>
        <w:t>3、结论是合格的，才能进入下一轮；不合格的被淘汰。</w:t>
      </w:r>
    </w:p>
    <w:p>
      <w:pPr>
        <w:pStyle w:val="13"/>
      </w:pPr>
    </w:p>
    <w:p>
      <w:pPr>
        <w:pStyle w:val="13"/>
        <w:rPr>
          <w:sz w:val="32"/>
        </w:rPr>
      </w:pPr>
    </w:p>
    <w:p>
      <w:pPr>
        <w:pStyle w:val="10"/>
        <w:ind w:left="779"/>
      </w:pPr>
      <w:r>
        <w:t>评委签字：</w:t>
      </w:r>
    </w:p>
    <w:p>
      <w:pPr>
        <w:sectPr>
          <w:pgSz w:w="11910" w:h="16840"/>
          <w:pgMar w:top="1540" w:right="760" w:bottom="1040" w:left="860" w:header="0" w:footer="776" w:gutter="0"/>
          <w:cols w:space="720" w:num="1"/>
        </w:sectPr>
      </w:pPr>
    </w:p>
    <w:p>
      <w:pPr>
        <w:pStyle w:val="2"/>
        <w:spacing w:before="35"/>
        <w:ind w:left="700"/>
        <w:jc w:val="left"/>
      </w:pPr>
      <w:r>
        <w:rPr>
          <w:rFonts w:hint="eastAsia"/>
        </w:rPr>
        <w:t>（二）评审标准和方法</w:t>
      </w:r>
    </w:p>
    <w:p>
      <w:pPr>
        <w:pStyle w:val="13"/>
        <w:keepNext w:val="0"/>
        <w:keepLines w:val="0"/>
        <w:pageBreakBefore w:val="0"/>
        <w:widowControl w:val="0"/>
        <w:kinsoku/>
        <w:wordWrap/>
        <w:overflowPunct/>
        <w:topLinePunct w:val="0"/>
        <w:autoSpaceDE w:val="0"/>
        <w:autoSpaceDN w:val="0"/>
        <w:bidi w:val="0"/>
        <w:adjustRightInd/>
        <w:snapToGrid/>
        <w:spacing w:before="235" w:line="360" w:lineRule="auto"/>
        <w:ind w:left="220" w:leftChars="0" w:firstLine="464" w:firstLineChars="200"/>
        <w:textAlignment w:val="auto"/>
        <w:rPr>
          <w:highlight w:val="none"/>
        </w:rPr>
      </w:pPr>
      <w:bookmarkStart w:id="171" w:name="本招标项目的评标办法采用综合评分法。满分为100分，其中：价格分10分，商务分2"/>
      <w:bookmarkEnd w:id="171"/>
      <w:r>
        <w:rPr>
          <w:rFonts w:hint="eastAsia"/>
          <w:spacing w:val="-4"/>
        </w:rPr>
        <w:t>本招标项目的评标办法采用综合评分法。</w:t>
      </w:r>
      <w:r>
        <w:rPr>
          <w:rFonts w:hint="eastAsia"/>
          <w:spacing w:val="-4"/>
          <w:highlight w:val="none"/>
        </w:rPr>
        <w:t xml:space="preserve">满分为 </w:t>
      </w:r>
      <w:r>
        <w:rPr>
          <w:rFonts w:hint="eastAsia"/>
          <w:highlight w:val="none"/>
        </w:rPr>
        <w:t>100</w:t>
      </w:r>
      <w:r>
        <w:rPr>
          <w:rFonts w:hint="eastAsia"/>
          <w:spacing w:val="-16"/>
          <w:highlight w:val="none"/>
        </w:rPr>
        <w:t xml:space="preserve"> 分，其中：价格分</w:t>
      </w:r>
      <w:r>
        <w:rPr>
          <w:rFonts w:hint="eastAsia"/>
          <w:highlight w:val="none"/>
          <w:lang w:val="en-US" w:eastAsia="zh-CN"/>
        </w:rPr>
        <w:t>1</w:t>
      </w:r>
      <w:r>
        <w:rPr>
          <w:rFonts w:hint="eastAsia"/>
          <w:highlight w:val="none"/>
        </w:rPr>
        <w:t>0</w:t>
      </w:r>
      <w:r>
        <w:rPr>
          <w:rFonts w:hint="eastAsia"/>
          <w:spacing w:val="-20"/>
          <w:highlight w:val="none"/>
        </w:rPr>
        <w:t xml:space="preserve"> 分，商务分</w:t>
      </w:r>
      <w:r>
        <w:rPr>
          <w:rFonts w:hint="eastAsia"/>
          <w:highlight w:val="none"/>
          <w:lang w:val="en-US" w:eastAsia="zh-CN"/>
        </w:rPr>
        <w:t>32</w:t>
      </w:r>
      <w:r>
        <w:rPr>
          <w:rFonts w:hint="eastAsia"/>
          <w:spacing w:val="-10"/>
          <w:highlight w:val="none"/>
        </w:rPr>
        <w:t>分，技术分</w:t>
      </w:r>
      <w:r>
        <w:rPr>
          <w:rFonts w:hint="eastAsia"/>
          <w:highlight w:val="none"/>
          <w:lang w:val="en-US" w:eastAsia="zh-CN"/>
        </w:rPr>
        <w:t>58</w:t>
      </w:r>
      <w:r>
        <w:rPr>
          <w:rFonts w:hint="eastAsia"/>
          <w:spacing w:val="-9"/>
          <w:highlight w:val="none"/>
        </w:rPr>
        <w:t>分。综合得分最高者为第一中标候选人。</w:t>
      </w:r>
      <w:bookmarkStart w:id="172" w:name="一、报价部分（10分）"/>
      <w:bookmarkEnd w:id="172"/>
    </w:p>
    <w:p>
      <w:pPr>
        <w:keepNext w:val="0"/>
        <w:keepLines w:val="0"/>
        <w:pageBreakBefore w:val="0"/>
        <w:widowControl w:val="0"/>
        <w:kinsoku/>
        <w:wordWrap/>
        <w:overflowPunct/>
        <w:topLinePunct w:val="0"/>
        <w:autoSpaceDE w:val="0"/>
        <w:autoSpaceDN w:val="0"/>
        <w:bidi w:val="0"/>
        <w:adjustRightInd/>
        <w:snapToGrid/>
        <w:spacing w:before="172" w:line="360" w:lineRule="auto"/>
        <w:ind w:left="220" w:right="4184"/>
        <w:textAlignment w:val="auto"/>
        <w:rPr>
          <w:b/>
          <w:sz w:val="24"/>
          <w:highlight w:val="none"/>
        </w:rPr>
      </w:pPr>
      <w:r>
        <w:rPr>
          <w:rFonts w:hint="eastAsia"/>
          <w:b/>
          <w:sz w:val="24"/>
          <w:highlight w:val="none"/>
        </w:rPr>
        <w:t>一、报价部分（</w:t>
      </w:r>
      <w:r>
        <w:rPr>
          <w:rFonts w:hint="eastAsia"/>
          <w:b/>
          <w:sz w:val="24"/>
          <w:highlight w:val="none"/>
          <w:lang w:val="en-US" w:eastAsia="zh-CN"/>
        </w:rPr>
        <w:t>1</w:t>
      </w:r>
      <w:r>
        <w:rPr>
          <w:rFonts w:hint="eastAsia"/>
          <w:b/>
          <w:sz w:val="24"/>
          <w:highlight w:val="none"/>
        </w:rPr>
        <w:t>0</w:t>
      </w:r>
      <w:r>
        <w:rPr>
          <w:rFonts w:hint="eastAsia"/>
          <w:b/>
          <w:spacing w:val="-31"/>
          <w:sz w:val="24"/>
          <w:highlight w:val="none"/>
        </w:rPr>
        <w:t xml:space="preserve"> 分</w:t>
      </w:r>
      <w:r>
        <w:rPr>
          <w:rFonts w:hint="eastAsia"/>
          <w:b/>
          <w:sz w:val="24"/>
          <w:highlight w:val="none"/>
        </w:rPr>
        <w:t>）</w:t>
      </w:r>
    </w:p>
    <w:p>
      <w:pPr>
        <w:pStyle w:val="13"/>
        <w:keepNext w:val="0"/>
        <w:keepLines w:val="0"/>
        <w:pageBreakBefore w:val="0"/>
        <w:widowControl w:val="0"/>
        <w:kinsoku/>
        <w:wordWrap/>
        <w:overflowPunct/>
        <w:topLinePunct w:val="0"/>
        <w:autoSpaceDE w:val="0"/>
        <w:autoSpaceDN w:val="0"/>
        <w:bidi w:val="0"/>
        <w:adjustRightInd/>
        <w:snapToGrid/>
        <w:spacing w:before="1" w:line="360" w:lineRule="auto"/>
        <w:ind w:left="700"/>
        <w:textAlignment w:val="auto"/>
      </w:pPr>
      <w:r>
        <w:rPr>
          <w:rFonts w:hint="eastAsia"/>
        </w:rPr>
        <w:t>1、价格得分计算公式：</w:t>
      </w:r>
    </w:p>
    <w:p>
      <w:pPr>
        <w:pStyle w:val="13"/>
        <w:keepNext w:val="0"/>
        <w:keepLines w:val="0"/>
        <w:pageBreakBefore w:val="0"/>
        <w:widowControl w:val="0"/>
        <w:kinsoku/>
        <w:wordWrap/>
        <w:overflowPunct/>
        <w:topLinePunct w:val="0"/>
        <w:autoSpaceDE w:val="0"/>
        <w:autoSpaceDN w:val="0"/>
        <w:bidi w:val="0"/>
        <w:adjustRightInd/>
        <w:snapToGrid/>
        <w:spacing w:before="172" w:line="360" w:lineRule="auto"/>
        <w:ind w:left="220" w:leftChars="0" w:firstLine="480" w:firstLineChars="200"/>
        <w:textAlignment w:val="auto"/>
      </w:pPr>
      <w:r>
        <w:rPr>
          <w:rFonts w:hint="eastAsia"/>
        </w:rPr>
        <w:t>综合评分法中的价格分统一采用低价优先法计算。磋商基准价为满足磋商文件要求且最后报价最低的供应商的价格</w:t>
      </w:r>
      <w:bookmarkStart w:id="173" w:name="磋商报价得分=（磋商基准价/最后磋商报价）×10%×100"/>
      <w:bookmarkEnd w:id="173"/>
      <w:r>
        <w:rPr>
          <w:rFonts w:hint="eastAsia"/>
          <w:lang w:eastAsia="zh-CN"/>
        </w:rPr>
        <w:t>，</w:t>
      </w:r>
      <w:r>
        <w:rPr>
          <w:rFonts w:hint="eastAsia"/>
        </w:rPr>
        <w:t>磋商报价得分=（磋商基准价/最后磋商报价）×</w:t>
      </w:r>
      <w:r>
        <w:rPr>
          <w:rFonts w:hint="eastAsia"/>
          <w:lang w:val="en-US" w:eastAsia="zh-CN"/>
        </w:rPr>
        <w:t>1</w:t>
      </w:r>
      <w:r>
        <w:rPr>
          <w:rFonts w:hint="eastAsia"/>
        </w:rPr>
        <w:t>0%×100</w:t>
      </w:r>
    </w:p>
    <w:p>
      <w:pPr>
        <w:pStyle w:val="13"/>
        <w:keepNext w:val="0"/>
        <w:keepLines w:val="0"/>
        <w:pageBreakBefore w:val="0"/>
        <w:widowControl w:val="0"/>
        <w:kinsoku/>
        <w:wordWrap/>
        <w:overflowPunct/>
        <w:topLinePunct w:val="0"/>
        <w:autoSpaceDE w:val="0"/>
        <w:autoSpaceDN w:val="0"/>
        <w:bidi w:val="0"/>
        <w:adjustRightInd/>
        <w:snapToGrid/>
        <w:spacing w:line="360" w:lineRule="auto"/>
        <w:ind w:left="700"/>
        <w:textAlignment w:val="auto"/>
      </w:pPr>
      <w:bookmarkStart w:id="174" w:name="注：1.价格得分取小数点后两位，四舍五入。"/>
      <w:bookmarkEnd w:id="174"/>
      <w:r>
        <w:rPr>
          <w:rFonts w:hint="eastAsia"/>
        </w:rPr>
        <w:t>注：1.价格得分取小数点后两位，四舍五入。</w:t>
      </w:r>
    </w:p>
    <w:p>
      <w:pPr>
        <w:pStyle w:val="13"/>
        <w:keepNext w:val="0"/>
        <w:keepLines w:val="0"/>
        <w:pageBreakBefore w:val="0"/>
        <w:widowControl w:val="0"/>
        <w:kinsoku/>
        <w:wordWrap/>
        <w:overflowPunct/>
        <w:topLinePunct w:val="0"/>
        <w:autoSpaceDE w:val="0"/>
        <w:autoSpaceDN w:val="0"/>
        <w:bidi w:val="0"/>
        <w:adjustRightInd/>
        <w:snapToGrid/>
        <w:spacing w:before="173" w:line="360" w:lineRule="auto"/>
        <w:ind w:left="1180"/>
        <w:textAlignment w:val="auto"/>
      </w:pPr>
      <w:bookmarkStart w:id="175" w:name="2.有效供应商为未被评标委员会判定为无效投标的供应商。"/>
      <w:bookmarkEnd w:id="175"/>
      <w:r>
        <w:rPr>
          <w:rFonts w:hint="eastAsia"/>
        </w:rPr>
        <w:t>2.有效供应商为未被评标委员会判定为无效投标的供应商。</w:t>
      </w:r>
    </w:p>
    <w:p>
      <w:pPr>
        <w:pStyle w:val="13"/>
        <w:keepNext w:val="0"/>
        <w:keepLines w:val="0"/>
        <w:pageBreakBefore w:val="0"/>
        <w:widowControl w:val="0"/>
        <w:kinsoku/>
        <w:wordWrap/>
        <w:overflowPunct/>
        <w:topLinePunct w:val="0"/>
        <w:autoSpaceDE w:val="0"/>
        <w:autoSpaceDN w:val="0"/>
        <w:bidi w:val="0"/>
        <w:adjustRightInd/>
        <w:snapToGrid/>
        <w:spacing w:before="204" w:line="360" w:lineRule="auto"/>
        <w:ind w:left="219" w:right="224" w:firstLine="480"/>
        <w:textAlignment w:val="auto"/>
      </w:pPr>
      <w:bookmarkStart w:id="176" w:name="2、供应商若为小微型企业、监狱企业或残疾人福利性单位的，可享受投标报价给予6%的"/>
      <w:bookmarkEnd w:id="176"/>
      <w:r>
        <w:rPr>
          <w:rFonts w:hint="eastAsia"/>
        </w:rPr>
        <w:t>2</w:t>
      </w:r>
      <w:r>
        <w:rPr>
          <w:rFonts w:hint="eastAsia"/>
          <w:spacing w:val="-7"/>
        </w:rPr>
        <w:t>、供应商若为小微型企业、监狱企业或残疾人福利性单位的，可享受投标报价给予</w:t>
      </w:r>
      <w:r>
        <w:rPr>
          <w:rFonts w:hint="eastAsia"/>
          <w:spacing w:val="-7"/>
          <w:lang w:val="en-US" w:eastAsia="zh-CN"/>
        </w:rPr>
        <w:t>10</w:t>
      </w:r>
      <w:r>
        <w:rPr>
          <w:rFonts w:hint="eastAsia"/>
        </w:rPr>
        <w:t>%的</w:t>
      </w:r>
      <w:r>
        <w:rPr>
          <w:rFonts w:hint="eastAsia"/>
          <w:spacing w:val="-1"/>
        </w:rPr>
        <w:t xml:space="preserve">扣除；若同时为小微型企业、监狱企业或残疾人福利性单位的，评审中只享受一次价格扣除， </w:t>
      </w:r>
      <w:bookmarkStart w:id="177" w:name="不重复进行价格扣除。"/>
      <w:bookmarkEnd w:id="177"/>
      <w:r>
        <w:rPr>
          <w:rFonts w:hint="eastAsia"/>
        </w:rPr>
        <w:t>不重复进行价格扣除。</w:t>
      </w:r>
    </w:p>
    <w:p>
      <w:pPr>
        <w:spacing w:before="1" w:line="405" w:lineRule="auto"/>
        <w:ind w:left="220" w:right="5024" w:firstLine="480"/>
        <w:rPr>
          <w:sz w:val="24"/>
        </w:rPr>
      </w:pPr>
      <w:bookmarkStart w:id="178" w:name="注：价格得分取小数点后两位，四舍五入。"/>
      <w:bookmarkEnd w:id="178"/>
      <w:r>
        <w:rPr>
          <w:rFonts w:hint="eastAsia"/>
          <w:sz w:val="24"/>
        </w:rPr>
        <w:t>注：价格得分取小数点后两位，四舍五入。</w:t>
      </w:r>
      <w:bookmarkStart w:id="179" w:name="二、商务部分（25分）"/>
      <w:bookmarkEnd w:id="179"/>
    </w:p>
    <w:p>
      <w:pPr>
        <w:spacing w:before="1" w:line="405" w:lineRule="auto"/>
        <w:ind w:left="220" w:right="5024"/>
        <w:rPr>
          <w:sz w:val="24"/>
        </w:rPr>
      </w:pPr>
      <w:r>
        <w:rPr>
          <w:rFonts w:hint="eastAsia"/>
          <w:b/>
          <w:sz w:val="24"/>
        </w:rPr>
        <w:t>二、商务部分（</w:t>
      </w:r>
      <w:r>
        <w:rPr>
          <w:rFonts w:hint="eastAsia"/>
          <w:b/>
          <w:sz w:val="24"/>
          <w:lang w:val="en-US"/>
        </w:rPr>
        <w:t>3</w:t>
      </w:r>
      <w:r>
        <w:rPr>
          <w:rFonts w:hint="eastAsia"/>
          <w:b/>
          <w:sz w:val="24"/>
          <w:lang w:val="en-US" w:eastAsia="zh-CN"/>
        </w:rPr>
        <w:t>2</w:t>
      </w:r>
      <w:r>
        <w:rPr>
          <w:rFonts w:hint="eastAsia"/>
          <w:b/>
          <w:sz w:val="24"/>
        </w:rPr>
        <w:t xml:space="preserve"> 分）</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1870"/>
        <w:gridCol w:w="634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22"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序号</w:t>
            </w:r>
          </w:p>
        </w:tc>
        <w:tc>
          <w:tcPr>
            <w:tcW w:w="1870"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评审内容</w:t>
            </w:r>
          </w:p>
        </w:tc>
        <w:tc>
          <w:tcPr>
            <w:tcW w:w="6346"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评分标准</w:t>
            </w:r>
          </w:p>
        </w:tc>
        <w:tc>
          <w:tcPr>
            <w:tcW w:w="1368" w:type="dxa"/>
            <w:vAlign w:val="center"/>
          </w:tcPr>
          <w:p>
            <w:pPr>
              <w:pStyle w:val="28"/>
              <w:spacing w:before="43" w:line="302" w:lineRule="auto"/>
              <w:ind w:right="143"/>
              <w:jc w:val="center"/>
              <w:rPr>
                <w:b w:val="0"/>
                <w:bCs w:val="0"/>
                <w:sz w:val="24"/>
                <w:vertAlign w:val="baseline"/>
              </w:rPr>
            </w:pPr>
            <w:r>
              <w:rPr>
                <w:rFonts w:hint="eastAsia"/>
                <w:b w:val="0"/>
                <w:bCs w:val="0"/>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922" w:type="dxa"/>
            <w:vAlign w:val="center"/>
          </w:tcPr>
          <w:p>
            <w:pPr>
              <w:spacing w:line="405" w:lineRule="auto"/>
              <w:jc w:val="center"/>
              <w:rPr>
                <w:rFonts w:hint="eastAsia" w:eastAsia="宋体"/>
                <w:sz w:val="24"/>
                <w:vertAlign w:val="baseline"/>
                <w:lang w:val="en-US" w:eastAsia="zh-CN"/>
              </w:rPr>
            </w:pPr>
            <w:r>
              <w:rPr>
                <w:rFonts w:hint="eastAsia"/>
                <w:sz w:val="24"/>
                <w:vertAlign w:val="baseline"/>
                <w:lang w:val="en-US" w:eastAsia="zh-CN"/>
              </w:rPr>
              <w:t>1</w:t>
            </w:r>
          </w:p>
        </w:tc>
        <w:tc>
          <w:tcPr>
            <w:tcW w:w="1870" w:type="dxa"/>
            <w:vAlign w:val="center"/>
          </w:tcPr>
          <w:p>
            <w:pPr>
              <w:spacing w:line="405" w:lineRule="auto"/>
              <w:jc w:val="center"/>
              <w:rPr>
                <w:sz w:val="24"/>
                <w:vertAlign w:val="baseline"/>
              </w:rPr>
            </w:pPr>
            <w:r>
              <w:rPr>
                <w:rFonts w:hint="eastAsia" w:ascii="宋体" w:hAnsi="宋体" w:eastAsia="宋体" w:cs="宋体"/>
                <w:spacing w:val="-7"/>
                <w:sz w:val="24"/>
                <w:szCs w:val="24"/>
                <w:lang w:val="zh-CN" w:eastAsia="zh-CN" w:bidi="zh-CN"/>
              </w:rPr>
              <w:t>物业服务项目经验</w:t>
            </w:r>
          </w:p>
        </w:tc>
        <w:tc>
          <w:tcPr>
            <w:tcW w:w="634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sz w:val="24"/>
                <w:vertAlign w:val="baseline"/>
              </w:rPr>
            </w:pPr>
            <w:r>
              <w:rPr>
                <w:rFonts w:hint="eastAsia" w:ascii="宋体" w:hAnsi="宋体" w:eastAsia="宋体" w:cs="宋体"/>
                <w:spacing w:val="-7"/>
                <w:sz w:val="24"/>
                <w:szCs w:val="24"/>
                <w:lang w:val="zh-CN" w:eastAsia="zh-CN" w:bidi="zh-CN"/>
              </w:rPr>
              <w:t>据投标人所提供自2019年1月1日至今类似业绩，每1份业绩得</w:t>
            </w:r>
            <w:r>
              <w:rPr>
                <w:rFonts w:hint="eastAsia" w:cs="宋体"/>
                <w:spacing w:val="-7"/>
                <w:sz w:val="24"/>
                <w:szCs w:val="24"/>
                <w:lang w:val="en-US" w:eastAsia="zh-CN" w:bidi="zh-CN"/>
              </w:rPr>
              <w:t>5</w:t>
            </w:r>
            <w:r>
              <w:rPr>
                <w:rFonts w:hint="eastAsia" w:ascii="宋体" w:hAnsi="宋体" w:eastAsia="宋体" w:cs="宋体"/>
                <w:spacing w:val="-7"/>
                <w:sz w:val="24"/>
                <w:szCs w:val="24"/>
                <w:lang w:val="zh-CN" w:eastAsia="zh-CN" w:bidi="zh-CN"/>
              </w:rPr>
              <w:t>分，最高得 1</w:t>
            </w:r>
            <w:r>
              <w:rPr>
                <w:rFonts w:hint="eastAsia" w:cs="宋体"/>
                <w:spacing w:val="-7"/>
                <w:sz w:val="24"/>
                <w:szCs w:val="24"/>
                <w:lang w:val="en-US" w:eastAsia="zh-CN" w:bidi="zh-CN"/>
              </w:rPr>
              <w:t>0</w:t>
            </w:r>
            <w:r>
              <w:rPr>
                <w:rFonts w:hint="eastAsia" w:ascii="宋体" w:hAnsi="宋体" w:eastAsia="宋体" w:cs="宋体"/>
                <w:spacing w:val="-7"/>
                <w:sz w:val="24"/>
                <w:szCs w:val="24"/>
                <w:lang w:val="zh-CN" w:eastAsia="zh-CN" w:bidi="zh-CN"/>
              </w:rPr>
              <w:t xml:space="preserve"> 分。(提供合同复印件加盖投标人公章，不提供不得分)。</w:t>
            </w:r>
          </w:p>
        </w:tc>
        <w:tc>
          <w:tcPr>
            <w:tcW w:w="1368" w:type="dxa"/>
            <w:vAlign w:val="center"/>
          </w:tcPr>
          <w:p>
            <w:pPr>
              <w:spacing w:line="405" w:lineRule="auto"/>
              <w:jc w:val="center"/>
              <w:rPr>
                <w:rFonts w:hint="default" w:eastAsia="宋体"/>
                <w:sz w:val="24"/>
                <w:vertAlign w:val="baseline"/>
                <w:lang w:val="en-US" w:eastAsia="zh-CN"/>
              </w:rPr>
            </w:pPr>
            <w:r>
              <w:rPr>
                <w:rFonts w:hint="eastAsia"/>
                <w:sz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Align w:val="center"/>
          </w:tcPr>
          <w:p>
            <w:pPr>
              <w:spacing w:line="405" w:lineRule="auto"/>
              <w:jc w:val="center"/>
              <w:rPr>
                <w:rFonts w:hint="eastAsia" w:eastAsia="宋体"/>
                <w:sz w:val="24"/>
                <w:vertAlign w:val="baseline"/>
                <w:lang w:val="en-US" w:eastAsia="zh-CN"/>
              </w:rPr>
            </w:pPr>
            <w:r>
              <w:rPr>
                <w:rFonts w:hint="eastAsia"/>
                <w:sz w:val="24"/>
                <w:vertAlign w:val="baseline"/>
                <w:lang w:val="en-US" w:eastAsia="zh-CN"/>
              </w:rPr>
              <w:t>2</w:t>
            </w:r>
          </w:p>
        </w:tc>
        <w:tc>
          <w:tcPr>
            <w:tcW w:w="1870" w:type="dxa"/>
            <w:vAlign w:val="center"/>
          </w:tcPr>
          <w:p>
            <w:pPr>
              <w:spacing w:line="405" w:lineRule="auto"/>
              <w:jc w:val="center"/>
              <w:rPr>
                <w:sz w:val="24"/>
                <w:vertAlign w:val="baseline"/>
              </w:rPr>
            </w:pPr>
            <w:r>
              <w:rPr>
                <w:rFonts w:hint="eastAsia" w:ascii="宋体" w:hAnsi="宋体" w:eastAsia="宋体" w:cs="宋体"/>
                <w:spacing w:val="-7"/>
                <w:sz w:val="24"/>
                <w:szCs w:val="24"/>
                <w:lang w:val="zh-CN" w:eastAsia="zh-CN" w:bidi="zh-CN"/>
              </w:rPr>
              <w:t>项目经理</w:t>
            </w:r>
          </w:p>
        </w:tc>
        <w:tc>
          <w:tcPr>
            <w:tcW w:w="6346"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具有大专及以上学历，加2分。(须提供以下证明材料，不提供不得该项分数：</w:t>
            </w:r>
          </w:p>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(1) 有效身份证复印件；</w:t>
            </w:r>
          </w:p>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(2) 毕业证书复印件；</w:t>
            </w:r>
          </w:p>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sz w:val="24"/>
                <w:vertAlign w:val="baseline"/>
              </w:rPr>
            </w:pPr>
            <w:r>
              <w:rPr>
                <w:rFonts w:hint="eastAsia" w:ascii="宋体" w:hAnsi="宋体" w:eastAsia="宋体" w:cs="宋体"/>
                <w:spacing w:val="-7"/>
                <w:sz w:val="24"/>
                <w:szCs w:val="24"/>
                <w:lang w:val="zh-CN" w:eastAsia="zh-CN" w:bidi="zh-CN"/>
              </w:rPr>
              <w:t>(</w:t>
            </w:r>
            <w:r>
              <w:rPr>
                <w:rFonts w:hint="eastAsia" w:cs="宋体"/>
                <w:spacing w:val="-7"/>
                <w:sz w:val="24"/>
                <w:szCs w:val="24"/>
                <w:lang w:val="en-US" w:eastAsia="zh-CN" w:bidi="zh-CN"/>
              </w:rPr>
              <w:t>3</w:t>
            </w:r>
            <w:r>
              <w:rPr>
                <w:rFonts w:hint="eastAsia" w:ascii="宋体" w:hAnsi="宋体" w:eastAsia="宋体" w:cs="宋体"/>
                <w:spacing w:val="-7"/>
                <w:sz w:val="24"/>
                <w:szCs w:val="24"/>
                <w:lang w:val="zh-CN" w:eastAsia="zh-CN" w:bidi="zh-CN"/>
              </w:rPr>
              <w:t xml:space="preserve">) </w:t>
            </w:r>
            <w:r>
              <w:rPr>
                <w:rFonts w:hint="eastAsia" w:cs="宋体"/>
                <w:spacing w:val="-7"/>
                <w:sz w:val="24"/>
                <w:szCs w:val="24"/>
                <w:lang w:val="zh-CN" w:eastAsia="zh-CN" w:bidi="zh-CN"/>
              </w:rPr>
              <w:t>提供</w:t>
            </w:r>
            <w:r>
              <w:rPr>
                <w:rFonts w:hint="eastAsia" w:ascii="宋体" w:hAnsi="宋体" w:eastAsia="宋体" w:cs="宋体"/>
                <w:spacing w:val="-7"/>
                <w:sz w:val="24"/>
                <w:szCs w:val="24"/>
                <w:lang w:val="zh-CN" w:eastAsia="zh-CN" w:bidi="zh-CN"/>
              </w:rPr>
              <w:t xml:space="preserve"> 202</w:t>
            </w:r>
            <w:r>
              <w:rPr>
                <w:rFonts w:hint="eastAsia" w:cs="宋体"/>
                <w:spacing w:val="-7"/>
                <w:sz w:val="24"/>
                <w:szCs w:val="24"/>
                <w:lang w:val="en-US" w:eastAsia="zh-CN" w:bidi="zh-CN"/>
              </w:rPr>
              <w:t>2</w:t>
            </w:r>
            <w:r>
              <w:rPr>
                <w:rFonts w:hint="eastAsia" w:ascii="宋体" w:hAnsi="宋体" w:eastAsia="宋体" w:cs="宋体"/>
                <w:spacing w:val="-7"/>
                <w:sz w:val="24"/>
                <w:szCs w:val="24"/>
                <w:lang w:val="zh-CN" w:eastAsia="zh-CN" w:bidi="zh-CN"/>
              </w:rPr>
              <w:t xml:space="preserve"> 年1月1日至今</w:t>
            </w:r>
            <w:r>
              <w:rPr>
                <w:rFonts w:hint="eastAsia" w:cs="宋体"/>
                <w:spacing w:val="-7"/>
                <w:sz w:val="24"/>
                <w:szCs w:val="24"/>
                <w:lang w:val="zh-CN" w:eastAsia="zh-CN" w:bidi="zh-CN"/>
              </w:rPr>
              <w:t>任意</w:t>
            </w:r>
            <w:r>
              <w:rPr>
                <w:rFonts w:hint="eastAsia" w:ascii="宋体" w:hAnsi="宋体" w:eastAsia="宋体" w:cs="宋体"/>
                <w:spacing w:val="-7"/>
                <w:sz w:val="24"/>
                <w:szCs w:val="24"/>
                <w:lang w:val="zh-CN" w:eastAsia="zh-CN" w:bidi="zh-CN"/>
              </w:rPr>
              <w:t xml:space="preserve"> </w:t>
            </w:r>
            <w:r>
              <w:rPr>
                <w:rFonts w:hint="eastAsia" w:cs="宋体"/>
                <w:spacing w:val="-7"/>
                <w:sz w:val="24"/>
                <w:szCs w:val="24"/>
                <w:lang w:val="en-US" w:eastAsia="zh-CN" w:bidi="zh-CN"/>
              </w:rPr>
              <w:t>1</w:t>
            </w:r>
            <w:r>
              <w:rPr>
                <w:rFonts w:hint="eastAsia" w:ascii="宋体" w:hAnsi="宋体" w:eastAsia="宋体" w:cs="宋体"/>
                <w:spacing w:val="-7"/>
                <w:sz w:val="24"/>
                <w:szCs w:val="24"/>
                <w:lang w:val="zh-CN" w:eastAsia="zh-CN" w:bidi="zh-CN"/>
              </w:rPr>
              <w:t>个月或以上的社保缴纳证明复印件。)</w:t>
            </w:r>
          </w:p>
        </w:tc>
        <w:tc>
          <w:tcPr>
            <w:tcW w:w="1368" w:type="dxa"/>
            <w:vAlign w:val="center"/>
          </w:tcPr>
          <w:p>
            <w:pPr>
              <w:spacing w:line="405" w:lineRule="auto"/>
              <w:jc w:val="center"/>
              <w:rPr>
                <w:rFonts w:hint="eastAsia" w:eastAsia="宋体"/>
                <w:sz w:val="24"/>
                <w:vertAlign w:val="baseline"/>
                <w:lang w:val="en-US" w:eastAsia="zh-CN"/>
              </w:rPr>
            </w:pPr>
            <w:r>
              <w:rPr>
                <w:rFonts w:hint="eastAsia"/>
                <w:sz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vAlign w:val="center"/>
          </w:tcPr>
          <w:p>
            <w:pPr>
              <w:spacing w:line="405" w:lineRule="auto"/>
              <w:jc w:val="center"/>
              <w:rPr>
                <w:rFonts w:hint="eastAsia" w:eastAsia="宋体"/>
                <w:sz w:val="24"/>
                <w:vertAlign w:val="baseline"/>
                <w:lang w:val="en-US" w:eastAsia="zh-CN"/>
              </w:rPr>
            </w:pPr>
            <w:r>
              <w:rPr>
                <w:rFonts w:hint="eastAsia"/>
                <w:sz w:val="24"/>
                <w:vertAlign w:val="baseline"/>
                <w:lang w:val="en-US" w:eastAsia="zh-CN"/>
              </w:rPr>
              <w:t>3</w:t>
            </w:r>
          </w:p>
        </w:tc>
        <w:tc>
          <w:tcPr>
            <w:tcW w:w="1870" w:type="dxa"/>
            <w:vAlign w:val="center"/>
          </w:tcPr>
          <w:p>
            <w:pPr>
              <w:spacing w:line="405" w:lineRule="auto"/>
              <w:jc w:val="center"/>
              <w:rPr>
                <w:sz w:val="24"/>
                <w:vertAlign w:val="baseline"/>
              </w:rPr>
            </w:pPr>
            <w:r>
              <w:rPr>
                <w:rFonts w:hint="eastAsia" w:ascii="宋体" w:hAnsi="宋体" w:eastAsia="宋体" w:cs="宋体"/>
                <w:spacing w:val="-7"/>
                <w:sz w:val="24"/>
                <w:szCs w:val="24"/>
                <w:lang w:val="zh-CN" w:eastAsia="zh-CN" w:bidi="zh-CN"/>
              </w:rPr>
              <w:t>安保管理团队</w:t>
            </w:r>
          </w:p>
        </w:tc>
        <w:tc>
          <w:tcPr>
            <w:tcW w:w="6346"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sz w:val="24"/>
                <w:vertAlign w:val="baseline"/>
              </w:rPr>
            </w:pPr>
            <w:r>
              <w:rPr>
                <w:rFonts w:hint="eastAsia" w:ascii="宋体" w:hAnsi="宋体" w:eastAsia="宋体" w:cs="宋体"/>
                <w:spacing w:val="-7"/>
                <w:sz w:val="24"/>
                <w:szCs w:val="24"/>
                <w:lang w:val="zh-CN" w:eastAsia="zh-CN" w:bidi="zh-CN"/>
              </w:rPr>
              <w:t>保安员：拟投入本项目的保安员具有人力资源社会保障部门或公安部门颁发的保安员证，每提供1个得</w:t>
            </w:r>
            <w:r>
              <w:rPr>
                <w:rFonts w:hint="eastAsia" w:cs="宋体"/>
                <w:spacing w:val="-7"/>
                <w:sz w:val="24"/>
                <w:szCs w:val="24"/>
                <w:lang w:val="en-US" w:eastAsia="zh-CN" w:bidi="zh-CN"/>
              </w:rPr>
              <w:t>1</w:t>
            </w:r>
            <w:r>
              <w:rPr>
                <w:rFonts w:hint="eastAsia" w:ascii="宋体" w:hAnsi="宋体" w:eastAsia="宋体" w:cs="宋体"/>
                <w:spacing w:val="-7"/>
                <w:sz w:val="24"/>
                <w:szCs w:val="24"/>
                <w:lang w:val="zh-CN" w:eastAsia="zh-CN" w:bidi="zh-CN"/>
              </w:rPr>
              <w:t>分，最高得</w:t>
            </w:r>
            <w:r>
              <w:rPr>
                <w:rFonts w:hint="eastAsia" w:cs="宋体"/>
                <w:spacing w:val="-7"/>
                <w:sz w:val="24"/>
                <w:szCs w:val="24"/>
                <w:lang w:val="en-US" w:eastAsia="zh-CN" w:bidi="zh-CN"/>
              </w:rPr>
              <w:t>14</w:t>
            </w:r>
            <w:r>
              <w:rPr>
                <w:rFonts w:hint="eastAsia" w:ascii="宋体" w:hAnsi="宋体" w:eastAsia="宋体" w:cs="宋体"/>
                <w:spacing w:val="-7"/>
                <w:sz w:val="24"/>
                <w:szCs w:val="24"/>
                <w:lang w:val="zh-CN" w:eastAsia="zh-CN" w:bidi="zh-CN"/>
              </w:rPr>
              <w:t>分(提供证书复印件和提供 202</w:t>
            </w:r>
            <w:r>
              <w:rPr>
                <w:rFonts w:hint="eastAsia" w:cs="宋体"/>
                <w:spacing w:val="-7"/>
                <w:sz w:val="24"/>
                <w:szCs w:val="24"/>
                <w:lang w:val="en-US" w:eastAsia="zh-CN" w:bidi="zh-CN"/>
              </w:rPr>
              <w:t>2</w:t>
            </w:r>
            <w:r>
              <w:rPr>
                <w:rFonts w:hint="eastAsia" w:ascii="宋体" w:hAnsi="宋体" w:eastAsia="宋体" w:cs="宋体"/>
                <w:spacing w:val="-7"/>
                <w:sz w:val="24"/>
                <w:szCs w:val="24"/>
                <w:lang w:val="zh-CN" w:eastAsia="zh-CN" w:bidi="zh-CN"/>
              </w:rPr>
              <w:t xml:space="preserve"> 年1月1日至今</w:t>
            </w:r>
            <w:r>
              <w:rPr>
                <w:rFonts w:hint="eastAsia" w:cs="宋体"/>
                <w:spacing w:val="-7"/>
                <w:sz w:val="24"/>
                <w:szCs w:val="24"/>
                <w:lang w:val="zh-CN" w:eastAsia="zh-CN" w:bidi="zh-CN"/>
              </w:rPr>
              <w:t>任意</w:t>
            </w:r>
            <w:r>
              <w:rPr>
                <w:rFonts w:hint="eastAsia" w:ascii="宋体" w:hAnsi="宋体" w:eastAsia="宋体" w:cs="宋体"/>
                <w:spacing w:val="-7"/>
                <w:sz w:val="24"/>
                <w:szCs w:val="24"/>
                <w:lang w:val="zh-CN" w:eastAsia="zh-CN" w:bidi="zh-CN"/>
              </w:rPr>
              <w:t xml:space="preserve"> </w:t>
            </w:r>
            <w:r>
              <w:rPr>
                <w:rFonts w:hint="eastAsia" w:cs="宋体"/>
                <w:spacing w:val="-7"/>
                <w:sz w:val="24"/>
                <w:szCs w:val="24"/>
                <w:lang w:val="en-US" w:eastAsia="zh-CN" w:bidi="zh-CN"/>
              </w:rPr>
              <w:t>1</w:t>
            </w:r>
            <w:r>
              <w:rPr>
                <w:rFonts w:hint="eastAsia" w:ascii="宋体" w:hAnsi="宋体" w:eastAsia="宋体" w:cs="宋体"/>
                <w:spacing w:val="-7"/>
                <w:sz w:val="24"/>
                <w:szCs w:val="24"/>
                <w:lang w:val="zh-CN" w:eastAsia="zh-CN" w:bidi="zh-CN"/>
              </w:rPr>
              <w:t>个月或以上的社保缴纳证明复印件) 。</w:t>
            </w:r>
          </w:p>
        </w:tc>
        <w:tc>
          <w:tcPr>
            <w:tcW w:w="1368" w:type="dxa"/>
            <w:vAlign w:val="center"/>
          </w:tcPr>
          <w:p>
            <w:pPr>
              <w:spacing w:line="405" w:lineRule="auto"/>
              <w:jc w:val="center"/>
              <w:rPr>
                <w:rFonts w:hint="default" w:eastAsia="宋体"/>
                <w:sz w:val="24"/>
                <w:vertAlign w:val="baseline"/>
                <w:lang w:val="en-US" w:eastAsia="zh-CN"/>
              </w:rPr>
            </w:pPr>
            <w:r>
              <w:rPr>
                <w:rFonts w:hint="eastAsia"/>
                <w:sz w:val="24"/>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4</w:t>
            </w:r>
          </w:p>
        </w:tc>
        <w:tc>
          <w:tcPr>
            <w:tcW w:w="1870" w:type="dxa"/>
            <w:vAlign w:val="center"/>
          </w:tcPr>
          <w:p>
            <w:pPr>
              <w:spacing w:line="405" w:lineRule="auto"/>
              <w:jc w:val="center"/>
              <w:rPr>
                <w:rFonts w:ascii="宋体" w:hAnsi="宋体" w:eastAsia="宋体" w:cs="宋体"/>
                <w:spacing w:val="10"/>
                <w:sz w:val="23"/>
                <w:szCs w:val="23"/>
              </w:rPr>
            </w:pPr>
            <w:r>
              <w:rPr>
                <w:rFonts w:hint="eastAsia" w:ascii="宋体" w:hAnsi="宋体" w:eastAsia="宋体" w:cs="宋体"/>
                <w:spacing w:val="-7"/>
                <w:sz w:val="24"/>
                <w:szCs w:val="24"/>
                <w:lang w:val="zh-CN" w:eastAsia="zh-CN" w:bidi="zh-CN"/>
              </w:rPr>
              <w:t>食堂服务团队</w:t>
            </w:r>
          </w:p>
        </w:tc>
        <w:tc>
          <w:tcPr>
            <w:tcW w:w="6346"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具有人力资源和社会保障部门颁发的中式烹调师，具有中式面点师职业资格证。每提供1个证书得1分，最高得3分。(须提供以下证明材料，不提供不得该项分数：</w:t>
            </w:r>
          </w:p>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(1)提供2个有效的中式烹调师证书和1个中式面点师职业资格证书复印件；</w:t>
            </w:r>
          </w:p>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ascii="宋体" w:hAnsi="宋体" w:eastAsia="宋体" w:cs="宋体"/>
                <w:color w:val="333333"/>
                <w:spacing w:val="8"/>
                <w:sz w:val="23"/>
                <w:szCs w:val="23"/>
              </w:rPr>
            </w:pPr>
            <w:r>
              <w:rPr>
                <w:rFonts w:hint="eastAsia" w:ascii="宋体" w:hAnsi="宋体" w:eastAsia="宋体" w:cs="宋体"/>
                <w:spacing w:val="-7"/>
                <w:sz w:val="24"/>
                <w:szCs w:val="24"/>
                <w:lang w:val="zh-CN" w:eastAsia="zh-CN" w:bidi="zh-CN"/>
              </w:rPr>
              <w:t>(2)同时提供 202</w:t>
            </w:r>
            <w:r>
              <w:rPr>
                <w:rFonts w:hint="eastAsia" w:cs="宋体"/>
                <w:spacing w:val="-7"/>
                <w:sz w:val="24"/>
                <w:szCs w:val="24"/>
                <w:lang w:val="en-US" w:eastAsia="zh-CN" w:bidi="zh-CN"/>
              </w:rPr>
              <w:t>2</w:t>
            </w:r>
            <w:r>
              <w:rPr>
                <w:rFonts w:hint="eastAsia" w:ascii="宋体" w:hAnsi="宋体" w:eastAsia="宋体" w:cs="宋体"/>
                <w:spacing w:val="-7"/>
                <w:sz w:val="24"/>
                <w:szCs w:val="24"/>
                <w:lang w:val="zh-CN" w:eastAsia="zh-CN" w:bidi="zh-CN"/>
              </w:rPr>
              <w:t xml:space="preserve"> 年1月1日至今</w:t>
            </w:r>
            <w:r>
              <w:rPr>
                <w:rFonts w:hint="eastAsia" w:cs="宋体"/>
                <w:spacing w:val="-7"/>
                <w:sz w:val="24"/>
                <w:szCs w:val="24"/>
                <w:lang w:val="zh-CN" w:eastAsia="zh-CN" w:bidi="zh-CN"/>
              </w:rPr>
              <w:t>任意</w:t>
            </w:r>
            <w:r>
              <w:rPr>
                <w:rFonts w:hint="eastAsia" w:ascii="宋体" w:hAnsi="宋体" w:eastAsia="宋体" w:cs="宋体"/>
                <w:spacing w:val="-7"/>
                <w:sz w:val="24"/>
                <w:szCs w:val="24"/>
                <w:lang w:val="zh-CN" w:eastAsia="zh-CN" w:bidi="zh-CN"/>
              </w:rPr>
              <w:t xml:space="preserve"> </w:t>
            </w:r>
            <w:r>
              <w:rPr>
                <w:rFonts w:hint="eastAsia" w:cs="宋体"/>
                <w:spacing w:val="-7"/>
                <w:sz w:val="24"/>
                <w:szCs w:val="24"/>
                <w:lang w:val="en-US" w:eastAsia="zh-CN" w:bidi="zh-CN"/>
              </w:rPr>
              <w:t>1</w:t>
            </w:r>
            <w:r>
              <w:rPr>
                <w:rFonts w:hint="eastAsia" w:ascii="宋体" w:hAnsi="宋体" w:eastAsia="宋体" w:cs="宋体"/>
                <w:spacing w:val="-7"/>
                <w:sz w:val="24"/>
                <w:szCs w:val="24"/>
                <w:lang w:val="zh-CN" w:eastAsia="zh-CN" w:bidi="zh-CN"/>
              </w:rPr>
              <w:t>个月或以上的社保缴纳证明复印件) 。</w:t>
            </w:r>
          </w:p>
        </w:tc>
        <w:tc>
          <w:tcPr>
            <w:tcW w:w="1368"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trPr>
        <w:tc>
          <w:tcPr>
            <w:tcW w:w="922"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5</w:t>
            </w:r>
          </w:p>
        </w:tc>
        <w:tc>
          <w:tcPr>
            <w:tcW w:w="1870" w:type="dxa"/>
            <w:vAlign w:val="center"/>
          </w:tcPr>
          <w:p>
            <w:pPr>
              <w:spacing w:line="405" w:lineRule="auto"/>
              <w:jc w:val="center"/>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水电、消防等公用设施设备的维护管理团队</w:t>
            </w:r>
          </w:p>
        </w:tc>
        <w:tc>
          <w:tcPr>
            <w:tcW w:w="6346"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具有</w:t>
            </w:r>
            <w:r>
              <w:rPr>
                <w:rFonts w:hint="eastAsia" w:cs="宋体"/>
                <w:spacing w:val="-7"/>
                <w:sz w:val="24"/>
                <w:szCs w:val="24"/>
                <w:lang w:val="zh-CN" w:eastAsia="zh-CN" w:bidi="zh-CN"/>
              </w:rPr>
              <w:t>初级电工证</w:t>
            </w:r>
            <w:r>
              <w:rPr>
                <w:rFonts w:hint="eastAsia" w:cs="宋体"/>
                <w:spacing w:val="-7"/>
                <w:sz w:val="24"/>
                <w:szCs w:val="24"/>
                <w:lang w:val="en-US" w:eastAsia="zh-CN" w:bidi="zh-CN"/>
              </w:rPr>
              <w:t>或以上职业资格证1人，</w:t>
            </w:r>
            <w:r>
              <w:rPr>
                <w:rFonts w:hint="eastAsia" w:ascii="宋体" w:hAnsi="宋体" w:eastAsia="宋体" w:cs="宋体"/>
                <w:spacing w:val="-7"/>
                <w:sz w:val="24"/>
                <w:szCs w:val="24"/>
                <w:lang w:val="zh-CN" w:eastAsia="zh-CN" w:bidi="zh-CN"/>
              </w:rPr>
              <w:t>具有</w:t>
            </w:r>
            <w:r>
              <w:rPr>
                <w:rFonts w:hint="eastAsia" w:cs="宋体"/>
                <w:spacing w:val="-7"/>
                <w:sz w:val="24"/>
                <w:szCs w:val="24"/>
                <w:lang w:val="zh-CN" w:eastAsia="zh-CN" w:bidi="zh-CN"/>
              </w:rPr>
              <w:t>消防操作员证</w:t>
            </w:r>
            <w:r>
              <w:rPr>
                <w:rFonts w:hint="eastAsia" w:cs="宋体"/>
                <w:spacing w:val="-7"/>
                <w:sz w:val="24"/>
                <w:szCs w:val="24"/>
                <w:lang w:val="en-US" w:eastAsia="zh-CN" w:bidi="zh-CN"/>
              </w:rPr>
              <w:t>或以上职业资格证2人，</w:t>
            </w:r>
            <w:r>
              <w:rPr>
                <w:rFonts w:hint="eastAsia" w:ascii="宋体" w:hAnsi="宋体" w:eastAsia="宋体" w:cs="宋体"/>
                <w:spacing w:val="-7"/>
                <w:sz w:val="24"/>
                <w:szCs w:val="24"/>
                <w:lang w:val="zh-CN" w:eastAsia="zh-CN" w:bidi="zh-CN"/>
              </w:rPr>
              <w:t>每提供1个证书得1分，最高得3分。(须提供以下证明材料，不提供不得该项分数：</w:t>
            </w:r>
          </w:p>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(1)提供</w:t>
            </w:r>
            <w:r>
              <w:rPr>
                <w:rFonts w:hint="eastAsia" w:cs="宋体"/>
                <w:spacing w:val="-7"/>
                <w:sz w:val="24"/>
                <w:szCs w:val="24"/>
                <w:lang w:val="en-US" w:eastAsia="zh-CN" w:bidi="zh-CN"/>
              </w:rPr>
              <w:t>1</w:t>
            </w:r>
            <w:r>
              <w:rPr>
                <w:rFonts w:hint="eastAsia" w:ascii="宋体" w:hAnsi="宋体" w:eastAsia="宋体" w:cs="宋体"/>
                <w:spacing w:val="-7"/>
                <w:sz w:val="24"/>
                <w:szCs w:val="24"/>
                <w:lang w:val="zh-CN" w:eastAsia="zh-CN" w:bidi="zh-CN"/>
              </w:rPr>
              <w:t>个有效的</w:t>
            </w:r>
            <w:r>
              <w:rPr>
                <w:rFonts w:hint="eastAsia" w:cs="宋体"/>
                <w:spacing w:val="-7"/>
                <w:sz w:val="24"/>
                <w:szCs w:val="24"/>
                <w:lang w:val="zh-CN" w:eastAsia="zh-CN" w:bidi="zh-CN"/>
              </w:rPr>
              <w:t>初级电工证</w:t>
            </w:r>
            <w:r>
              <w:rPr>
                <w:rFonts w:hint="eastAsia" w:cs="宋体"/>
                <w:spacing w:val="-7"/>
                <w:sz w:val="24"/>
                <w:szCs w:val="24"/>
                <w:lang w:val="en-US" w:eastAsia="zh-CN" w:bidi="zh-CN"/>
              </w:rPr>
              <w:t>或以上职业资格证</w:t>
            </w:r>
            <w:r>
              <w:rPr>
                <w:rFonts w:hint="eastAsia" w:ascii="宋体" w:hAnsi="宋体" w:eastAsia="宋体" w:cs="宋体"/>
                <w:spacing w:val="-7"/>
                <w:sz w:val="24"/>
                <w:szCs w:val="24"/>
                <w:lang w:val="zh-CN" w:eastAsia="zh-CN" w:bidi="zh-CN"/>
              </w:rPr>
              <w:t>和</w:t>
            </w:r>
            <w:r>
              <w:rPr>
                <w:rFonts w:hint="eastAsia" w:cs="宋体"/>
                <w:spacing w:val="-7"/>
                <w:sz w:val="24"/>
                <w:szCs w:val="24"/>
                <w:lang w:val="en-US" w:eastAsia="zh-CN" w:bidi="zh-CN"/>
              </w:rPr>
              <w:t>2</w:t>
            </w:r>
            <w:r>
              <w:rPr>
                <w:rFonts w:hint="eastAsia" w:ascii="宋体" w:hAnsi="宋体" w:eastAsia="宋体" w:cs="宋体"/>
                <w:spacing w:val="-7"/>
                <w:sz w:val="24"/>
                <w:szCs w:val="24"/>
                <w:lang w:val="zh-CN" w:eastAsia="zh-CN" w:bidi="zh-CN"/>
              </w:rPr>
              <w:t>个</w:t>
            </w:r>
            <w:r>
              <w:rPr>
                <w:rFonts w:hint="eastAsia" w:cs="宋体"/>
                <w:spacing w:val="-7"/>
                <w:sz w:val="24"/>
                <w:szCs w:val="24"/>
                <w:lang w:val="zh-CN" w:eastAsia="zh-CN" w:bidi="zh-CN"/>
              </w:rPr>
              <w:t>消防操作员证</w:t>
            </w:r>
            <w:r>
              <w:rPr>
                <w:rFonts w:hint="eastAsia" w:cs="宋体"/>
                <w:spacing w:val="-7"/>
                <w:sz w:val="24"/>
                <w:szCs w:val="24"/>
                <w:lang w:val="en-US" w:eastAsia="zh-CN" w:bidi="zh-CN"/>
              </w:rPr>
              <w:t>或以上职业资格证</w:t>
            </w:r>
            <w:r>
              <w:rPr>
                <w:rFonts w:hint="eastAsia" w:ascii="宋体" w:hAnsi="宋体" w:eastAsia="宋体" w:cs="宋体"/>
                <w:spacing w:val="-7"/>
                <w:sz w:val="24"/>
                <w:szCs w:val="24"/>
                <w:lang w:val="zh-CN" w:eastAsia="zh-CN" w:bidi="zh-CN"/>
              </w:rPr>
              <w:t>书复印件；</w:t>
            </w:r>
          </w:p>
          <w:p>
            <w:pPr>
              <w:pStyle w:val="2"/>
              <w:ind w:firstLine="452" w:firstLineChars="200"/>
              <w:jc w:val="left"/>
              <w:rPr>
                <w:rFonts w:hint="default" w:ascii="宋体" w:hAnsi="宋体" w:eastAsia="宋体" w:cs="宋体"/>
                <w:spacing w:val="-7"/>
                <w:sz w:val="24"/>
                <w:szCs w:val="24"/>
                <w:lang w:val="en-US" w:eastAsia="zh-CN" w:bidi="zh-CN"/>
              </w:rPr>
            </w:pPr>
            <w:r>
              <w:rPr>
                <w:rFonts w:hint="eastAsia" w:ascii="宋体" w:hAnsi="宋体" w:eastAsia="宋体" w:cs="宋体"/>
                <w:b w:val="0"/>
                <w:bCs w:val="0"/>
                <w:spacing w:val="-7"/>
                <w:sz w:val="24"/>
                <w:szCs w:val="24"/>
                <w:lang w:val="zh-CN" w:eastAsia="zh-CN" w:bidi="zh-CN"/>
              </w:rPr>
              <w:t>(2)同时提供 202</w:t>
            </w:r>
            <w:r>
              <w:rPr>
                <w:rFonts w:hint="eastAsia" w:ascii="宋体" w:hAnsi="宋体" w:eastAsia="宋体" w:cs="宋体"/>
                <w:b w:val="0"/>
                <w:bCs w:val="0"/>
                <w:spacing w:val="-7"/>
                <w:sz w:val="24"/>
                <w:szCs w:val="24"/>
                <w:lang w:val="en-US" w:eastAsia="zh-CN" w:bidi="zh-CN"/>
              </w:rPr>
              <w:t>2</w:t>
            </w:r>
            <w:r>
              <w:rPr>
                <w:rFonts w:hint="eastAsia" w:ascii="宋体" w:hAnsi="宋体" w:eastAsia="宋体" w:cs="宋体"/>
                <w:b w:val="0"/>
                <w:bCs w:val="0"/>
                <w:spacing w:val="-7"/>
                <w:sz w:val="24"/>
                <w:szCs w:val="24"/>
                <w:lang w:val="zh-CN" w:eastAsia="zh-CN" w:bidi="zh-CN"/>
              </w:rPr>
              <w:t xml:space="preserve"> 年1月1日至今任意 </w:t>
            </w:r>
            <w:r>
              <w:rPr>
                <w:rFonts w:hint="eastAsia" w:ascii="宋体" w:hAnsi="宋体" w:eastAsia="宋体" w:cs="宋体"/>
                <w:b w:val="0"/>
                <w:bCs w:val="0"/>
                <w:spacing w:val="-7"/>
                <w:sz w:val="24"/>
                <w:szCs w:val="24"/>
                <w:lang w:val="en-US" w:eastAsia="zh-CN" w:bidi="zh-CN"/>
              </w:rPr>
              <w:t>1</w:t>
            </w:r>
            <w:r>
              <w:rPr>
                <w:rFonts w:hint="eastAsia" w:ascii="宋体" w:hAnsi="宋体" w:eastAsia="宋体" w:cs="宋体"/>
                <w:b w:val="0"/>
                <w:bCs w:val="0"/>
                <w:spacing w:val="-7"/>
                <w:sz w:val="24"/>
                <w:szCs w:val="24"/>
                <w:lang w:val="zh-CN" w:eastAsia="zh-CN" w:bidi="zh-CN"/>
              </w:rPr>
              <w:t xml:space="preserve">个月或以上的社保缴纳证明复印件) </w:t>
            </w:r>
          </w:p>
        </w:tc>
        <w:tc>
          <w:tcPr>
            <w:tcW w:w="1368"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3</w:t>
            </w:r>
          </w:p>
        </w:tc>
      </w:tr>
    </w:tbl>
    <w:p>
      <w:pPr>
        <w:spacing w:line="405" w:lineRule="auto"/>
        <w:rPr>
          <w:sz w:val="24"/>
        </w:rPr>
      </w:pPr>
    </w:p>
    <w:p>
      <w:pPr>
        <w:pStyle w:val="13"/>
        <w:spacing w:before="4"/>
        <w:rPr>
          <w:b/>
          <w:sz w:val="8"/>
        </w:rPr>
      </w:pPr>
    </w:p>
    <w:p>
      <w:pPr>
        <w:spacing w:before="66" w:after="7"/>
        <w:ind w:left="220"/>
        <w:outlineLvl w:val="1"/>
        <w:rPr>
          <w:b/>
          <w:sz w:val="24"/>
        </w:rPr>
      </w:pPr>
      <w:r>
        <w:rPr>
          <w:rFonts w:hint="eastAsia"/>
          <w:b/>
          <w:sz w:val="24"/>
        </w:rPr>
        <w:t>三、技术部分（</w:t>
      </w:r>
      <w:r>
        <w:rPr>
          <w:rFonts w:hint="eastAsia"/>
          <w:b/>
          <w:sz w:val="24"/>
          <w:lang w:val="en-US" w:eastAsia="zh-CN"/>
        </w:rPr>
        <w:t>58</w:t>
      </w:r>
      <w:r>
        <w:rPr>
          <w:rFonts w:hint="eastAsia"/>
          <w:b/>
          <w:sz w:val="24"/>
        </w:rPr>
        <w:t xml:space="preserve"> 分）</w:t>
      </w:r>
    </w:p>
    <w:p>
      <w:pPr>
        <w:jc w:val="center"/>
        <w:rPr>
          <w:sz w:val="24"/>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1927"/>
        <w:gridCol w:w="6288"/>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11"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序号</w:t>
            </w:r>
          </w:p>
        </w:tc>
        <w:tc>
          <w:tcPr>
            <w:tcW w:w="1927"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评审内容</w:t>
            </w:r>
          </w:p>
        </w:tc>
        <w:tc>
          <w:tcPr>
            <w:tcW w:w="6288"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评分标准</w:t>
            </w:r>
          </w:p>
        </w:tc>
        <w:tc>
          <w:tcPr>
            <w:tcW w:w="1380" w:type="dxa"/>
            <w:vAlign w:val="center"/>
          </w:tcPr>
          <w:p>
            <w:pPr>
              <w:pStyle w:val="28"/>
              <w:spacing w:before="43" w:line="302" w:lineRule="auto"/>
              <w:ind w:right="143"/>
              <w:jc w:val="center"/>
              <w:rPr>
                <w:b w:val="0"/>
                <w:bCs w:val="0"/>
                <w:sz w:val="24"/>
                <w:vertAlign w:val="baseline"/>
              </w:rPr>
            </w:pPr>
            <w:r>
              <w:rPr>
                <w:rFonts w:hint="eastAsia"/>
                <w:b w:val="0"/>
                <w:bCs w:val="0"/>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911" w:type="dxa"/>
            <w:vAlign w:val="center"/>
          </w:tcPr>
          <w:p>
            <w:pPr>
              <w:spacing w:line="405" w:lineRule="auto"/>
              <w:jc w:val="center"/>
              <w:rPr>
                <w:rFonts w:hint="eastAsia" w:eastAsia="宋体"/>
                <w:sz w:val="24"/>
                <w:vertAlign w:val="baseline"/>
                <w:lang w:val="en-US" w:eastAsia="zh-CN"/>
              </w:rPr>
            </w:pPr>
            <w:r>
              <w:rPr>
                <w:rFonts w:hint="eastAsia"/>
                <w:sz w:val="24"/>
                <w:vertAlign w:val="baseline"/>
                <w:lang w:val="en-US" w:eastAsia="zh-CN"/>
              </w:rPr>
              <w:t>1</w:t>
            </w:r>
          </w:p>
        </w:tc>
        <w:tc>
          <w:tcPr>
            <w:tcW w:w="1927" w:type="dxa"/>
            <w:vAlign w:val="center"/>
          </w:tcPr>
          <w:p>
            <w:pPr>
              <w:spacing w:line="405" w:lineRule="auto"/>
              <w:jc w:val="center"/>
              <w:rPr>
                <w:sz w:val="24"/>
                <w:vertAlign w:val="baseline"/>
              </w:rPr>
            </w:pPr>
            <w:r>
              <w:rPr>
                <w:rFonts w:hint="eastAsia" w:ascii="宋体" w:hAnsi="宋体" w:eastAsia="宋体" w:cs="宋体"/>
                <w:spacing w:val="-7"/>
                <w:sz w:val="24"/>
                <w:szCs w:val="24"/>
                <w:lang w:val="zh-CN" w:eastAsia="zh-CN" w:bidi="zh-CN"/>
              </w:rPr>
              <w:t>项目服务方案</w:t>
            </w:r>
          </w:p>
        </w:tc>
        <w:tc>
          <w:tcPr>
            <w:tcW w:w="628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根据投标人提供的项目服务方案 (主要包括项目理解、服 务定位、管理模式、质量保证、机构设置等) 结合物业服务区 域实际情况，提供科学、合理、可操作性的项目服务方案：</w:t>
            </w:r>
          </w:p>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1、服务方案编制内容丰富全面完整、针对性强、服务定 位准确的得 6-8 分；</w:t>
            </w:r>
          </w:p>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2、服务方案编制内容完整、方案针对性较强、服务定位 较准确的得 3-5 分；</w:t>
            </w:r>
          </w:p>
          <w:p>
            <w:pPr>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left"/>
              <w:textAlignment w:val="auto"/>
              <w:rPr>
                <w:rFonts w:hint="eastAsia" w:ascii="宋体" w:hAnsi="宋体" w:eastAsia="宋体" w:cs="宋体"/>
                <w:spacing w:val="-7"/>
                <w:sz w:val="24"/>
                <w:szCs w:val="24"/>
                <w:lang w:val="zh-CN" w:eastAsia="zh-CN" w:bidi="zh-CN"/>
              </w:rPr>
            </w:pPr>
            <w:r>
              <w:rPr>
                <w:rFonts w:hint="eastAsia" w:ascii="宋体" w:hAnsi="宋体" w:eastAsia="宋体" w:cs="宋体"/>
                <w:spacing w:val="-7"/>
                <w:sz w:val="24"/>
                <w:szCs w:val="24"/>
                <w:lang w:val="zh-CN" w:eastAsia="zh-CN" w:bidi="zh-CN"/>
              </w:rPr>
              <w:t>3、服务方案编制内容完整性一般、方案通用针对性一般、服务定位不够准确的得 1-2 分；</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452" w:firstLineChars="200"/>
              <w:jc w:val="both"/>
              <w:textAlignment w:val="auto"/>
              <w:rPr>
                <w:rFonts w:hint="eastAsia"/>
                <w:lang w:eastAsia="zh-CN"/>
              </w:rPr>
            </w:pPr>
            <w:r>
              <w:rPr>
                <w:rFonts w:hint="eastAsia" w:ascii="宋体" w:hAnsi="宋体" w:eastAsia="宋体" w:cs="宋体"/>
                <w:b w:val="0"/>
                <w:bCs w:val="0"/>
                <w:spacing w:val="-7"/>
                <w:sz w:val="24"/>
                <w:szCs w:val="24"/>
                <w:lang w:val="zh-CN" w:eastAsia="zh-CN" w:bidi="zh-CN"/>
              </w:rPr>
              <w:t>4、不提供不得分。</w:t>
            </w:r>
          </w:p>
        </w:tc>
        <w:tc>
          <w:tcPr>
            <w:tcW w:w="1380" w:type="dxa"/>
            <w:vAlign w:val="center"/>
          </w:tcPr>
          <w:p>
            <w:pPr>
              <w:spacing w:line="405" w:lineRule="auto"/>
              <w:jc w:val="center"/>
              <w:rPr>
                <w:rFonts w:hint="default" w:eastAsia="宋体"/>
                <w:sz w:val="24"/>
                <w:vertAlign w:val="baseline"/>
                <w:lang w:val="en-US" w:eastAsia="zh-CN"/>
              </w:rPr>
            </w:pPr>
            <w:r>
              <w:rPr>
                <w:rFonts w:hint="eastAsia"/>
                <w:sz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trPr>
        <w:tc>
          <w:tcPr>
            <w:tcW w:w="911" w:type="dxa"/>
            <w:vAlign w:val="center"/>
          </w:tcPr>
          <w:p>
            <w:pPr>
              <w:spacing w:line="405" w:lineRule="auto"/>
              <w:jc w:val="center"/>
              <w:rPr>
                <w:rFonts w:hint="eastAsia" w:eastAsia="宋体"/>
                <w:sz w:val="24"/>
                <w:vertAlign w:val="baseline"/>
                <w:lang w:val="en-US" w:eastAsia="zh-CN"/>
              </w:rPr>
            </w:pPr>
            <w:r>
              <w:rPr>
                <w:rFonts w:hint="eastAsia"/>
                <w:sz w:val="24"/>
                <w:vertAlign w:val="baseline"/>
                <w:lang w:val="en-US" w:eastAsia="zh-CN"/>
              </w:rPr>
              <w:t>2</w:t>
            </w:r>
          </w:p>
        </w:tc>
        <w:tc>
          <w:tcPr>
            <w:tcW w:w="1927" w:type="dxa"/>
            <w:vAlign w:val="center"/>
          </w:tcPr>
          <w:p>
            <w:pPr>
              <w:spacing w:line="405" w:lineRule="auto"/>
              <w:jc w:val="center"/>
              <w:rPr>
                <w:sz w:val="24"/>
                <w:vertAlign w:val="baseline"/>
              </w:rPr>
            </w:pPr>
            <w:r>
              <w:rPr>
                <w:rFonts w:hint="eastAsia" w:ascii="宋体" w:hAnsi="宋体" w:eastAsia="宋体" w:cs="宋体"/>
                <w:spacing w:val="-7"/>
                <w:sz w:val="24"/>
                <w:szCs w:val="24"/>
                <w:lang w:val="zh-CN" w:eastAsia="zh-CN" w:bidi="zh-CN"/>
              </w:rPr>
              <w:t>安保管理服务方案</w:t>
            </w:r>
          </w:p>
        </w:tc>
        <w:tc>
          <w:tcPr>
            <w:tcW w:w="628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根据投标人针对本项目提供的秩序维护管理 (主要包括管 理措施、消防监控管理、人员及物品管理、车辆管理、巡逻管 理等。)，提供合理具体可行的服务方案：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1、服务定位准确、条理清晰，管理措施得当，针对性与 操作性强，方案符合要求得 6-8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2、服务定位较为准确，有相应的管理措施，方案符合要 求得 3-5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3、服务定位准确性一般，有相应的管理措施，方案基本 符合要求得 1-2 分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vertAlign w:val="baseline"/>
              </w:rPr>
            </w:pPr>
            <w:r>
              <w:rPr>
                <w:rFonts w:hint="eastAsia"/>
                <w:sz w:val="24"/>
                <w:vertAlign w:val="baseline"/>
              </w:rPr>
              <w:t>4、不提供不得分。</w:t>
            </w:r>
          </w:p>
        </w:tc>
        <w:tc>
          <w:tcPr>
            <w:tcW w:w="1380" w:type="dxa"/>
            <w:vAlign w:val="center"/>
          </w:tcPr>
          <w:p>
            <w:pPr>
              <w:spacing w:line="405" w:lineRule="auto"/>
              <w:jc w:val="center"/>
              <w:rPr>
                <w:rFonts w:hint="default" w:eastAsia="宋体"/>
                <w:sz w:val="24"/>
                <w:vertAlign w:val="baseline"/>
                <w:lang w:val="en-US" w:eastAsia="zh-CN"/>
              </w:rPr>
            </w:pPr>
            <w:r>
              <w:rPr>
                <w:rFonts w:hint="eastAsia"/>
                <w:sz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pacing w:line="405" w:lineRule="auto"/>
              <w:jc w:val="center"/>
              <w:rPr>
                <w:rFonts w:hint="eastAsia" w:eastAsia="宋体"/>
                <w:sz w:val="24"/>
                <w:vertAlign w:val="baseline"/>
                <w:lang w:val="en-US" w:eastAsia="zh-CN"/>
              </w:rPr>
            </w:pPr>
            <w:r>
              <w:rPr>
                <w:rFonts w:hint="eastAsia"/>
                <w:sz w:val="24"/>
                <w:vertAlign w:val="baseline"/>
                <w:lang w:val="en-US" w:eastAsia="zh-CN"/>
              </w:rPr>
              <w:t>3</w:t>
            </w:r>
          </w:p>
        </w:tc>
        <w:tc>
          <w:tcPr>
            <w:tcW w:w="1927" w:type="dxa"/>
            <w:vAlign w:val="center"/>
          </w:tcPr>
          <w:p>
            <w:pPr>
              <w:spacing w:line="405" w:lineRule="auto"/>
              <w:jc w:val="center"/>
              <w:rPr>
                <w:sz w:val="24"/>
                <w:vertAlign w:val="baseline"/>
              </w:rPr>
            </w:pPr>
            <w:r>
              <w:rPr>
                <w:rFonts w:hint="eastAsia" w:ascii="宋体" w:hAnsi="宋体" w:eastAsia="宋体" w:cs="宋体"/>
                <w:spacing w:val="-7"/>
                <w:sz w:val="24"/>
                <w:szCs w:val="24"/>
                <w:lang w:val="zh-CN" w:eastAsia="zh-CN" w:bidi="zh-CN"/>
              </w:rPr>
              <w:t>保洁管理服务方案</w:t>
            </w:r>
          </w:p>
        </w:tc>
        <w:tc>
          <w:tcPr>
            <w:tcW w:w="628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根据投标人提供的保洁服务 (主要包括管理措施、保洁操 作规范、保洁考核与检查等) ，提供科学、合理、可行性方案：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 xml:space="preserve">1、保洁方案能够清晰阐述保洁绿化方案措施，方案编制 内容丰富全面完整、针对性强、可操作性强的得 </w:t>
            </w:r>
            <w:r>
              <w:rPr>
                <w:rFonts w:hint="eastAsia"/>
                <w:sz w:val="24"/>
                <w:vertAlign w:val="baseline"/>
                <w:lang w:val="en-US" w:eastAsia="zh-CN"/>
              </w:rPr>
              <w:t>6</w:t>
            </w:r>
            <w:r>
              <w:rPr>
                <w:rFonts w:hint="eastAsia"/>
                <w:sz w:val="24"/>
                <w:vertAlign w:val="baseline"/>
              </w:rPr>
              <w:t>-</w:t>
            </w:r>
            <w:r>
              <w:rPr>
                <w:rFonts w:hint="eastAsia"/>
                <w:sz w:val="24"/>
                <w:vertAlign w:val="baseline"/>
                <w:lang w:val="en-US" w:eastAsia="zh-CN"/>
              </w:rPr>
              <w:t>8</w:t>
            </w:r>
            <w:r>
              <w:rPr>
                <w:rFonts w:hint="eastAsia"/>
                <w:sz w:val="24"/>
                <w:vertAlign w:val="baseline"/>
              </w:rPr>
              <w:t>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2、案编制内容完整、方案针对性较强、可操作性较强的得 3-</w:t>
            </w:r>
            <w:r>
              <w:rPr>
                <w:rFonts w:hint="eastAsia"/>
                <w:sz w:val="24"/>
                <w:vertAlign w:val="baseline"/>
                <w:lang w:val="en-US" w:eastAsia="zh-CN"/>
              </w:rPr>
              <w:t>5</w:t>
            </w:r>
            <w:r>
              <w:rPr>
                <w:rFonts w:hint="eastAsia"/>
                <w:sz w:val="24"/>
                <w:vertAlign w:val="baseline"/>
              </w:rPr>
              <w:t xml:space="preserve">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3、方案编制内容完整性一般、方案通用针对性一般、可操 作性一般的得 1-2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vertAlign w:val="baseline"/>
              </w:rPr>
            </w:pPr>
            <w:r>
              <w:rPr>
                <w:rFonts w:hint="eastAsia"/>
                <w:sz w:val="24"/>
                <w:vertAlign w:val="baseline"/>
              </w:rPr>
              <w:t>4、不提供不得分。</w:t>
            </w:r>
          </w:p>
        </w:tc>
        <w:tc>
          <w:tcPr>
            <w:tcW w:w="1380" w:type="dxa"/>
            <w:vAlign w:val="center"/>
          </w:tcPr>
          <w:p>
            <w:pPr>
              <w:spacing w:line="405" w:lineRule="auto"/>
              <w:jc w:val="center"/>
              <w:rPr>
                <w:rFonts w:hint="default" w:eastAsia="宋体"/>
                <w:sz w:val="24"/>
                <w:vertAlign w:val="baseline"/>
                <w:lang w:val="en-US" w:eastAsia="zh-CN"/>
              </w:rPr>
            </w:pPr>
            <w:r>
              <w:rPr>
                <w:rFonts w:hint="eastAsia"/>
                <w:sz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4</w:t>
            </w:r>
          </w:p>
        </w:tc>
        <w:tc>
          <w:tcPr>
            <w:tcW w:w="1927" w:type="dxa"/>
            <w:vAlign w:val="center"/>
          </w:tcPr>
          <w:p>
            <w:pPr>
              <w:spacing w:line="405" w:lineRule="auto"/>
              <w:jc w:val="center"/>
              <w:rPr>
                <w:rFonts w:ascii="宋体" w:hAnsi="宋体" w:eastAsia="宋体" w:cs="宋体"/>
                <w:spacing w:val="10"/>
                <w:sz w:val="23"/>
                <w:szCs w:val="23"/>
              </w:rPr>
            </w:pPr>
            <w:r>
              <w:rPr>
                <w:rFonts w:hint="eastAsia" w:ascii="宋体" w:hAnsi="宋体" w:eastAsia="宋体" w:cs="宋体"/>
                <w:spacing w:val="-7"/>
                <w:sz w:val="24"/>
                <w:szCs w:val="24"/>
                <w:lang w:val="zh-CN" w:eastAsia="zh-CN" w:bidi="zh-CN"/>
              </w:rPr>
              <w:t>绿化养护服务方案</w:t>
            </w:r>
          </w:p>
        </w:tc>
        <w:tc>
          <w:tcPr>
            <w:tcW w:w="628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根据投标人提供的绿化养护服务 (主要包括管理措施、病 虫防害防治、绿化养护操作规范、绿化养护考核与检查等) 。 提供科学、合理、可行性方案：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1、保洁方案能够清晰阐述保洁绿化方案措施，方案编制 内容丰富全面完整、针对性强、可操作性强的得 5-</w:t>
            </w:r>
            <w:r>
              <w:rPr>
                <w:rFonts w:hint="eastAsia"/>
                <w:sz w:val="24"/>
                <w:vertAlign w:val="baseline"/>
                <w:lang w:val="en-US" w:eastAsia="zh-CN"/>
              </w:rPr>
              <w:t>7</w:t>
            </w:r>
            <w:r>
              <w:rPr>
                <w:rFonts w:hint="eastAsia"/>
                <w:sz w:val="24"/>
                <w:vertAlign w:val="baseline"/>
              </w:rPr>
              <w:t xml:space="preserve">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2、方案编制内容完整、方案针对性较强、可操作性较强 的得 3-4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3、方案编制内容完整性一般、方案通用针对性一般、可 操作性一般的得 1-2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ascii="宋体" w:hAnsi="宋体" w:eastAsia="宋体" w:cs="宋体"/>
                <w:color w:val="333333"/>
                <w:spacing w:val="8"/>
                <w:sz w:val="23"/>
                <w:szCs w:val="23"/>
              </w:rPr>
            </w:pPr>
            <w:r>
              <w:rPr>
                <w:rFonts w:hint="eastAsia"/>
                <w:sz w:val="24"/>
                <w:vertAlign w:val="baseline"/>
              </w:rPr>
              <w:t>4、不提供不得分。</w:t>
            </w:r>
          </w:p>
        </w:tc>
        <w:tc>
          <w:tcPr>
            <w:tcW w:w="1380"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5</w:t>
            </w:r>
          </w:p>
        </w:tc>
        <w:tc>
          <w:tcPr>
            <w:tcW w:w="1927" w:type="dxa"/>
            <w:vAlign w:val="center"/>
          </w:tcPr>
          <w:p>
            <w:pPr>
              <w:spacing w:line="405" w:lineRule="auto"/>
              <w:jc w:val="center"/>
              <w:rPr>
                <w:rFonts w:ascii="宋体" w:hAnsi="宋体" w:eastAsia="宋体" w:cs="宋体"/>
                <w:spacing w:val="10"/>
                <w:sz w:val="23"/>
                <w:szCs w:val="23"/>
              </w:rPr>
            </w:pPr>
            <w:r>
              <w:rPr>
                <w:rFonts w:hint="eastAsia" w:ascii="宋体" w:hAnsi="宋体" w:eastAsia="宋体" w:cs="宋体"/>
                <w:spacing w:val="-7"/>
                <w:sz w:val="24"/>
                <w:szCs w:val="24"/>
                <w:lang w:val="zh-CN" w:eastAsia="zh-CN" w:bidi="zh-CN"/>
              </w:rPr>
              <w:t>食堂管理服务方案</w:t>
            </w:r>
          </w:p>
        </w:tc>
        <w:tc>
          <w:tcPr>
            <w:tcW w:w="628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根据投标人针对本项目提供的食堂管理服务 (主要包括食 品安全管理与防范规范、食堂服务质量检查考核、食堂卫生与 洗消服务等) ，提供科学、合理、可操作性的食堂管理服务方 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lang w:val="en-US" w:eastAsia="zh-CN"/>
              </w:rPr>
              <w:t>1、</w:t>
            </w:r>
            <w:r>
              <w:rPr>
                <w:rFonts w:hint="eastAsia"/>
                <w:sz w:val="24"/>
                <w:vertAlign w:val="baseline"/>
              </w:rPr>
              <w:t>服务规范细致、标准流程清晰针对性与操作性强得 5-</w:t>
            </w:r>
            <w:r>
              <w:rPr>
                <w:rFonts w:hint="eastAsia"/>
                <w:sz w:val="24"/>
                <w:vertAlign w:val="baseline"/>
                <w:lang w:val="en-US" w:eastAsia="zh-CN"/>
              </w:rPr>
              <w:t>7</w:t>
            </w:r>
            <w:r>
              <w:rPr>
                <w:rFonts w:hint="eastAsia"/>
                <w:sz w:val="24"/>
                <w:vertAlign w:val="baseline"/>
              </w:rPr>
              <w:t>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2、服务规范较细致、标准流程较清晰，具有操作性得 3-4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3、服务定位准确性一般，有相应的服务标准与流程得 1-2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ascii="宋体" w:hAnsi="宋体" w:eastAsia="宋体" w:cs="宋体"/>
                <w:color w:val="333333"/>
                <w:spacing w:val="8"/>
                <w:sz w:val="23"/>
                <w:szCs w:val="23"/>
              </w:rPr>
            </w:pPr>
            <w:r>
              <w:rPr>
                <w:rFonts w:hint="eastAsia"/>
                <w:sz w:val="24"/>
                <w:vertAlign w:val="baseline"/>
              </w:rPr>
              <w:t>4、不提供不得分。</w:t>
            </w:r>
          </w:p>
        </w:tc>
        <w:tc>
          <w:tcPr>
            <w:tcW w:w="1380"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6</w:t>
            </w:r>
          </w:p>
        </w:tc>
        <w:tc>
          <w:tcPr>
            <w:tcW w:w="1927" w:type="dxa"/>
            <w:vAlign w:val="center"/>
          </w:tcPr>
          <w:p>
            <w:pPr>
              <w:spacing w:line="405" w:lineRule="auto"/>
              <w:jc w:val="center"/>
              <w:rPr>
                <w:rFonts w:ascii="宋体" w:hAnsi="宋体" w:eastAsia="宋体" w:cs="宋体"/>
                <w:spacing w:val="10"/>
                <w:sz w:val="23"/>
                <w:szCs w:val="23"/>
              </w:rPr>
            </w:pPr>
            <w:r>
              <w:rPr>
                <w:rFonts w:hint="eastAsia" w:ascii="宋体" w:hAnsi="宋体" w:eastAsia="宋体" w:cs="宋体"/>
                <w:spacing w:val="-7"/>
                <w:sz w:val="24"/>
                <w:szCs w:val="24"/>
                <w:lang w:val="zh-CN" w:eastAsia="zh-CN" w:bidi="zh-CN"/>
              </w:rPr>
              <w:t>会务服务方案</w:t>
            </w:r>
          </w:p>
        </w:tc>
        <w:tc>
          <w:tcPr>
            <w:tcW w:w="628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根据投标人提供的会务服务 (主要包括卫生、物品整理、 音控设备、会间服务等) 方案：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1、服务规范细致、标准流程清晰，针对性与操作性强得 5-</w:t>
            </w:r>
            <w:r>
              <w:rPr>
                <w:rFonts w:hint="eastAsia"/>
                <w:sz w:val="24"/>
                <w:vertAlign w:val="baseline"/>
                <w:lang w:val="en-US" w:eastAsia="zh-CN"/>
              </w:rPr>
              <w:t>7</w:t>
            </w:r>
            <w:r>
              <w:rPr>
                <w:rFonts w:hint="eastAsia"/>
                <w:sz w:val="24"/>
                <w:vertAlign w:val="baseline"/>
              </w:rPr>
              <w:t xml:space="preserve">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2、服务规范较细致、标准流程较清晰，具有操作性得 3-4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3、服务定位准确性一般，有相应的服务标准与流程得 1-2 分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ascii="宋体" w:hAnsi="宋体" w:eastAsia="宋体" w:cs="宋体"/>
                <w:color w:val="333333"/>
                <w:spacing w:val="8"/>
                <w:sz w:val="23"/>
                <w:szCs w:val="23"/>
              </w:rPr>
            </w:pPr>
            <w:r>
              <w:rPr>
                <w:rFonts w:hint="eastAsia"/>
                <w:sz w:val="24"/>
                <w:vertAlign w:val="baseline"/>
              </w:rPr>
              <w:t>4、不提供不得分。</w:t>
            </w:r>
          </w:p>
        </w:tc>
        <w:tc>
          <w:tcPr>
            <w:tcW w:w="1380"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7</w:t>
            </w:r>
          </w:p>
        </w:tc>
        <w:tc>
          <w:tcPr>
            <w:tcW w:w="1927" w:type="dxa"/>
            <w:vAlign w:val="center"/>
          </w:tcPr>
          <w:p>
            <w:pPr>
              <w:spacing w:line="405" w:lineRule="auto"/>
              <w:jc w:val="center"/>
              <w:rPr>
                <w:rFonts w:ascii="宋体" w:hAnsi="宋体" w:eastAsia="宋体" w:cs="宋体"/>
                <w:spacing w:val="10"/>
                <w:sz w:val="23"/>
                <w:szCs w:val="23"/>
              </w:rPr>
            </w:pPr>
            <w:r>
              <w:rPr>
                <w:rFonts w:hint="eastAsia" w:ascii="宋体" w:hAnsi="宋体" w:eastAsia="宋体" w:cs="宋体"/>
                <w:spacing w:val="-7"/>
                <w:sz w:val="24"/>
                <w:szCs w:val="24"/>
                <w:lang w:val="zh-CN" w:eastAsia="zh-CN" w:bidi="zh-CN"/>
              </w:rPr>
              <w:t>院领导办公服务方案</w:t>
            </w:r>
          </w:p>
        </w:tc>
        <w:tc>
          <w:tcPr>
            <w:tcW w:w="628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根据投标人提供的院领导办公服务 (主要包括卫生、物品 整理等)方案：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1、服务规范细致、标准流程清晰，针对性与操作性强得 5-</w:t>
            </w:r>
            <w:r>
              <w:rPr>
                <w:rFonts w:hint="eastAsia"/>
                <w:sz w:val="24"/>
                <w:vertAlign w:val="baseline"/>
                <w:lang w:val="en-US" w:eastAsia="zh-CN"/>
              </w:rPr>
              <w:t>7</w:t>
            </w:r>
            <w:r>
              <w:rPr>
                <w:rFonts w:hint="eastAsia"/>
                <w:sz w:val="24"/>
                <w:vertAlign w:val="baseline"/>
              </w:rPr>
              <w:t xml:space="preserve">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2、服务规范较细致、标准流程较清晰，具有操作性得 3-4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3、服务定位准确性一般，有相应的服务标准与流程得 1-2 分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ascii="宋体" w:hAnsi="宋体" w:eastAsia="宋体" w:cs="宋体"/>
                <w:color w:val="333333"/>
                <w:spacing w:val="8"/>
                <w:sz w:val="23"/>
                <w:szCs w:val="23"/>
              </w:rPr>
            </w:pPr>
            <w:r>
              <w:rPr>
                <w:rFonts w:hint="eastAsia"/>
                <w:sz w:val="24"/>
                <w:vertAlign w:val="baseline"/>
              </w:rPr>
              <w:t>4、不提供不得分。</w:t>
            </w:r>
          </w:p>
        </w:tc>
        <w:tc>
          <w:tcPr>
            <w:tcW w:w="1380"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8</w:t>
            </w:r>
          </w:p>
        </w:tc>
        <w:tc>
          <w:tcPr>
            <w:tcW w:w="1927" w:type="dxa"/>
            <w:vAlign w:val="center"/>
          </w:tcPr>
          <w:p>
            <w:pPr>
              <w:spacing w:line="405" w:lineRule="auto"/>
              <w:jc w:val="center"/>
              <w:rPr>
                <w:rFonts w:ascii="宋体" w:hAnsi="宋体" w:eastAsia="宋体" w:cs="宋体"/>
                <w:spacing w:val="10"/>
                <w:sz w:val="23"/>
                <w:szCs w:val="23"/>
              </w:rPr>
            </w:pPr>
            <w:r>
              <w:rPr>
                <w:rFonts w:hint="eastAsia" w:ascii="宋体" w:hAnsi="宋体" w:eastAsia="宋体" w:cs="宋体"/>
                <w:spacing w:val="-7"/>
                <w:sz w:val="24"/>
                <w:szCs w:val="24"/>
                <w:lang w:val="zh-CN" w:eastAsia="zh-CN" w:bidi="zh-CN"/>
              </w:rPr>
              <w:t>水电、消防等公用设施设备的维护管理服务方案</w:t>
            </w:r>
          </w:p>
        </w:tc>
        <w:tc>
          <w:tcPr>
            <w:tcW w:w="6288"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根据各投标提供的设备设施维修养护服务 (主要包括管理 措施、节能减排管理、设施设备管理制度及规范等) ，提供的 科学、合理可操作性方案：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1、服务定位准确、条理清晰，管理措施得当，针对性与 操作性强得 5-6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2、服务定位较为准确、条理较清晰，管理措施较得当，具 有操作性得 3-4 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vertAlign w:val="baseline"/>
              </w:rPr>
            </w:pPr>
            <w:r>
              <w:rPr>
                <w:rFonts w:hint="eastAsia"/>
                <w:sz w:val="24"/>
                <w:vertAlign w:val="baseline"/>
              </w:rPr>
              <w:t>3、服务定位准确性一般，有相应的管理措施得 1-2 分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ascii="宋体" w:hAnsi="宋体" w:eastAsia="宋体" w:cs="宋体"/>
                <w:color w:val="333333"/>
                <w:spacing w:val="8"/>
                <w:sz w:val="23"/>
                <w:szCs w:val="23"/>
              </w:rPr>
            </w:pPr>
            <w:r>
              <w:rPr>
                <w:rFonts w:hint="eastAsia"/>
                <w:sz w:val="24"/>
                <w:vertAlign w:val="baseline"/>
              </w:rPr>
              <w:t>4、不提供不得分。</w:t>
            </w:r>
          </w:p>
        </w:tc>
        <w:tc>
          <w:tcPr>
            <w:tcW w:w="1380" w:type="dxa"/>
            <w:vAlign w:val="center"/>
          </w:tcPr>
          <w:p>
            <w:pPr>
              <w:spacing w:line="405" w:lineRule="auto"/>
              <w:jc w:val="center"/>
              <w:rPr>
                <w:rFonts w:hint="default"/>
                <w:sz w:val="24"/>
                <w:vertAlign w:val="baseline"/>
                <w:lang w:val="en-US" w:eastAsia="zh-CN"/>
              </w:rPr>
            </w:pPr>
            <w:r>
              <w:rPr>
                <w:rFonts w:hint="eastAsia"/>
                <w:sz w:val="24"/>
                <w:vertAlign w:val="baseline"/>
                <w:lang w:val="en-US" w:eastAsia="zh-CN"/>
              </w:rPr>
              <w:t>6</w:t>
            </w:r>
          </w:p>
        </w:tc>
      </w:tr>
    </w:tbl>
    <w:p>
      <w:pPr>
        <w:pStyle w:val="11"/>
      </w:pPr>
    </w:p>
    <w:p>
      <w:pPr>
        <w:pStyle w:val="11"/>
        <w:ind w:firstLine="0"/>
        <w:outlineLvl w:val="1"/>
        <w:rPr>
          <w:b/>
          <w:sz w:val="24"/>
          <w:szCs w:val="22"/>
          <w:lang w:val="en-US"/>
        </w:rPr>
      </w:pPr>
      <w:r>
        <w:rPr>
          <w:rFonts w:hint="eastAsia"/>
          <w:b/>
          <w:sz w:val="24"/>
          <w:szCs w:val="22"/>
          <w:lang w:val="en-US"/>
        </w:rPr>
        <w:t xml:space="preserve">  四、价格部分（</w:t>
      </w:r>
      <w:r>
        <w:rPr>
          <w:rFonts w:hint="eastAsia"/>
          <w:b/>
          <w:sz w:val="24"/>
          <w:szCs w:val="22"/>
          <w:lang w:val="en-US" w:eastAsia="zh-CN"/>
        </w:rPr>
        <w:t>1</w:t>
      </w:r>
      <w:r>
        <w:rPr>
          <w:rFonts w:hint="eastAsia"/>
          <w:b/>
          <w:sz w:val="24"/>
          <w:szCs w:val="22"/>
          <w:lang w:val="en-US"/>
        </w:rPr>
        <w:t>0分）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2"/>
        <w:gridCol w:w="1950"/>
        <w:gridCol w:w="6288"/>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912"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序号</w:t>
            </w:r>
          </w:p>
        </w:tc>
        <w:tc>
          <w:tcPr>
            <w:tcW w:w="1950"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评审内容</w:t>
            </w:r>
          </w:p>
        </w:tc>
        <w:tc>
          <w:tcPr>
            <w:tcW w:w="6288"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评分标准</w:t>
            </w:r>
          </w:p>
        </w:tc>
        <w:tc>
          <w:tcPr>
            <w:tcW w:w="1357" w:type="dxa"/>
            <w:vAlign w:val="center"/>
          </w:tcPr>
          <w:p>
            <w:pPr>
              <w:pStyle w:val="28"/>
              <w:spacing w:before="43" w:line="302" w:lineRule="auto"/>
              <w:ind w:right="143"/>
              <w:jc w:val="center"/>
              <w:rPr>
                <w:rFonts w:hint="eastAsia"/>
                <w:b w:val="0"/>
                <w:bCs w:val="0"/>
                <w:sz w:val="24"/>
                <w:lang w:val="zh-CN" w:eastAsia="zh-CN"/>
              </w:rPr>
            </w:pPr>
            <w:r>
              <w:rPr>
                <w:rFonts w:hint="eastAsia"/>
                <w:b w:val="0"/>
                <w:bCs w:val="0"/>
                <w:sz w:val="24"/>
                <w:lang w:val="zh-CN" w:eastAsia="zh-CN"/>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9" w:hRule="atLeast"/>
          <w:jc w:val="center"/>
        </w:trPr>
        <w:tc>
          <w:tcPr>
            <w:tcW w:w="912" w:type="dxa"/>
            <w:vAlign w:val="center"/>
          </w:tcPr>
          <w:p>
            <w:pPr>
              <w:pStyle w:val="28"/>
              <w:spacing w:before="1"/>
              <w:ind w:left="172"/>
              <w:jc w:val="center"/>
              <w:rPr>
                <w:sz w:val="24"/>
              </w:rPr>
            </w:pPr>
            <w:r>
              <w:rPr>
                <w:rFonts w:hint="eastAsia"/>
                <w:sz w:val="24"/>
              </w:rPr>
              <w:t>1</w:t>
            </w:r>
          </w:p>
        </w:tc>
        <w:tc>
          <w:tcPr>
            <w:tcW w:w="1950" w:type="dxa"/>
            <w:vAlign w:val="center"/>
          </w:tcPr>
          <w:p>
            <w:pPr>
              <w:pStyle w:val="28"/>
              <w:spacing w:before="153" w:line="302" w:lineRule="auto"/>
              <w:ind w:left="395" w:right="146" w:hanging="240"/>
              <w:jc w:val="center"/>
              <w:rPr>
                <w:sz w:val="24"/>
              </w:rPr>
            </w:pPr>
            <w:r>
              <w:rPr>
                <w:rFonts w:hint="eastAsia"/>
                <w:sz w:val="24"/>
                <w:lang w:val="en-US"/>
              </w:rPr>
              <w:t>价格</w:t>
            </w:r>
          </w:p>
        </w:tc>
        <w:tc>
          <w:tcPr>
            <w:tcW w:w="6288"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ascii="宋体" w:hAnsi="宋体" w:cs="宋体"/>
                <w:kern w:val="0"/>
                <w:sz w:val="24"/>
              </w:rPr>
            </w:pPr>
            <w:r>
              <w:rPr>
                <w:rFonts w:hint="eastAsia" w:ascii="宋体" w:hAnsi="宋体" w:cs="宋体"/>
                <w:kern w:val="0"/>
                <w:sz w:val="24"/>
              </w:rPr>
              <w:t>综合评分法中的价格分统一采用低价优先法计算。</w:t>
            </w:r>
          </w:p>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ascii="宋体" w:hAnsi="宋体" w:cs="宋体"/>
                <w:kern w:val="0"/>
                <w:sz w:val="24"/>
              </w:rPr>
            </w:pPr>
            <w:r>
              <w:rPr>
                <w:rFonts w:hint="eastAsia" w:ascii="宋体" w:hAnsi="宋体" w:cs="宋体"/>
                <w:kern w:val="0"/>
                <w:sz w:val="24"/>
              </w:rPr>
              <w:t>磋商基准价为满足磋商文件要求且最后报价最低的供应商的价格</w:t>
            </w:r>
          </w:p>
          <w:p>
            <w:pPr>
              <w:keepNext w:val="0"/>
              <w:keepLines w:val="0"/>
              <w:pageBreakBefore w:val="0"/>
              <w:kinsoku/>
              <w:wordWrap/>
              <w:overflowPunct/>
              <w:topLinePunct w:val="0"/>
              <w:autoSpaceDE w:val="0"/>
              <w:autoSpaceDN w:val="0"/>
              <w:bidi w:val="0"/>
              <w:adjustRightInd/>
              <w:snapToGrid/>
              <w:spacing w:line="360" w:lineRule="auto"/>
              <w:textAlignment w:val="auto"/>
              <w:rPr>
                <w:rFonts w:ascii="宋体" w:hAnsi="宋体" w:cs="宋体"/>
                <w:sz w:val="24"/>
              </w:rPr>
            </w:pPr>
            <w:r>
              <w:rPr>
                <w:rFonts w:hint="eastAsia" w:ascii="宋体" w:hAnsi="宋体" w:cs="宋体"/>
                <w:kern w:val="0"/>
                <w:sz w:val="24"/>
              </w:rPr>
              <w:t>磋商报价得分=（磋商基准价/最后磋商报价）×</w:t>
            </w:r>
            <w:r>
              <w:rPr>
                <w:rFonts w:hint="eastAsia" w:cs="宋体"/>
                <w:kern w:val="0"/>
                <w:sz w:val="24"/>
                <w:lang w:val="en-US" w:eastAsia="zh-CN"/>
              </w:rPr>
              <w:t>1</w:t>
            </w:r>
            <w:r>
              <w:rPr>
                <w:rFonts w:hint="eastAsia" w:ascii="宋体" w:hAnsi="宋体" w:cs="宋体"/>
                <w:kern w:val="0"/>
                <w:sz w:val="24"/>
              </w:rPr>
              <w:t>0%×100</w:t>
            </w:r>
          </w:p>
          <w:p>
            <w:pPr>
              <w:pStyle w:val="28"/>
              <w:spacing w:before="81" w:line="440" w:lineRule="atLeast"/>
              <w:ind w:left="108" w:right="95"/>
              <w:jc w:val="center"/>
              <w:rPr>
                <w:sz w:val="24"/>
              </w:rPr>
            </w:pPr>
          </w:p>
        </w:tc>
        <w:tc>
          <w:tcPr>
            <w:tcW w:w="1357" w:type="dxa"/>
            <w:vAlign w:val="center"/>
          </w:tcPr>
          <w:p>
            <w:pPr>
              <w:pStyle w:val="28"/>
              <w:spacing w:before="1"/>
              <w:jc w:val="center"/>
              <w:rPr>
                <w:b/>
                <w:sz w:val="30"/>
              </w:rPr>
            </w:pPr>
          </w:p>
          <w:p>
            <w:pPr>
              <w:pStyle w:val="28"/>
              <w:spacing w:before="1"/>
              <w:ind w:left="70" w:right="60"/>
              <w:jc w:val="center"/>
              <w:rPr>
                <w:sz w:val="24"/>
              </w:rPr>
            </w:pPr>
            <w:r>
              <w:rPr>
                <w:rFonts w:hint="eastAsia"/>
                <w:sz w:val="24"/>
                <w:lang w:val="en-US" w:eastAsia="zh-CN"/>
              </w:rPr>
              <w:t>1</w:t>
            </w:r>
            <w:r>
              <w:rPr>
                <w:rFonts w:hint="eastAsia"/>
                <w:sz w:val="24"/>
                <w:lang w:val="en-US"/>
              </w:rPr>
              <w:t>0</w:t>
            </w:r>
            <w:r>
              <w:rPr>
                <w:rFonts w:hint="eastAsia"/>
                <w:sz w:val="24"/>
              </w:rPr>
              <w:t xml:space="preserve"> 分</w:t>
            </w:r>
          </w:p>
        </w:tc>
      </w:tr>
    </w:tbl>
    <w:p>
      <w:pPr>
        <w:pStyle w:val="11"/>
        <w:ind w:firstLine="0"/>
        <w:rPr>
          <w:b/>
          <w:sz w:val="24"/>
          <w:szCs w:val="22"/>
          <w:lang w:val="en-US"/>
        </w:rPr>
        <w:sectPr>
          <w:pgSz w:w="11910" w:h="16840"/>
          <w:pgMar w:top="1580" w:right="760" w:bottom="960" w:left="860" w:header="0" w:footer="776" w:gutter="0"/>
          <w:cols w:space="720" w:num="1"/>
        </w:sectPr>
      </w:pPr>
    </w:p>
    <w:p>
      <w:pPr>
        <w:pStyle w:val="13"/>
        <w:rPr>
          <w:rFonts w:ascii="Times New Roman"/>
          <w:sz w:val="20"/>
        </w:rPr>
      </w:pPr>
    </w:p>
    <w:p>
      <w:pPr>
        <w:pStyle w:val="13"/>
        <w:spacing w:before="4"/>
        <w:rPr>
          <w:rFonts w:ascii="Times New Roman"/>
          <w:sz w:val="26"/>
        </w:rPr>
      </w:pPr>
    </w:p>
    <w:p>
      <w:pPr>
        <w:spacing w:before="33"/>
        <w:ind w:right="100"/>
        <w:jc w:val="center"/>
        <w:outlineLvl w:val="0"/>
        <w:rPr>
          <w:b/>
          <w:sz w:val="48"/>
        </w:rPr>
      </w:pPr>
      <w:bookmarkStart w:id="180" w:name="第六部分_响应文件格式"/>
      <w:bookmarkEnd w:id="180"/>
      <w:bookmarkStart w:id="181" w:name="_Toc20388"/>
      <w:r>
        <w:rPr>
          <w:b/>
          <w:sz w:val="48"/>
        </w:rPr>
        <w:t>第六部分 响应文件格式</w:t>
      </w:r>
      <w:bookmarkEnd w:id="181"/>
    </w:p>
    <w:p>
      <w:pPr>
        <w:pStyle w:val="13"/>
        <w:rPr>
          <w:b/>
          <w:sz w:val="48"/>
        </w:rPr>
      </w:pPr>
    </w:p>
    <w:p>
      <w:pPr>
        <w:pStyle w:val="13"/>
        <w:spacing w:before="3"/>
        <w:rPr>
          <w:b/>
          <w:sz w:val="62"/>
        </w:rPr>
      </w:pPr>
    </w:p>
    <w:p>
      <w:pPr>
        <w:ind w:right="102"/>
        <w:jc w:val="center"/>
        <w:outlineLvl w:val="0"/>
        <w:rPr>
          <w:b/>
          <w:sz w:val="44"/>
        </w:rPr>
      </w:pPr>
      <w:bookmarkStart w:id="182" w:name="（项目名称）"/>
      <w:bookmarkEnd w:id="182"/>
      <w:bookmarkStart w:id="183" w:name="_Toc22212"/>
      <w:bookmarkStart w:id="184" w:name="_Toc26162"/>
      <w:r>
        <w:rPr>
          <w:b/>
          <w:sz w:val="44"/>
          <w:u w:val="thick"/>
        </w:rPr>
        <w:t>（项目名称）</w:t>
      </w:r>
      <w:bookmarkEnd w:id="183"/>
      <w:bookmarkEnd w:id="184"/>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spacing w:before="159"/>
        <w:ind w:left="3104"/>
        <w:outlineLvl w:val="0"/>
        <w:rPr>
          <w:b/>
          <w:sz w:val="72"/>
        </w:rPr>
      </w:pPr>
      <w:bookmarkStart w:id="185" w:name="响_应_文_件"/>
      <w:bookmarkEnd w:id="185"/>
      <w:bookmarkStart w:id="186" w:name="_Toc31786"/>
      <w:bookmarkStart w:id="187" w:name="_Toc2478"/>
      <w:r>
        <w:rPr>
          <w:b/>
          <w:sz w:val="72"/>
        </w:rPr>
        <w:t>响 应 文 件</w:t>
      </w:r>
      <w:bookmarkEnd w:id="186"/>
      <w:bookmarkEnd w:id="187"/>
    </w:p>
    <w:p>
      <w:pPr>
        <w:pStyle w:val="13"/>
        <w:rPr>
          <w:b/>
          <w:sz w:val="72"/>
        </w:rPr>
      </w:pPr>
    </w:p>
    <w:p>
      <w:pPr>
        <w:pStyle w:val="13"/>
        <w:rPr>
          <w:b/>
          <w:sz w:val="72"/>
        </w:rPr>
      </w:pPr>
    </w:p>
    <w:p>
      <w:pPr>
        <w:pStyle w:val="13"/>
        <w:rPr>
          <w:b/>
          <w:sz w:val="72"/>
        </w:rPr>
      </w:pPr>
    </w:p>
    <w:p>
      <w:pPr>
        <w:pStyle w:val="13"/>
        <w:spacing w:before="11"/>
        <w:rPr>
          <w:b/>
          <w:sz w:val="59"/>
        </w:rPr>
      </w:pPr>
    </w:p>
    <w:p>
      <w:pPr>
        <w:pStyle w:val="7"/>
        <w:tabs>
          <w:tab w:val="left" w:pos="6385"/>
        </w:tabs>
        <w:ind w:left="3220"/>
      </w:pPr>
      <w:bookmarkStart w:id="188" w:name="供应商：_____________(单位盖章)"/>
      <w:bookmarkEnd w:id="188"/>
      <w:r>
        <w:t>供应商：</w:t>
      </w:r>
      <w:r>
        <w:tab/>
      </w:r>
      <w:r>
        <w:t>(单位盖章)</w:t>
      </w:r>
    </w:p>
    <w:p>
      <w:pPr>
        <w:pStyle w:val="7"/>
        <w:tabs>
          <w:tab w:val="left" w:pos="4943"/>
          <w:tab w:val="left" w:pos="5545"/>
        </w:tabs>
        <w:spacing w:before="261" w:line="403" w:lineRule="auto"/>
        <w:ind w:left="4340" w:right="2330" w:hanging="905"/>
      </w:pPr>
      <w:bookmarkStart w:id="189" w:name="法定代表人或其授权代表：(签字)"/>
      <w:bookmarkEnd w:id="189"/>
      <w:r>
        <w:t>法定代表人或其授权代表：(签字</w:t>
      </w:r>
      <w:r>
        <w:rPr>
          <w:spacing w:val="-14"/>
        </w:rPr>
        <w:t xml:space="preserve">) </w:t>
      </w:r>
      <w:bookmarkStart w:id="190" w:name="年__月__日"/>
      <w:bookmarkEnd w:id="190"/>
      <w:r>
        <w:t>年</w:t>
      </w:r>
      <w:r>
        <w:tab/>
      </w:r>
      <w:r>
        <w:t>月</w:t>
      </w:r>
      <w:r>
        <w:tab/>
      </w:r>
      <w:r>
        <w:t>日</w:t>
      </w:r>
    </w:p>
    <w:p>
      <w:pPr>
        <w:spacing w:line="403" w:lineRule="auto"/>
        <w:sectPr>
          <w:pgSz w:w="11910" w:h="16840"/>
          <w:pgMar w:top="1580" w:right="760" w:bottom="960" w:left="860" w:header="0" w:footer="776" w:gutter="0"/>
          <w:cols w:space="720" w:num="1"/>
        </w:sectPr>
      </w:pPr>
    </w:p>
    <w:p>
      <w:pPr>
        <w:pStyle w:val="13"/>
        <w:spacing w:before="4"/>
        <w:rPr>
          <w:rFonts w:ascii="Times New Roman"/>
          <w:sz w:val="17"/>
        </w:rPr>
      </w:pPr>
    </w:p>
    <w:p>
      <w:pPr>
        <w:pStyle w:val="2"/>
        <w:ind w:right="95"/>
      </w:pPr>
      <w:bookmarkStart w:id="191" w:name="_Toc12289"/>
      <w:r>
        <w:t>目录</w:t>
      </w:r>
      <w:bookmarkEnd w:id="191"/>
    </w:p>
    <w:p>
      <w:pPr>
        <w:spacing w:before="118"/>
        <w:ind w:right="95"/>
        <w:jc w:val="center"/>
        <w:rPr>
          <w:sz w:val="21"/>
        </w:rPr>
      </w:pPr>
      <w:r>
        <w:rPr>
          <w:sz w:val="21"/>
        </w:rPr>
        <w:t>（格式自拟）</w:t>
      </w:r>
    </w:p>
    <w:p>
      <w:pPr>
        <w:jc w:val="center"/>
        <w:rPr>
          <w:sz w:val="21"/>
        </w:rPr>
        <w:sectPr>
          <w:pgSz w:w="11910" w:h="16840"/>
          <w:pgMar w:top="1580" w:right="760" w:bottom="960" w:left="860" w:header="0" w:footer="776" w:gutter="0"/>
          <w:cols w:space="720" w:num="1"/>
        </w:sectPr>
      </w:pPr>
    </w:p>
    <w:p>
      <w:pPr>
        <w:pStyle w:val="2"/>
        <w:tabs>
          <w:tab w:val="left" w:pos="1447"/>
          <w:tab w:val="left" w:pos="2169"/>
        </w:tabs>
        <w:spacing w:before="49"/>
        <w:ind w:right="100"/>
      </w:pPr>
      <w:bookmarkStart w:id="192" w:name="一、报__价__函"/>
      <w:bookmarkEnd w:id="192"/>
      <w:bookmarkStart w:id="193" w:name="_Toc19015"/>
      <w:r>
        <w:t>一、报</w:t>
      </w:r>
      <w:r>
        <w:tab/>
      </w:r>
      <w:r>
        <w:t>价</w:t>
      </w:r>
      <w:r>
        <w:tab/>
      </w:r>
      <w:r>
        <w:t>函</w:t>
      </w:r>
      <w:bookmarkEnd w:id="193"/>
    </w:p>
    <w:p>
      <w:pPr>
        <w:pStyle w:val="13"/>
        <w:spacing w:before="218"/>
        <w:ind w:left="220"/>
      </w:pPr>
      <w:r>
        <w:t>致：</w:t>
      </w:r>
      <w:r>
        <w:rPr>
          <w:rFonts w:hint="eastAsia"/>
        </w:rPr>
        <w:t>儋州市人民检察院</w:t>
      </w:r>
      <w:r>
        <w:t xml:space="preserve"> </w:t>
      </w:r>
    </w:p>
    <w:p>
      <w:pPr>
        <w:pStyle w:val="13"/>
        <w:spacing w:before="134" w:line="360" w:lineRule="auto"/>
        <w:ind w:left="220" w:firstLine="439" w:firstLineChars="183"/>
      </w:pPr>
      <w:r>
        <w:t>仔细阅读并全面研究了</w:t>
      </w:r>
      <w:r>
        <w:rPr>
          <w:rFonts w:hint="eastAsia"/>
          <w:u w:val="single"/>
          <w:lang w:eastAsia="zh-CN"/>
        </w:rPr>
        <w:t>儋州市人民检察院物业管理服务项目</w:t>
      </w:r>
      <w:r>
        <w:t>（项目编号：</w:t>
      </w:r>
      <w:r>
        <w:rPr>
          <w:rFonts w:hint="eastAsia"/>
          <w:u w:val="single"/>
        </w:rPr>
        <w:t xml:space="preserve">   </w:t>
      </w:r>
      <w:r>
        <w:t>）磋商文件，决定响应磋商文件的邀请，参与本项目。</w:t>
      </w:r>
    </w:p>
    <w:p>
      <w:pPr>
        <w:pStyle w:val="13"/>
        <w:tabs>
          <w:tab w:val="left" w:pos="1299"/>
          <w:tab w:val="left" w:pos="4842"/>
          <w:tab w:val="left" w:pos="6044"/>
        </w:tabs>
        <w:spacing w:before="177" w:line="376" w:lineRule="auto"/>
        <w:ind w:left="220" w:right="320" w:firstLine="480"/>
      </w:pPr>
      <w:r>
        <w:t>1</w:t>
      </w:r>
      <w:r>
        <w:rPr>
          <w:spacing w:val="-15"/>
        </w:rPr>
        <w:t>、</w:t>
      </w:r>
      <w:r>
        <w:t>我方愿意以人民</w:t>
      </w:r>
      <w:r>
        <w:rPr>
          <w:spacing w:val="-15"/>
        </w:rPr>
        <w:t>币</w:t>
      </w:r>
      <w:r>
        <w:t>（大写</w:t>
      </w:r>
      <w:r>
        <w:rPr>
          <w:spacing w:val="-15"/>
        </w:rPr>
        <w:t>）</w:t>
      </w:r>
      <w:r>
        <w:rPr>
          <w:spacing w:val="-15"/>
          <w:u w:val="single"/>
        </w:rPr>
        <w:t xml:space="preserve"> </w:t>
      </w:r>
      <w:r>
        <w:rPr>
          <w:spacing w:val="-15"/>
          <w:u w:val="single"/>
        </w:rPr>
        <w:tab/>
      </w:r>
      <w:r>
        <w:t>（¥</w:t>
      </w:r>
      <w:r>
        <w:rPr>
          <w:u w:val="single"/>
        </w:rPr>
        <w:t xml:space="preserve"> </w:t>
      </w:r>
      <w:r>
        <w:rPr>
          <w:u w:val="single"/>
        </w:rPr>
        <w:tab/>
      </w:r>
      <w:r>
        <w:rPr>
          <w:spacing w:val="-15"/>
        </w:rPr>
        <w:t>）</w:t>
      </w:r>
      <w:r>
        <w:t>的总报价</w:t>
      </w:r>
      <w:r>
        <w:rPr>
          <w:spacing w:val="-12"/>
        </w:rPr>
        <w:t>，</w:t>
      </w:r>
      <w:r>
        <w:t>项目完成时</w:t>
      </w:r>
      <w:r>
        <w:rPr>
          <w:spacing w:val="-15"/>
        </w:rPr>
        <w:t>间</w:t>
      </w:r>
      <w:r>
        <w:t>（服务</w:t>
      </w:r>
      <w:r>
        <w:rPr>
          <w:spacing w:val="-16"/>
        </w:rPr>
        <w:t>期</w:t>
      </w:r>
      <w:r>
        <w:t>限）</w:t>
      </w:r>
      <w:r>
        <w:rPr>
          <w:u w:val="single"/>
        </w:rPr>
        <w:t xml:space="preserve"> </w:t>
      </w:r>
      <w:r>
        <w:rPr>
          <w:u w:val="single"/>
        </w:rPr>
        <w:tab/>
      </w:r>
      <w:r>
        <w:t>。</w:t>
      </w:r>
    </w:p>
    <w:p>
      <w:pPr>
        <w:pStyle w:val="13"/>
        <w:spacing w:before="2"/>
        <w:ind w:left="700"/>
      </w:pPr>
      <w:r>
        <w:t>2、我们充分理解并完全接受合同协议书中的各项约定，没有任何异议，不附加任何条件。</w:t>
      </w:r>
    </w:p>
    <w:p>
      <w:pPr>
        <w:pStyle w:val="13"/>
        <w:spacing w:before="177" w:line="379" w:lineRule="auto"/>
        <w:ind w:left="219" w:right="320" w:firstLine="480"/>
      </w:pPr>
      <w:r>
        <w:t>3、如果我们被授予合同，我们将严格履行合同规定的责任和义务，保证按期、按质、按量完成合同义务。</w:t>
      </w:r>
    </w:p>
    <w:p>
      <w:pPr>
        <w:pStyle w:val="13"/>
        <w:tabs>
          <w:tab w:val="left" w:pos="7597"/>
          <w:tab w:val="left" w:pos="9416"/>
        </w:tabs>
        <w:spacing w:line="305" w:lineRule="exact"/>
        <w:ind w:left="699"/>
      </w:pPr>
      <w:r>
        <w:t>4</w:t>
      </w:r>
      <w:r>
        <w:rPr>
          <w:spacing w:val="-51"/>
        </w:rPr>
        <w:t>、</w:t>
      </w:r>
      <w:r>
        <w:t>我们同意按照磋商文件的要求</w:t>
      </w:r>
      <w:r>
        <w:rPr>
          <w:spacing w:val="-51"/>
        </w:rPr>
        <w:t>，</w:t>
      </w:r>
      <w:r>
        <w:t>交纳人民</w:t>
      </w:r>
      <w:r>
        <w:rPr>
          <w:spacing w:val="-51"/>
        </w:rPr>
        <w:t>币</w:t>
      </w:r>
      <w:r>
        <w:t>（大写</w:t>
      </w:r>
      <w:r>
        <w:rPr>
          <w:spacing w:val="-26"/>
        </w:rPr>
        <w:t>）：</w:t>
      </w:r>
      <w:r>
        <w:rPr>
          <w:spacing w:val="-26"/>
          <w:u w:val="single"/>
        </w:rPr>
        <w:tab/>
      </w:r>
      <w:r>
        <w:rPr>
          <w:spacing w:val="-17"/>
          <w:u w:val="single"/>
        </w:rPr>
        <w:t>（¥（</w:t>
      </w:r>
      <w:r>
        <w:rPr>
          <w:u w:val="single"/>
        </w:rPr>
        <w:t>小写）</w:t>
      </w:r>
      <w:r>
        <w:rPr>
          <w:u w:val="single"/>
        </w:rPr>
        <w:tab/>
      </w:r>
      <w:r>
        <w:rPr>
          <w:u w:val="single"/>
        </w:rPr>
        <w:t>元</w:t>
      </w:r>
      <w:r>
        <w:rPr>
          <w:spacing w:val="-51"/>
          <w:u w:val="single"/>
        </w:rPr>
        <w:t>）。</w:t>
      </w:r>
    </w:p>
    <w:p>
      <w:pPr>
        <w:pStyle w:val="13"/>
        <w:spacing w:before="8"/>
        <w:rPr>
          <w:sz w:val="8"/>
        </w:rPr>
      </w:pPr>
    </w:p>
    <w:p>
      <w:pPr>
        <w:pStyle w:val="13"/>
        <w:spacing w:before="67"/>
        <w:ind w:left="220"/>
      </w:pPr>
      <w:r>
        <w:t>的磋商保证金。并承诺如果发生下列情况，我方无权要求退还磋商保证金：</w:t>
      </w:r>
    </w:p>
    <w:p>
      <w:pPr>
        <w:pStyle w:val="27"/>
        <w:numPr>
          <w:ilvl w:val="0"/>
          <w:numId w:val="19"/>
        </w:numPr>
        <w:tabs>
          <w:tab w:val="left" w:pos="1301"/>
        </w:tabs>
        <w:spacing w:before="177"/>
        <w:rPr>
          <w:sz w:val="24"/>
        </w:rPr>
      </w:pPr>
      <w:r>
        <w:rPr>
          <w:sz w:val="24"/>
        </w:rPr>
        <w:t>我方在磋商有效期内撤回响应文件；</w:t>
      </w:r>
    </w:p>
    <w:p>
      <w:pPr>
        <w:pStyle w:val="27"/>
        <w:numPr>
          <w:ilvl w:val="0"/>
          <w:numId w:val="19"/>
        </w:numPr>
        <w:tabs>
          <w:tab w:val="left" w:pos="1301"/>
        </w:tabs>
        <w:spacing w:before="177"/>
        <w:rPr>
          <w:sz w:val="24"/>
        </w:rPr>
      </w:pPr>
      <w:r>
        <w:rPr>
          <w:sz w:val="24"/>
        </w:rPr>
        <w:t>我方提供了虚假响应磋商文件的响应文件；</w:t>
      </w:r>
    </w:p>
    <w:p>
      <w:pPr>
        <w:pStyle w:val="27"/>
        <w:numPr>
          <w:ilvl w:val="0"/>
          <w:numId w:val="19"/>
        </w:numPr>
        <w:tabs>
          <w:tab w:val="left" w:pos="1301"/>
        </w:tabs>
        <w:spacing w:before="175"/>
        <w:rPr>
          <w:sz w:val="24"/>
        </w:rPr>
      </w:pPr>
      <w:r>
        <w:rPr>
          <w:sz w:val="24"/>
        </w:rPr>
        <w:t>在磋商过程中有违反法律法规和相关纪律的行为；</w:t>
      </w:r>
    </w:p>
    <w:p>
      <w:pPr>
        <w:pStyle w:val="27"/>
        <w:numPr>
          <w:ilvl w:val="0"/>
          <w:numId w:val="19"/>
        </w:numPr>
        <w:tabs>
          <w:tab w:val="left" w:pos="1301"/>
        </w:tabs>
        <w:spacing w:before="178" w:line="379" w:lineRule="auto"/>
        <w:ind w:left="220" w:right="320" w:firstLine="480"/>
        <w:rPr>
          <w:sz w:val="24"/>
        </w:rPr>
      </w:pPr>
      <w:r>
        <w:rPr>
          <w:spacing w:val="-1"/>
          <w:sz w:val="24"/>
        </w:rPr>
        <w:t>在收到成交通知书后并在磋商有效期内，由于我方原因未能按照磋商文件要求提交</w:t>
      </w:r>
      <w:r>
        <w:rPr>
          <w:sz w:val="24"/>
        </w:rPr>
        <w:t>履约保证金或与采购人签订并履行合同。</w:t>
      </w:r>
    </w:p>
    <w:p>
      <w:pPr>
        <w:pStyle w:val="13"/>
        <w:tabs>
          <w:tab w:val="left" w:pos="9219"/>
        </w:tabs>
        <w:spacing w:line="305" w:lineRule="exact"/>
        <w:ind w:left="700"/>
      </w:pPr>
      <w:r>
        <w:t>5、我们同意按磋商文件中的规定，本响应文件的有效期限为开启响应文件后</w:t>
      </w:r>
      <w:r>
        <w:rPr>
          <w:u w:val="single"/>
        </w:rPr>
        <w:t xml:space="preserve"> </w:t>
      </w:r>
      <w:r>
        <w:rPr>
          <w:u w:val="single"/>
        </w:rPr>
        <w:tab/>
      </w:r>
      <w:r>
        <w:t>日历天。</w:t>
      </w:r>
    </w:p>
    <w:p>
      <w:pPr>
        <w:pStyle w:val="13"/>
        <w:spacing w:before="177"/>
        <w:ind w:left="700"/>
      </w:pPr>
      <w:r>
        <w:t>6、我们愿意提供采购方在磋商文件中要求的所有资料。</w:t>
      </w:r>
    </w:p>
    <w:p>
      <w:pPr>
        <w:pStyle w:val="13"/>
        <w:spacing w:before="177"/>
        <w:ind w:left="700"/>
      </w:pPr>
      <w:r>
        <w:t>7、我们愿意遵守采购公告及磋商文件中明示的收费标准。</w:t>
      </w:r>
    </w:p>
    <w:p>
      <w:pPr>
        <w:pStyle w:val="13"/>
        <w:spacing w:before="177" w:line="379" w:lineRule="auto"/>
        <w:ind w:left="220" w:right="320" w:firstLine="480"/>
      </w:pPr>
      <w:r>
        <w:t>8、我们承诺响应文件在提交响应文件截止时间后至磋商有效期截止前保持有效，不作任何更改和变动。</w:t>
      </w:r>
    </w:p>
    <w:p>
      <w:pPr>
        <w:pStyle w:val="13"/>
        <w:tabs>
          <w:tab w:val="left" w:pos="5259"/>
        </w:tabs>
        <w:spacing w:before="116"/>
        <w:ind w:left="220"/>
      </w:pPr>
      <w:r>
        <w:t>地址：</w:t>
      </w:r>
      <w:r>
        <w:tab/>
      </w:r>
      <w:r>
        <w:t>邮政编码：</w:t>
      </w:r>
    </w:p>
    <w:p>
      <w:pPr>
        <w:pStyle w:val="13"/>
        <w:spacing w:before="10"/>
        <w:rPr>
          <w:sz w:val="19"/>
        </w:rPr>
      </w:pPr>
    </w:p>
    <w:p>
      <w:pPr>
        <w:pStyle w:val="13"/>
        <w:tabs>
          <w:tab w:val="left" w:pos="5259"/>
        </w:tabs>
        <w:spacing w:before="1"/>
        <w:ind w:left="220"/>
      </w:pPr>
      <w:r>
        <w:t>联系人：</w:t>
      </w:r>
      <w:r>
        <w:tab/>
      </w:r>
      <w:r>
        <w:t>联系电话：</w:t>
      </w:r>
    </w:p>
    <w:p>
      <w:pPr>
        <w:pStyle w:val="13"/>
        <w:spacing w:before="8"/>
        <w:rPr>
          <w:sz w:val="19"/>
        </w:rPr>
      </w:pPr>
    </w:p>
    <w:p>
      <w:pPr>
        <w:pStyle w:val="13"/>
        <w:tabs>
          <w:tab w:val="left" w:pos="5259"/>
        </w:tabs>
        <w:ind w:left="220"/>
      </w:pPr>
      <w:r>
        <w:t>电子邮件：</w:t>
      </w:r>
      <w:r>
        <w:tab/>
      </w:r>
      <w:r>
        <w:t>传真：</w:t>
      </w:r>
    </w:p>
    <w:p>
      <w:pPr>
        <w:pStyle w:val="13"/>
      </w:pPr>
    </w:p>
    <w:p>
      <w:pPr>
        <w:pStyle w:val="13"/>
        <w:ind w:left="5192"/>
      </w:pPr>
      <w:r>
        <w:t>供应商：（填写名称并盖章）</w:t>
      </w:r>
    </w:p>
    <w:p>
      <w:pPr>
        <w:pStyle w:val="13"/>
        <w:tabs>
          <w:tab w:val="left" w:pos="7343"/>
          <w:tab w:val="left" w:pos="8183"/>
        </w:tabs>
        <w:spacing w:before="50" w:line="379" w:lineRule="auto"/>
        <w:ind w:left="5243" w:right="711" w:firstLine="9"/>
      </w:pPr>
      <w:r>
        <w:t>法定代表人或授权代表：（签字或盖章</w:t>
      </w:r>
      <w:r>
        <w:rPr>
          <w:spacing w:val="-17"/>
        </w:rPr>
        <w:t xml:space="preserve">） </w:t>
      </w:r>
      <w:r>
        <w:t>日期：</w:t>
      </w:r>
      <w:r>
        <w:rPr>
          <w:rFonts w:hint="eastAsia"/>
          <w:lang w:val="en-US" w:eastAsia="zh-CN"/>
        </w:rPr>
        <w:t xml:space="preserve"> </w:t>
      </w:r>
      <w:r>
        <w:rPr>
          <w:spacing w:val="-60"/>
        </w:rPr>
        <w:t xml:space="preserve"> </w:t>
      </w:r>
      <w:r>
        <w:t>年</w:t>
      </w:r>
      <w:r>
        <w:rPr>
          <w:rFonts w:hint="eastAsia"/>
          <w:lang w:val="en-US" w:eastAsia="zh-CN"/>
        </w:rPr>
        <w:t xml:space="preserve">  </w:t>
      </w:r>
      <w:r>
        <w:t>月</w:t>
      </w:r>
      <w:r>
        <w:rPr>
          <w:rFonts w:hint="eastAsia"/>
          <w:lang w:val="en-US" w:eastAsia="zh-CN"/>
        </w:rPr>
        <w:t xml:space="preserve">  </w:t>
      </w:r>
      <w:r>
        <w:t>日</w:t>
      </w:r>
    </w:p>
    <w:p>
      <w:pPr>
        <w:spacing w:line="379" w:lineRule="auto"/>
        <w:sectPr>
          <w:pgSz w:w="11910" w:h="16840"/>
          <w:pgMar w:top="1460" w:right="760" w:bottom="1040" w:left="860" w:header="0" w:footer="776" w:gutter="0"/>
          <w:cols w:space="720" w:num="1"/>
        </w:sectPr>
      </w:pPr>
    </w:p>
    <w:p>
      <w:pPr>
        <w:pStyle w:val="13"/>
        <w:spacing w:before="1"/>
        <w:rPr>
          <w:sz w:val="14"/>
        </w:rPr>
      </w:pPr>
    </w:p>
    <w:p>
      <w:pPr>
        <w:pStyle w:val="2"/>
        <w:ind w:right="431"/>
      </w:pPr>
      <w:bookmarkStart w:id="194" w:name="二、报价一览表"/>
      <w:bookmarkEnd w:id="194"/>
      <w:bookmarkStart w:id="195" w:name="_Toc13413"/>
      <w:r>
        <w:t>二、报价一览表</w:t>
      </w:r>
      <w:bookmarkEnd w:id="195"/>
    </w:p>
    <w:p>
      <w:pPr>
        <w:pStyle w:val="13"/>
        <w:spacing w:before="11"/>
        <w:rPr>
          <w:b/>
          <w:sz w:val="32"/>
        </w:rPr>
      </w:pPr>
    </w:p>
    <w:p>
      <w:pPr>
        <w:pStyle w:val="13"/>
        <w:tabs>
          <w:tab w:val="left" w:pos="6846"/>
        </w:tabs>
        <w:spacing w:before="1"/>
        <w:ind w:left="726"/>
      </w:pPr>
      <w:r>
        <w:t>项目编号：</w:t>
      </w:r>
      <w:r>
        <w:tab/>
      </w:r>
      <w:r>
        <w:t>金额单位：元</w:t>
      </w:r>
    </w:p>
    <w:p>
      <w:pPr>
        <w:pStyle w:val="13"/>
        <w:spacing w:before="11"/>
        <w:rPr>
          <w:sz w:val="6"/>
        </w:rPr>
      </w:pPr>
    </w:p>
    <w:tbl>
      <w:tblPr>
        <w:tblStyle w:val="22"/>
        <w:tblW w:w="0" w:type="auto"/>
        <w:tblInd w:w="5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668"/>
        <w:gridCol w:w="6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54" w:type="dxa"/>
          </w:tcPr>
          <w:p>
            <w:pPr>
              <w:pStyle w:val="28"/>
              <w:spacing w:before="10"/>
              <w:rPr>
                <w:sz w:val="25"/>
              </w:rPr>
            </w:pPr>
          </w:p>
          <w:p>
            <w:pPr>
              <w:pStyle w:val="28"/>
              <w:ind w:left="116" w:right="107"/>
              <w:jc w:val="center"/>
              <w:rPr>
                <w:sz w:val="24"/>
              </w:rPr>
            </w:pPr>
            <w:r>
              <w:rPr>
                <w:sz w:val="24"/>
              </w:rPr>
              <w:t>序号</w:t>
            </w:r>
          </w:p>
        </w:tc>
        <w:tc>
          <w:tcPr>
            <w:tcW w:w="1668" w:type="dxa"/>
          </w:tcPr>
          <w:p>
            <w:pPr>
              <w:pStyle w:val="28"/>
              <w:spacing w:before="10"/>
              <w:rPr>
                <w:sz w:val="25"/>
              </w:rPr>
            </w:pPr>
          </w:p>
          <w:p>
            <w:pPr>
              <w:pStyle w:val="28"/>
              <w:ind w:left="352"/>
              <w:rPr>
                <w:sz w:val="24"/>
              </w:rPr>
            </w:pPr>
            <w:r>
              <w:rPr>
                <w:sz w:val="24"/>
              </w:rPr>
              <w:t>项目名称</w:t>
            </w:r>
          </w:p>
        </w:tc>
        <w:tc>
          <w:tcPr>
            <w:tcW w:w="6362" w:type="dxa"/>
          </w:tcPr>
          <w:p>
            <w:pPr>
              <w:pStyle w:val="28"/>
              <w:spacing w:before="10"/>
              <w:rPr>
                <w:sz w:val="25"/>
              </w:rPr>
            </w:pPr>
          </w:p>
          <w:p>
            <w:pPr>
              <w:pStyle w:val="28"/>
              <w:ind w:left="2681" w:right="2670"/>
              <w:jc w:val="center"/>
              <w:rPr>
                <w:sz w:val="24"/>
              </w:rPr>
            </w:pPr>
            <w:r>
              <w:rPr>
                <w:sz w:val="24"/>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54" w:type="dxa"/>
            <w:vMerge w:val="restart"/>
          </w:tcPr>
          <w:p>
            <w:pPr>
              <w:pStyle w:val="28"/>
              <w:spacing w:before="170"/>
              <w:ind w:left="9"/>
              <w:jc w:val="center"/>
              <w:rPr>
                <w:sz w:val="24"/>
              </w:rPr>
            </w:pPr>
            <w:r>
              <w:rPr>
                <w:sz w:val="24"/>
              </w:rPr>
              <w:t>1</w:t>
            </w:r>
          </w:p>
        </w:tc>
        <w:tc>
          <w:tcPr>
            <w:tcW w:w="1668" w:type="dxa"/>
            <w:vMerge w:val="restart"/>
          </w:tcPr>
          <w:p>
            <w:pPr>
              <w:pStyle w:val="28"/>
              <w:rPr>
                <w:sz w:val="24"/>
              </w:rPr>
            </w:pPr>
          </w:p>
          <w:p>
            <w:pPr>
              <w:pStyle w:val="28"/>
              <w:spacing w:before="4"/>
              <w:rPr>
                <w:sz w:val="24"/>
              </w:rPr>
            </w:pPr>
          </w:p>
          <w:p>
            <w:pPr>
              <w:pStyle w:val="28"/>
              <w:spacing w:before="8"/>
              <w:ind w:left="28"/>
              <w:rPr>
                <w:sz w:val="24"/>
              </w:rPr>
            </w:pPr>
          </w:p>
        </w:tc>
        <w:tc>
          <w:tcPr>
            <w:tcW w:w="6362" w:type="dxa"/>
          </w:tcPr>
          <w:p>
            <w:pPr>
              <w:pStyle w:val="28"/>
              <w:spacing w:before="1"/>
              <w:rPr>
                <w:sz w:val="33"/>
              </w:rPr>
            </w:pPr>
          </w:p>
          <w:p>
            <w:pPr>
              <w:pStyle w:val="28"/>
              <w:ind w:left="33"/>
              <w:rPr>
                <w:rFonts w:ascii="黑体" w:eastAsia="黑体"/>
                <w:sz w:val="24"/>
              </w:rPr>
            </w:pPr>
            <w:bookmarkStart w:id="196" w:name="小写："/>
            <w:bookmarkEnd w:id="196"/>
            <w:r>
              <w:rPr>
                <w:rFonts w:hint="eastAsia" w:ascii="黑体" w:eastAsia="黑体"/>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7" w:hRule="atLeast"/>
        </w:trPr>
        <w:tc>
          <w:tcPr>
            <w:tcW w:w="754" w:type="dxa"/>
            <w:vMerge w:val="continue"/>
          </w:tcPr>
          <w:p>
            <w:pPr>
              <w:rPr>
                <w:sz w:val="2"/>
                <w:szCs w:val="2"/>
              </w:rPr>
            </w:pPr>
          </w:p>
        </w:tc>
        <w:tc>
          <w:tcPr>
            <w:tcW w:w="1668" w:type="dxa"/>
            <w:vMerge w:val="continue"/>
          </w:tcPr>
          <w:p>
            <w:pPr>
              <w:rPr>
                <w:sz w:val="2"/>
                <w:szCs w:val="2"/>
              </w:rPr>
            </w:pPr>
          </w:p>
        </w:tc>
        <w:tc>
          <w:tcPr>
            <w:tcW w:w="6362" w:type="dxa"/>
            <w:vAlign w:val="center"/>
          </w:tcPr>
          <w:p>
            <w:pPr>
              <w:pStyle w:val="28"/>
              <w:spacing w:before="106"/>
              <w:ind w:left="33"/>
              <w:jc w:val="both"/>
              <w:rPr>
                <w:rFonts w:ascii="黑体" w:eastAsia="黑体"/>
                <w:sz w:val="24"/>
              </w:rPr>
            </w:pPr>
            <w:r>
              <w:rPr>
                <w:rFonts w:hint="eastAsia" w:ascii="黑体" w:eastAsia="黑体"/>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754" w:type="dxa"/>
          </w:tcPr>
          <w:p>
            <w:pPr>
              <w:pStyle w:val="28"/>
              <w:spacing w:before="215"/>
              <w:ind w:left="116" w:right="107"/>
              <w:jc w:val="center"/>
              <w:rPr>
                <w:sz w:val="24"/>
              </w:rPr>
            </w:pPr>
            <w:r>
              <w:rPr>
                <w:sz w:val="24"/>
              </w:rPr>
              <w:t>备注</w:t>
            </w:r>
          </w:p>
        </w:tc>
        <w:tc>
          <w:tcPr>
            <w:tcW w:w="8030" w:type="dxa"/>
            <w:gridSpan w:val="2"/>
          </w:tcPr>
          <w:p>
            <w:pPr>
              <w:pStyle w:val="28"/>
              <w:rPr>
                <w:rFonts w:ascii="Times New Roman"/>
                <w:sz w:val="24"/>
              </w:rPr>
            </w:pPr>
          </w:p>
        </w:tc>
      </w:tr>
    </w:tbl>
    <w:p>
      <w:pPr>
        <w:pStyle w:val="13"/>
      </w:pPr>
    </w:p>
    <w:p>
      <w:pPr>
        <w:pStyle w:val="13"/>
        <w:spacing w:before="8"/>
        <w:rPr>
          <w:sz w:val="20"/>
        </w:rPr>
      </w:pPr>
    </w:p>
    <w:p>
      <w:pPr>
        <w:pStyle w:val="13"/>
        <w:tabs>
          <w:tab w:val="left" w:pos="1446"/>
        </w:tabs>
        <w:spacing w:line="597" w:lineRule="auto"/>
        <w:ind w:left="1446" w:right="4399" w:hanging="720"/>
      </w:pPr>
      <w:r>
        <w:t>注：</w:t>
      </w:r>
      <w:r>
        <w:tab/>
      </w:r>
      <w:r>
        <w:t>1、报价时，大小写不一致时以大写为准</w:t>
      </w:r>
      <w:r>
        <w:rPr>
          <w:spacing w:val="-19"/>
        </w:rPr>
        <w:t>；</w:t>
      </w:r>
      <w:bookmarkStart w:id="197" w:name="2、报价一览表格式不得自行改动。"/>
      <w:bookmarkEnd w:id="197"/>
      <w:r>
        <w:rPr>
          <w:spacing w:val="-19"/>
        </w:rPr>
        <w:t xml:space="preserve"> </w:t>
      </w:r>
      <w:r>
        <w:t>2、报价一览表格式不得自行改动。</w:t>
      </w:r>
    </w:p>
    <w:p>
      <w:pPr>
        <w:pStyle w:val="13"/>
      </w:pPr>
    </w:p>
    <w:p>
      <w:pPr>
        <w:pStyle w:val="13"/>
      </w:pPr>
    </w:p>
    <w:p>
      <w:pPr>
        <w:pStyle w:val="13"/>
        <w:spacing w:before="1"/>
        <w:rPr>
          <w:sz w:val="33"/>
        </w:rPr>
      </w:pPr>
    </w:p>
    <w:p>
      <w:pPr>
        <w:pStyle w:val="13"/>
        <w:ind w:left="4566"/>
      </w:pPr>
      <w:r>
        <w:t>供应商：（填写名称并盖章）</w:t>
      </w:r>
    </w:p>
    <w:p>
      <w:pPr>
        <w:pStyle w:val="13"/>
        <w:spacing w:before="172" w:line="372" w:lineRule="auto"/>
        <w:ind w:left="4566" w:right="2239" w:hanging="120"/>
        <w:sectPr>
          <w:pgSz w:w="11910" w:h="16840"/>
          <w:pgMar w:top="1580" w:right="760" w:bottom="1040" w:left="860" w:header="0" w:footer="776" w:gutter="0"/>
          <w:cols w:space="720" w:num="1"/>
        </w:sectPr>
      </w:pPr>
      <w:r>
        <w:t>法定代表人或授权代表：（签字） 日期：</w:t>
      </w:r>
    </w:p>
    <w:p>
      <w:pPr>
        <w:pStyle w:val="13"/>
        <w:rPr>
          <w:sz w:val="20"/>
        </w:rPr>
      </w:pPr>
    </w:p>
    <w:p>
      <w:pPr>
        <w:pStyle w:val="13"/>
        <w:spacing w:before="5"/>
        <w:rPr>
          <w:sz w:val="19"/>
        </w:rPr>
      </w:pPr>
    </w:p>
    <w:p>
      <w:pPr>
        <w:pStyle w:val="2"/>
        <w:spacing w:before="49"/>
        <w:ind w:right="426"/>
      </w:pPr>
      <w:bookmarkStart w:id="198" w:name="_Toc22422"/>
      <w:r>
        <w:t>三、法定代表人身份证明</w:t>
      </w:r>
      <w:bookmarkEnd w:id="198"/>
    </w:p>
    <w:p>
      <w:pPr>
        <w:pStyle w:val="13"/>
        <w:spacing w:before="10"/>
        <w:rPr>
          <w:b/>
          <w:sz w:val="43"/>
        </w:rPr>
      </w:pPr>
    </w:p>
    <w:p>
      <w:pPr>
        <w:pStyle w:val="13"/>
        <w:tabs>
          <w:tab w:val="left" w:pos="2946"/>
          <w:tab w:val="left" w:pos="3786"/>
          <w:tab w:val="left" w:pos="4626"/>
        </w:tabs>
        <w:spacing w:before="1" w:line="343" w:lineRule="auto"/>
        <w:ind w:left="1146" w:right="5418"/>
        <w:rPr>
          <w:rFonts w:ascii="Times New Roman" w:eastAsia="Times New Roman"/>
        </w:rPr>
      </w:pPr>
      <w:r>
        <w:t>供应商名称：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 xml:space="preserve"> 单位性质：</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 xml:space="preserve"> 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 xml:space="preserve"> 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spacing w:val="-18"/>
        </w:rPr>
        <w:t>日</w:t>
      </w:r>
      <w:r>
        <w:t>经营期限：</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13"/>
        <w:tabs>
          <w:tab w:val="left" w:pos="2586"/>
          <w:tab w:val="left" w:pos="3906"/>
          <w:tab w:val="left" w:pos="4266"/>
          <w:tab w:val="left" w:pos="5826"/>
          <w:tab w:val="left" w:pos="7506"/>
        </w:tabs>
        <w:spacing w:before="2" w:line="343" w:lineRule="auto"/>
        <w:ind w:left="1146" w:right="2418"/>
      </w:pPr>
      <w:r>
        <w:t>姓名：</w:t>
      </w:r>
      <w:r>
        <w:rPr>
          <w:u w:val="single"/>
        </w:rPr>
        <w:t xml:space="preserve"> </w:t>
      </w:r>
      <w:r>
        <w:rPr>
          <w:u w:val="single"/>
        </w:rPr>
        <w:tab/>
      </w:r>
      <w:r>
        <w:t>性别：</w:t>
      </w:r>
      <w:r>
        <w:rPr>
          <w:u w:val="single"/>
        </w:rPr>
        <w:t xml:space="preserve"> </w:t>
      </w:r>
      <w:r>
        <w:rPr>
          <w:u w:val="single"/>
        </w:rPr>
        <w:tab/>
      </w:r>
      <w:r>
        <w:rPr>
          <w:u w:val="single"/>
        </w:rPr>
        <w:tab/>
      </w:r>
      <w:r>
        <w:t>年龄：</w:t>
      </w:r>
      <w:r>
        <w:rPr>
          <w:u w:val="single"/>
        </w:rPr>
        <w:t xml:space="preserve"> </w:t>
      </w:r>
      <w:r>
        <w:rPr>
          <w:u w:val="single"/>
        </w:rPr>
        <w:tab/>
      </w:r>
      <w:r>
        <w:t>职务：</w:t>
      </w:r>
      <w:r>
        <w:rPr>
          <w:u w:val="single"/>
        </w:rPr>
        <w:t xml:space="preserve"> </w:t>
      </w:r>
      <w:r>
        <w:rPr>
          <w:u w:val="single"/>
        </w:rPr>
        <w:tab/>
      </w:r>
      <w:r>
        <w:rPr>
          <w:spacing w:val="-18"/>
        </w:rPr>
        <w:t>。</w:t>
      </w:r>
      <w:r>
        <w:t>系</w:t>
      </w:r>
      <w:r>
        <w:rPr>
          <w:u w:val="single"/>
        </w:rPr>
        <w:t xml:space="preserve"> </w:t>
      </w:r>
      <w:r>
        <w:rPr>
          <w:u w:val="single"/>
        </w:rPr>
        <w:tab/>
      </w:r>
      <w:r>
        <w:rPr>
          <w:u w:val="single"/>
        </w:rPr>
        <w:tab/>
      </w:r>
      <w:r>
        <w:t>（供应商名称）的法定代表人。</w:t>
      </w:r>
    </w:p>
    <w:p>
      <w:pPr>
        <w:pStyle w:val="13"/>
        <w:spacing w:before="5"/>
        <w:rPr>
          <w:sz w:val="34"/>
        </w:rPr>
      </w:pPr>
    </w:p>
    <w:p>
      <w:pPr>
        <w:pStyle w:val="13"/>
        <w:ind w:left="1146"/>
      </w:pPr>
      <w:r>
        <w:t>特此证明。</w:t>
      </w:r>
    </w:p>
    <w:p>
      <w:pPr>
        <w:pStyle w:val="13"/>
        <w:spacing w:before="131"/>
        <w:ind w:left="1146"/>
      </w:pPr>
      <w:r>
        <w:t>附：法定代表人身份证复印件</w:t>
      </w:r>
    </w:p>
    <w:p>
      <w:pPr>
        <w:pStyle w:val="13"/>
      </w:pPr>
    </w:p>
    <w:p>
      <w:pPr>
        <w:pStyle w:val="13"/>
        <w:spacing w:before="3"/>
        <w:rPr>
          <w:sz w:val="34"/>
        </w:rPr>
      </w:pPr>
    </w:p>
    <w:p>
      <w:pPr>
        <w:pStyle w:val="13"/>
        <w:tabs>
          <w:tab w:val="left" w:pos="7146"/>
          <w:tab w:val="left" w:pos="7866"/>
        </w:tabs>
        <w:spacing w:line="254" w:lineRule="auto"/>
        <w:ind w:left="6426" w:right="1155" w:hanging="538"/>
      </w:pPr>
      <w:r>
        <w:t>供应商： （填写名称并盖章</w:t>
      </w:r>
      <w:r>
        <w:rPr>
          <w:spacing w:val="-17"/>
        </w:rPr>
        <w:t xml:space="preserve">） </w:t>
      </w:r>
      <w:r>
        <w:t>年</w:t>
      </w:r>
      <w:r>
        <w:tab/>
      </w:r>
      <w:r>
        <w:t>月</w:t>
      </w:r>
      <w:r>
        <w:tab/>
      </w:r>
      <w:r>
        <w:t>日</w:t>
      </w:r>
    </w:p>
    <w:p>
      <w:pPr>
        <w:spacing w:line="254" w:lineRule="auto"/>
        <w:sectPr>
          <w:pgSz w:w="11910" w:h="16840"/>
          <w:pgMar w:top="1580" w:right="760" w:bottom="1040" w:left="860" w:header="0" w:footer="776" w:gutter="0"/>
          <w:cols w:space="720" w:num="1"/>
        </w:sectPr>
      </w:pPr>
    </w:p>
    <w:p>
      <w:pPr>
        <w:pStyle w:val="9"/>
        <w:ind w:right="911"/>
        <w:jc w:val="center"/>
      </w:pPr>
      <w:r>
        <w:t>法人授权委托书</w:t>
      </w:r>
    </w:p>
    <w:p>
      <w:pPr>
        <w:pStyle w:val="13"/>
        <w:rPr>
          <w:b/>
          <w:sz w:val="28"/>
        </w:rPr>
      </w:pPr>
    </w:p>
    <w:p>
      <w:pPr>
        <w:pStyle w:val="13"/>
        <w:rPr>
          <w:b/>
          <w:sz w:val="28"/>
        </w:rPr>
      </w:pPr>
    </w:p>
    <w:p>
      <w:pPr>
        <w:pStyle w:val="13"/>
        <w:spacing w:before="233"/>
        <w:ind w:left="726"/>
      </w:pPr>
      <w:r>
        <w:t xml:space="preserve">致： </w:t>
      </w:r>
    </w:p>
    <w:p>
      <w:pPr>
        <w:pStyle w:val="13"/>
        <w:tabs>
          <w:tab w:val="left" w:pos="2607"/>
          <w:tab w:val="left" w:pos="3203"/>
          <w:tab w:val="left" w:pos="5267"/>
        </w:tabs>
        <w:spacing w:before="144" w:line="343" w:lineRule="auto"/>
        <w:ind w:left="1146" w:right="1095" w:firstLine="720"/>
        <w:jc w:val="both"/>
      </w:pPr>
      <w:r>
        <w:t>本人</w:t>
      </w:r>
      <w:r>
        <w:rPr>
          <w:u w:val="single"/>
        </w:rPr>
        <w:t xml:space="preserve"> </w:t>
      </w:r>
      <w:r>
        <w:rPr>
          <w:u w:val="single"/>
        </w:rPr>
        <w:tab/>
      </w:r>
      <w:r>
        <w:rPr>
          <w:u w:val="single"/>
        </w:rPr>
        <w:tab/>
      </w:r>
      <w:r>
        <w:t>（姓名）系</w:t>
      </w:r>
      <w:r>
        <w:rPr>
          <w:u w:val="single"/>
        </w:rPr>
        <w:t xml:space="preserve"> </w:t>
      </w:r>
      <w:r>
        <w:rPr>
          <w:u w:val="single"/>
        </w:rPr>
        <w:tab/>
      </w:r>
      <w:r>
        <w:t>（供应商名称）的法定代表人，现委托</w:t>
      </w:r>
      <w:r>
        <w:rPr>
          <w:u w:val="single"/>
        </w:rPr>
        <w:t xml:space="preserve"> </w:t>
      </w:r>
      <w:r>
        <w:rPr>
          <w:u w:val="single"/>
        </w:rPr>
        <w:tab/>
      </w:r>
      <w:r>
        <w:t>（姓名）为我方代理人。代理人根据授权，以我方名义参加</w:t>
      </w:r>
      <w:r>
        <w:rPr>
          <w:rFonts w:hint="eastAsia"/>
          <w:u w:val="single"/>
          <w:lang w:eastAsia="zh-CN"/>
        </w:rPr>
        <w:t>儋州市人民检察院物业管理服务项目</w:t>
      </w:r>
      <w:r>
        <w:t>（</w:t>
      </w:r>
      <w:r>
        <w:rPr>
          <w:spacing w:val="-63"/>
        </w:rPr>
        <w:t xml:space="preserve"> </w:t>
      </w:r>
      <w:r>
        <w:rPr>
          <w:spacing w:val="57"/>
        </w:rPr>
        <w:t>招标</w:t>
      </w:r>
      <w:r>
        <w:t>编</w:t>
      </w:r>
      <w:r>
        <w:rPr>
          <w:spacing w:val="-60"/>
        </w:rPr>
        <w:t xml:space="preserve"> </w:t>
      </w:r>
      <w:r>
        <w:rPr>
          <w:spacing w:val="57"/>
        </w:rPr>
        <w:t>号为</w:t>
      </w:r>
      <w:r>
        <w:t>：</w:t>
      </w:r>
      <w:r>
        <w:rPr>
          <w:rFonts w:hint="eastAsia" w:ascii="Times New Roman"/>
          <w:u w:val="single"/>
        </w:rPr>
        <w:t xml:space="preserve"> HNXX-CG-2023-008 </w:t>
      </w:r>
      <w:r>
        <w:t>）</w:t>
      </w:r>
      <w:r>
        <w:rPr>
          <w:spacing w:val="4"/>
        </w:rPr>
        <w:t>的政</w:t>
      </w:r>
      <w:r>
        <w:t>府采</w:t>
      </w:r>
      <w:r>
        <w:rPr>
          <w:spacing w:val="4"/>
        </w:rPr>
        <w:t>购</w:t>
      </w:r>
      <w:r>
        <w:t>活</w:t>
      </w:r>
      <w:r>
        <w:rPr>
          <w:spacing w:val="4"/>
        </w:rPr>
        <w:t>动</w:t>
      </w:r>
      <w:r>
        <w:t>，</w:t>
      </w:r>
      <w:r>
        <w:rPr>
          <w:spacing w:val="4"/>
        </w:rPr>
        <w:t>并</w:t>
      </w:r>
      <w:r>
        <w:t>授权</w:t>
      </w:r>
      <w:r>
        <w:rPr>
          <w:spacing w:val="4"/>
        </w:rPr>
        <w:t>其</w:t>
      </w:r>
      <w:r>
        <w:t>全权</w:t>
      </w:r>
      <w:r>
        <w:rPr>
          <w:spacing w:val="4"/>
        </w:rPr>
        <w:t>办</w:t>
      </w:r>
      <w:r>
        <w:t>理</w:t>
      </w:r>
      <w:r>
        <w:rPr>
          <w:spacing w:val="4"/>
        </w:rPr>
        <w:t>相</w:t>
      </w:r>
      <w:r>
        <w:t>关</w:t>
      </w:r>
      <w:r>
        <w:rPr>
          <w:spacing w:val="4"/>
        </w:rPr>
        <w:t>事</w:t>
      </w:r>
      <w:r>
        <w:t>宜，</w:t>
      </w:r>
      <w:r>
        <w:rPr>
          <w:spacing w:val="4"/>
        </w:rPr>
        <w:t>其</w:t>
      </w:r>
      <w:r>
        <w:t>法律后果由我方承担。</w:t>
      </w:r>
    </w:p>
    <w:p>
      <w:pPr>
        <w:pStyle w:val="13"/>
        <w:tabs>
          <w:tab w:val="left" w:pos="3966"/>
        </w:tabs>
        <w:spacing w:before="2" w:line="343" w:lineRule="auto"/>
        <w:ind w:left="1206" w:right="6078"/>
      </w:pPr>
      <w:r>
        <w:t>委托期限：</w:t>
      </w:r>
      <w:r>
        <w:rPr>
          <w:u w:val="single"/>
        </w:rPr>
        <w:t xml:space="preserve"> </w:t>
      </w:r>
      <w:r>
        <w:rPr>
          <w:u w:val="single"/>
        </w:rPr>
        <w:tab/>
      </w:r>
      <w:r>
        <w:rPr>
          <w:spacing w:val="-18"/>
          <w:u w:val="single"/>
        </w:rPr>
        <w:t>。</w:t>
      </w:r>
      <w:r>
        <w:t>代理人无转委托权。</w:t>
      </w:r>
    </w:p>
    <w:p>
      <w:pPr>
        <w:pStyle w:val="13"/>
        <w:spacing w:before="47"/>
        <w:ind w:left="1206"/>
      </w:pPr>
      <w:r>
        <w:t>附：代理人身份证明复印件</w:t>
      </w: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spacing w:before="9"/>
        <w:rPr>
          <w:sz w:val="17"/>
        </w:rPr>
      </w:pPr>
    </w:p>
    <w:p>
      <w:pPr>
        <w:pStyle w:val="13"/>
        <w:tabs>
          <w:tab w:val="left" w:pos="6968"/>
        </w:tabs>
        <w:ind w:left="4088"/>
      </w:pPr>
      <w:r>
        <w:t>供 应 商：</w:t>
      </w:r>
      <w:r>
        <w:rPr>
          <w:u w:val="single"/>
        </w:rPr>
        <w:t xml:space="preserve"> </w:t>
      </w:r>
      <w:r>
        <w:rPr>
          <w:u w:val="single"/>
        </w:rPr>
        <w:tab/>
      </w:r>
      <w:r>
        <w:rPr>
          <w:u w:val="single"/>
        </w:rPr>
        <w:t>（填写名称并盖章）</w:t>
      </w:r>
    </w:p>
    <w:p>
      <w:pPr>
        <w:pStyle w:val="13"/>
        <w:spacing w:before="8"/>
        <w:rPr>
          <w:sz w:val="20"/>
        </w:rPr>
      </w:pPr>
    </w:p>
    <w:p>
      <w:pPr>
        <w:pStyle w:val="13"/>
        <w:tabs>
          <w:tab w:val="left" w:pos="8168"/>
        </w:tabs>
        <w:spacing w:before="74"/>
        <w:ind w:left="4088"/>
      </w:pPr>
      <w:r>
        <w:t>法定代表人：</w:t>
      </w:r>
      <w:r>
        <w:rPr>
          <w:u w:val="single"/>
        </w:rPr>
        <w:t xml:space="preserve"> </w:t>
      </w:r>
      <w:r>
        <w:rPr>
          <w:u w:val="single"/>
        </w:rPr>
        <w:tab/>
      </w:r>
      <w:r>
        <w:rPr>
          <w:u w:val="single"/>
        </w:rPr>
        <w:t>（签字）</w:t>
      </w:r>
    </w:p>
    <w:p>
      <w:pPr>
        <w:pStyle w:val="13"/>
        <w:spacing w:before="2"/>
        <w:rPr>
          <w:sz w:val="21"/>
        </w:rPr>
      </w:pPr>
    </w:p>
    <w:p>
      <w:pPr>
        <w:pStyle w:val="13"/>
        <w:tabs>
          <w:tab w:val="left" w:pos="8528"/>
        </w:tabs>
        <w:spacing w:before="67"/>
        <w:ind w:left="4086"/>
      </w:pPr>
      <w:r>
        <w:t>身份证号码</w:t>
      </w:r>
      <w:r>
        <w:rPr>
          <w:u w:val="single"/>
        </w:rPr>
        <w:t>：</w:t>
      </w:r>
      <w:r>
        <w:rPr>
          <w:u w:val="single"/>
        </w:rPr>
        <w:tab/>
      </w:r>
      <w:r>
        <w:rPr>
          <w:u w:val="single"/>
        </w:rPr>
        <w:t>。</w:t>
      </w:r>
    </w:p>
    <w:p>
      <w:pPr>
        <w:pStyle w:val="13"/>
        <w:spacing w:before="8"/>
        <w:rPr>
          <w:sz w:val="20"/>
        </w:rPr>
      </w:pPr>
    </w:p>
    <w:p>
      <w:pPr>
        <w:pStyle w:val="13"/>
        <w:tabs>
          <w:tab w:val="left" w:pos="8168"/>
        </w:tabs>
        <w:spacing w:before="74"/>
        <w:ind w:left="4088"/>
      </w:pPr>
      <w:r>
        <w:t>委托代理人：</w:t>
      </w:r>
      <w:r>
        <w:rPr>
          <w:u w:val="single"/>
        </w:rPr>
        <w:t xml:space="preserve"> </w:t>
      </w:r>
      <w:r>
        <w:rPr>
          <w:u w:val="single"/>
        </w:rPr>
        <w:tab/>
      </w:r>
      <w:r>
        <w:rPr>
          <w:u w:val="single"/>
        </w:rPr>
        <w:t>（签字）</w:t>
      </w:r>
    </w:p>
    <w:p>
      <w:pPr>
        <w:pStyle w:val="13"/>
        <w:spacing w:before="11"/>
        <w:rPr>
          <w:sz w:val="28"/>
        </w:rPr>
      </w:pPr>
    </w:p>
    <w:p>
      <w:pPr>
        <w:pStyle w:val="13"/>
        <w:tabs>
          <w:tab w:val="left" w:pos="8888"/>
        </w:tabs>
        <w:spacing w:before="74"/>
        <w:ind w:left="4088"/>
      </w:pPr>
      <w:r>
        <w:t>身份证号码：</w:t>
      </w:r>
      <w:r>
        <w:rPr>
          <w:u w:val="single"/>
        </w:rPr>
        <w:t xml:space="preserve"> </w:t>
      </w:r>
      <w:r>
        <w:rPr>
          <w:u w:val="single"/>
        </w:rPr>
        <w:tab/>
      </w:r>
      <w:r>
        <w:rPr>
          <w:u w:val="single"/>
        </w:rPr>
        <w:t>。</w:t>
      </w:r>
    </w:p>
    <w:p>
      <w:pPr>
        <w:pStyle w:val="13"/>
        <w:tabs>
          <w:tab w:val="left" w:pos="6666"/>
          <w:tab w:val="left" w:pos="7626"/>
        </w:tabs>
        <w:spacing w:before="134"/>
        <w:ind w:left="5826"/>
      </w:pPr>
      <w:bookmarkStart w:id="199" w:name="年_____月______日"/>
      <w:bookmarkEnd w:id="199"/>
      <w:r>
        <w:t>年</w:t>
      </w:r>
      <w:r>
        <w:tab/>
      </w:r>
      <w:r>
        <w:t>月</w:t>
      </w:r>
      <w:r>
        <w:tab/>
      </w:r>
      <w:r>
        <w:t>日</w:t>
      </w:r>
    </w:p>
    <w:p>
      <w:pPr>
        <w:pStyle w:val="13"/>
      </w:pPr>
    </w:p>
    <w:p>
      <w:pPr>
        <w:pStyle w:val="13"/>
        <w:rPr>
          <w:sz w:val="17"/>
        </w:rPr>
      </w:pPr>
    </w:p>
    <w:p>
      <w:pPr>
        <w:pStyle w:val="13"/>
        <w:spacing w:line="364" w:lineRule="auto"/>
        <w:ind w:left="726" w:right="793" w:firstLine="480"/>
      </w:pPr>
      <w:r>
        <w:rPr>
          <w:spacing w:val="-11"/>
        </w:rPr>
        <w:t>注：如是供应商的法定代表人参加开标会及签署投标文件，则不需要提交本授权</w:t>
      </w:r>
      <w:r>
        <w:t>委托书。</w:t>
      </w:r>
    </w:p>
    <w:p>
      <w:pPr>
        <w:spacing w:line="364" w:lineRule="auto"/>
        <w:sectPr>
          <w:pgSz w:w="11910" w:h="16840"/>
          <w:pgMar w:top="1500" w:right="760" w:bottom="1040" w:left="860" w:header="0" w:footer="776" w:gutter="0"/>
          <w:cols w:space="720" w:num="1"/>
        </w:sectPr>
      </w:pPr>
    </w:p>
    <w:p>
      <w:pPr>
        <w:pStyle w:val="2"/>
        <w:numPr>
          <w:ilvl w:val="0"/>
          <w:numId w:val="20"/>
        </w:numPr>
        <w:spacing w:before="21"/>
        <w:ind w:right="104"/>
      </w:pPr>
      <w:bookmarkStart w:id="200" w:name="四、磋商保证金"/>
      <w:bookmarkEnd w:id="200"/>
      <w:bookmarkStart w:id="201" w:name="_Toc29570"/>
      <w:r>
        <w:t>磋商保证金</w:t>
      </w:r>
      <w:bookmarkEnd w:id="201"/>
    </w:p>
    <w:p>
      <w:pPr>
        <w:pStyle w:val="10"/>
        <w:spacing w:before="219"/>
      </w:pPr>
      <w:r>
        <w:t xml:space="preserve">致: </w:t>
      </w:r>
    </w:p>
    <w:p>
      <w:pPr>
        <w:pStyle w:val="13"/>
        <w:spacing w:before="12"/>
        <w:rPr>
          <w:sz w:val="21"/>
        </w:rPr>
      </w:pPr>
    </w:p>
    <w:p>
      <w:pPr>
        <w:pStyle w:val="13"/>
        <w:tabs>
          <w:tab w:val="left" w:pos="1182"/>
        </w:tabs>
        <w:spacing w:line="468" w:lineRule="auto"/>
        <w:ind w:left="222" w:right="325" w:firstLine="480"/>
      </w:pPr>
      <w:r>
        <w:t>我司参加招标编号为：</w:t>
      </w:r>
      <w:r>
        <w:rPr>
          <w:spacing w:val="1"/>
          <w:u w:val="single"/>
        </w:rPr>
        <w:t xml:space="preserve"> </w:t>
      </w:r>
      <w:r>
        <w:rPr>
          <w:rFonts w:hint="eastAsia"/>
          <w:u w:val="single"/>
        </w:rPr>
        <w:t xml:space="preserve">           </w:t>
      </w:r>
      <w:r>
        <w:t>项目的招标活动，于</w:t>
      </w:r>
      <w:r>
        <w:rPr>
          <w:spacing w:val="3"/>
          <w:u w:val="single"/>
        </w:rPr>
        <w:t xml:space="preserve"> </w:t>
      </w:r>
      <w:r>
        <w:t>年</w:t>
      </w:r>
      <w:r>
        <w:rPr>
          <w:u w:val="single"/>
        </w:rPr>
        <w:t xml:space="preserve"> </w:t>
      </w:r>
      <w:r>
        <w:rPr>
          <w:spacing w:val="5"/>
          <w:u w:val="single"/>
        </w:rPr>
        <w:t xml:space="preserve"> </w:t>
      </w:r>
      <w:r>
        <w:t>月</w:t>
      </w:r>
      <w:r>
        <w:rPr>
          <w:u w:val="single"/>
        </w:rPr>
        <w:t xml:space="preserve"> </w:t>
      </w:r>
      <w:r>
        <w:rPr>
          <w:spacing w:val="3"/>
          <w:u w:val="single"/>
        </w:rPr>
        <w:t xml:space="preserve"> </w:t>
      </w:r>
      <w:r>
        <w:t>日交纳磋商保</w:t>
      </w:r>
      <w:r>
        <w:rPr>
          <w:spacing w:val="-15"/>
        </w:rPr>
        <w:t>证</w:t>
      </w:r>
      <w:r>
        <w:t>金</w:t>
      </w:r>
      <w:r>
        <w:rPr>
          <w:u w:val="single"/>
        </w:rPr>
        <w:t xml:space="preserve"> </w:t>
      </w:r>
      <w:r>
        <w:rPr>
          <w:u w:val="single"/>
        </w:rPr>
        <w:tab/>
      </w:r>
      <w:r>
        <w:t>元。交纳方式为银行转账，退还保证金时请汇入以下帐户：</w:t>
      </w:r>
    </w:p>
    <w:p>
      <w:pPr>
        <w:pStyle w:val="13"/>
        <w:spacing w:before="9" w:after="1"/>
        <w:rPr>
          <w:sz w:val="19"/>
        </w:rPr>
      </w:pPr>
    </w:p>
    <w:tbl>
      <w:tblPr>
        <w:tblStyle w:val="22"/>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1704"/>
        <w:gridCol w:w="2894"/>
        <w:gridCol w:w="124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44" w:type="dxa"/>
            <w:vMerge w:val="restart"/>
            <w:textDirection w:val="tbRlV"/>
          </w:tcPr>
          <w:p>
            <w:pPr>
              <w:pStyle w:val="28"/>
              <w:spacing w:before="174"/>
              <w:ind w:left="1255" w:right="113"/>
              <w:rPr>
                <w:sz w:val="24"/>
              </w:rPr>
            </w:pPr>
            <w:r>
              <w:rPr>
                <w:sz w:val="24"/>
              </w:rPr>
              <w:t>收款人</w:t>
            </w:r>
          </w:p>
        </w:tc>
        <w:tc>
          <w:tcPr>
            <w:tcW w:w="1704" w:type="dxa"/>
          </w:tcPr>
          <w:p>
            <w:pPr>
              <w:pStyle w:val="28"/>
              <w:spacing w:before="143"/>
              <w:ind w:left="9"/>
              <w:jc w:val="center"/>
              <w:rPr>
                <w:sz w:val="24"/>
              </w:rPr>
            </w:pPr>
            <w:r>
              <w:rPr>
                <w:sz w:val="24"/>
              </w:rPr>
              <w:t>收款人名称</w:t>
            </w:r>
          </w:p>
        </w:tc>
        <w:tc>
          <w:tcPr>
            <w:tcW w:w="5976" w:type="dxa"/>
            <w:gridSpan w:val="3"/>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44" w:type="dxa"/>
            <w:vMerge w:val="continue"/>
            <w:tcBorders>
              <w:top w:val="nil"/>
            </w:tcBorders>
            <w:textDirection w:val="tbRl"/>
          </w:tcPr>
          <w:p>
            <w:pPr>
              <w:rPr>
                <w:sz w:val="2"/>
                <w:szCs w:val="2"/>
              </w:rPr>
            </w:pPr>
          </w:p>
        </w:tc>
        <w:tc>
          <w:tcPr>
            <w:tcW w:w="1704" w:type="dxa"/>
          </w:tcPr>
          <w:p>
            <w:pPr>
              <w:pStyle w:val="28"/>
              <w:spacing w:before="1"/>
              <w:rPr>
                <w:sz w:val="19"/>
              </w:rPr>
            </w:pPr>
          </w:p>
          <w:p>
            <w:pPr>
              <w:pStyle w:val="28"/>
              <w:ind w:left="9"/>
              <w:jc w:val="center"/>
              <w:rPr>
                <w:sz w:val="24"/>
              </w:rPr>
            </w:pPr>
            <w:r>
              <w:rPr>
                <w:sz w:val="24"/>
              </w:rPr>
              <w:t>收款人地址</w:t>
            </w:r>
          </w:p>
        </w:tc>
        <w:tc>
          <w:tcPr>
            <w:tcW w:w="5976" w:type="dxa"/>
            <w:gridSpan w:val="3"/>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44" w:type="dxa"/>
            <w:vMerge w:val="continue"/>
            <w:tcBorders>
              <w:top w:val="nil"/>
            </w:tcBorders>
            <w:textDirection w:val="tbRl"/>
          </w:tcPr>
          <w:p>
            <w:pPr>
              <w:rPr>
                <w:sz w:val="2"/>
                <w:szCs w:val="2"/>
              </w:rPr>
            </w:pPr>
          </w:p>
        </w:tc>
        <w:tc>
          <w:tcPr>
            <w:tcW w:w="1704" w:type="dxa"/>
          </w:tcPr>
          <w:p>
            <w:pPr>
              <w:pStyle w:val="28"/>
              <w:spacing w:before="11"/>
              <w:rPr>
                <w:sz w:val="18"/>
              </w:rPr>
            </w:pPr>
          </w:p>
          <w:p>
            <w:pPr>
              <w:pStyle w:val="28"/>
              <w:ind w:left="9"/>
              <w:jc w:val="center"/>
              <w:rPr>
                <w:sz w:val="24"/>
              </w:rPr>
            </w:pPr>
            <w:r>
              <w:rPr>
                <w:sz w:val="24"/>
              </w:rPr>
              <w:t>开户银行</w:t>
            </w:r>
          </w:p>
        </w:tc>
        <w:tc>
          <w:tcPr>
            <w:tcW w:w="2894" w:type="dxa"/>
          </w:tcPr>
          <w:p>
            <w:pPr>
              <w:pStyle w:val="28"/>
              <w:rPr>
                <w:rFonts w:ascii="Times New Roman"/>
                <w:sz w:val="24"/>
              </w:rPr>
            </w:pPr>
          </w:p>
        </w:tc>
        <w:tc>
          <w:tcPr>
            <w:tcW w:w="1240" w:type="dxa"/>
          </w:tcPr>
          <w:p>
            <w:pPr>
              <w:pStyle w:val="28"/>
              <w:spacing w:before="143"/>
              <w:ind w:right="126"/>
              <w:jc w:val="right"/>
              <w:rPr>
                <w:sz w:val="24"/>
              </w:rPr>
            </w:pPr>
            <w:r>
              <w:rPr>
                <w:sz w:val="24"/>
              </w:rPr>
              <w:t>联 系 人</w:t>
            </w:r>
          </w:p>
        </w:tc>
        <w:tc>
          <w:tcPr>
            <w:tcW w:w="1842"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44" w:type="dxa"/>
            <w:vMerge w:val="continue"/>
            <w:tcBorders>
              <w:top w:val="nil"/>
            </w:tcBorders>
            <w:textDirection w:val="tbRl"/>
          </w:tcPr>
          <w:p>
            <w:pPr>
              <w:rPr>
                <w:sz w:val="2"/>
                <w:szCs w:val="2"/>
              </w:rPr>
            </w:pPr>
          </w:p>
        </w:tc>
        <w:tc>
          <w:tcPr>
            <w:tcW w:w="1704" w:type="dxa"/>
          </w:tcPr>
          <w:p>
            <w:pPr>
              <w:pStyle w:val="28"/>
              <w:spacing w:before="1"/>
              <w:rPr>
                <w:sz w:val="19"/>
              </w:rPr>
            </w:pPr>
          </w:p>
          <w:p>
            <w:pPr>
              <w:pStyle w:val="28"/>
              <w:tabs>
                <w:tab w:val="left" w:pos="729"/>
              </w:tabs>
              <w:ind w:left="9"/>
              <w:jc w:val="center"/>
              <w:rPr>
                <w:sz w:val="24"/>
              </w:rPr>
            </w:pPr>
            <w:r>
              <w:rPr>
                <w:sz w:val="24"/>
              </w:rPr>
              <w:t>帐</w:t>
            </w:r>
            <w:r>
              <w:rPr>
                <w:sz w:val="24"/>
              </w:rPr>
              <w:tab/>
            </w:r>
            <w:r>
              <w:rPr>
                <w:sz w:val="24"/>
              </w:rPr>
              <w:t>号</w:t>
            </w:r>
          </w:p>
        </w:tc>
        <w:tc>
          <w:tcPr>
            <w:tcW w:w="2894" w:type="dxa"/>
          </w:tcPr>
          <w:p>
            <w:pPr>
              <w:pStyle w:val="28"/>
              <w:rPr>
                <w:rFonts w:ascii="Times New Roman"/>
                <w:sz w:val="24"/>
              </w:rPr>
            </w:pPr>
          </w:p>
        </w:tc>
        <w:tc>
          <w:tcPr>
            <w:tcW w:w="1240" w:type="dxa"/>
          </w:tcPr>
          <w:p>
            <w:pPr>
              <w:pStyle w:val="28"/>
              <w:spacing w:before="144"/>
              <w:ind w:right="126"/>
              <w:jc w:val="right"/>
              <w:rPr>
                <w:sz w:val="24"/>
              </w:rPr>
            </w:pPr>
            <w:r>
              <w:rPr>
                <w:sz w:val="24"/>
              </w:rPr>
              <w:t>联系电话</w:t>
            </w:r>
          </w:p>
        </w:tc>
        <w:tc>
          <w:tcPr>
            <w:tcW w:w="1842" w:type="dxa"/>
          </w:tcPr>
          <w:p>
            <w:pPr>
              <w:pStyle w:val="28"/>
              <w:rPr>
                <w:rFonts w:ascii="Times New Roman"/>
                <w:sz w:val="24"/>
              </w:rPr>
            </w:pPr>
          </w:p>
        </w:tc>
      </w:tr>
    </w:tbl>
    <w:p>
      <w:pPr>
        <w:pStyle w:val="13"/>
        <w:rPr>
          <w:sz w:val="26"/>
        </w:rPr>
      </w:pPr>
    </w:p>
    <w:p>
      <w:pPr>
        <w:pStyle w:val="13"/>
        <w:spacing w:before="231"/>
        <w:ind w:left="4307"/>
      </w:pPr>
      <w:r>
        <w:t>供应商：（填写名称并盖章）</w:t>
      </w:r>
    </w:p>
    <w:p>
      <w:pPr>
        <w:pStyle w:val="13"/>
        <w:spacing w:before="8"/>
        <w:rPr>
          <w:sz w:val="19"/>
        </w:rPr>
      </w:pPr>
    </w:p>
    <w:p>
      <w:pPr>
        <w:pStyle w:val="13"/>
        <w:tabs>
          <w:tab w:val="left" w:pos="5622"/>
          <w:tab w:val="left" w:pos="6342"/>
          <w:tab w:val="left" w:pos="7062"/>
        </w:tabs>
        <w:spacing w:line="516" w:lineRule="auto"/>
        <w:ind w:left="4302" w:right="1423"/>
      </w:pPr>
      <w:r>
        <w:t>法定代表人或授权委托人：（签字或盖章</w:t>
      </w:r>
      <w:r>
        <w:rPr>
          <w:spacing w:val="-19"/>
        </w:rPr>
        <w:t xml:space="preserve">） </w:t>
      </w:r>
      <w:r>
        <w:t>日期：</w:t>
      </w:r>
      <w:r>
        <w:tab/>
      </w:r>
      <w:r>
        <w:t>年</w:t>
      </w:r>
      <w:r>
        <w:tab/>
      </w:r>
      <w:r>
        <w:t>月</w:t>
      </w:r>
      <w:r>
        <w:tab/>
      </w:r>
      <w:r>
        <w:t>日</w:t>
      </w:r>
    </w:p>
    <w:p>
      <w:pPr>
        <w:spacing w:line="516" w:lineRule="auto"/>
        <w:sectPr>
          <w:pgSz w:w="11910" w:h="16840"/>
          <w:pgMar w:top="1520" w:right="760" w:bottom="980" w:left="860" w:header="0" w:footer="776" w:gutter="0"/>
          <w:cols w:space="720" w:num="1"/>
        </w:sectPr>
      </w:pPr>
    </w:p>
    <w:p>
      <w:pPr>
        <w:pStyle w:val="5"/>
      </w:pPr>
      <w:bookmarkStart w:id="202" w:name="五、供应商基本情况表"/>
      <w:bookmarkEnd w:id="202"/>
      <w:bookmarkStart w:id="203" w:name="_Toc518"/>
      <w:r>
        <w:rPr>
          <w:rFonts w:hint="eastAsia" w:ascii="宋体" w:eastAsia="宋体"/>
          <w:b/>
        </w:rPr>
        <w:t>五、</w:t>
      </w:r>
      <w:r>
        <w:t>供应商基本情况表</w:t>
      </w:r>
      <w:bookmarkEnd w:id="203"/>
    </w:p>
    <w:p>
      <w:pPr>
        <w:pStyle w:val="13"/>
        <w:spacing w:before="9"/>
        <w:rPr>
          <w:rFonts w:ascii="黑体"/>
          <w:sz w:val="20"/>
        </w:rPr>
      </w:pPr>
    </w:p>
    <w:tbl>
      <w:tblPr>
        <w:tblStyle w:val="22"/>
        <w:tblW w:w="0" w:type="auto"/>
        <w:tblInd w:w="61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579"/>
        <w:gridCol w:w="869"/>
        <w:gridCol w:w="1620"/>
        <w:gridCol w:w="725"/>
        <w:gridCol w:w="449"/>
        <w:gridCol w:w="451"/>
        <w:gridCol w:w="936"/>
        <w:gridCol w:w="684"/>
        <w:gridCol w:w="169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9" w:hRule="atLeast"/>
        </w:trPr>
        <w:tc>
          <w:tcPr>
            <w:tcW w:w="1579" w:type="dxa"/>
            <w:tcBorders>
              <w:bottom w:val="single" w:color="000000" w:sz="6" w:space="0"/>
              <w:right w:val="single" w:color="000000" w:sz="6" w:space="0"/>
            </w:tcBorders>
          </w:tcPr>
          <w:p>
            <w:pPr>
              <w:pStyle w:val="28"/>
              <w:spacing w:before="101"/>
              <w:ind w:left="107"/>
              <w:rPr>
                <w:sz w:val="21"/>
              </w:rPr>
            </w:pPr>
            <w:r>
              <w:rPr>
                <w:sz w:val="21"/>
              </w:rPr>
              <w:t>供应商名称</w:t>
            </w:r>
          </w:p>
        </w:tc>
        <w:tc>
          <w:tcPr>
            <w:tcW w:w="7431" w:type="dxa"/>
            <w:gridSpan w:val="8"/>
            <w:tcBorders>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579" w:type="dxa"/>
            <w:tcBorders>
              <w:top w:val="single" w:color="000000" w:sz="6" w:space="0"/>
              <w:bottom w:val="single" w:color="000000" w:sz="6" w:space="0"/>
              <w:right w:val="single" w:color="000000" w:sz="6" w:space="0"/>
            </w:tcBorders>
          </w:tcPr>
          <w:p>
            <w:pPr>
              <w:pStyle w:val="28"/>
              <w:spacing w:before="99"/>
              <w:ind w:left="107"/>
              <w:rPr>
                <w:sz w:val="21"/>
              </w:rPr>
            </w:pPr>
            <w:r>
              <w:rPr>
                <w:sz w:val="21"/>
              </w:rPr>
              <w:t>注册地址</w:t>
            </w:r>
          </w:p>
        </w:tc>
        <w:tc>
          <w:tcPr>
            <w:tcW w:w="3663" w:type="dxa"/>
            <w:gridSpan w:val="4"/>
            <w:tcBorders>
              <w:top w:val="single" w:color="000000" w:sz="6" w:space="0"/>
              <w:left w:val="single" w:color="000000" w:sz="6" w:space="0"/>
              <w:bottom w:val="single" w:color="000000" w:sz="6" w:space="0"/>
              <w:right w:val="single" w:color="000000" w:sz="6" w:space="0"/>
            </w:tcBorders>
          </w:tcPr>
          <w:p>
            <w:pPr>
              <w:pStyle w:val="28"/>
              <w:rPr>
                <w:rFonts w:ascii="Times New Roman"/>
              </w:rPr>
            </w:pPr>
          </w:p>
        </w:tc>
        <w:tc>
          <w:tcPr>
            <w:tcW w:w="1387" w:type="dxa"/>
            <w:gridSpan w:val="2"/>
            <w:tcBorders>
              <w:top w:val="single" w:color="000000" w:sz="6" w:space="0"/>
              <w:left w:val="single" w:color="000000" w:sz="6" w:space="0"/>
              <w:bottom w:val="single" w:color="000000" w:sz="6" w:space="0"/>
              <w:right w:val="single" w:color="000000" w:sz="6" w:space="0"/>
            </w:tcBorders>
          </w:tcPr>
          <w:p>
            <w:pPr>
              <w:pStyle w:val="28"/>
              <w:spacing w:before="99"/>
              <w:ind w:left="123"/>
              <w:rPr>
                <w:sz w:val="21"/>
              </w:rPr>
            </w:pPr>
            <w:r>
              <w:rPr>
                <w:sz w:val="21"/>
              </w:rPr>
              <w:t>邮政编码</w:t>
            </w:r>
          </w:p>
        </w:tc>
        <w:tc>
          <w:tcPr>
            <w:tcW w:w="2381" w:type="dxa"/>
            <w:gridSpan w:val="2"/>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579" w:type="dxa"/>
            <w:vMerge w:val="restart"/>
            <w:tcBorders>
              <w:top w:val="single" w:color="000000" w:sz="6" w:space="0"/>
              <w:bottom w:val="single" w:color="000000" w:sz="6" w:space="0"/>
              <w:right w:val="single" w:color="000000" w:sz="6" w:space="0"/>
            </w:tcBorders>
          </w:tcPr>
          <w:p>
            <w:pPr>
              <w:pStyle w:val="28"/>
              <w:spacing w:before="8"/>
              <w:rPr>
                <w:rFonts w:ascii="黑体"/>
                <w:sz w:val="26"/>
              </w:rPr>
            </w:pPr>
          </w:p>
          <w:p>
            <w:pPr>
              <w:pStyle w:val="28"/>
              <w:ind w:left="107"/>
              <w:rPr>
                <w:sz w:val="21"/>
              </w:rPr>
            </w:pPr>
            <w:r>
              <w:rPr>
                <w:sz w:val="21"/>
              </w:rPr>
              <w:t>联系方式</w:t>
            </w:r>
          </w:p>
        </w:tc>
        <w:tc>
          <w:tcPr>
            <w:tcW w:w="869" w:type="dxa"/>
            <w:tcBorders>
              <w:top w:val="single" w:color="000000" w:sz="6" w:space="0"/>
              <w:left w:val="single" w:color="000000" w:sz="6" w:space="0"/>
              <w:bottom w:val="single" w:color="000000" w:sz="6" w:space="0"/>
              <w:right w:val="single" w:color="000000" w:sz="6" w:space="0"/>
            </w:tcBorders>
          </w:tcPr>
          <w:p>
            <w:pPr>
              <w:pStyle w:val="28"/>
              <w:spacing w:before="99"/>
              <w:ind w:left="122"/>
              <w:rPr>
                <w:sz w:val="21"/>
              </w:rPr>
            </w:pPr>
            <w:r>
              <w:rPr>
                <w:sz w:val="21"/>
              </w:rPr>
              <w:t>联系人</w:t>
            </w:r>
          </w:p>
        </w:tc>
        <w:tc>
          <w:tcPr>
            <w:tcW w:w="2794" w:type="dxa"/>
            <w:gridSpan w:val="3"/>
            <w:tcBorders>
              <w:top w:val="single" w:color="000000" w:sz="6" w:space="0"/>
              <w:left w:val="single" w:color="000000" w:sz="6" w:space="0"/>
              <w:bottom w:val="single" w:color="000000" w:sz="6" w:space="0"/>
              <w:right w:val="single" w:color="000000" w:sz="6" w:space="0"/>
            </w:tcBorders>
          </w:tcPr>
          <w:p>
            <w:pPr>
              <w:pStyle w:val="28"/>
              <w:rPr>
                <w:rFonts w:ascii="Times New Roman"/>
              </w:rPr>
            </w:pPr>
          </w:p>
        </w:tc>
        <w:tc>
          <w:tcPr>
            <w:tcW w:w="1387" w:type="dxa"/>
            <w:gridSpan w:val="2"/>
            <w:tcBorders>
              <w:top w:val="single" w:color="000000" w:sz="6" w:space="0"/>
              <w:left w:val="single" w:color="000000" w:sz="6" w:space="0"/>
              <w:bottom w:val="single" w:color="000000" w:sz="6" w:space="0"/>
              <w:right w:val="single" w:color="000000" w:sz="6" w:space="0"/>
            </w:tcBorders>
          </w:tcPr>
          <w:p>
            <w:pPr>
              <w:pStyle w:val="28"/>
              <w:spacing w:before="99"/>
              <w:ind w:left="124"/>
              <w:rPr>
                <w:sz w:val="21"/>
              </w:rPr>
            </w:pPr>
            <w:r>
              <w:rPr>
                <w:sz w:val="21"/>
              </w:rPr>
              <w:t>电话</w:t>
            </w:r>
          </w:p>
        </w:tc>
        <w:tc>
          <w:tcPr>
            <w:tcW w:w="2381" w:type="dxa"/>
            <w:gridSpan w:val="2"/>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579" w:type="dxa"/>
            <w:vMerge w:val="continue"/>
            <w:tcBorders>
              <w:top w:val="nil"/>
              <w:bottom w:val="single" w:color="000000" w:sz="6" w:space="0"/>
              <w:right w:val="single" w:color="000000" w:sz="6" w:space="0"/>
            </w:tcBorders>
          </w:tcPr>
          <w:p>
            <w:pPr>
              <w:rPr>
                <w:sz w:val="2"/>
                <w:szCs w:val="2"/>
              </w:rPr>
            </w:pPr>
          </w:p>
        </w:tc>
        <w:tc>
          <w:tcPr>
            <w:tcW w:w="869" w:type="dxa"/>
            <w:tcBorders>
              <w:top w:val="single" w:color="000000" w:sz="6" w:space="0"/>
              <w:left w:val="single" w:color="000000" w:sz="6" w:space="0"/>
              <w:bottom w:val="single" w:color="000000" w:sz="6" w:space="0"/>
              <w:right w:val="single" w:color="000000" w:sz="6" w:space="0"/>
            </w:tcBorders>
          </w:tcPr>
          <w:p>
            <w:pPr>
              <w:pStyle w:val="28"/>
              <w:spacing w:before="99"/>
              <w:ind w:left="122"/>
              <w:rPr>
                <w:sz w:val="21"/>
              </w:rPr>
            </w:pPr>
            <w:r>
              <w:rPr>
                <w:sz w:val="21"/>
              </w:rPr>
              <w:t>传真</w:t>
            </w:r>
          </w:p>
        </w:tc>
        <w:tc>
          <w:tcPr>
            <w:tcW w:w="2794" w:type="dxa"/>
            <w:gridSpan w:val="3"/>
            <w:tcBorders>
              <w:top w:val="single" w:color="000000" w:sz="6" w:space="0"/>
              <w:left w:val="single" w:color="000000" w:sz="6" w:space="0"/>
              <w:bottom w:val="single" w:color="000000" w:sz="6" w:space="0"/>
              <w:right w:val="single" w:color="000000" w:sz="6" w:space="0"/>
            </w:tcBorders>
          </w:tcPr>
          <w:p>
            <w:pPr>
              <w:pStyle w:val="28"/>
              <w:rPr>
                <w:rFonts w:ascii="Times New Roman"/>
              </w:rPr>
            </w:pPr>
          </w:p>
        </w:tc>
        <w:tc>
          <w:tcPr>
            <w:tcW w:w="1387" w:type="dxa"/>
            <w:gridSpan w:val="2"/>
            <w:tcBorders>
              <w:top w:val="single" w:color="000000" w:sz="6" w:space="0"/>
              <w:left w:val="single" w:color="000000" w:sz="6" w:space="0"/>
              <w:bottom w:val="single" w:color="000000" w:sz="6" w:space="0"/>
              <w:right w:val="single" w:color="000000" w:sz="6" w:space="0"/>
            </w:tcBorders>
          </w:tcPr>
          <w:p>
            <w:pPr>
              <w:pStyle w:val="28"/>
              <w:spacing w:before="99"/>
              <w:ind w:left="124"/>
              <w:rPr>
                <w:sz w:val="21"/>
              </w:rPr>
            </w:pPr>
            <w:r>
              <w:rPr>
                <w:sz w:val="21"/>
              </w:rPr>
              <w:t>网址</w:t>
            </w:r>
          </w:p>
        </w:tc>
        <w:tc>
          <w:tcPr>
            <w:tcW w:w="2381" w:type="dxa"/>
            <w:gridSpan w:val="2"/>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9" w:hRule="atLeast"/>
        </w:trPr>
        <w:tc>
          <w:tcPr>
            <w:tcW w:w="1579" w:type="dxa"/>
            <w:tcBorders>
              <w:top w:val="single" w:color="000000" w:sz="6" w:space="0"/>
              <w:bottom w:val="single" w:color="000000" w:sz="6" w:space="0"/>
              <w:right w:val="single" w:color="000000" w:sz="6" w:space="0"/>
            </w:tcBorders>
          </w:tcPr>
          <w:p>
            <w:pPr>
              <w:pStyle w:val="28"/>
              <w:spacing w:before="101"/>
              <w:ind w:left="107"/>
              <w:rPr>
                <w:sz w:val="21"/>
              </w:rPr>
            </w:pPr>
            <w:r>
              <w:rPr>
                <w:sz w:val="21"/>
              </w:rPr>
              <w:t>法定代表人</w:t>
            </w:r>
          </w:p>
        </w:tc>
        <w:tc>
          <w:tcPr>
            <w:tcW w:w="869" w:type="dxa"/>
            <w:tcBorders>
              <w:top w:val="single" w:color="000000" w:sz="6" w:space="0"/>
              <w:left w:val="single" w:color="000000" w:sz="6" w:space="0"/>
              <w:bottom w:val="single" w:color="000000" w:sz="6" w:space="0"/>
              <w:right w:val="single" w:color="000000" w:sz="6" w:space="0"/>
            </w:tcBorders>
          </w:tcPr>
          <w:p>
            <w:pPr>
              <w:pStyle w:val="28"/>
              <w:spacing w:before="101"/>
              <w:ind w:left="237"/>
              <w:rPr>
                <w:sz w:val="21"/>
              </w:rPr>
            </w:pPr>
            <w:r>
              <w:rPr>
                <w:sz w:val="21"/>
              </w:rPr>
              <w:t>姓名</w:t>
            </w:r>
          </w:p>
        </w:tc>
        <w:tc>
          <w:tcPr>
            <w:tcW w:w="1620" w:type="dxa"/>
            <w:tcBorders>
              <w:top w:val="single" w:color="000000" w:sz="6" w:space="0"/>
              <w:left w:val="single" w:color="000000" w:sz="6" w:space="0"/>
              <w:bottom w:val="single" w:color="000000" w:sz="6" w:space="0"/>
              <w:right w:val="single" w:color="000000" w:sz="6" w:space="0"/>
            </w:tcBorders>
          </w:tcPr>
          <w:p>
            <w:pPr>
              <w:pStyle w:val="28"/>
              <w:rPr>
                <w:rFonts w:ascii="Times New Roman"/>
              </w:rPr>
            </w:pPr>
          </w:p>
        </w:tc>
        <w:tc>
          <w:tcPr>
            <w:tcW w:w="1174" w:type="dxa"/>
            <w:gridSpan w:val="2"/>
            <w:tcBorders>
              <w:top w:val="single" w:color="000000" w:sz="6" w:space="0"/>
              <w:left w:val="single" w:color="000000" w:sz="6" w:space="0"/>
              <w:bottom w:val="single" w:color="000000" w:sz="6" w:space="0"/>
              <w:right w:val="single" w:color="000000" w:sz="6" w:space="0"/>
            </w:tcBorders>
          </w:tcPr>
          <w:p>
            <w:pPr>
              <w:pStyle w:val="28"/>
              <w:spacing w:before="101"/>
              <w:ind w:left="122"/>
              <w:rPr>
                <w:sz w:val="21"/>
              </w:rPr>
            </w:pPr>
            <w:r>
              <w:rPr>
                <w:sz w:val="21"/>
              </w:rPr>
              <w:t>技术职称</w:t>
            </w:r>
          </w:p>
        </w:tc>
        <w:tc>
          <w:tcPr>
            <w:tcW w:w="1387" w:type="dxa"/>
            <w:gridSpan w:val="2"/>
            <w:tcBorders>
              <w:top w:val="single" w:color="000000" w:sz="6" w:space="0"/>
              <w:left w:val="single" w:color="000000" w:sz="6" w:space="0"/>
              <w:bottom w:val="single" w:color="000000" w:sz="6" w:space="0"/>
              <w:right w:val="single" w:color="000000" w:sz="6" w:space="0"/>
            </w:tcBorders>
          </w:tcPr>
          <w:p>
            <w:pPr>
              <w:pStyle w:val="28"/>
              <w:rPr>
                <w:rFonts w:ascii="Times New Roman"/>
              </w:rPr>
            </w:pPr>
          </w:p>
        </w:tc>
        <w:tc>
          <w:tcPr>
            <w:tcW w:w="684" w:type="dxa"/>
            <w:tcBorders>
              <w:top w:val="single" w:color="000000" w:sz="6" w:space="0"/>
              <w:left w:val="single" w:color="000000" w:sz="6" w:space="0"/>
              <w:bottom w:val="single" w:color="000000" w:sz="6" w:space="0"/>
              <w:right w:val="single" w:color="000000" w:sz="6" w:space="0"/>
            </w:tcBorders>
          </w:tcPr>
          <w:p>
            <w:pPr>
              <w:pStyle w:val="28"/>
              <w:spacing w:before="101"/>
              <w:ind w:left="121"/>
              <w:rPr>
                <w:sz w:val="21"/>
              </w:rPr>
            </w:pPr>
            <w:r>
              <w:rPr>
                <w:sz w:val="21"/>
              </w:rPr>
              <w:t>电话</w:t>
            </w:r>
          </w:p>
        </w:tc>
        <w:tc>
          <w:tcPr>
            <w:tcW w:w="1697" w:type="dxa"/>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579" w:type="dxa"/>
            <w:tcBorders>
              <w:top w:val="single" w:color="000000" w:sz="6" w:space="0"/>
              <w:bottom w:val="single" w:color="000000" w:sz="6" w:space="0"/>
              <w:right w:val="single" w:color="000000" w:sz="6" w:space="0"/>
            </w:tcBorders>
          </w:tcPr>
          <w:p>
            <w:pPr>
              <w:pStyle w:val="28"/>
              <w:spacing w:before="99"/>
              <w:ind w:left="107"/>
              <w:rPr>
                <w:sz w:val="21"/>
              </w:rPr>
            </w:pPr>
            <w:r>
              <w:rPr>
                <w:sz w:val="21"/>
              </w:rPr>
              <w:t>技术负责人</w:t>
            </w:r>
          </w:p>
        </w:tc>
        <w:tc>
          <w:tcPr>
            <w:tcW w:w="869" w:type="dxa"/>
            <w:tcBorders>
              <w:top w:val="single" w:color="000000" w:sz="6" w:space="0"/>
              <w:left w:val="single" w:color="000000" w:sz="6" w:space="0"/>
              <w:bottom w:val="single" w:color="000000" w:sz="6" w:space="0"/>
              <w:right w:val="single" w:color="000000" w:sz="6" w:space="0"/>
            </w:tcBorders>
          </w:tcPr>
          <w:p>
            <w:pPr>
              <w:pStyle w:val="28"/>
              <w:spacing w:before="99"/>
              <w:ind w:left="237"/>
              <w:rPr>
                <w:sz w:val="21"/>
              </w:rPr>
            </w:pPr>
            <w:r>
              <w:rPr>
                <w:sz w:val="21"/>
              </w:rPr>
              <w:t>姓名</w:t>
            </w:r>
          </w:p>
        </w:tc>
        <w:tc>
          <w:tcPr>
            <w:tcW w:w="1620" w:type="dxa"/>
            <w:tcBorders>
              <w:top w:val="single" w:color="000000" w:sz="6" w:space="0"/>
              <w:left w:val="single" w:color="000000" w:sz="6" w:space="0"/>
              <w:bottom w:val="single" w:color="000000" w:sz="6" w:space="0"/>
              <w:right w:val="single" w:color="000000" w:sz="6" w:space="0"/>
            </w:tcBorders>
          </w:tcPr>
          <w:p>
            <w:pPr>
              <w:pStyle w:val="28"/>
              <w:rPr>
                <w:rFonts w:ascii="Times New Roman"/>
              </w:rPr>
            </w:pPr>
          </w:p>
        </w:tc>
        <w:tc>
          <w:tcPr>
            <w:tcW w:w="1174" w:type="dxa"/>
            <w:gridSpan w:val="2"/>
            <w:tcBorders>
              <w:top w:val="single" w:color="000000" w:sz="6" w:space="0"/>
              <w:left w:val="single" w:color="000000" w:sz="6" w:space="0"/>
              <w:bottom w:val="single" w:color="000000" w:sz="6" w:space="0"/>
              <w:right w:val="single" w:color="000000" w:sz="6" w:space="0"/>
            </w:tcBorders>
          </w:tcPr>
          <w:p>
            <w:pPr>
              <w:pStyle w:val="28"/>
              <w:spacing w:before="99"/>
              <w:ind w:left="122"/>
              <w:rPr>
                <w:sz w:val="21"/>
              </w:rPr>
            </w:pPr>
            <w:r>
              <w:rPr>
                <w:sz w:val="21"/>
              </w:rPr>
              <w:t>技术职称</w:t>
            </w:r>
          </w:p>
        </w:tc>
        <w:tc>
          <w:tcPr>
            <w:tcW w:w="1387" w:type="dxa"/>
            <w:gridSpan w:val="2"/>
            <w:tcBorders>
              <w:top w:val="single" w:color="000000" w:sz="6" w:space="0"/>
              <w:left w:val="single" w:color="000000" w:sz="6" w:space="0"/>
              <w:bottom w:val="single" w:color="000000" w:sz="6" w:space="0"/>
              <w:right w:val="single" w:color="000000" w:sz="6" w:space="0"/>
            </w:tcBorders>
          </w:tcPr>
          <w:p>
            <w:pPr>
              <w:pStyle w:val="28"/>
              <w:rPr>
                <w:rFonts w:ascii="Times New Roman"/>
              </w:rPr>
            </w:pPr>
          </w:p>
        </w:tc>
        <w:tc>
          <w:tcPr>
            <w:tcW w:w="684" w:type="dxa"/>
            <w:tcBorders>
              <w:top w:val="single" w:color="000000" w:sz="6" w:space="0"/>
              <w:left w:val="single" w:color="000000" w:sz="6" w:space="0"/>
              <w:bottom w:val="single" w:color="000000" w:sz="6" w:space="0"/>
              <w:right w:val="single" w:color="000000" w:sz="6" w:space="0"/>
            </w:tcBorders>
          </w:tcPr>
          <w:p>
            <w:pPr>
              <w:pStyle w:val="28"/>
              <w:spacing w:before="99"/>
              <w:ind w:left="121"/>
              <w:rPr>
                <w:sz w:val="21"/>
              </w:rPr>
            </w:pPr>
            <w:r>
              <w:rPr>
                <w:sz w:val="21"/>
              </w:rPr>
              <w:t>电话</w:t>
            </w:r>
          </w:p>
        </w:tc>
        <w:tc>
          <w:tcPr>
            <w:tcW w:w="1697" w:type="dxa"/>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579" w:type="dxa"/>
            <w:tcBorders>
              <w:top w:val="single" w:color="000000" w:sz="6" w:space="0"/>
              <w:bottom w:val="single" w:color="000000" w:sz="6" w:space="0"/>
              <w:right w:val="single" w:color="000000" w:sz="6" w:space="0"/>
            </w:tcBorders>
          </w:tcPr>
          <w:p>
            <w:pPr>
              <w:pStyle w:val="28"/>
              <w:spacing w:before="99"/>
              <w:ind w:left="107"/>
              <w:rPr>
                <w:sz w:val="21"/>
              </w:rPr>
            </w:pPr>
            <w:r>
              <w:rPr>
                <w:sz w:val="21"/>
              </w:rPr>
              <w:t>成立时间</w:t>
            </w:r>
          </w:p>
        </w:tc>
        <w:tc>
          <w:tcPr>
            <w:tcW w:w="3214" w:type="dxa"/>
            <w:gridSpan w:val="3"/>
            <w:tcBorders>
              <w:top w:val="single" w:color="000000" w:sz="6" w:space="0"/>
              <w:left w:val="single" w:color="000000" w:sz="6" w:space="0"/>
              <w:bottom w:val="single" w:color="000000" w:sz="6" w:space="0"/>
              <w:right w:val="single" w:color="000000" w:sz="4" w:space="0"/>
            </w:tcBorders>
          </w:tcPr>
          <w:p>
            <w:pPr>
              <w:pStyle w:val="28"/>
              <w:rPr>
                <w:rFonts w:ascii="Times New Roman"/>
              </w:rPr>
            </w:pPr>
          </w:p>
        </w:tc>
        <w:tc>
          <w:tcPr>
            <w:tcW w:w="4217" w:type="dxa"/>
            <w:gridSpan w:val="5"/>
            <w:tcBorders>
              <w:top w:val="single" w:color="000000" w:sz="6" w:space="0"/>
              <w:left w:val="single" w:color="000000" w:sz="4" w:space="0"/>
              <w:bottom w:val="single" w:color="000000" w:sz="6" w:space="0"/>
            </w:tcBorders>
          </w:tcPr>
          <w:p>
            <w:pPr>
              <w:pStyle w:val="28"/>
              <w:spacing w:before="99"/>
              <w:ind w:left="124"/>
              <w:rPr>
                <w:sz w:val="21"/>
              </w:rPr>
            </w:pPr>
            <w:r>
              <w:rPr>
                <w:sz w:val="21"/>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579" w:type="dxa"/>
            <w:tcBorders>
              <w:top w:val="single" w:color="000000" w:sz="6" w:space="0"/>
              <w:bottom w:val="single" w:color="000000" w:sz="6" w:space="0"/>
              <w:right w:val="single" w:color="000000" w:sz="6" w:space="0"/>
            </w:tcBorders>
          </w:tcPr>
          <w:p>
            <w:pPr>
              <w:pStyle w:val="28"/>
              <w:spacing w:before="99"/>
              <w:ind w:left="107"/>
              <w:rPr>
                <w:sz w:val="21"/>
              </w:rPr>
            </w:pPr>
            <w:r>
              <w:rPr>
                <w:sz w:val="21"/>
              </w:rPr>
              <w:t>企业资质等级</w:t>
            </w:r>
          </w:p>
        </w:tc>
        <w:tc>
          <w:tcPr>
            <w:tcW w:w="3214" w:type="dxa"/>
            <w:gridSpan w:val="3"/>
            <w:tcBorders>
              <w:top w:val="single" w:color="000000" w:sz="6" w:space="0"/>
              <w:left w:val="single" w:color="000000" w:sz="6" w:space="0"/>
              <w:bottom w:val="single" w:color="000000" w:sz="6" w:space="0"/>
              <w:right w:val="single" w:color="000000" w:sz="4" w:space="0"/>
            </w:tcBorders>
          </w:tcPr>
          <w:p>
            <w:pPr>
              <w:pStyle w:val="28"/>
              <w:rPr>
                <w:rFonts w:ascii="Times New Roman"/>
              </w:rPr>
            </w:pPr>
          </w:p>
        </w:tc>
        <w:tc>
          <w:tcPr>
            <w:tcW w:w="900" w:type="dxa"/>
            <w:gridSpan w:val="2"/>
            <w:vMerge w:val="restart"/>
            <w:tcBorders>
              <w:top w:val="single" w:color="000000" w:sz="6" w:space="0"/>
              <w:left w:val="single" w:color="000000" w:sz="4" w:space="0"/>
              <w:bottom w:val="single" w:color="000000" w:sz="6" w:space="0"/>
              <w:right w:val="single" w:color="000000" w:sz="6" w:space="0"/>
            </w:tcBorders>
          </w:tcPr>
          <w:p>
            <w:pPr>
              <w:pStyle w:val="28"/>
              <w:rPr>
                <w:rFonts w:ascii="黑体"/>
                <w:sz w:val="20"/>
              </w:rPr>
            </w:pPr>
          </w:p>
          <w:p>
            <w:pPr>
              <w:pStyle w:val="28"/>
              <w:rPr>
                <w:rFonts w:ascii="黑体"/>
                <w:sz w:val="20"/>
              </w:rPr>
            </w:pPr>
          </w:p>
          <w:p>
            <w:pPr>
              <w:pStyle w:val="28"/>
              <w:rPr>
                <w:rFonts w:ascii="黑体"/>
                <w:sz w:val="20"/>
              </w:rPr>
            </w:pPr>
          </w:p>
          <w:p>
            <w:pPr>
              <w:pStyle w:val="28"/>
              <w:spacing w:before="3"/>
              <w:rPr>
                <w:rFonts w:ascii="黑体"/>
                <w:sz w:val="23"/>
              </w:rPr>
            </w:pPr>
          </w:p>
          <w:p>
            <w:pPr>
              <w:pStyle w:val="28"/>
              <w:ind w:left="256"/>
              <w:rPr>
                <w:sz w:val="21"/>
              </w:rPr>
            </w:pPr>
            <w:r>
              <w:rPr>
                <w:sz w:val="21"/>
              </w:rPr>
              <w:t>其中</w:t>
            </w:r>
          </w:p>
        </w:tc>
        <w:tc>
          <w:tcPr>
            <w:tcW w:w="1620" w:type="dxa"/>
            <w:gridSpan w:val="2"/>
            <w:tcBorders>
              <w:top w:val="single" w:color="000000" w:sz="6" w:space="0"/>
              <w:left w:val="single" w:color="000000" w:sz="6" w:space="0"/>
              <w:bottom w:val="single" w:color="000000" w:sz="6" w:space="0"/>
              <w:right w:val="single" w:color="000000" w:sz="6" w:space="0"/>
            </w:tcBorders>
          </w:tcPr>
          <w:p>
            <w:pPr>
              <w:pStyle w:val="28"/>
              <w:spacing w:before="99"/>
              <w:ind w:left="121"/>
              <w:rPr>
                <w:sz w:val="21"/>
              </w:rPr>
            </w:pPr>
            <w:r>
              <w:rPr>
                <w:sz w:val="21"/>
              </w:rPr>
              <w:t>项目经理</w:t>
            </w:r>
          </w:p>
        </w:tc>
        <w:tc>
          <w:tcPr>
            <w:tcW w:w="1697" w:type="dxa"/>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9" w:hRule="atLeast"/>
        </w:trPr>
        <w:tc>
          <w:tcPr>
            <w:tcW w:w="1579" w:type="dxa"/>
            <w:tcBorders>
              <w:top w:val="single" w:color="000000" w:sz="6" w:space="0"/>
              <w:bottom w:val="single" w:color="000000" w:sz="6" w:space="0"/>
              <w:right w:val="single" w:color="000000" w:sz="6" w:space="0"/>
            </w:tcBorders>
          </w:tcPr>
          <w:p>
            <w:pPr>
              <w:pStyle w:val="28"/>
              <w:spacing w:before="101"/>
              <w:ind w:left="107"/>
              <w:rPr>
                <w:sz w:val="21"/>
              </w:rPr>
            </w:pPr>
            <w:r>
              <w:rPr>
                <w:sz w:val="21"/>
              </w:rPr>
              <w:t>营业执照号</w:t>
            </w:r>
          </w:p>
        </w:tc>
        <w:tc>
          <w:tcPr>
            <w:tcW w:w="3214" w:type="dxa"/>
            <w:gridSpan w:val="3"/>
            <w:tcBorders>
              <w:top w:val="single" w:color="000000" w:sz="6" w:space="0"/>
              <w:left w:val="single" w:color="000000" w:sz="6" w:space="0"/>
              <w:bottom w:val="single" w:color="000000" w:sz="6" w:space="0"/>
              <w:right w:val="single" w:color="000000" w:sz="4" w:space="0"/>
            </w:tcBorders>
          </w:tcPr>
          <w:p>
            <w:pPr>
              <w:pStyle w:val="28"/>
              <w:rPr>
                <w:rFonts w:ascii="Times New Roman"/>
              </w:rPr>
            </w:pPr>
          </w:p>
        </w:tc>
        <w:tc>
          <w:tcPr>
            <w:tcW w:w="90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20" w:type="dxa"/>
            <w:gridSpan w:val="2"/>
            <w:tcBorders>
              <w:top w:val="single" w:color="000000" w:sz="6" w:space="0"/>
              <w:left w:val="single" w:color="000000" w:sz="6" w:space="0"/>
              <w:bottom w:val="single" w:color="000000" w:sz="6" w:space="0"/>
              <w:right w:val="single" w:color="000000" w:sz="6" w:space="0"/>
            </w:tcBorders>
          </w:tcPr>
          <w:p>
            <w:pPr>
              <w:pStyle w:val="28"/>
              <w:spacing w:before="101"/>
              <w:ind w:left="121"/>
              <w:rPr>
                <w:sz w:val="21"/>
              </w:rPr>
            </w:pPr>
            <w:r>
              <w:rPr>
                <w:sz w:val="21"/>
              </w:rPr>
              <w:t>高级职称人员</w:t>
            </w:r>
          </w:p>
        </w:tc>
        <w:tc>
          <w:tcPr>
            <w:tcW w:w="1697" w:type="dxa"/>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579" w:type="dxa"/>
            <w:tcBorders>
              <w:top w:val="single" w:color="000000" w:sz="6" w:space="0"/>
              <w:bottom w:val="single" w:color="000000" w:sz="6" w:space="0"/>
              <w:right w:val="single" w:color="000000" w:sz="6" w:space="0"/>
            </w:tcBorders>
          </w:tcPr>
          <w:p>
            <w:pPr>
              <w:pStyle w:val="28"/>
              <w:spacing w:before="99"/>
              <w:ind w:left="107"/>
              <w:rPr>
                <w:sz w:val="21"/>
              </w:rPr>
            </w:pPr>
            <w:r>
              <w:rPr>
                <w:sz w:val="21"/>
              </w:rPr>
              <w:t>注册资金</w:t>
            </w:r>
          </w:p>
        </w:tc>
        <w:tc>
          <w:tcPr>
            <w:tcW w:w="3214" w:type="dxa"/>
            <w:gridSpan w:val="3"/>
            <w:tcBorders>
              <w:top w:val="single" w:color="000000" w:sz="6" w:space="0"/>
              <w:left w:val="single" w:color="000000" w:sz="6" w:space="0"/>
              <w:bottom w:val="single" w:color="000000" w:sz="6" w:space="0"/>
              <w:right w:val="single" w:color="000000" w:sz="4" w:space="0"/>
            </w:tcBorders>
          </w:tcPr>
          <w:p>
            <w:pPr>
              <w:pStyle w:val="28"/>
              <w:rPr>
                <w:rFonts w:ascii="Times New Roman"/>
              </w:rPr>
            </w:pPr>
          </w:p>
        </w:tc>
        <w:tc>
          <w:tcPr>
            <w:tcW w:w="90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20" w:type="dxa"/>
            <w:gridSpan w:val="2"/>
            <w:tcBorders>
              <w:top w:val="single" w:color="000000" w:sz="6" w:space="0"/>
              <w:left w:val="single" w:color="000000" w:sz="6" w:space="0"/>
              <w:bottom w:val="single" w:color="000000" w:sz="6" w:space="0"/>
              <w:right w:val="single" w:color="000000" w:sz="6" w:space="0"/>
            </w:tcBorders>
          </w:tcPr>
          <w:p>
            <w:pPr>
              <w:pStyle w:val="28"/>
              <w:spacing w:before="99"/>
              <w:ind w:left="121"/>
              <w:rPr>
                <w:sz w:val="21"/>
              </w:rPr>
            </w:pPr>
            <w:r>
              <w:rPr>
                <w:sz w:val="21"/>
              </w:rPr>
              <w:t>中级职称人员</w:t>
            </w:r>
          </w:p>
        </w:tc>
        <w:tc>
          <w:tcPr>
            <w:tcW w:w="1697" w:type="dxa"/>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579" w:type="dxa"/>
            <w:tcBorders>
              <w:top w:val="single" w:color="000000" w:sz="6" w:space="0"/>
              <w:bottom w:val="single" w:color="000000" w:sz="6" w:space="0"/>
              <w:right w:val="single" w:color="000000" w:sz="6" w:space="0"/>
            </w:tcBorders>
          </w:tcPr>
          <w:p>
            <w:pPr>
              <w:pStyle w:val="28"/>
              <w:spacing w:before="99"/>
              <w:ind w:left="107"/>
              <w:rPr>
                <w:sz w:val="21"/>
              </w:rPr>
            </w:pPr>
            <w:r>
              <w:rPr>
                <w:sz w:val="21"/>
              </w:rPr>
              <w:t>开户银行</w:t>
            </w:r>
          </w:p>
        </w:tc>
        <w:tc>
          <w:tcPr>
            <w:tcW w:w="3214" w:type="dxa"/>
            <w:gridSpan w:val="3"/>
            <w:tcBorders>
              <w:top w:val="single" w:color="000000" w:sz="6" w:space="0"/>
              <w:left w:val="single" w:color="000000" w:sz="6" w:space="0"/>
              <w:bottom w:val="single" w:color="000000" w:sz="6" w:space="0"/>
              <w:right w:val="single" w:color="000000" w:sz="4" w:space="0"/>
            </w:tcBorders>
          </w:tcPr>
          <w:p>
            <w:pPr>
              <w:pStyle w:val="28"/>
              <w:rPr>
                <w:rFonts w:ascii="Times New Roman"/>
              </w:rPr>
            </w:pPr>
          </w:p>
        </w:tc>
        <w:tc>
          <w:tcPr>
            <w:tcW w:w="90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20" w:type="dxa"/>
            <w:gridSpan w:val="2"/>
            <w:tcBorders>
              <w:top w:val="single" w:color="000000" w:sz="6" w:space="0"/>
              <w:left w:val="single" w:color="000000" w:sz="6" w:space="0"/>
              <w:bottom w:val="single" w:color="000000" w:sz="6" w:space="0"/>
              <w:right w:val="single" w:color="000000" w:sz="6" w:space="0"/>
            </w:tcBorders>
          </w:tcPr>
          <w:p>
            <w:pPr>
              <w:pStyle w:val="28"/>
              <w:spacing w:before="99"/>
              <w:ind w:left="121"/>
              <w:rPr>
                <w:sz w:val="21"/>
              </w:rPr>
            </w:pPr>
            <w:r>
              <w:rPr>
                <w:sz w:val="21"/>
              </w:rPr>
              <w:t>初级职称人员</w:t>
            </w:r>
          </w:p>
        </w:tc>
        <w:tc>
          <w:tcPr>
            <w:tcW w:w="1697" w:type="dxa"/>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579" w:type="dxa"/>
            <w:tcBorders>
              <w:top w:val="single" w:color="000000" w:sz="6" w:space="0"/>
              <w:bottom w:val="single" w:color="000000" w:sz="6" w:space="0"/>
              <w:right w:val="single" w:color="000000" w:sz="6" w:space="0"/>
            </w:tcBorders>
          </w:tcPr>
          <w:p>
            <w:pPr>
              <w:pStyle w:val="28"/>
              <w:spacing w:before="99"/>
              <w:ind w:left="107"/>
              <w:rPr>
                <w:sz w:val="21"/>
              </w:rPr>
            </w:pPr>
            <w:r>
              <w:rPr>
                <w:sz w:val="21"/>
              </w:rPr>
              <w:t>账号</w:t>
            </w:r>
          </w:p>
        </w:tc>
        <w:tc>
          <w:tcPr>
            <w:tcW w:w="3214" w:type="dxa"/>
            <w:gridSpan w:val="3"/>
            <w:tcBorders>
              <w:top w:val="single" w:color="000000" w:sz="6" w:space="0"/>
              <w:left w:val="single" w:color="000000" w:sz="6" w:space="0"/>
              <w:bottom w:val="single" w:color="000000" w:sz="6" w:space="0"/>
              <w:right w:val="single" w:color="000000" w:sz="4" w:space="0"/>
            </w:tcBorders>
          </w:tcPr>
          <w:p>
            <w:pPr>
              <w:pStyle w:val="28"/>
              <w:rPr>
                <w:rFonts w:ascii="Times New Roman"/>
              </w:rPr>
            </w:pPr>
          </w:p>
        </w:tc>
        <w:tc>
          <w:tcPr>
            <w:tcW w:w="900" w:type="dxa"/>
            <w:gridSpan w:val="2"/>
            <w:vMerge w:val="continue"/>
            <w:tcBorders>
              <w:top w:val="nil"/>
              <w:left w:val="single" w:color="000000" w:sz="4" w:space="0"/>
              <w:bottom w:val="single" w:color="000000" w:sz="6" w:space="0"/>
              <w:right w:val="single" w:color="000000" w:sz="6" w:space="0"/>
            </w:tcBorders>
          </w:tcPr>
          <w:p>
            <w:pPr>
              <w:rPr>
                <w:sz w:val="2"/>
                <w:szCs w:val="2"/>
              </w:rPr>
            </w:pPr>
          </w:p>
        </w:tc>
        <w:tc>
          <w:tcPr>
            <w:tcW w:w="1620" w:type="dxa"/>
            <w:gridSpan w:val="2"/>
            <w:tcBorders>
              <w:top w:val="single" w:color="000000" w:sz="6" w:space="0"/>
              <w:left w:val="single" w:color="000000" w:sz="6" w:space="0"/>
              <w:bottom w:val="single" w:color="000000" w:sz="6" w:space="0"/>
              <w:right w:val="single" w:color="000000" w:sz="6" w:space="0"/>
            </w:tcBorders>
          </w:tcPr>
          <w:p>
            <w:pPr>
              <w:pStyle w:val="28"/>
              <w:spacing w:before="99"/>
              <w:ind w:left="121"/>
              <w:rPr>
                <w:sz w:val="21"/>
              </w:rPr>
            </w:pPr>
            <w:r>
              <w:rPr>
                <w:sz w:val="21"/>
              </w:rPr>
              <w:t>普通职工</w:t>
            </w:r>
          </w:p>
        </w:tc>
        <w:tc>
          <w:tcPr>
            <w:tcW w:w="1697" w:type="dxa"/>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57" w:hRule="atLeast"/>
        </w:trPr>
        <w:tc>
          <w:tcPr>
            <w:tcW w:w="1579" w:type="dxa"/>
            <w:tcBorders>
              <w:top w:val="single" w:color="000000" w:sz="6" w:space="0"/>
              <w:bottom w:val="single" w:color="000000" w:sz="6" w:space="0"/>
              <w:right w:val="single" w:color="000000" w:sz="6" w:space="0"/>
            </w:tcBorders>
          </w:tcPr>
          <w:p>
            <w:pPr>
              <w:pStyle w:val="28"/>
              <w:rPr>
                <w:rFonts w:ascii="黑体"/>
                <w:sz w:val="20"/>
              </w:rPr>
            </w:pPr>
          </w:p>
          <w:p>
            <w:pPr>
              <w:pStyle w:val="28"/>
              <w:rPr>
                <w:rFonts w:ascii="黑体"/>
                <w:sz w:val="20"/>
              </w:rPr>
            </w:pPr>
          </w:p>
          <w:p>
            <w:pPr>
              <w:pStyle w:val="28"/>
              <w:rPr>
                <w:rFonts w:ascii="黑体"/>
                <w:sz w:val="20"/>
              </w:rPr>
            </w:pPr>
          </w:p>
          <w:p>
            <w:pPr>
              <w:pStyle w:val="28"/>
              <w:spacing w:before="7"/>
              <w:rPr>
                <w:rFonts w:ascii="黑体"/>
                <w:sz w:val="17"/>
              </w:rPr>
            </w:pPr>
          </w:p>
          <w:p>
            <w:pPr>
              <w:pStyle w:val="28"/>
              <w:spacing w:before="1"/>
              <w:ind w:left="107"/>
              <w:rPr>
                <w:sz w:val="21"/>
              </w:rPr>
            </w:pPr>
            <w:r>
              <w:rPr>
                <w:sz w:val="21"/>
              </w:rPr>
              <w:t>经营范围</w:t>
            </w:r>
          </w:p>
        </w:tc>
        <w:tc>
          <w:tcPr>
            <w:tcW w:w="7431" w:type="dxa"/>
            <w:gridSpan w:val="8"/>
            <w:tcBorders>
              <w:top w:val="single" w:color="000000" w:sz="6" w:space="0"/>
              <w:left w:val="single" w:color="000000" w:sz="6" w:space="0"/>
              <w:bottom w:val="single" w:color="000000" w:sz="6" w:space="0"/>
            </w:tcBorders>
          </w:tcPr>
          <w:p>
            <w:pPr>
              <w:pStyle w:val="28"/>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71" w:hRule="atLeast"/>
        </w:trPr>
        <w:tc>
          <w:tcPr>
            <w:tcW w:w="1579" w:type="dxa"/>
            <w:tcBorders>
              <w:top w:val="single" w:color="000000" w:sz="6" w:space="0"/>
              <w:right w:val="single" w:color="000000" w:sz="6" w:space="0"/>
            </w:tcBorders>
          </w:tcPr>
          <w:p>
            <w:pPr>
              <w:pStyle w:val="28"/>
              <w:spacing w:before="99"/>
              <w:ind w:left="107"/>
              <w:rPr>
                <w:sz w:val="21"/>
              </w:rPr>
            </w:pPr>
            <w:r>
              <w:rPr>
                <w:sz w:val="21"/>
              </w:rPr>
              <w:t>备注</w:t>
            </w:r>
          </w:p>
        </w:tc>
        <w:tc>
          <w:tcPr>
            <w:tcW w:w="7431" w:type="dxa"/>
            <w:gridSpan w:val="8"/>
            <w:tcBorders>
              <w:top w:val="single" w:color="000000" w:sz="6" w:space="0"/>
              <w:left w:val="single" w:color="000000" w:sz="6" w:space="0"/>
            </w:tcBorders>
          </w:tcPr>
          <w:p>
            <w:pPr>
              <w:pStyle w:val="28"/>
              <w:rPr>
                <w:rFonts w:ascii="Times New Roman"/>
              </w:rPr>
            </w:pPr>
          </w:p>
        </w:tc>
      </w:tr>
    </w:tbl>
    <w:p>
      <w:pPr>
        <w:pStyle w:val="13"/>
        <w:rPr>
          <w:rFonts w:ascii="黑体"/>
          <w:sz w:val="32"/>
        </w:rPr>
      </w:pPr>
    </w:p>
    <w:p>
      <w:pPr>
        <w:pStyle w:val="13"/>
        <w:rPr>
          <w:rFonts w:ascii="黑体"/>
          <w:sz w:val="32"/>
        </w:rPr>
      </w:pPr>
    </w:p>
    <w:p>
      <w:pPr>
        <w:pStyle w:val="13"/>
        <w:rPr>
          <w:rFonts w:ascii="黑体"/>
          <w:sz w:val="32"/>
        </w:rPr>
      </w:pPr>
    </w:p>
    <w:p>
      <w:pPr>
        <w:pStyle w:val="13"/>
        <w:spacing w:before="9"/>
        <w:rPr>
          <w:rFonts w:ascii="黑体"/>
          <w:sz w:val="25"/>
        </w:rPr>
      </w:pPr>
    </w:p>
    <w:p>
      <w:pPr>
        <w:pStyle w:val="13"/>
        <w:ind w:left="4062"/>
      </w:pPr>
      <w:r>
        <w:t>供应商：（填写名称并盖章）</w:t>
      </w:r>
    </w:p>
    <w:p>
      <w:pPr>
        <w:pStyle w:val="13"/>
        <w:spacing w:before="161" w:line="362" w:lineRule="auto"/>
        <w:ind w:left="4062" w:right="2383"/>
      </w:pPr>
      <w:r>
        <w:t>法定代表人或授权委托人：（签字） 日期：</w:t>
      </w:r>
    </w:p>
    <w:p>
      <w:pPr>
        <w:spacing w:line="362" w:lineRule="auto"/>
        <w:sectPr>
          <w:pgSz w:w="11910" w:h="16840"/>
          <w:pgMar w:top="1580" w:right="760" w:bottom="980" w:left="860" w:header="0" w:footer="776" w:gutter="0"/>
          <w:cols w:space="720" w:num="1"/>
        </w:sectPr>
      </w:pPr>
    </w:p>
    <w:p>
      <w:pPr>
        <w:pStyle w:val="13"/>
        <w:rPr>
          <w:sz w:val="20"/>
        </w:rPr>
      </w:pPr>
    </w:p>
    <w:p>
      <w:pPr>
        <w:pStyle w:val="13"/>
        <w:spacing w:before="3"/>
        <w:rPr>
          <w:sz w:val="20"/>
        </w:rPr>
      </w:pPr>
    </w:p>
    <w:p>
      <w:pPr>
        <w:pStyle w:val="4"/>
        <w:numPr>
          <w:ilvl w:val="0"/>
          <w:numId w:val="0"/>
        </w:numPr>
        <w:ind w:leftChars="0" w:right="105" w:rightChars="0"/>
        <w:jc w:val="center"/>
      </w:pPr>
      <w:bookmarkStart w:id="204" w:name="六、信用查询记录"/>
      <w:bookmarkEnd w:id="204"/>
      <w:bookmarkStart w:id="205" w:name="_Toc10383"/>
      <w:r>
        <w:rPr>
          <w:rFonts w:hint="eastAsia"/>
          <w:lang w:eastAsia="zh-CN"/>
        </w:rPr>
        <w:t>六、</w:t>
      </w:r>
      <w:r>
        <w:t>信用查询记录</w:t>
      </w:r>
      <w:bookmarkEnd w:id="205"/>
    </w:p>
    <w:p>
      <w:pPr>
        <w:numPr>
          <w:ilvl w:val="0"/>
          <w:numId w:val="0"/>
        </w:numPr>
        <w:ind w:leftChars="0"/>
      </w:pPr>
    </w:p>
    <w:p>
      <w:pPr>
        <w:pStyle w:val="21"/>
        <w:spacing w:line="360" w:lineRule="auto"/>
        <w:ind w:left="480" w:leftChars="218" w:firstLine="444" w:firstLineChars="200"/>
        <w:rPr>
          <w:rFonts w:ascii="宋体" w:hAnsi="宋体" w:eastAsia="宋体" w:cs="宋体"/>
          <w:spacing w:val="-9"/>
          <w:sz w:val="24"/>
          <w:szCs w:val="24"/>
          <w:lang w:val="zh-CN" w:eastAsia="zh-CN" w:bidi="zh-CN"/>
        </w:rPr>
      </w:pPr>
      <w:r>
        <w:rPr>
          <w:rFonts w:hint="eastAsia" w:ascii="宋体" w:hAnsi="宋体" w:eastAsia="宋体" w:cs="宋体"/>
          <w:spacing w:val="-9"/>
          <w:sz w:val="24"/>
          <w:szCs w:val="24"/>
          <w:lang w:val="zh-CN" w:eastAsia="zh-CN" w:bidi="zh-CN"/>
        </w:rPr>
        <w:t>信用中国网站(www.creditchina.gov.cn)的“重大税收违法失信主体”、“政府采购严重违法失信行为记录名单”和中国政府采购网(www.ccgp.gov.cn)的“政府采购严重违法失信行为记录名单”中国执行信息公开网（http://zxgk.court.gov.cn/）“失信被执行人”的供应商（需提供四张查询截图并加盖公章，具体以采购代理机构现场查询截图为准）</w:t>
      </w:r>
    </w:p>
    <w:p>
      <w:pPr>
        <w:pStyle w:val="13"/>
      </w:pPr>
    </w:p>
    <w:p>
      <w:pPr>
        <w:pStyle w:val="13"/>
      </w:pPr>
    </w:p>
    <w:p>
      <w:pPr>
        <w:pStyle w:val="13"/>
      </w:pPr>
    </w:p>
    <w:p>
      <w:pPr>
        <w:pStyle w:val="13"/>
        <w:spacing w:before="7"/>
        <w:rPr>
          <w:sz w:val="31"/>
        </w:rPr>
      </w:pPr>
    </w:p>
    <w:p>
      <w:pPr>
        <w:pStyle w:val="13"/>
        <w:spacing w:line="304" w:lineRule="auto"/>
        <w:ind w:left="6241" w:right="322" w:firstLine="120"/>
      </w:pPr>
      <w:r>
        <w:t>供应商名称：（填写名称并盖章） 法定代表人或授权委托人：(签字）</w:t>
      </w:r>
    </w:p>
    <w:p>
      <w:pPr>
        <w:pStyle w:val="13"/>
        <w:spacing w:before="78"/>
        <w:ind w:left="6342"/>
      </w:pPr>
      <w:r>
        <w:t>日期：</w:t>
      </w:r>
    </w:p>
    <w:p>
      <w:pPr>
        <w:sectPr>
          <w:pgSz w:w="11910" w:h="16840"/>
          <w:pgMar w:top="1580" w:right="760" w:bottom="980" w:left="860" w:header="0" w:footer="776" w:gutter="0"/>
          <w:cols w:space="720" w:num="1"/>
        </w:sectPr>
      </w:pPr>
    </w:p>
    <w:p>
      <w:pPr>
        <w:pStyle w:val="13"/>
        <w:rPr>
          <w:sz w:val="20"/>
        </w:rPr>
      </w:pPr>
    </w:p>
    <w:p>
      <w:pPr>
        <w:pStyle w:val="13"/>
        <w:spacing w:before="3"/>
        <w:rPr>
          <w:sz w:val="20"/>
        </w:rPr>
      </w:pPr>
    </w:p>
    <w:p>
      <w:pPr>
        <w:pStyle w:val="4"/>
      </w:pPr>
      <w:bookmarkStart w:id="206" w:name="七、无重大违法犯罪记录声明"/>
      <w:bookmarkEnd w:id="206"/>
      <w:bookmarkStart w:id="207" w:name="_Toc5097"/>
      <w:r>
        <w:t>七、无重大违法犯罪记录声明</w:t>
      </w:r>
      <w:bookmarkEnd w:id="207"/>
    </w:p>
    <w:p>
      <w:pPr>
        <w:pStyle w:val="13"/>
        <w:rPr>
          <w:b/>
          <w:sz w:val="32"/>
        </w:rPr>
      </w:pPr>
    </w:p>
    <w:p>
      <w:pPr>
        <w:pStyle w:val="13"/>
        <w:spacing w:before="10"/>
        <w:rPr>
          <w:b/>
          <w:sz w:val="25"/>
        </w:rPr>
      </w:pPr>
    </w:p>
    <w:p>
      <w:pPr>
        <w:pStyle w:val="10"/>
      </w:pPr>
      <w:r>
        <w:rPr>
          <w:b/>
        </w:rPr>
        <w:t>致：</w:t>
      </w:r>
      <w:r>
        <w:t xml:space="preserve"> </w:t>
      </w:r>
    </w:p>
    <w:p>
      <w:pPr>
        <w:pStyle w:val="13"/>
        <w:tabs>
          <w:tab w:val="left" w:pos="8070"/>
        </w:tabs>
        <w:spacing w:before="123" w:line="343" w:lineRule="auto"/>
        <w:ind w:left="222" w:right="320" w:firstLine="840"/>
        <w:jc w:val="both"/>
      </w:pPr>
      <w:r>
        <w:t>我公司在参加本次政府招</w:t>
      </w:r>
      <w:r>
        <w:rPr>
          <w:spacing w:val="-24"/>
        </w:rPr>
        <w:t>标</w:t>
      </w:r>
      <w:r>
        <w:t>（招标编号:</w:t>
      </w:r>
      <w:r>
        <w:rPr>
          <w:rFonts w:hint="eastAsia"/>
          <w:u w:val="single"/>
          <w:lang w:val="en-US" w:eastAsia="zh-CN"/>
        </w:rPr>
        <w:t xml:space="preserve">HNXX-CG-2023-008 </w:t>
      </w:r>
      <w:r>
        <w:t>）</w:t>
      </w:r>
      <w:r>
        <w:rPr>
          <w:rFonts w:hint="eastAsia"/>
          <w:u w:val="single"/>
          <w:lang w:val="en-US"/>
        </w:rPr>
        <w:t xml:space="preserve">       </w:t>
      </w:r>
      <w:r>
        <w:t>（项目名称</w:t>
      </w:r>
      <w:r>
        <w:rPr>
          <w:spacing w:val="-27"/>
        </w:rPr>
        <w:t>）</w:t>
      </w:r>
      <w:r>
        <w:t>活</w:t>
      </w:r>
      <w:r>
        <w:rPr>
          <w:spacing w:val="-17"/>
        </w:rPr>
        <w:t>动</w:t>
      </w:r>
      <w:r>
        <w:t>前三年</w:t>
      </w:r>
      <w:r>
        <w:rPr>
          <w:spacing w:val="-8"/>
        </w:rPr>
        <w:t>内</w:t>
      </w:r>
      <w:r>
        <w:t>（20</w:t>
      </w:r>
      <w:r>
        <w:rPr>
          <w:rFonts w:hint="eastAsia"/>
          <w:lang w:val="en-US" w:eastAsia="zh-CN"/>
        </w:rPr>
        <w:t>20</w:t>
      </w:r>
      <w:r>
        <w:rPr>
          <w:spacing w:val="-60"/>
        </w:rPr>
        <w:t xml:space="preserve"> </w:t>
      </w:r>
      <w:r>
        <w:t>年</w:t>
      </w:r>
      <w:r>
        <w:rPr>
          <w:spacing w:val="-60"/>
        </w:rPr>
        <w:t xml:space="preserve"> </w:t>
      </w:r>
      <w:r>
        <w:t>1</w:t>
      </w:r>
      <w:r>
        <w:rPr>
          <w:spacing w:val="-59"/>
        </w:rPr>
        <w:t xml:space="preserve"> </w:t>
      </w:r>
      <w:r>
        <w:t>月</w:t>
      </w:r>
      <w:r>
        <w:rPr>
          <w:spacing w:val="-60"/>
        </w:rPr>
        <w:t xml:space="preserve"> </w:t>
      </w:r>
      <w:r>
        <w:t>1</w:t>
      </w:r>
      <w:r>
        <w:rPr>
          <w:spacing w:val="-60"/>
        </w:rPr>
        <w:t xml:space="preserve"> </w:t>
      </w:r>
      <w:r>
        <w:t>日~至今</w:t>
      </w:r>
      <w:r>
        <w:rPr>
          <w:spacing w:val="-8"/>
        </w:rPr>
        <w:t>；</w:t>
      </w:r>
      <w:r>
        <w:t>成立不足三年的</w:t>
      </w:r>
      <w:r>
        <w:rPr>
          <w:spacing w:val="-8"/>
        </w:rPr>
        <w:t>，</w:t>
      </w:r>
      <w:r>
        <w:t>以成立之日算起</w:t>
      </w:r>
      <w:r>
        <w:rPr>
          <w:spacing w:val="-8"/>
        </w:rPr>
        <w:t>。），</w:t>
      </w:r>
      <w:r>
        <w:t>在经营活动中没有重大事故，没有任何违法行为记录。</w:t>
      </w:r>
    </w:p>
    <w:p>
      <w:pPr>
        <w:pStyle w:val="13"/>
        <w:spacing w:before="1"/>
        <w:ind w:left="702"/>
      </w:pPr>
      <w:r>
        <w:t>特此声明。</w:t>
      </w:r>
    </w:p>
    <w:p>
      <w:pPr>
        <w:pStyle w:val="13"/>
      </w:pPr>
    </w:p>
    <w:p>
      <w:pPr>
        <w:pStyle w:val="13"/>
      </w:pPr>
    </w:p>
    <w:p>
      <w:pPr>
        <w:pStyle w:val="13"/>
      </w:pPr>
    </w:p>
    <w:p>
      <w:pPr>
        <w:pStyle w:val="13"/>
        <w:spacing w:before="1"/>
        <w:rPr>
          <w:sz w:val="33"/>
        </w:rPr>
      </w:pPr>
    </w:p>
    <w:p>
      <w:pPr>
        <w:pStyle w:val="13"/>
        <w:ind w:left="4182"/>
      </w:pPr>
      <w:r>
        <w:t>供应商名称：（填写名称并盖章）</w:t>
      </w:r>
    </w:p>
    <w:p>
      <w:pPr>
        <w:pStyle w:val="13"/>
        <w:spacing w:before="160" w:line="364" w:lineRule="auto"/>
        <w:ind w:left="4182" w:right="1543"/>
      </w:pPr>
      <w:r>
        <w:t>法定代表人及授权委托人：（签字或盖章） 日期：</w:t>
      </w:r>
    </w:p>
    <w:p>
      <w:pPr>
        <w:spacing w:line="364" w:lineRule="auto"/>
        <w:sectPr>
          <w:pgSz w:w="11910" w:h="16840"/>
          <w:pgMar w:top="1580" w:right="760" w:bottom="980" w:left="860" w:header="0" w:footer="776" w:gutter="0"/>
          <w:cols w:space="720" w:num="1"/>
        </w:sectPr>
      </w:pPr>
    </w:p>
    <w:p>
      <w:pPr>
        <w:pStyle w:val="13"/>
        <w:rPr>
          <w:sz w:val="20"/>
        </w:rPr>
      </w:pPr>
    </w:p>
    <w:p>
      <w:pPr>
        <w:pStyle w:val="13"/>
        <w:spacing w:before="9"/>
        <w:rPr>
          <w:sz w:val="20"/>
        </w:rPr>
      </w:pPr>
    </w:p>
    <w:p>
      <w:pPr>
        <w:pStyle w:val="4"/>
        <w:spacing w:before="26"/>
        <w:rPr>
          <w:rFonts w:ascii="宋体" w:hAnsi="宋体" w:eastAsia="宋体" w:cs="宋体"/>
          <w:b/>
          <w:bCs/>
          <w:sz w:val="31"/>
          <w:szCs w:val="31"/>
          <w:lang w:val="zh-CN" w:eastAsia="zh-CN" w:bidi="zh-CN"/>
        </w:rPr>
      </w:pPr>
      <w:bookmarkStart w:id="208" w:name="_Toc25829"/>
      <w:r>
        <w:rPr>
          <w:rFonts w:hint="eastAsia" w:cs="宋体"/>
          <w:b/>
          <w:bCs/>
          <w:sz w:val="31"/>
          <w:szCs w:val="31"/>
          <w:lang w:val="en-US" w:eastAsia="zh-CN" w:bidi="zh-CN"/>
        </w:rPr>
        <w:t>八</w:t>
      </w:r>
      <w:r>
        <w:rPr>
          <w:rFonts w:hint="eastAsia" w:ascii="宋体" w:hAnsi="宋体" w:eastAsia="宋体" w:cs="宋体"/>
          <w:b/>
          <w:bCs/>
          <w:sz w:val="31"/>
          <w:szCs w:val="31"/>
          <w:lang w:val="en-US" w:eastAsia="zh-CN" w:bidi="zh-CN"/>
        </w:rPr>
        <w:t>、</w:t>
      </w:r>
      <w:r>
        <w:rPr>
          <w:rFonts w:ascii="宋体" w:hAnsi="宋体" w:eastAsia="宋体" w:cs="宋体"/>
          <w:b/>
          <w:bCs/>
          <w:sz w:val="31"/>
          <w:szCs w:val="31"/>
          <w:lang w:val="zh-CN" w:eastAsia="zh-CN" w:bidi="zh-CN"/>
        </w:rPr>
        <w:t>声明函</w:t>
      </w:r>
    </w:p>
    <w:p>
      <w:pPr>
        <w:pStyle w:val="4"/>
        <w:spacing w:before="26"/>
        <w:rPr>
          <w:sz w:val="21"/>
          <w:szCs w:val="21"/>
        </w:rPr>
      </w:pPr>
    </w:p>
    <w:p>
      <w:pPr>
        <w:pStyle w:val="4"/>
        <w:spacing w:before="26"/>
        <w:jc w:val="both"/>
        <w:rPr>
          <w:rFonts w:ascii="宋体" w:hAnsi="宋体" w:eastAsia="宋体" w:cs="宋体"/>
          <w:b w:val="0"/>
          <w:bCs w:val="0"/>
          <w:spacing w:val="-7"/>
          <w:sz w:val="24"/>
          <w:szCs w:val="24"/>
          <w:lang w:val="zh-CN" w:eastAsia="zh-CN" w:bidi="zh-CN"/>
        </w:rPr>
      </w:pPr>
    </w:p>
    <w:p>
      <w:pPr>
        <w:pStyle w:val="4"/>
        <w:spacing w:before="26"/>
        <w:rPr>
          <w:rFonts w:ascii="宋体" w:hAnsi="宋体" w:eastAsia="宋体" w:cs="宋体"/>
          <w:b w:val="0"/>
          <w:bCs w:val="0"/>
          <w:spacing w:val="-7"/>
          <w:sz w:val="24"/>
          <w:szCs w:val="24"/>
          <w:lang w:val="zh-CN"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26" w:line="360" w:lineRule="auto"/>
        <w:ind w:right="102"/>
        <w:textAlignment w:val="auto"/>
        <w:rPr>
          <w:rFonts w:ascii="宋体" w:hAnsi="宋体" w:eastAsia="宋体" w:cs="宋体"/>
          <w:b w:val="0"/>
          <w:bCs w:val="0"/>
          <w:spacing w:val="-7"/>
          <w:sz w:val="24"/>
          <w:szCs w:val="24"/>
          <w:lang w:val="zh-CN" w:eastAsia="zh-CN" w:bidi="zh-CN"/>
        </w:rPr>
      </w:pPr>
      <w:r>
        <w:rPr>
          <w:rFonts w:hint="eastAsia" w:ascii="宋体" w:hAnsi="宋体" w:eastAsia="宋体" w:cs="宋体"/>
          <w:b w:val="0"/>
          <w:bCs w:val="0"/>
          <w:spacing w:val="-7"/>
          <w:sz w:val="24"/>
          <w:szCs w:val="24"/>
          <w:lang w:val="en-US" w:eastAsia="zh-CN" w:bidi="zh-CN"/>
        </w:rPr>
        <w:t xml:space="preserve">        </w:t>
      </w:r>
      <w:r>
        <w:rPr>
          <w:rFonts w:ascii="宋体" w:hAnsi="宋体" w:eastAsia="宋体" w:cs="宋体"/>
          <w:b w:val="0"/>
          <w:bCs w:val="0"/>
          <w:spacing w:val="-7"/>
          <w:sz w:val="24"/>
          <w:szCs w:val="24"/>
          <w:lang w:val="zh-CN" w:eastAsia="zh-CN" w:bidi="zh-CN"/>
        </w:rPr>
        <w:t>单位负责人为同一人或者存在直接控股、管理关系的不同供应商，不得参加同一合</w:t>
      </w:r>
    </w:p>
    <w:p>
      <w:pPr>
        <w:pStyle w:val="4"/>
        <w:keepNext w:val="0"/>
        <w:keepLines w:val="0"/>
        <w:pageBreakBefore w:val="0"/>
        <w:widowControl w:val="0"/>
        <w:kinsoku/>
        <w:wordWrap/>
        <w:overflowPunct/>
        <w:topLinePunct w:val="0"/>
        <w:autoSpaceDE w:val="0"/>
        <w:autoSpaceDN w:val="0"/>
        <w:bidi w:val="0"/>
        <w:adjustRightInd/>
        <w:snapToGrid/>
        <w:spacing w:before="26" w:line="360" w:lineRule="auto"/>
        <w:ind w:right="102" w:firstLine="904" w:firstLineChars="400"/>
        <w:jc w:val="both"/>
        <w:textAlignment w:val="auto"/>
        <w:rPr>
          <w:rFonts w:hint="eastAsia" w:ascii="宋体" w:hAnsi="宋体" w:eastAsia="宋体" w:cs="宋体"/>
          <w:b w:val="0"/>
          <w:bCs w:val="0"/>
          <w:spacing w:val="-7"/>
          <w:sz w:val="24"/>
          <w:szCs w:val="24"/>
          <w:lang w:val="zh-CN" w:eastAsia="zh-CN" w:bidi="zh-CN"/>
        </w:rPr>
      </w:pPr>
      <w:r>
        <w:rPr>
          <w:rFonts w:ascii="宋体" w:hAnsi="宋体" w:eastAsia="宋体" w:cs="宋体"/>
          <w:b w:val="0"/>
          <w:bCs w:val="0"/>
          <w:spacing w:val="-7"/>
          <w:sz w:val="24"/>
          <w:szCs w:val="24"/>
          <w:lang w:val="zh-CN" w:eastAsia="zh-CN" w:bidi="zh-CN"/>
        </w:rPr>
        <w:t>同项下的政府采购活动</w:t>
      </w:r>
      <w:r>
        <w:rPr>
          <w:rFonts w:hint="eastAsia" w:ascii="宋体" w:hAnsi="宋体" w:eastAsia="宋体" w:cs="宋体"/>
          <w:b w:val="0"/>
          <w:bCs w:val="0"/>
          <w:spacing w:val="-7"/>
          <w:sz w:val="24"/>
          <w:szCs w:val="24"/>
          <w:lang w:val="zh-CN" w:eastAsia="zh-CN" w:bidi="zh-CN"/>
        </w:rPr>
        <w:t>。</w:t>
      </w:r>
    </w:p>
    <w:p>
      <w:pPr>
        <w:rPr>
          <w:rFonts w:hint="eastAsia" w:ascii="宋体" w:hAnsi="宋体" w:eastAsia="宋体" w:cs="宋体"/>
          <w:b w:val="0"/>
          <w:bCs w:val="0"/>
          <w:spacing w:val="-7"/>
          <w:sz w:val="24"/>
          <w:szCs w:val="24"/>
          <w:lang w:val="zh-CN" w:eastAsia="zh-CN" w:bidi="zh-CN"/>
        </w:rPr>
      </w:pPr>
    </w:p>
    <w:p>
      <w:pPr>
        <w:pStyle w:val="11"/>
        <w:rPr>
          <w:rFonts w:hint="eastAsia" w:ascii="宋体" w:hAnsi="宋体" w:eastAsia="宋体" w:cs="宋体"/>
          <w:b w:val="0"/>
          <w:bCs w:val="0"/>
          <w:spacing w:val="-7"/>
          <w:sz w:val="24"/>
          <w:szCs w:val="24"/>
          <w:lang w:val="zh-CN" w:eastAsia="zh-CN" w:bidi="zh-CN"/>
        </w:rPr>
      </w:pPr>
    </w:p>
    <w:p>
      <w:pPr>
        <w:pStyle w:val="11"/>
        <w:rPr>
          <w:rFonts w:hint="eastAsia" w:ascii="宋体" w:hAnsi="宋体" w:eastAsia="宋体" w:cs="宋体"/>
          <w:b w:val="0"/>
          <w:bCs w:val="0"/>
          <w:spacing w:val="-7"/>
          <w:sz w:val="24"/>
          <w:szCs w:val="24"/>
          <w:lang w:val="zh-CN" w:eastAsia="zh-CN" w:bidi="zh-CN"/>
        </w:rPr>
      </w:pPr>
    </w:p>
    <w:p>
      <w:pPr>
        <w:pStyle w:val="13"/>
        <w:ind w:left="4852"/>
      </w:pPr>
      <w:r>
        <w:t>供应商：（填写名称并盖章）</w:t>
      </w:r>
    </w:p>
    <w:p>
      <w:pPr>
        <w:pStyle w:val="13"/>
        <w:spacing w:before="161" w:line="302" w:lineRule="auto"/>
        <w:ind w:left="4852" w:right="992"/>
      </w:pPr>
      <w:r>
        <w:t xml:space="preserve"> 日期：</w:t>
      </w:r>
    </w:p>
    <w:p>
      <w:pPr>
        <w:spacing w:line="302" w:lineRule="auto"/>
        <w:sectPr>
          <w:pgSz w:w="11910" w:h="16840"/>
          <w:pgMar w:top="1580" w:right="760" w:bottom="980" w:left="860" w:header="0" w:footer="776" w:gutter="0"/>
          <w:cols w:space="720" w:num="1"/>
        </w:sectPr>
      </w:pPr>
    </w:p>
    <w:p>
      <w:pPr>
        <w:pStyle w:val="4"/>
        <w:spacing w:before="26"/>
        <w:rPr>
          <w:rFonts w:hint="eastAsia" w:eastAsia="宋体"/>
          <w:lang w:eastAsia="zh-CN"/>
        </w:rPr>
      </w:pPr>
      <w:r>
        <w:rPr>
          <w:rFonts w:hint="eastAsia"/>
          <w:lang w:val="en-US" w:eastAsia="zh-CN"/>
        </w:rPr>
        <w:t>九</w:t>
      </w:r>
      <w:r>
        <w:t>、</w:t>
      </w:r>
      <w:bookmarkEnd w:id="208"/>
      <w:r>
        <w:rPr>
          <w:rFonts w:hint="eastAsia"/>
        </w:rPr>
        <w:t xml:space="preserve"> 采购需求响应</w:t>
      </w:r>
      <w:r>
        <w:rPr>
          <w:rFonts w:hint="eastAsia"/>
          <w:lang w:eastAsia="zh-CN"/>
        </w:rPr>
        <w:t>表</w:t>
      </w:r>
    </w:p>
    <w:p>
      <w:pPr>
        <w:rPr>
          <w:rFonts w:hint="eastAsia"/>
          <w:sz w:val="30"/>
          <w:szCs w:val="30"/>
        </w:rPr>
      </w:pPr>
      <w:bookmarkStart w:id="209" w:name="十、供应商类似项目业绩一览表（如有）"/>
      <w:bookmarkEnd w:id="209"/>
    </w:p>
    <w:p>
      <w:pPr>
        <w:pStyle w:val="2"/>
        <w:keepNext w:val="0"/>
        <w:keepLines w:val="0"/>
        <w:pageBreakBefore w:val="0"/>
        <w:widowControl w:val="0"/>
        <w:kinsoku/>
        <w:wordWrap/>
        <w:overflowPunct/>
        <w:topLinePunct w:val="0"/>
        <w:autoSpaceDE w:val="0"/>
        <w:autoSpaceDN w:val="0"/>
        <w:bidi w:val="0"/>
        <w:adjustRightInd/>
        <w:snapToGrid/>
        <w:spacing w:line="360" w:lineRule="auto"/>
        <w:ind w:left="440" w:leftChars="200" w:firstLine="480" w:firstLineChars="200"/>
        <w:jc w:val="left"/>
        <w:textAlignment w:val="auto"/>
        <w:rPr>
          <w:rFonts w:hint="eastAsia"/>
        </w:rPr>
      </w:pPr>
      <w:r>
        <w:rPr>
          <w:rFonts w:hint="eastAsia"/>
          <w:b w:val="0"/>
          <w:bCs w:val="0"/>
          <w:sz w:val="24"/>
          <w:szCs w:val="24"/>
        </w:rPr>
        <w:t>供应商应逐条对应竞争性磋商文件第</w:t>
      </w:r>
      <w:r>
        <w:rPr>
          <w:rFonts w:hint="eastAsia"/>
          <w:b w:val="0"/>
          <w:bCs w:val="0"/>
          <w:sz w:val="24"/>
          <w:szCs w:val="24"/>
          <w:lang w:eastAsia="zh-CN"/>
        </w:rPr>
        <w:t>三部分</w:t>
      </w:r>
      <w:r>
        <w:rPr>
          <w:rFonts w:hint="eastAsia"/>
          <w:b w:val="0"/>
          <w:bCs w:val="0"/>
          <w:sz w:val="24"/>
          <w:szCs w:val="24"/>
        </w:rPr>
        <w:t xml:space="preserve">“ </w:t>
      </w:r>
      <w:r>
        <w:rPr>
          <w:rFonts w:hint="eastAsia"/>
          <w:b/>
          <w:bCs/>
          <w:sz w:val="24"/>
          <w:szCs w:val="24"/>
        </w:rPr>
        <w:t>采购需求</w:t>
      </w:r>
      <w:r>
        <w:rPr>
          <w:rFonts w:hint="eastAsia"/>
          <w:b w:val="0"/>
          <w:bCs w:val="0"/>
          <w:sz w:val="24"/>
          <w:szCs w:val="24"/>
        </w:rPr>
        <w:t>”，包括服务内容、完成时间、付款方式等，并根据实际情况如实填写本表格。</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440" w:leftChars="200" w:firstLine="480" w:firstLineChars="200"/>
        <w:jc w:val="left"/>
        <w:textAlignment w:val="auto"/>
        <w:rPr>
          <w:rFonts w:hint="eastAsia"/>
          <w:b w:val="0"/>
          <w:bCs w:val="0"/>
          <w:sz w:val="24"/>
          <w:szCs w:val="24"/>
        </w:rPr>
      </w:pPr>
      <w:r>
        <w:rPr>
          <w:rFonts w:hint="eastAsia"/>
          <w:b w:val="0"/>
          <w:bCs w:val="0"/>
          <w:sz w:val="24"/>
          <w:szCs w:val="24"/>
        </w:rPr>
        <w:t>A、□我公司已详细阅读采购需求中各项商务、技术需求，所有商务、技术要求均无偏离，成交后我公司将严格遵照执行。</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440" w:leftChars="200" w:firstLine="480" w:firstLineChars="200"/>
        <w:jc w:val="left"/>
        <w:textAlignment w:val="auto"/>
        <w:rPr>
          <w:rFonts w:hint="eastAsia"/>
          <w:b w:val="0"/>
          <w:bCs w:val="0"/>
          <w:sz w:val="24"/>
          <w:szCs w:val="24"/>
        </w:rPr>
      </w:pPr>
      <w:r>
        <w:rPr>
          <w:rFonts w:hint="eastAsia"/>
          <w:b w:val="0"/>
          <w:bCs w:val="0"/>
          <w:sz w:val="24"/>
          <w:szCs w:val="24"/>
        </w:rPr>
        <w:t>B、□我公司已详细阅读采购需求中各项商务、技术需求，除下述条款有偏离外，其余条款我公司均予以认可，成交后将严格遵照执行。</w:t>
      </w:r>
    </w:p>
    <w:p>
      <w:pPr>
        <w:rPr>
          <w:rFonts w:hint="eastAsia"/>
          <w:b w:val="0"/>
          <w:bCs w:val="0"/>
          <w:sz w:val="24"/>
          <w:szCs w:val="24"/>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3903"/>
        <w:gridCol w:w="2627"/>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pStyle w:val="2"/>
              <w:rPr>
                <w:rFonts w:hint="eastAsia" w:eastAsia="宋体"/>
                <w:b w:val="0"/>
                <w:bCs w:val="0"/>
                <w:sz w:val="24"/>
                <w:szCs w:val="24"/>
                <w:vertAlign w:val="baseline"/>
                <w:lang w:eastAsia="zh-CN"/>
              </w:rPr>
            </w:pPr>
            <w:r>
              <w:rPr>
                <w:rFonts w:hint="eastAsia"/>
                <w:b w:val="0"/>
                <w:bCs w:val="0"/>
                <w:sz w:val="24"/>
                <w:szCs w:val="24"/>
                <w:vertAlign w:val="baseline"/>
                <w:lang w:eastAsia="zh-CN"/>
              </w:rPr>
              <w:t>序号</w:t>
            </w:r>
          </w:p>
        </w:tc>
        <w:tc>
          <w:tcPr>
            <w:tcW w:w="3903" w:type="dxa"/>
          </w:tcPr>
          <w:p>
            <w:pPr>
              <w:pStyle w:val="2"/>
              <w:rPr>
                <w:b w:val="0"/>
                <w:bCs w:val="0"/>
                <w:sz w:val="24"/>
                <w:szCs w:val="24"/>
                <w:vertAlign w:val="baseline"/>
              </w:rPr>
            </w:pPr>
            <w:r>
              <w:rPr>
                <w:rFonts w:hint="eastAsia"/>
                <w:b w:val="0"/>
                <w:bCs w:val="0"/>
                <w:sz w:val="24"/>
                <w:szCs w:val="24"/>
                <w:vertAlign w:val="baseline"/>
              </w:rPr>
              <w:t>采购需求的条款</w:t>
            </w:r>
          </w:p>
        </w:tc>
        <w:tc>
          <w:tcPr>
            <w:tcW w:w="2627" w:type="dxa"/>
          </w:tcPr>
          <w:p>
            <w:pPr>
              <w:pStyle w:val="2"/>
              <w:rPr>
                <w:b w:val="0"/>
                <w:bCs w:val="0"/>
                <w:sz w:val="24"/>
                <w:szCs w:val="24"/>
                <w:vertAlign w:val="baseline"/>
              </w:rPr>
            </w:pPr>
            <w:r>
              <w:rPr>
                <w:rFonts w:hint="eastAsia"/>
                <w:b w:val="0"/>
                <w:bCs w:val="0"/>
                <w:sz w:val="24"/>
                <w:szCs w:val="24"/>
                <w:vertAlign w:val="baseline"/>
              </w:rPr>
              <w:t>响应采购需求的条款</w:t>
            </w:r>
          </w:p>
        </w:tc>
        <w:tc>
          <w:tcPr>
            <w:tcW w:w="2627" w:type="dxa"/>
          </w:tcPr>
          <w:p>
            <w:pPr>
              <w:pStyle w:val="2"/>
              <w:rPr>
                <w:rFonts w:hint="eastAsia"/>
                <w:b w:val="0"/>
                <w:bCs w:val="0"/>
                <w:sz w:val="24"/>
                <w:szCs w:val="24"/>
                <w:vertAlign w:val="baseline"/>
              </w:rPr>
            </w:pPr>
            <w:r>
              <w:rPr>
                <w:rFonts w:hint="eastAsia"/>
                <w:b w:val="0"/>
                <w:bCs w:val="0"/>
                <w:sz w:val="24"/>
                <w:szCs w:val="24"/>
                <w:vertAlign w:val="baseline"/>
              </w:rPr>
              <w:t>偏离情况</w:t>
            </w:r>
          </w:p>
          <w:p>
            <w:pPr>
              <w:pStyle w:val="2"/>
              <w:rPr>
                <w:b w:val="0"/>
                <w:bCs w:val="0"/>
                <w:sz w:val="24"/>
                <w:szCs w:val="24"/>
                <w:vertAlign w:val="baseline"/>
              </w:rPr>
            </w:pPr>
            <w:r>
              <w:rPr>
                <w:rFonts w:hint="eastAsia"/>
                <w:b w:val="0"/>
                <w:bCs w:val="0"/>
                <w:sz w:val="24"/>
                <w:szCs w:val="24"/>
                <w:vertAlign w:val="baseline"/>
              </w:rPr>
              <w:t>（正偏离/负离）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pStyle w:val="2"/>
              <w:rPr>
                <w:rFonts w:hint="eastAsia" w:eastAsia="宋体"/>
                <w:b w:val="0"/>
                <w:bCs w:val="0"/>
                <w:sz w:val="32"/>
                <w:szCs w:val="32"/>
                <w:vertAlign w:val="baseline"/>
                <w:lang w:val="en-US" w:eastAsia="zh-CN"/>
              </w:rPr>
            </w:pPr>
            <w:r>
              <w:rPr>
                <w:rFonts w:hint="eastAsia"/>
                <w:b w:val="0"/>
                <w:bCs w:val="0"/>
                <w:sz w:val="32"/>
                <w:szCs w:val="32"/>
                <w:vertAlign w:val="baseline"/>
                <w:lang w:val="en-US" w:eastAsia="zh-CN"/>
              </w:rPr>
              <w:t>1</w:t>
            </w:r>
          </w:p>
        </w:tc>
        <w:tc>
          <w:tcPr>
            <w:tcW w:w="3903" w:type="dxa"/>
          </w:tcPr>
          <w:p>
            <w:pPr>
              <w:pStyle w:val="2"/>
              <w:rPr>
                <w:b w:val="0"/>
                <w:bCs w:val="0"/>
                <w:sz w:val="32"/>
                <w:szCs w:val="32"/>
                <w:vertAlign w:val="baseline"/>
              </w:rPr>
            </w:pPr>
          </w:p>
        </w:tc>
        <w:tc>
          <w:tcPr>
            <w:tcW w:w="2627" w:type="dxa"/>
          </w:tcPr>
          <w:p>
            <w:pPr>
              <w:pStyle w:val="2"/>
              <w:rPr>
                <w:b w:val="0"/>
                <w:bCs w:val="0"/>
                <w:sz w:val="32"/>
                <w:szCs w:val="32"/>
                <w:vertAlign w:val="baseline"/>
              </w:rPr>
            </w:pPr>
          </w:p>
        </w:tc>
        <w:tc>
          <w:tcPr>
            <w:tcW w:w="2627" w:type="dxa"/>
          </w:tcPr>
          <w:p>
            <w:pPr>
              <w:pStyle w:val="2"/>
              <w:rPr>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pStyle w:val="2"/>
              <w:rPr>
                <w:rFonts w:hint="eastAsia" w:eastAsia="宋体"/>
                <w:b w:val="0"/>
                <w:bCs w:val="0"/>
                <w:sz w:val="32"/>
                <w:szCs w:val="32"/>
                <w:vertAlign w:val="baseline"/>
                <w:lang w:val="en-US" w:eastAsia="zh-CN"/>
              </w:rPr>
            </w:pPr>
            <w:r>
              <w:rPr>
                <w:rFonts w:hint="eastAsia"/>
                <w:b w:val="0"/>
                <w:bCs w:val="0"/>
                <w:sz w:val="32"/>
                <w:szCs w:val="32"/>
                <w:vertAlign w:val="baseline"/>
                <w:lang w:val="en-US" w:eastAsia="zh-CN"/>
              </w:rPr>
              <w:t>2</w:t>
            </w:r>
          </w:p>
        </w:tc>
        <w:tc>
          <w:tcPr>
            <w:tcW w:w="3903" w:type="dxa"/>
          </w:tcPr>
          <w:p>
            <w:pPr>
              <w:pStyle w:val="2"/>
              <w:rPr>
                <w:b w:val="0"/>
                <w:bCs w:val="0"/>
                <w:sz w:val="32"/>
                <w:szCs w:val="32"/>
                <w:vertAlign w:val="baseline"/>
              </w:rPr>
            </w:pPr>
          </w:p>
        </w:tc>
        <w:tc>
          <w:tcPr>
            <w:tcW w:w="2627" w:type="dxa"/>
          </w:tcPr>
          <w:p>
            <w:pPr>
              <w:pStyle w:val="2"/>
              <w:rPr>
                <w:b w:val="0"/>
                <w:bCs w:val="0"/>
                <w:sz w:val="32"/>
                <w:szCs w:val="32"/>
                <w:vertAlign w:val="baseline"/>
              </w:rPr>
            </w:pPr>
          </w:p>
        </w:tc>
        <w:tc>
          <w:tcPr>
            <w:tcW w:w="2627" w:type="dxa"/>
          </w:tcPr>
          <w:p>
            <w:pPr>
              <w:pStyle w:val="2"/>
              <w:rPr>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pStyle w:val="2"/>
              <w:rPr>
                <w:rFonts w:hint="default" w:eastAsia="宋体"/>
                <w:b w:val="0"/>
                <w:bCs w:val="0"/>
                <w:sz w:val="32"/>
                <w:szCs w:val="32"/>
                <w:vertAlign w:val="baseline"/>
                <w:lang w:val="en-US" w:eastAsia="zh-CN"/>
              </w:rPr>
            </w:pPr>
            <w:r>
              <w:rPr>
                <w:rFonts w:hint="default"/>
                <w:b w:val="0"/>
                <w:bCs w:val="0"/>
                <w:sz w:val="32"/>
                <w:szCs w:val="32"/>
                <w:vertAlign w:val="baseline"/>
                <w:lang w:val="en-US" w:eastAsia="zh-CN"/>
              </w:rPr>
              <w:t>...</w:t>
            </w:r>
          </w:p>
        </w:tc>
        <w:tc>
          <w:tcPr>
            <w:tcW w:w="3903" w:type="dxa"/>
          </w:tcPr>
          <w:p>
            <w:pPr>
              <w:pStyle w:val="2"/>
              <w:rPr>
                <w:rFonts w:hint="default"/>
                <w:b w:val="0"/>
                <w:bCs w:val="0"/>
                <w:sz w:val="32"/>
                <w:szCs w:val="32"/>
                <w:vertAlign w:val="baseline"/>
                <w:lang w:val="en-US"/>
              </w:rPr>
            </w:pPr>
            <w:r>
              <w:rPr>
                <w:rFonts w:hint="default"/>
                <w:b w:val="0"/>
                <w:bCs w:val="0"/>
                <w:sz w:val="32"/>
                <w:szCs w:val="32"/>
                <w:vertAlign w:val="baseline"/>
                <w:lang w:val="en-US"/>
              </w:rPr>
              <w:t>...</w:t>
            </w:r>
          </w:p>
        </w:tc>
        <w:tc>
          <w:tcPr>
            <w:tcW w:w="2627" w:type="dxa"/>
          </w:tcPr>
          <w:p>
            <w:pPr>
              <w:pStyle w:val="2"/>
              <w:rPr>
                <w:rFonts w:hint="default"/>
                <w:b w:val="0"/>
                <w:bCs w:val="0"/>
                <w:sz w:val="32"/>
                <w:szCs w:val="32"/>
                <w:vertAlign w:val="baseline"/>
                <w:lang w:val="en-US"/>
              </w:rPr>
            </w:pPr>
            <w:r>
              <w:rPr>
                <w:rFonts w:hint="default"/>
                <w:b w:val="0"/>
                <w:bCs w:val="0"/>
                <w:sz w:val="32"/>
                <w:szCs w:val="32"/>
                <w:vertAlign w:val="baseline"/>
                <w:lang w:val="en-US"/>
              </w:rPr>
              <w:t>...</w:t>
            </w:r>
          </w:p>
        </w:tc>
        <w:tc>
          <w:tcPr>
            <w:tcW w:w="2627" w:type="dxa"/>
          </w:tcPr>
          <w:p>
            <w:pPr>
              <w:pStyle w:val="2"/>
              <w:rPr>
                <w:rFonts w:hint="default"/>
                <w:b w:val="0"/>
                <w:bCs w:val="0"/>
                <w:sz w:val="32"/>
                <w:szCs w:val="32"/>
                <w:vertAlign w:val="baseline"/>
                <w:lang w:val="en-US"/>
              </w:rPr>
            </w:pPr>
            <w:r>
              <w:rPr>
                <w:rFonts w:hint="default"/>
                <w:b w:val="0"/>
                <w:bCs w:val="0"/>
                <w:sz w:val="32"/>
                <w:szCs w:val="32"/>
                <w:vertAlign w:val="baseline"/>
                <w:lang w:val="en-US"/>
              </w:rPr>
              <w:t>...</w:t>
            </w:r>
          </w:p>
        </w:tc>
      </w:tr>
    </w:tbl>
    <w:p/>
    <w:p/>
    <w:p>
      <w:pPr>
        <w:pStyle w:val="2"/>
        <w:jc w:val="both"/>
        <w:rPr>
          <w:rFonts w:hint="default"/>
          <w:sz w:val="24"/>
          <w:szCs w:val="24"/>
          <w:u w:val="single"/>
          <w:lang w:val="en-US"/>
        </w:rPr>
      </w:pPr>
      <w:r>
        <w:rPr>
          <w:rFonts w:hint="eastAsia"/>
          <w:sz w:val="24"/>
          <w:szCs w:val="24"/>
        </w:rPr>
        <w:t>供应商名称（公章）</w:t>
      </w:r>
      <w:r>
        <w:rPr>
          <w:rFonts w:hint="default"/>
          <w:sz w:val="24"/>
          <w:szCs w:val="24"/>
          <w:lang w:val="en-US"/>
        </w:rPr>
        <w:t>:</w:t>
      </w:r>
      <w:r>
        <w:rPr>
          <w:rFonts w:hint="default"/>
          <w:sz w:val="24"/>
          <w:szCs w:val="24"/>
          <w:u w:val="single"/>
          <w:lang w:val="en-US"/>
        </w:rPr>
        <w:t xml:space="preserve">              </w:t>
      </w:r>
    </w:p>
    <w:p>
      <w:pPr>
        <w:rPr>
          <w:rFonts w:hint="eastAsia"/>
          <w:sz w:val="24"/>
          <w:szCs w:val="24"/>
        </w:rPr>
      </w:pPr>
    </w:p>
    <w:p>
      <w:pPr>
        <w:rPr>
          <w:rFonts w:hint="eastAsia"/>
          <w:sz w:val="24"/>
          <w:szCs w:val="24"/>
        </w:rPr>
      </w:pPr>
    </w:p>
    <w:p>
      <w:pPr>
        <w:pStyle w:val="2"/>
        <w:jc w:val="both"/>
        <w:rPr>
          <w:rFonts w:hint="default"/>
          <w:sz w:val="24"/>
          <w:szCs w:val="24"/>
          <w:u w:val="single"/>
          <w:lang w:val="en-US"/>
        </w:rPr>
      </w:pPr>
      <w:r>
        <w:rPr>
          <w:rFonts w:hint="eastAsia"/>
          <w:sz w:val="24"/>
          <w:szCs w:val="24"/>
        </w:rPr>
        <w:t>法定代表人或授权代表（签字/ 盖章</w:t>
      </w:r>
      <w:r>
        <w:rPr>
          <w:rFonts w:hint="default"/>
          <w:sz w:val="24"/>
          <w:szCs w:val="24"/>
          <w:lang w:val="en-US"/>
        </w:rPr>
        <w:t>):</w:t>
      </w:r>
      <w:r>
        <w:rPr>
          <w:rFonts w:hint="default"/>
          <w:sz w:val="24"/>
          <w:szCs w:val="24"/>
          <w:u w:val="single"/>
          <w:lang w:val="en-US"/>
        </w:rPr>
        <w:t xml:space="preserve">                 </w:t>
      </w:r>
    </w:p>
    <w:p>
      <w:pPr>
        <w:rPr>
          <w:rFonts w:hint="default"/>
          <w:sz w:val="24"/>
          <w:szCs w:val="24"/>
          <w:u w:val="single"/>
          <w:lang w:val="en-US"/>
        </w:rPr>
      </w:pPr>
    </w:p>
    <w:p>
      <w:pPr>
        <w:pStyle w:val="2"/>
        <w:rPr>
          <w:rFonts w:hint="default"/>
          <w:sz w:val="24"/>
          <w:szCs w:val="24"/>
          <w:u w:val="single"/>
          <w:lang w:val="en-US"/>
        </w:rPr>
      </w:pPr>
    </w:p>
    <w:p>
      <w:pPr>
        <w:rPr>
          <w:rFonts w:hint="default"/>
          <w:sz w:val="24"/>
          <w:szCs w:val="24"/>
          <w:u w:val="single"/>
          <w:lang w:val="en-US"/>
        </w:rPr>
      </w:pPr>
    </w:p>
    <w:p>
      <w:pPr>
        <w:pStyle w:val="2"/>
        <w:ind w:firstLine="120" w:firstLineChars="50"/>
        <w:jc w:val="left"/>
        <w:rPr>
          <w:rFonts w:hint="default"/>
          <w:sz w:val="24"/>
          <w:szCs w:val="24"/>
          <w:lang w:val="en-US"/>
        </w:rPr>
      </w:pPr>
      <w:r>
        <w:rPr>
          <w:rFonts w:hint="default"/>
          <w:sz w:val="24"/>
          <w:szCs w:val="24"/>
          <w:lang w:val="en-US"/>
        </w:rPr>
        <w:t>表格填写说明：</w:t>
      </w:r>
    </w:p>
    <w:p>
      <w:pPr>
        <w:pStyle w:val="2"/>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default"/>
          <w:b w:val="0"/>
          <w:bCs w:val="0"/>
          <w:sz w:val="24"/>
          <w:szCs w:val="24"/>
          <w:lang w:val="en-US"/>
        </w:rPr>
      </w:pPr>
      <w:r>
        <w:rPr>
          <w:rFonts w:hint="default"/>
          <w:b w:val="0"/>
          <w:bCs w:val="0"/>
          <w:sz w:val="24"/>
          <w:szCs w:val="24"/>
          <w:lang w:val="en-US"/>
        </w:rPr>
        <w:t>1、供应商应根据实际情况，填写本表格，若无偏离，则勾选 A 项，签字盖章即可。若有偏离，则勾选 B 项，按表格要求及实际情况填写后，签字盖章。</w:t>
      </w:r>
    </w:p>
    <w:p>
      <w:pPr>
        <w:pStyle w:val="2"/>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default"/>
          <w:b w:val="0"/>
          <w:bCs w:val="0"/>
          <w:sz w:val="24"/>
          <w:szCs w:val="24"/>
          <w:lang w:val="en-US"/>
        </w:rPr>
      </w:pPr>
      <w:r>
        <w:rPr>
          <w:rFonts w:hint="default"/>
          <w:b w:val="0"/>
          <w:bCs w:val="0"/>
          <w:sz w:val="24"/>
          <w:szCs w:val="24"/>
          <w:lang w:val="en-US"/>
        </w:rPr>
        <w:t>2、表格中“采购需求的条款”请供应商根据实际情况如实、完整、准确的填写。</w:t>
      </w:r>
    </w:p>
    <w:p>
      <w:pPr>
        <w:pStyle w:val="2"/>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default"/>
          <w:b w:val="0"/>
          <w:bCs w:val="0"/>
          <w:sz w:val="24"/>
          <w:szCs w:val="24"/>
          <w:lang w:val="en-US"/>
        </w:rPr>
      </w:pPr>
      <w:r>
        <w:rPr>
          <w:rFonts w:hint="default"/>
          <w:b w:val="0"/>
          <w:bCs w:val="0"/>
          <w:sz w:val="24"/>
          <w:szCs w:val="24"/>
          <w:lang w:val="en-US"/>
        </w:rPr>
        <w:t>3、采购需求中的“三、服务需求”不得负偏离，如出现负偏离本次响应无效。</w:t>
      </w:r>
    </w:p>
    <w:p>
      <w:pPr>
        <w:pStyle w:val="2"/>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default"/>
          <w:b w:val="0"/>
          <w:bCs w:val="0"/>
          <w:sz w:val="24"/>
          <w:szCs w:val="24"/>
          <w:lang w:val="en-US"/>
        </w:rPr>
      </w:pPr>
      <w:r>
        <w:rPr>
          <w:rFonts w:hint="default"/>
          <w:b w:val="0"/>
          <w:bCs w:val="0"/>
          <w:sz w:val="24"/>
          <w:szCs w:val="24"/>
          <w:lang w:val="en-US"/>
        </w:rPr>
        <w:t>4、如供应商不提供此“采购需求响应表”，本次响应无效。</w:t>
      </w:r>
    </w:p>
    <w:p>
      <w:pPr>
        <w:rPr>
          <w:rFonts w:hint="default"/>
          <w:b w:val="0"/>
          <w:bCs w:val="0"/>
          <w:sz w:val="24"/>
          <w:szCs w:val="24"/>
          <w:lang w:val="en-US"/>
        </w:rPr>
      </w:pPr>
    </w:p>
    <w:p>
      <w:pPr>
        <w:pStyle w:val="2"/>
        <w:rPr>
          <w:rFonts w:hint="default"/>
          <w:b w:val="0"/>
          <w:bCs w:val="0"/>
          <w:sz w:val="24"/>
          <w:szCs w:val="24"/>
          <w:lang w:val="en-US"/>
        </w:rPr>
      </w:pPr>
    </w:p>
    <w:p>
      <w:pPr>
        <w:rPr>
          <w:rFonts w:hint="default"/>
          <w:b w:val="0"/>
          <w:bCs w:val="0"/>
          <w:sz w:val="24"/>
          <w:szCs w:val="24"/>
          <w:lang w:val="en-US"/>
        </w:rPr>
      </w:pPr>
    </w:p>
    <w:p>
      <w:pPr>
        <w:pStyle w:val="2"/>
        <w:rPr>
          <w:rFonts w:hint="default"/>
          <w:b w:val="0"/>
          <w:bCs w:val="0"/>
          <w:sz w:val="24"/>
          <w:szCs w:val="24"/>
          <w:lang w:val="en-US"/>
        </w:rPr>
      </w:pPr>
    </w:p>
    <w:p>
      <w:pPr>
        <w:rPr>
          <w:rFonts w:hint="default"/>
          <w:b w:val="0"/>
          <w:bCs w:val="0"/>
          <w:sz w:val="24"/>
          <w:szCs w:val="24"/>
          <w:lang w:val="en-US"/>
        </w:rPr>
      </w:pPr>
    </w:p>
    <w:p>
      <w:pPr>
        <w:pStyle w:val="2"/>
        <w:rPr>
          <w:rFonts w:hint="default"/>
          <w:b w:val="0"/>
          <w:bCs w:val="0"/>
          <w:sz w:val="24"/>
          <w:szCs w:val="24"/>
          <w:lang w:val="en-US"/>
        </w:rPr>
      </w:pPr>
    </w:p>
    <w:p>
      <w:pPr>
        <w:pStyle w:val="4"/>
        <w:numPr>
          <w:ilvl w:val="0"/>
          <w:numId w:val="21"/>
        </w:numPr>
        <w:spacing w:before="26"/>
        <w:rPr>
          <w:rFonts w:hint="eastAsia"/>
          <w:lang w:eastAsia="zh-CN"/>
        </w:rPr>
      </w:pPr>
      <w:r>
        <w:rPr>
          <w:rFonts w:hint="eastAsia"/>
        </w:rPr>
        <w:t xml:space="preserve"> 拟投入本项目主要岗位人员一览</w:t>
      </w:r>
      <w:r>
        <w:rPr>
          <w:rFonts w:hint="eastAsia"/>
          <w:lang w:eastAsia="zh-CN"/>
        </w:rPr>
        <w:t>表</w:t>
      </w:r>
    </w:p>
    <w:p>
      <w:pPr>
        <w:widowControl w:val="0"/>
        <w:numPr>
          <w:ilvl w:val="0"/>
          <w:numId w:val="0"/>
        </w:numPr>
        <w:autoSpaceDE w:val="0"/>
        <w:autoSpaceDN w:val="0"/>
        <w:rPr>
          <w:rFonts w:hint="eastAsia"/>
          <w:lang w:val="en-US" w:eastAsia="zh-CN"/>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685"/>
        <w:gridCol w:w="1581"/>
        <w:gridCol w:w="1477"/>
        <w:gridCol w:w="1816"/>
        <w:gridCol w:w="1749"/>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sz w:val="24"/>
                <w:szCs w:val="24"/>
                <w:lang w:val="en-US" w:eastAsia="zh-CN"/>
              </w:rPr>
            </w:pPr>
            <w:r>
              <w:rPr>
                <w:rFonts w:hint="eastAsia"/>
                <w:b w:val="0"/>
                <w:bCs w:val="0"/>
                <w:sz w:val="24"/>
                <w:szCs w:val="24"/>
                <w:lang w:val="en-US" w:eastAsia="zh-CN"/>
              </w:rPr>
              <w:t>序号</w:t>
            </w:r>
          </w:p>
        </w:tc>
        <w:tc>
          <w:tcPr>
            <w:tcW w:w="1685" w:type="dxa"/>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sz w:val="24"/>
                <w:szCs w:val="24"/>
                <w:lang w:val="en-US" w:eastAsia="zh-CN"/>
              </w:rPr>
            </w:pPr>
            <w:r>
              <w:rPr>
                <w:rFonts w:hint="eastAsia"/>
                <w:b w:val="0"/>
                <w:bCs w:val="0"/>
                <w:sz w:val="24"/>
                <w:szCs w:val="24"/>
                <w:lang w:val="en-US" w:eastAsia="zh-CN"/>
              </w:rPr>
              <w:t>本项目职务</w:t>
            </w:r>
          </w:p>
        </w:tc>
        <w:tc>
          <w:tcPr>
            <w:tcW w:w="1581" w:type="dxa"/>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sz w:val="24"/>
                <w:szCs w:val="24"/>
                <w:lang w:val="en-US" w:eastAsia="zh-CN"/>
              </w:rPr>
            </w:pPr>
            <w:r>
              <w:rPr>
                <w:rFonts w:hint="eastAsia"/>
                <w:b w:val="0"/>
                <w:bCs w:val="0"/>
                <w:sz w:val="24"/>
                <w:szCs w:val="24"/>
                <w:lang w:val="en-US" w:eastAsia="zh-CN"/>
              </w:rPr>
              <w:t>姓名</w:t>
            </w:r>
          </w:p>
        </w:tc>
        <w:tc>
          <w:tcPr>
            <w:tcW w:w="1477" w:type="dxa"/>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sz w:val="24"/>
                <w:szCs w:val="24"/>
                <w:lang w:val="en-US" w:eastAsia="zh-CN"/>
              </w:rPr>
            </w:pPr>
            <w:r>
              <w:rPr>
                <w:rFonts w:hint="eastAsia"/>
                <w:b w:val="0"/>
                <w:bCs w:val="0"/>
                <w:sz w:val="24"/>
                <w:szCs w:val="24"/>
                <w:lang w:val="en-US" w:eastAsia="zh-CN"/>
              </w:rPr>
              <w:t>性别</w:t>
            </w:r>
          </w:p>
        </w:tc>
        <w:tc>
          <w:tcPr>
            <w:tcW w:w="1816" w:type="dxa"/>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sz w:val="24"/>
                <w:szCs w:val="24"/>
                <w:lang w:val="en-US" w:eastAsia="zh-CN"/>
              </w:rPr>
            </w:pPr>
            <w:r>
              <w:rPr>
                <w:rFonts w:hint="eastAsia"/>
                <w:b w:val="0"/>
                <w:bCs w:val="0"/>
                <w:sz w:val="24"/>
                <w:szCs w:val="24"/>
                <w:lang w:val="en-US" w:eastAsia="zh-CN"/>
              </w:rPr>
              <w:t>年龄</w:t>
            </w:r>
          </w:p>
        </w:tc>
        <w:tc>
          <w:tcPr>
            <w:tcW w:w="1749" w:type="dxa"/>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sz w:val="24"/>
                <w:szCs w:val="24"/>
                <w:lang w:val="en-US" w:eastAsia="zh-CN"/>
              </w:rPr>
            </w:pPr>
            <w:r>
              <w:rPr>
                <w:rFonts w:hint="eastAsia"/>
                <w:b w:val="0"/>
                <w:bCs w:val="0"/>
                <w:sz w:val="24"/>
                <w:szCs w:val="24"/>
                <w:lang w:val="en-US" w:eastAsia="zh-CN"/>
              </w:rPr>
              <w:t>任务及工作</w:t>
            </w:r>
          </w:p>
        </w:tc>
        <w:tc>
          <w:tcPr>
            <w:tcW w:w="1253" w:type="dxa"/>
          </w:tcPr>
          <w:p>
            <w:pPr>
              <w:pStyle w:val="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b w:val="0"/>
                <w:bCs w:val="0"/>
                <w:sz w:val="24"/>
                <w:szCs w:val="24"/>
                <w:lang w:val="en-US" w:eastAsia="zh-CN"/>
              </w:rPr>
            </w:pPr>
            <w:r>
              <w:rPr>
                <w:rFonts w:hint="eastAsia"/>
                <w:b w:val="0"/>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pStyle w:val="2"/>
              <w:rPr>
                <w:rFonts w:hint="eastAsia"/>
                <w:vertAlign w:val="baseline"/>
                <w:lang w:val="en-US" w:eastAsia="zh-CN"/>
              </w:rPr>
            </w:pPr>
          </w:p>
        </w:tc>
        <w:tc>
          <w:tcPr>
            <w:tcW w:w="1685" w:type="dxa"/>
          </w:tcPr>
          <w:p>
            <w:pPr>
              <w:pStyle w:val="2"/>
              <w:rPr>
                <w:rFonts w:hint="eastAsia"/>
                <w:vertAlign w:val="baseline"/>
                <w:lang w:val="en-US" w:eastAsia="zh-CN"/>
              </w:rPr>
            </w:pPr>
          </w:p>
        </w:tc>
        <w:tc>
          <w:tcPr>
            <w:tcW w:w="1581" w:type="dxa"/>
          </w:tcPr>
          <w:p>
            <w:pPr>
              <w:pStyle w:val="2"/>
              <w:rPr>
                <w:rFonts w:hint="eastAsia"/>
                <w:vertAlign w:val="baseline"/>
                <w:lang w:val="en-US" w:eastAsia="zh-CN"/>
              </w:rPr>
            </w:pPr>
          </w:p>
        </w:tc>
        <w:tc>
          <w:tcPr>
            <w:tcW w:w="1477" w:type="dxa"/>
          </w:tcPr>
          <w:p>
            <w:pPr>
              <w:pStyle w:val="2"/>
              <w:rPr>
                <w:rFonts w:hint="eastAsia"/>
                <w:vertAlign w:val="baseline"/>
                <w:lang w:val="en-US" w:eastAsia="zh-CN"/>
              </w:rPr>
            </w:pPr>
          </w:p>
        </w:tc>
        <w:tc>
          <w:tcPr>
            <w:tcW w:w="1816" w:type="dxa"/>
          </w:tcPr>
          <w:p>
            <w:pPr>
              <w:pStyle w:val="2"/>
              <w:rPr>
                <w:rFonts w:hint="eastAsia"/>
                <w:vertAlign w:val="baseline"/>
                <w:lang w:val="en-US" w:eastAsia="zh-CN"/>
              </w:rPr>
            </w:pPr>
          </w:p>
        </w:tc>
        <w:tc>
          <w:tcPr>
            <w:tcW w:w="1749" w:type="dxa"/>
          </w:tcPr>
          <w:p>
            <w:pPr>
              <w:pStyle w:val="2"/>
              <w:rPr>
                <w:rFonts w:hint="eastAsia"/>
                <w:vertAlign w:val="baseline"/>
                <w:lang w:val="en-US" w:eastAsia="zh-CN"/>
              </w:rPr>
            </w:pPr>
          </w:p>
        </w:tc>
        <w:tc>
          <w:tcPr>
            <w:tcW w:w="1253" w:type="dxa"/>
          </w:tcPr>
          <w:p>
            <w:pPr>
              <w:pStyle w:val="2"/>
              <w:rPr>
                <w:rFonts w:hint="eastAsia"/>
                <w:vertAlign w:val="baseline"/>
                <w:lang w:val="en-US" w:eastAsia="zh-CN"/>
              </w:rPr>
            </w:pPr>
          </w:p>
        </w:tc>
      </w:tr>
    </w:tbl>
    <w:p>
      <w:pPr>
        <w:pStyle w:val="2"/>
        <w:jc w:val="both"/>
        <w:rPr>
          <w:rFonts w:hint="eastAsia"/>
          <w:lang w:val="en-US" w:eastAsia="zh-CN"/>
        </w:rPr>
      </w:pPr>
    </w:p>
    <w:p>
      <w:pPr>
        <w:pStyle w:val="13"/>
        <w:ind w:left="4182"/>
      </w:pPr>
      <w:r>
        <w:t>供应商名称：（填写名称并盖章）</w:t>
      </w:r>
    </w:p>
    <w:p>
      <w:pPr>
        <w:pStyle w:val="13"/>
        <w:spacing w:before="160" w:line="364" w:lineRule="auto"/>
        <w:ind w:left="4182" w:right="1543"/>
      </w:pPr>
      <w:r>
        <w:t>法定代表人及授权委托人：（签字或盖章） 日期：</w:t>
      </w:r>
      <w:bookmarkStart w:id="210" w:name="_Toc7783"/>
    </w:p>
    <w:p>
      <w:pPr>
        <w:pStyle w:val="13"/>
        <w:spacing w:before="160" w:line="364" w:lineRule="auto"/>
        <w:ind w:left="4182" w:right="1543"/>
      </w:pPr>
    </w:p>
    <w:p>
      <w:pPr>
        <w:pStyle w:val="13"/>
        <w:spacing w:before="160" w:line="364" w:lineRule="auto"/>
        <w:ind w:left="4182" w:right="1543"/>
      </w:pPr>
    </w:p>
    <w:p>
      <w:pPr>
        <w:pStyle w:val="13"/>
        <w:spacing w:before="160" w:line="364" w:lineRule="auto"/>
        <w:ind w:left="4182" w:right="1543"/>
      </w:pPr>
    </w:p>
    <w:p>
      <w:pPr>
        <w:pStyle w:val="13"/>
        <w:spacing w:before="160" w:line="364" w:lineRule="auto"/>
        <w:ind w:left="4182" w:right="1543"/>
      </w:pPr>
    </w:p>
    <w:p>
      <w:pPr>
        <w:pStyle w:val="13"/>
        <w:spacing w:before="160" w:line="364" w:lineRule="auto"/>
        <w:ind w:left="4182" w:right="1543"/>
      </w:pPr>
    </w:p>
    <w:p>
      <w:pPr>
        <w:pStyle w:val="13"/>
        <w:spacing w:before="160" w:line="364" w:lineRule="auto"/>
        <w:ind w:left="4182" w:right="1543"/>
      </w:pPr>
    </w:p>
    <w:p>
      <w:pPr>
        <w:pStyle w:val="13"/>
        <w:spacing w:before="160" w:line="364" w:lineRule="auto"/>
        <w:ind w:right="1543"/>
        <w:jc w:val="center"/>
        <w:rPr>
          <w:rFonts w:hint="eastAsia" w:ascii="宋体" w:hAnsi="宋体" w:eastAsia="宋体" w:cs="宋体"/>
          <w:b/>
          <w:bCs/>
          <w:sz w:val="32"/>
          <w:szCs w:val="32"/>
          <w:lang w:val="zh-CN" w:eastAsia="zh-CN" w:bidi="zh-CN"/>
        </w:rPr>
      </w:pPr>
      <w:r>
        <w:rPr>
          <w:rFonts w:hint="eastAsia" w:ascii="宋体" w:hAnsi="宋体" w:eastAsia="宋体" w:cs="宋体"/>
          <w:b/>
          <w:bCs/>
          <w:sz w:val="32"/>
          <w:szCs w:val="32"/>
          <w:lang w:val="zh-CN" w:eastAsia="zh-CN" w:bidi="zh-CN"/>
        </w:rPr>
        <w:t>十</w:t>
      </w:r>
      <w:r>
        <w:rPr>
          <w:rFonts w:hint="eastAsia" w:ascii="宋体" w:hAnsi="宋体" w:eastAsia="宋体" w:cs="宋体"/>
          <w:b/>
          <w:bCs/>
          <w:sz w:val="32"/>
          <w:szCs w:val="32"/>
          <w:lang w:val="en-US" w:eastAsia="zh-CN" w:bidi="zh-CN"/>
        </w:rPr>
        <w:t>一</w:t>
      </w:r>
      <w:r>
        <w:rPr>
          <w:rFonts w:hint="eastAsia" w:ascii="宋体" w:hAnsi="宋体" w:eastAsia="宋体" w:cs="宋体"/>
          <w:b/>
          <w:bCs/>
          <w:sz w:val="32"/>
          <w:szCs w:val="32"/>
          <w:lang w:val="zh-CN" w:eastAsia="zh-CN" w:bidi="zh-CN"/>
        </w:rPr>
        <w:t>、供应商类似项目业绩一览表</w:t>
      </w:r>
      <w:bookmarkEnd w:id="210"/>
    </w:p>
    <w:p>
      <w:pPr>
        <w:pStyle w:val="13"/>
        <w:spacing w:before="4"/>
        <w:rPr>
          <w:b/>
          <w:sz w:val="6"/>
        </w:rPr>
      </w:pPr>
    </w:p>
    <w:tbl>
      <w:tblPr>
        <w:tblStyle w:val="22"/>
        <w:tblW w:w="0" w:type="auto"/>
        <w:tblInd w:w="7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9"/>
        <w:gridCol w:w="1800"/>
        <w:gridCol w:w="1466"/>
        <w:gridCol w:w="1465"/>
        <w:gridCol w:w="1858"/>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79" w:type="dxa"/>
          </w:tcPr>
          <w:p>
            <w:pPr>
              <w:pStyle w:val="28"/>
              <w:spacing w:before="166"/>
              <w:ind w:left="390"/>
              <w:rPr>
                <w:b/>
                <w:sz w:val="21"/>
              </w:rPr>
            </w:pPr>
            <w:r>
              <w:rPr>
                <w:b/>
                <w:sz w:val="21"/>
              </w:rPr>
              <w:t>日期</w:t>
            </w:r>
          </w:p>
        </w:tc>
        <w:tc>
          <w:tcPr>
            <w:tcW w:w="1800" w:type="dxa"/>
          </w:tcPr>
          <w:p>
            <w:pPr>
              <w:pStyle w:val="28"/>
              <w:spacing w:before="166"/>
              <w:ind w:left="299"/>
              <w:rPr>
                <w:b/>
                <w:sz w:val="21"/>
              </w:rPr>
            </w:pPr>
            <w:r>
              <w:rPr>
                <w:b/>
                <w:sz w:val="21"/>
              </w:rPr>
              <w:t>单位名称</w:t>
            </w:r>
          </w:p>
        </w:tc>
        <w:tc>
          <w:tcPr>
            <w:tcW w:w="1466" w:type="dxa"/>
          </w:tcPr>
          <w:p>
            <w:pPr>
              <w:pStyle w:val="28"/>
              <w:spacing w:before="166"/>
              <w:ind w:left="239"/>
              <w:rPr>
                <w:b/>
                <w:sz w:val="21"/>
              </w:rPr>
            </w:pPr>
            <w:r>
              <w:rPr>
                <w:b/>
                <w:sz w:val="21"/>
              </w:rPr>
              <w:t>项目名称</w:t>
            </w:r>
          </w:p>
        </w:tc>
        <w:tc>
          <w:tcPr>
            <w:tcW w:w="1465" w:type="dxa"/>
          </w:tcPr>
          <w:p>
            <w:pPr>
              <w:pStyle w:val="28"/>
              <w:spacing w:before="166"/>
              <w:ind w:left="160"/>
              <w:rPr>
                <w:b/>
                <w:sz w:val="21"/>
              </w:rPr>
            </w:pPr>
            <w:r>
              <w:rPr>
                <w:rFonts w:hint="eastAsia"/>
                <w:b/>
                <w:sz w:val="21"/>
                <w:lang w:eastAsia="zh-CN"/>
              </w:rPr>
              <w:t>服务</w:t>
            </w:r>
            <w:r>
              <w:rPr>
                <w:b/>
                <w:sz w:val="21"/>
              </w:rPr>
              <w:t>时间</w:t>
            </w:r>
          </w:p>
        </w:tc>
        <w:tc>
          <w:tcPr>
            <w:tcW w:w="1858" w:type="dxa"/>
          </w:tcPr>
          <w:p>
            <w:pPr>
              <w:pStyle w:val="28"/>
              <w:spacing w:before="166"/>
              <w:ind w:left="261"/>
              <w:rPr>
                <w:b/>
                <w:sz w:val="21"/>
              </w:rPr>
            </w:pPr>
            <w:r>
              <w:rPr>
                <w:b/>
                <w:sz w:val="21"/>
              </w:rPr>
              <w:t>合同金额</w:t>
            </w:r>
          </w:p>
        </w:tc>
        <w:tc>
          <w:tcPr>
            <w:tcW w:w="1696" w:type="dxa"/>
            <w:tcBorders>
              <w:left w:val="single" w:color="000000" w:sz="6" w:space="0"/>
            </w:tcBorders>
          </w:tcPr>
          <w:p>
            <w:pPr>
              <w:pStyle w:val="28"/>
              <w:spacing w:before="166"/>
              <w:ind w:left="301"/>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79" w:type="dxa"/>
          </w:tcPr>
          <w:p>
            <w:pPr>
              <w:pStyle w:val="28"/>
              <w:rPr>
                <w:rFonts w:ascii="Times New Roman"/>
                <w:sz w:val="24"/>
              </w:rPr>
            </w:pPr>
          </w:p>
        </w:tc>
        <w:tc>
          <w:tcPr>
            <w:tcW w:w="1800" w:type="dxa"/>
          </w:tcPr>
          <w:p>
            <w:pPr>
              <w:pStyle w:val="28"/>
              <w:rPr>
                <w:rFonts w:ascii="Times New Roman"/>
                <w:sz w:val="24"/>
              </w:rPr>
            </w:pPr>
          </w:p>
        </w:tc>
        <w:tc>
          <w:tcPr>
            <w:tcW w:w="1466" w:type="dxa"/>
          </w:tcPr>
          <w:p>
            <w:pPr>
              <w:pStyle w:val="28"/>
              <w:rPr>
                <w:rFonts w:ascii="Times New Roman"/>
                <w:sz w:val="24"/>
              </w:rPr>
            </w:pPr>
          </w:p>
        </w:tc>
        <w:tc>
          <w:tcPr>
            <w:tcW w:w="1465" w:type="dxa"/>
          </w:tcPr>
          <w:p>
            <w:pPr>
              <w:pStyle w:val="28"/>
              <w:rPr>
                <w:rFonts w:ascii="Times New Roman"/>
                <w:sz w:val="24"/>
              </w:rPr>
            </w:pPr>
          </w:p>
        </w:tc>
        <w:tc>
          <w:tcPr>
            <w:tcW w:w="1858" w:type="dxa"/>
          </w:tcPr>
          <w:p>
            <w:pPr>
              <w:pStyle w:val="28"/>
              <w:rPr>
                <w:rFonts w:ascii="Times New Roman"/>
                <w:sz w:val="24"/>
              </w:rPr>
            </w:pPr>
          </w:p>
        </w:tc>
        <w:tc>
          <w:tcPr>
            <w:tcW w:w="1696" w:type="dxa"/>
            <w:tcBorders>
              <w:left w:val="single" w:color="000000" w:sz="6" w:space="0"/>
            </w:tcBorders>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79" w:type="dxa"/>
          </w:tcPr>
          <w:p>
            <w:pPr>
              <w:pStyle w:val="28"/>
              <w:rPr>
                <w:rFonts w:ascii="Times New Roman"/>
                <w:sz w:val="24"/>
              </w:rPr>
            </w:pPr>
          </w:p>
        </w:tc>
        <w:tc>
          <w:tcPr>
            <w:tcW w:w="1800" w:type="dxa"/>
          </w:tcPr>
          <w:p>
            <w:pPr>
              <w:pStyle w:val="28"/>
              <w:rPr>
                <w:rFonts w:ascii="Times New Roman"/>
                <w:sz w:val="24"/>
              </w:rPr>
            </w:pPr>
          </w:p>
        </w:tc>
        <w:tc>
          <w:tcPr>
            <w:tcW w:w="1466" w:type="dxa"/>
          </w:tcPr>
          <w:p>
            <w:pPr>
              <w:pStyle w:val="28"/>
              <w:rPr>
                <w:rFonts w:ascii="Times New Roman"/>
                <w:sz w:val="24"/>
              </w:rPr>
            </w:pPr>
          </w:p>
        </w:tc>
        <w:tc>
          <w:tcPr>
            <w:tcW w:w="1465" w:type="dxa"/>
          </w:tcPr>
          <w:p>
            <w:pPr>
              <w:pStyle w:val="28"/>
              <w:rPr>
                <w:rFonts w:ascii="Times New Roman"/>
                <w:sz w:val="24"/>
              </w:rPr>
            </w:pPr>
          </w:p>
        </w:tc>
        <w:tc>
          <w:tcPr>
            <w:tcW w:w="1858" w:type="dxa"/>
          </w:tcPr>
          <w:p>
            <w:pPr>
              <w:pStyle w:val="28"/>
              <w:rPr>
                <w:rFonts w:ascii="Times New Roman"/>
                <w:sz w:val="24"/>
              </w:rPr>
            </w:pPr>
          </w:p>
        </w:tc>
        <w:tc>
          <w:tcPr>
            <w:tcW w:w="1696" w:type="dxa"/>
            <w:tcBorders>
              <w:left w:val="single" w:color="000000" w:sz="6" w:space="0"/>
            </w:tcBorders>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79" w:type="dxa"/>
          </w:tcPr>
          <w:p>
            <w:pPr>
              <w:pStyle w:val="28"/>
              <w:rPr>
                <w:rFonts w:ascii="Times New Roman"/>
                <w:sz w:val="24"/>
              </w:rPr>
            </w:pPr>
          </w:p>
        </w:tc>
        <w:tc>
          <w:tcPr>
            <w:tcW w:w="1800" w:type="dxa"/>
          </w:tcPr>
          <w:p>
            <w:pPr>
              <w:pStyle w:val="28"/>
              <w:rPr>
                <w:rFonts w:ascii="Times New Roman"/>
                <w:sz w:val="24"/>
              </w:rPr>
            </w:pPr>
          </w:p>
        </w:tc>
        <w:tc>
          <w:tcPr>
            <w:tcW w:w="1466" w:type="dxa"/>
          </w:tcPr>
          <w:p>
            <w:pPr>
              <w:pStyle w:val="28"/>
              <w:rPr>
                <w:rFonts w:ascii="Times New Roman"/>
                <w:sz w:val="24"/>
              </w:rPr>
            </w:pPr>
          </w:p>
        </w:tc>
        <w:tc>
          <w:tcPr>
            <w:tcW w:w="1465" w:type="dxa"/>
          </w:tcPr>
          <w:p>
            <w:pPr>
              <w:pStyle w:val="28"/>
              <w:rPr>
                <w:rFonts w:ascii="Times New Roman"/>
                <w:sz w:val="24"/>
              </w:rPr>
            </w:pPr>
          </w:p>
        </w:tc>
        <w:tc>
          <w:tcPr>
            <w:tcW w:w="1858" w:type="dxa"/>
          </w:tcPr>
          <w:p>
            <w:pPr>
              <w:pStyle w:val="28"/>
              <w:rPr>
                <w:rFonts w:ascii="Times New Roman"/>
                <w:sz w:val="24"/>
              </w:rPr>
            </w:pPr>
          </w:p>
        </w:tc>
        <w:tc>
          <w:tcPr>
            <w:tcW w:w="1696" w:type="dxa"/>
            <w:tcBorders>
              <w:left w:val="single" w:color="000000" w:sz="6" w:space="0"/>
            </w:tcBorders>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79" w:type="dxa"/>
          </w:tcPr>
          <w:p>
            <w:pPr>
              <w:pStyle w:val="28"/>
              <w:rPr>
                <w:rFonts w:ascii="Times New Roman"/>
                <w:sz w:val="24"/>
              </w:rPr>
            </w:pPr>
          </w:p>
        </w:tc>
        <w:tc>
          <w:tcPr>
            <w:tcW w:w="1800" w:type="dxa"/>
          </w:tcPr>
          <w:p>
            <w:pPr>
              <w:pStyle w:val="28"/>
              <w:rPr>
                <w:rFonts w:ascii="Times New Roman"/>
                <w:sz w:val="24"/>
              </w:rPr>
            </w:pPr>
          </w:p>
        </w:tc>
        <w:tc>
          <w:tcPr>
            <w:tcW w:w="1466" w:type="dxa"/>
          </w:tcPr>
          <w:p>
            <w:pPr>
              <w:pStyle w:val="28"/>
              <w:rPr>
                <w:rFonts w:ascii="Times New Roman"/>
                <w:sz w:val="24"/>
              </w:rPr>
            </w:pPr>
          </w:p>
        </w:tc>
        <w:tc>
          <w:tcPr>
            <w:tcW w:w="1465" w:type="dxa"/>
          </w:tcPr>
          <w:p>
            <w:pPr>
              <w:pStyle w:val="28"/>
              <w:rPr>
                <w:rFonts w:ascii="Times New Roman"/>
                <w:sz w:val="24"/>
              </w:rPr>
            </w:pPr>
          </w:p>
        </w:tc>
        <w:tc>
          <w:tcPr>
            <w:tcW w:w="1858" w:type="dxa"/>
          </w:tcPr>
          <w:p>
            <w:pPr>
              <w:pStyle w:val="28"/>
              <w:rPr>
                <w:rFonts w:ascii="Times New Roman"/>
                <w:sz w:val="24"/>
              </w:rPr>
            </w:pPr>
          </w:p>
        </w:tc>
        <w:tc>
          <w:tcPr>
            <w:tcW w:w="1696"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79" w:type="dxa"/>
          </w:tcPr>
          <w:p>
            <w:pPr>
              <w:pStyle w:val="28"/>
              <w:rPr>
                <w:rFonts w:ascii="Times New Roman"/>
                <w:sz w:val="24"/>
              </w:rPr>
            </w:pPr>
          </w:p>
        </w:tc>
        <w:tc>
          <w:tcPr>
            <w:tcW w:w="1800" w:type="dxa"/>
          </w:tcPr>
          <w:p>
            <w:pPr>
              <w:pStyle w:val="28"/>
              <w:rPr>
                <w:rFonts w:ascii="Times New Roman"/>
                <w:sz w:val="24"/>
              </w:rPr>
            </w:pPr>
          </w:p>
        </w:tc>
        <w:tc>
          <w:tcPr>
            <w:tcW w:w="1466" w:type="dxa"/>
          </w:tcPr>
          <w:p>
            <w:pPr>
              <w:pStyle w:val="28"/>
              <w:rPr>
                <w:rFonts w:ascii="Times New Roman"/>
                <w:sz w:val="24"/>
              </w:rPr>
            </w:pPr>
          </w:p>
        </w:tc>
        <w:tc>
          <w:tcPr>
            <w:tcW w:w="1465" w:type="dxa"/>
          </w:tcPr>
          <w:p>
            <w:pPr>
              <w:pStyle w:val="28"/>
              <w:rPr>
                <w:rFonts w:ascii="Times New Roman"/>
                <w:sz w:val="24"/>
              </w:rPr>
            </w:pPr>
          </w:p>
        </w:tc>
        <w:tc>
          <w:tcPr>
            <w:tcW w:w="1858" w:type="dxa"/>
          </w:tcPr>
          <w:p>
            <w:pPr>
              <w:pStyle w:val="28"/>
              <w:rPr>
                <w:rFonts w:ascii="Times New Roman"/>
                <w:sz w:val="24"/>
              </w:rPr>
            </w:pPr>
          </w:p>
        </w:tc>
        <w:tc>
          <w:tcPr>
            <w:tcW w:w="1696"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79" w:type="dxa"/>
          </w:tcPr>
          <w:p>
            <w:pPr>
              <w:pStyle w:val="28"/>
              <w:rPr>
                <w:rFonts w:ascii="Times New Roman"/>
                <w:sz w:val="24"/>
              </w:rPr>
            </w:pPr>
          </w:p>
        </w:tc>
        <w:tc>
          <w:tcPr>
            <w:tcW w:w="1800" w:type="dxa"/>
          </w:tcPr>
          <w:p>
            <w:pPr>
              <w:pStyle w:val="28"/>
              <w:rPr>
                <w:rFonts w:ascii="Times New Roman"/>
                <w:sz w:val="24"/>
              </w:rPr>
            </w:pPr>
          </w:p>
        </w:tc>
        <w:tc>
          <w:tcPr>
            <w:tcW w:w="1466" w:type="dxa"/>
          </w:tcPr>
          <w:p>
            <w:pPr>
              <w:pStyle w:val="28"/>
              <w:rPr>
                <w:rFonts w:ascii="Times New Roman"/>
                <w:sz w:val="24"/>
              </w:rPr>
            </w:pPr>
          </w:p>
        </w:tc>
        <w:tc>
          <w:tcPr>
            <w:tcW w:w="1465" w:type="dxa"/>
          </w:tcPr>
          <w:p>
            <w:pPr>
              <w:pStyle w:val="28"/>
              <w:rPr>
                <w:rFonts w:ascii="Times New Roman"/>
                <w:sz w:val="24"/>
              </w:rPr>
            </w:pPr>
          </w:p>
        </w:tc>
        <w:tc>
          <w:tcPr>
            <w:tcW w:w="1858" w:type="dxa"/>
          </w:tcPr>
          <w:p>
            <w:pPr>
              <w:pStyle w:val="28"/>
              <w:rPr>
                <w:rFonts w:ascii="Times New Roman"/>
                <w:sz w:val="24"/>
              </w:rPr>
            </w:pPr>
          </w:p>
        </w:tc>
        <w:tc>
          <w:tcPr>
            <w:tcW w:w="1696"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79" w:type="dxa"/>
          </w:tcPr>
          <w:p>
            <w:pPr>
              <w:pStyle w:val="28"/>
              <w:rPr>
                <w:rFonts w:ascii="Times New Roman"/>
                <w:sz w:val="24"/>
              </w:rPr>
            </w:pPr>
          </w:p>
        </w:tc>
        <w:tc>
          <w:tcPr>
            <w:tcW w:w="1800" w:type="dxa"/>
          </w:tcPr>
          <w:p>
            <w:pPr>
              <w:pStyle w:val="28"/>
              <w:rPr>
                <w:rFonts w:ascii="Times New Roman"/>
                <w:sz w:val="24"/>
              </w:rPr>
            </w:pPr>
          </w:p>
        </w:tc>
        <w:tc>
          <w:tcPr>
            <w:tcW w:w="1466" w:type="dxa"/>
          </w:tcPr>
          <w:p>
            <w:pPr>
              <w:pStyle w:val="28"/>
              <w:rPr>
                <w:rFonts w:ascii="Times New Roman"/>
                <w:sz w:val="24"/>
              </w:rPr>
            </w:pPr>
          </w:p>
        </w:tc>
        <w:tc>
          <w:tcPr>
            <w:tcW w:w="1465" w:type="dxa"/>
          </w:tcPr>
          <w:p>
            <w:pPr>
              <w:pStyle w:val="28"/>
              <w:rPr>
                <w:rFonts w:ascii="Times New Roman"/>
                <w:sz w:val="24"/>
              </w:rPr>
            </w:pPr>
          </w:p>
        </w:tc>
        <w:tc>
          <w:tcPr>
            <w:tcW w:w="1858" w:type="dxa"/>
          </w:tcPr>
          <w:p>
            <w:pPr>
              <w:pStyle w:val="28"/>
              <w:rPr>
                <w:rFonts w:ascii="Times New Roman"/>
                <w:sz w:val="24"/>
              </w:rPr>
            </w:pPr>
          </w:p>
        </w:tc>
        <w:tc>
          <w:tcPr>
            <w:tcW w:w="1696" w:type="dxa"/>
          </w:tcPr>
          <w:p>
            <w:pPr>
              <w:pStyle w:val="2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79" w:type="dxa"/>
          </w:tcPr>
          <w:p>
            <w:pPr>
              <w:pStyle w:val="28"/>
              <w:rPr>
                <w:rFonts w:ascii="Times New Roman"/>
                <w:sz w:val="24"/>
              </w:rPr>
            </w:pPr>
          </w:p>
        </w:tc>
        <w:tc>
          <w:tcPr>
            <w:tcW w:w="1800" w:type="dxa"/>
          </w:tcPr>
          <w:p>
            <w:pPr>
              <w:pStyle w:val="28"/>
              <w:rPr>
                <w:rFonts w:ascii="Times New Roman"/>
                <w:sz w:val="24"/>
              </w:rPr>
            </w:pPr>
          </w:p>
        </w:tc>
        <w:tc>
          <w:tcPr>
            <w:tcW w:w="1466" w:type="dxa"/>
          </w:tcPr>
          <w:p>
            <w:pPr>
              <w:pStyle w:val="28"/>
              <w:rPr>
                <w:rFonts w:ascii="Times New Roman"/>
                <w:sz w:val="24"/>
              </w:rPr>
            </w:pPr>
          </w:p>
        </w:tc>
        <w:tc>
          <w:tcPr>
            <w:tcW w:w="1465" w:type="dxa"/>
          </w:tcPr>
          <w:p>
            <w:pPr>
              <w:pStyle w:val="28"/>
              <w:rPr>
                <w:rFonts w:ascii="Times New Roman"/>
                <w:sz w:val="24"/>
              </w:rPr>
            </w:pPr>
          </w:p>
        </w:tc>
        <w:tc>
          <w:tcPr>
            <w:tcW w:w="1858" w:type="dxa"/>
          </w:tcPr>
          <w:p>
            <w:pPr>
              <w:pStyle w:val="28"/>
              <w:rPr>
                <w:rFonts w:ascii="Times New Roman"/>
                <w:sz w:val="24"/>
              </w:rPr>
            </w:pPr>
          </w:p>
        </w:tc>
        <w:tc>
          <w:tcPr>
            <w:tcW w:w="1696" w:type="dxa"/>
          </w:tcPr>
          <w:p>
            <w:pPr>
              <w:pStyle w:val="28"/>
              <w:rPr>
                <w:rFonts w:ascii="Times New Roman"/>
                <w:sz w:val="24"/>
              </w:rPr>
            </w:pPr>
          </w:p>
        </w:tc>
      </w:tr>
    </w:tbl>
    <w:p>
      <w:pPr>
        <w:pStyle w:val="13"/>
        <w:rPr>
          <w:rFonts w:hint="default" w:ascii="宋体" w:hAnsi="宋体" w:eastAsia="宋体" w:cs="宋体"/>
          <w:b w:val="0"/>
          <w:bCs w:val="0"/>
          <w:sz w:val="24"/>
          <w:szCs w:val="24"/>
          <w:lang w:val="en-US" w:eastAsia="zh-CN" w:bidi="zh-CN"/>
        </w:rPr>
      </w:pPr>
      <w:r>
        <w:rPr>
          <w:rFonts w:hint="eastAsia" w:ascii="宋体" w:hAnsi="宋体" w:eastAsia="宋体" w:cs="宋体"/>
          <w:b w:val="0"/>
          <w:bCs w:val="0"/>
          <w:sz w:val="24"/>
          <w:szCs w:val="24"/>
          <w:lang w:val="en-US" w:eastAsia="zh-CN" w:bidi="zh-CN"/>
        </w:rPr>
        <w:t>注：供应商以上业绩需提供有关书面证明材料。“合同金额”需提供合同复印件。</w:t>
      </w:r>
    </w:p>
    <w:p>
      <w:pPr>
        <w:pStyle w:val="13"/>
        <w:spacing w:before="3"/>
        <w:rPr>
          <w:b/>
          <w:sz w:val="49"/>
        </w:rPr>
      </w:pPr>
    </w:p>
    <w:p>
      <w:pPr>
        <w:pStyle w:val="13"/>
        <w:ind w:left="4062"/>
      </w:pPr>
      <w:r>
        <w:t>供应商：（填写名称并盖章）</w:t>
      </w:r>
    </w:p>
    <w:p>
      <w:pPr>
        <w:pStyle w:val="13"/>
        <w:spacing w:before="158" w:line="364" w:lineRule="auto"/>
        <w:ind w:left="4062" w:right="2383"/>
      </w:pPr>
      <w:r>
        <w:t>法定代表人或授权委托人：（签字） 日期：</w:t>
      </w:r>
    </w:p>
    <w:p>
      <w:pPr>
        <w:spacing w:line="364" w:lineRule="auto"/>
        <w:sectPr>
          <w:pgSz w:w="11910" w:h="16840"/>
          <w:pgMar w:top="1480" w:right="760" w:bottom="980" w:left="860" w:header="0" w:footer="776" w:gutter="0"/>
          <w:cols w:space="720" w:num="1"/>
        </w:sectPr>
      </w:pPr>
    </w:p>
    <w:p>
      <w:pPr>
        <w:pStyle w:val="4"/>
        <w:spacing w:before="26"/>
        <w:ind w:right="97"/>
      </w:pPr>
      <w:bookmarkStart w:id="211" w:name="十一、反商业贿赂承诺书"/>
      <w:bookmarkEnd w:id="211"/>
      <w:bookmarkStart w:id="212" w:name="_Toc20035"/>
      <w:r>
        <w:t>十</w:t>
      </w:r>
      <w:r>
        <w:rPr>
          <w:rFonts w:hint="eastAsia"/>
          <w:lang w:val="en-US" w:eastAsia="zh-CN"/>
        </w:rPr>
        <w:t>二</w:t>
      </w:r>
      <w:r>
        <w:t>、反商业贿赂承诺书</w:t>
      </w:r>
      <w:bookmarkEnd w:id="212"/>
    </w:p>
    <w:p>
      <w:pPr>
        <w:pStyle w:val="13"/>
        <w:spacing w:before="1"/>
        <w:rPr>
          <w:b/>
          <w:sz w:val="31"/>
        </w:rPr>
      </w:pPr>
    </w:p>
    <w:p>
      <w:pPr>
        <w:ind w:left="222"/>
        <w:rPr>
          <w:b/>
          <w:sz w:val="28"/>
        </w:rPr>
      </w:pPr>
      <w:r>
        <w:rPr>
          <w:b/>
          <w:sz w:val="28"/>
        </w:rPr>
        <w:t>致:</w:t>
      </w:r>
      <w:r>
        <w:rPr>
          <w:rFonts w:hint="eastAsia"/>
          <w:b/>
          <w:sz w:val="28"/>
        </w:rPr>
        <w:t>儋州市人民检察院</w:t>
      </w:r>
    </w:p>
    <w:p>
      <w:pPr>
        <w:pStyle w:val="13"/>
        <w:tabs>
          <w:tab w:val="left" w:pos="5502"/>
        </w:tabs>
        <w:spacing w:before="212" w:line="364" w:lineRule="auto"/>
        <w:ind w:left="702" w:right="943"/>
      </w:pPr>
      <w:r>
        <w:t>我公司郑重承诺在磋商</w:t>
      </w:r>
      <w:r>
        <w:rPr>
          <w:u w:val="single"/>
        </w:rPr>
        <w:t xml:space="preserve"> </w:t>
      </w:r>
      <w:r>
        <w:rPr>
          <w:u w:val="single"/>
        </w:rPr>
        <w:tab/>
      </w:r>
      <w:r>
        <w:t>项目采购活动中，我公司保证做到</w:t>
      </w:r>
      <w:r>
        <w:rPr>
          <w:spacing w:val="-19"/>
        </w:rPr>
        <w:t xml:space="preserve">： </w:t>
      </w:r>
      <w:r>
        <w:t>一、公平竞争参加本磋商项目。</w:t>
      </w:r>
    </w:p>
    <w:p>
      <w:pPr>
        <w:pStyle w:val="13"/>
        <w:spacing w:before="1" w:line="364" w:lineRule="auto"/>
        <w:ind w:left="222" w:right="223" w:firstLine="480"/>
      </w:pPr>
      <w:r>
        <w:rPr>
          <w:spacing w:val="-9"/>
        </w:rPr>
        <w:t>二、杜绝任何形式的商业贿赂行为。不向国家工作人员、政府采购代理机构工作人员、评</w:t>
      </w:r>
      <w:r>
        <w:rPr>
          <w:spacing w:val="-10"/>
        </w:rPr>
        <w:t>审专家及其亲属提供礼品礼金、有价证券、购物券、回扣、佣金、咨询费、劳务费、赞助费、</w:t>
      </w:r>
      <w:r>
        <w:t>宣传费和宴请等；不为其报销各种消费凭证，不支付其旅游、娱乐等费用。</w:t>
      </w:r>
    </w:p>
    <w:p>
      <w:pPr>
        <w:pStyle w:val="13"/>
        <w:spacing w:before="2" w:line="364" w:lineRule="auto"/>
        <w:ind w:left="222" w:right="322" w:firstLine="480"/>
      </w:pPr>
      <w:r>
        <w:rPr>
          <w:spacing w:val="-12"/>
        </w:rPr>
        <w:t>三、若出现上述行为，我公司及参与磋商的工作人员愿意接受按照国家法律法规等有关规</w:t>
      </w:r>
      <w:r>
        <w:t>定给予的处罚。</w:t>
      </w:r>
    </w:p>
    <w:p>
      <w:pPr>
        <w:pStyle w:val="13"/>
      </w:pPr>
    </w:p>
    <w:p>
      <w:pPr>
        <w:pStyle w:val="13"/>
      </w:pPr>
    </w:p>
    <w:p>
      <w:pPr>
        <w:pStyle w:val="13"/>
      </w:pPr>
    </w:p>
    <w:p>
      <w:pPr>
        <w:pStyle w:val="13"/>
      </w:pPr>
    </w:p>
    <w:p>
      <w:pPr>
        <w:pStyle w:val="13"/>
        <w:spacing w:before="8"/>
        <w:rPr>
          <w:sz w:val="19"/>
        </w:rPr>
      </w:pPr>
    </w:p>
    <w:p>
      <w:pPr>
        <w:pStyle w:val="13"/>
        <w:ind w:left="4062"/>
      </w:pPr>
      <w:r>
        <w:t>供应商：（填写名称并盖章）</w:t>
      </w:r>
    </w:p>
    <w:p>
      <w:pPr>
        <w:pStyle w:val="13"/>
        <w:spacing w:before="161" w:line="362" w:lineRule="auto"/>
        <w:ind w:left="4062" w:right="2383"/>
        <w:sectPr>
          <w:pgSz w:w="11910" w:h="16840"/>
          <w:pgMar w:top="1500" w:right="760" w:bottom="980" w:left="860" w:header="0" w:footer="776" w:gutter="0"/>
          <w:cols w:space="720" w:num="1"/>
        </w:sectPr>
      </w:pPr>
      <w:r>
        <w:t>法定代表人或授权委托人：（签字） 日期：</w:t>
      </w:r>
    </w:p>
    <w:p>
      <w:pPr>
        <w:pStyle w:val="13"/>
        <w:spacing w:before="3"/>
        <w:rPr>
          <w:sz w:val="20"/>
        </w:rPr>
      </w:pPr>
    </w:p>
    <w:p>
      <w:pPr>
        <w:pStyle w:val="4"/>
      </w:pPr>
      <w:bookmarkStart w:id="213" w:name="十二、小型、微型企业声明函（服务）"/>
      <w:bookmarkEnd w:id="213"/>
      <w:bookmarkStart w:id="214" w:name="_Toc3321"/>
      <w:r>
        <w:t>十</w:t>
      </w:r>
      <w:r>
        <w:rPr>
          <w:rFonts w:hint="eastAsia"/>
          <w:lang w:val="en-US" w:eastAsia="zh-CN"/>
        </w:rPr>
        <w:t>三</w:t>
      </w:r>
      <w:r>
        <w:t>、小型、微型企业声明函（服务）</w:t>
      </w:r>
      <w:bookmarkEnd w:id="214"/>
    </w:p>
    <w:p>
      <w:pPr>
        <w:pStyle w:val="13"/>
        <w:spacing w:before="188"/>
        <w:ind w:left="702"/>
      </w:pPr>
      <w:r>
        <w:rPr>
          <w:spacing w:val="-20"/>
        </w:rPr>
        <w:t>本公司</w:t>
      </w:r>
      <w:r>
        <w:t>（联合体</w:t>
      </w:r>
      <w:r>
        <w:rPr>
          <w:spacing w:val="-58"/>
        </w:rPr>
        <w:t>）</w:t>
      </w:r>
      <w:r>
        <w:rPr>
          <w:spacing w:val="-16"/>
        </w:rPr>
        <w:t>郑重声明，根据《政府采购促进中小企业发展管理办法》</w:t>
      </w:r>
      <w:r>
        <w:t>（财库﹝2020﹞</w:t>
      </w:r>
    </w:p>
    <w:p>
      <w:pPr>
        <w:pStyle w:val="13"/>
        <w:spacing w:before="161" w:line="364" w:lineRule="auto"/>
        <w:ind w:left="222" w:right="320"/>
        <w:jc w:val="both"/>
      </w:pPr>
      <w:r>
        <w:t>46</w:t>
      </w:r>
      <w:r>
        <w:rPr>
          <w:spacing w:val="6"/>
        </w:rPr>
        <w:t xml:space="preserve"> 号</w:t>
      </w:r>
      <w:r>
        <w:t>）的规定，本公司（联合体）参加（单位名称）的（项目名称）</w:t>
      </w:r>
      <w:r>
        <w:rPr>
          <w:spacing w:val="-2"/>
        </w:rPr>
        <w:t>采购活动，工程的施工单位全部为符合政策要求的中小企业</w:t>
      </w:r>
      <w:r>
        <w:t>（</w:t>
      </w:r>
      <w:r>
        <w:rPr>
          <w:spacing w:val="-5"/>
        </w:rPr>
        <w:t>或者：服务全部由符合政策要求的中小企业承接</w:t>
      </w:r>
      <w:r>
        <w:rPr>
          <w:spacing w:val="-24"/>
        </w:rPr>
        <w:t>）</w:t>
      </w:r>
      <w:r>
        <w:rPr>
          <w:spacing w:val="-21"/>
        </w:rPr>
        <w:t>。相</w:t>
      </w:r>
      <w:r>
        <w:t>关企业（含联合体中的中小企业、签订分包意向协议的中小企业）的具体情况如下：</w:t>
      </w:r>
    </w:p>
    <w:p>
      <w:pPr>
        <w:pStyle w:val="13"/>
        <w:spacing w:before="1" w:line="364" w:lineRule="auto"/>
        <w:ind w:left="222" w:right="320" w:firstLine="480"/>
        <w:jc w:val="both"/>
      </w:pPr>
      <w:r>
        <w:t>1</w:t>
      </w:r>
      <w:r>
        <w:rPr>
          <w:spacing w:val="-20"/>
        </w:rPr>
        <w:t>、</w:t>
      </w:r>
      <w:r>
        <w:rPr>
          <w:u w:val="single"/>
        </w:rPr>
        <w:t>（标的名称</w:t>
      </w:r>
      <w:r>
        <w:rPr>
          <w:spacing w:val="-10"/>
          <w:u w:val="single"/>
        </w:rPr>
        <w:t>）</w:t>
      </w:r>
      <w:r>
        <w:rPr>
          <w:spacing w:val="-5"/>
        </w:rPr>
        <w:t>，属于</w:t>
      </w:r>
      <w:r>
        <w:rPr>
          <w:spacing w:val="-10"/>
          <w:u w:val="single"/>
        </w:rPr>
        <w:t xml:space="preserve"> </w:t>
      </w:r>
      <w:r>
        <w:rPr>
          <w:u w:val="single"/>
        </w:rPr>
        <w:t>（采购文件中明确的所属行业）</w:t>
      </w:r>
      <w:r>
        <w:rPr>
          <w:spacing w:val="-7"/>
        </w:rPr>
        <w:t xml:space="preserve"> ； 承建</w:t>
      </w:r>
      <w:r>
        <w:t>（承接</w:t>
      </w:r>
      <w:r>
        <w:rPr>
          <w:spacing w:val="-10"/>
        </w:rPr>
        <w:t>）</w:t>
      </w:r>
      <w:r>
        <w:rPr>
          <w:spacing w:val="-4"/>
        </w:rPr>
        <w:t>企业为</w:t>
      </w:r>
      <w:r>
        <w:rPr>
          <w:u w:val="single"/>
        </w:rPr>
        <w:t>（</w:t>
      </w:r>
      <w:r>
        <w:rPr>
          <w:spacing w:val="-7"/>
          <w:u w:val="single"/>
        </w:rPr>
        <w:t>企业</w:t>
      </w:r>
      <w:r>
        <w:rPr>
          <w:spacing w:val="-220"/>
          <w:u w:val="single"/>
        </w:rPr>
        <w:t>名</w:t>
      </w:r>
      <w:r>
        <w:rPr>
          <w:u w:val="single"/>
        </w:rPr>
        <w:t>称</w:t>
      </w:r>
      <w:r>
        <w:rPr>
          <w:spacing w:val="-32"/>
          <w:u w:val="single"/>
        </w:rPr>
        <w:t>）</w:t>
      </w:r>
      <w:r>
        <w:rPr>
          <w:spacing w:val="-8"/>
        </w:rPr>
        <w:t>，从业人员</w:t>
      </w:r>
      <w:r>
        <w:rPr>
          <w:u w:val="single"/>
        </w:rPr>
        <w:t xml:space="preserve">    </w:t>
      </w:r>
      <w:r>
        <w:rPr>
          <w:spacing w:val="-6"/>
        </w:rPr>
        <w:t>人，营业收入为</w:t>
      </w:r>
      <w:r>
        <w:rPr>
          <w:u w:val="single"/>
        </w:rPr>
        <w:t xml:space="preserve">    </w:t>
      </w:r>
      <w:r>
        <w:rPr>
          <w:spacing w:val="-6"/>
        </w:rPr>
        <w:t>万元，资产总额为</w:t>
      </w:r>
      <w:r>
        <w:rPr>
          <w:u w:val="single"/>
        </w:rPr>
        <w:t xml:space="preserve">   </w:t>
      </w:r>
      <w:r>
        <w:rPr>
          <w:spacing w:val="-14"/>
        </w:rPr>
        <w:t>万元，属于</w:t>
      </w:r>
      <w:r>
        <w:rPr>
          <w:u w:val="single"/>
        </w:rPr>
        <w:t>（</w:t>
      </w:r>
      <w:r>
        <w:rPr>
          <w:spacing w:val="-6"/>
          <w:u w:val="single"/>
        </w:rPr>
        <w:t>中型企业、 小型企业、微型企业）</w:t>
      </w:r>
      <w:r>
        <w:rPr>
          <w:spacing w:val="-6"/>
        </w:rPr>
        <w:t>；</w:t>
      </w:r>
    </w:p>
    <w:p>
      <w:pPr>
        <w:pStyle w:val="13"/>
        <w:spacing w:before="2" w:line="364" w:lineRule="auto"/>
        <w:ind w:left="222" w:right="322" w:firstLine="480"/>
        <w:jc w:val="both"/>
      </w:pPr>
      <w:r>
        <w:t>2、</w:t>
      </w:r>
      <w:r>
        <w:rPr>
          <w:u w:val="single"/>
        </w:rPr>
        <w:t>（标的名称）</w:t>
      </w:r>
      <w:r>
        <w:t>，属于</w:t>
      </w:r>
      <w:r>
        <w:rPr>
          <w:u w:val="single"/>
        </w:rPr>
        <w:t>（采购文件中明确的所属行业）</w:t>
      </w:r>
      <w:r>
        <w:rPr>
          <w:spacing w:val="2"/>
        </w:rPr>
        <w:t xml:space="preserve"> ； 承建</w:t>
      </w:r>
      <w:r>
        <w:t>（承接）企业为</w:t>
      </w:r>
      <w:r>
        <w:rPr>
          <w:u w:val="single"/>
        </w:rPr>
        <w:t>（</w:t>
      </w:r>
      <w:r>
        <w:rPr>
          <w:spacing w:val="-6"/>
          <w:u w:val="single"/>
        </w:rPr>
        <w:t>企业</w:t>
      </w:r>
      <w:r>
        <w:rPr>
          <w:spacing w:val="-220"/>
          <w:u w:val="single"/>
        </w:rPr>
        <w:t>名</w:t>
      </w:r>
      <w:r>
        <w:rPr>
          <w:u w:val="single"/>
        </w:rPr>
        <w:t>称</w:t>
      </w:r>
      <w:r>
        <w:rPr>
          <w:spacing w:val="-15"/>
          <w:u w:val="single"/>
        </w:rPr>
        <w:t>）</w:t>
      </w:r>
      <w:r>
        <w:rPr>
          <w:spacing w:val="-4"/>
        </w:rPr>
        <w:t>，从业人员</w:t>
      </w:r>
      <w:r>
        <w:rPr>
          <w:u w:val="single"/>
        </w:rPr>
        <w:t xml:space="preserve">   </w:t>
      </w:r>
      <w:r>
        <w:rPr>
          <w:spacing w:val="-4"/>
        </w:rPr>
        <w:t>人，营业收入为</w:t>
      </w:r>
      <w:r>
        <w:rPr>
          <w:u w:val="single"/>
        </w:rPr>
        <w:t xml:space="preserve">    </w:t>
      </w:r>
      <w:r>
        <w:rPr>
          <w:spacing w:val="-4"/>
        </w:rPr>
        <w:t>万元，资产总额为</w:t>
      </w:r>
      <w:r>
        <w:rPr>
          <w:u w:val="single"/>
        </w:rPr>
        <w:t xml:space="preserve">    </w:t>
      </w:r>
      <w:r>
        <w:rPr>
          <w:spacing w:val="-7"/>
        </w:rPr>
        <w:t>万元，属于</w:t>
      </w:r>
      <w:r>
        <w:rPr>
          <w:u w:val="single"/>
        </w:rPr>
        <w:t>（</w:t>
      </w:r>
      <w:r>
        <w:rPr>
          <w:spacing w:val="-3"/>
          <w:u w:val="single"/>
        </w:rPr>
        <w:t>中型企业、小型企业、微型企业）</w:t>
      </w:r>
      <w:r>
        <w:rPr>
          <w:spacing w:val="-3"/>
        </w:rPr>
        <w:t>；</w:t>
      </w:r>
    </w:p>
    <w:p>
      <w:pPr>
        <w:pStyle w:val="13"/>
        <w:spacing w:before="2"/>
        <w:ind w:left="702"/>
      </w:pPr>
      <w:r>
        <w:t>......</w:t>
      </w:r>
    </w:p>
    <w:p>
      <w:pPr>
        <w:pStyle w:val="13"/>
        <w:spacing w:before="160" w:line="364" w:lineRule="auto"/>
        <w:ind w:left="222" w:right="583" w:firstLine="480"/>
      </w:pPr>
      <w:r>
        <w:t>以上企业，不属于大企业的分支机构，不存在控股股东 为大企业的情形，也不存在与大企业的负责人为同一人的情形。</w:t>
      </w:r>
    </w:p>
    <w:p>
      <w:pPr>
        <w:pStyle w:val="13"/>
      </w:pPr>
    </w:p>
    <w:p>
      <w:pPr>
        <w:pStyle w:val="13"/>
      </w:pPr>
    </w:p>
    <w:p>
      <w:pPr>
        <w:pStyle w:val="13"/>
      </w:pPr>
    </w:p>
    <w:p>
      <w:pPr>
        <w:pStyle w:val="13"/>
      </w:pPr>
    </w:p>
    <w:p>
      <w:pPr>
        <w:pStyle w:val="13"/>
      </w:pPr>
    </w:p>
    <w:p>
      <w:pPr>
        <w:pStyle w:val="13"/>
        <w:rPr>
          <w:sz w:val="20"/>
        </w:rPr>
      </w:pPr>
    </w:p>
    <w:p>
      <w:pPr>
        <w:pStyle w:val="13"/>
        <w:spacing w:before="1" w:line="304" w:lineRule="auto"/>
        <w:ind w:left="4782" w:right="3822" w:hanging="480"/>
      </w:pPr>
      <w:r>
        <w:t>企业名称：（盖章） 日期：</w:t>
      </w:r>
    </w:p>
    <w:p>
      <w:pPr>
        <w:pStyle w:val="13"/>
      </w:pPr>
    </w:p>
    <w:p>
      <w:pPr>
        <w:pStyle w:val="13"/>
      </w:pPr>
    </w:p>
    <w:p>
      <w:pPr>
        <w:pStyle w:val="13"/>
      </w:pPr>
    </w:p>
    <w:p>
      <w:pPr>
        <w:pStyle w:val="13"/>
      </w:pPr>
    </w:p>
    <w:p>
      <w:pPr>
        <w:pStyle w:val="13"/>
        <w:spacing w:before="3"/>
        <w:rPr>
          <w:sz w:val="21"/>
        </w:rPr>
      </w:pPr>
    </w:p>
    <w:p>
      <w:pPr>
        <w:ind w:left="222"/>
        <w:rPr>
          <w:b/>
          <w:sz w:val="21"/>
        </w:rPr>
      </w:pPr>
      <w:r>
        <w:rPr>
          <w:b/>
          <w:sz w:val="21"/>
        </w:rPr>
        <w:t>注：1、供应商为非中小企业的，可不提供此声明。</w:t>
      </w:r>
    </w:p>
    <w:p>
      <w:pPr>
        <w:pStyle w:val="13"/>
        <w:spacing w:before="7"/>
        <w:rPr>
          <w:b/>
          <w:sz w:val="15"/>
        </w:rPr>
      </w:pPr>
    </w:p>
    <w:p>
      <w:pPr>
        <w:ind w:left="644"/>
        <w:rPr>
          <w:sz w:val="21"/>
        </w:rPr>
        <w:sectPr>
          <w:pgSz w:w="11910" w:h="16840"/>
          <w:pgMar w:top="1580" w:right="760" w:bottom="980" w:left="860" w:header="0" w:footer="776" w:gutter="0"/>
          <w:cols w:space="720" w:num="1"/>
        </w:sectPr>
      </w:pPr>
      <w:r>
        <w:rPr>
          <w:b/>
          <w:sz w:val="21"/>
        </w:rPr>
        <w:t>2、从业人员、营业收入、资产总额填报上一年度数据，无上一年度数据的新成立企业可不填报。</w:t>
      </w:r>
    </w:p>
    <w:p>
      <w:pPr>
        <w:pStyle w:val="13"/>
        <w:spacing w:before="10"/>
        <w:rPr>
          <w:b/>
          <w:sz w:val="16"/>
        </w:rPr>
      </w:pPr>
    </w:p>
    <w:p>
      <w:pPr>
        <w:pStyle w:val="2"/>
        <w:ind w:right="99"/>
      </w:pPr>
      <w:bookmarkStart w:id="215" w:name="监狱企业证明文件"/>
      <w:bookmarkEnd w:id="215"/>
      <w:bookmarkStart w:id="216" w:name="_Toc31657"/>
      <w:r>
        <w:t>监狱企业证明文件</w:t>
      </w:r>
      <w:bookmarkEnd w:id="216"/>
    </w:p>
    <w:p>
      <w:pPr>
        <w:pStyle w:val="13"/>
        <w:rPr>
          <w:b/>
          <w:sz w:val="36"/>
        </w:rPr>
      </w:pPr>
    </w:p>
    <w:p>
      <w:pPr>
        <w:pStyle w:val="13"/>
        <w:spacing w:before="8"/>
        <w:rPr>
          <w:b/>
          <w:sz w:val="50"/>
        </w:rPr>
      </w:pPr>
    </w:p>
    <w:p>
      <w:pPr>
        <w:pStyle w:val="13"/>
        <w:spacing w:before="1" w:line="364" w:lineRule="auto"/>
        <w:ind w:left="222" w:right="322" w:firstLine="720"/>
      </w:pPr>
      <w:r>
        <w:rPr>
          <w:spacing w:val="-6"/>
        </w:rPr>
        <w:t>监狱企业参加政府采购活动时，应当提供由省级以上监狱管理局、戒毒管理局</w:t>
      </w:r>
      <w:r>
        <w:t>（</w:t>
      </w:r>
      <w:r>
        <w:rPr>
          <w:spacing w:val="-6"/>
        </w:rPr>
        <w:t>含新疆</w:t>
      </w:r>
      <w:r>
        <w:t>生产建设兵团）出具的属于监狱企业的证明文件。</w:t>
      </w:r>
    </w:p>
    <w:p>
      <w:pPr>
        <w:pStyle w:val="13"/>
      </w:pPr>
    </w:p>
    <w:p>
      <w:pPr>
        <w:pStyle w:val="13"/>
      </w:pPr>
    </w:p>
    <w:p>
      <w:pPr>
        <w:pStyle w:val="13"/>
        <w:spacing w:before="1"/>
        <w:rPr>
          <w:sz w:val="25"/>
        </w:rPr>
      </w:pPr>
    </w:p>
    <w:p>
      <w:pPr>
        <w:pStyle w:val="13"/>
        <w:spacing w:before="1"/>
        <w:ind w:left="702"/>
      </w:pPr>
      <w:r>
        <w:t>注：</w:t>
      </w:r>
    </w:p>
    <w:p>
      <w:pPr>
        <w:pStyle w:val="27"/>
        <w:numPr>
          <w:ilvl w:val="0"/>
          <w:numId w:val="22"/>
        </w:numPr>
        <w:tabs>
          <w:tab w:val="left" w:pos="943"/>
        </w:tabs>
        <w:spacing w:before="160" w:line="364" w:lineRule="auto"/>
        <w:ind w:right="325" w:firstLine="480"/>
        <w:rPr>
          <w:sz w:val="24"/>
        </w:rPr>
      </w:pPr>
      <w:r>
        <w:rPr>
          <w:spacing w:val="-1"/>
          <w:sz w:val="24"/>
        </w:rPr>
        <w:t>、 在政府采购活动中，监狱企业视同小型、微型企业， 享受预留份额 、扣除等政府</w:t>
      </w:r>
      <w:r>
        <w:rPr>
          <w:sz w:val="24"/>
        </w:rPr>
        <w:t>采购促进中小企业发展的政府采购政策。</w:t>
      </w:r>
    </w:p>
    <w:p>
      <w:pPr>
        <w:pStyle w:val="27"/>
        <w:numPr>
          <w:ilvl w:val="0"/>
          <w:numId w:val="22"/>
        </w:numPr>
        <w:tabs>
          <w:tab w:val="left" w:pos="943"/>
        </w:tabs>
        <w:spacing w:before="1"/>
        <w:ind w:left="942" w:hanging="241"/>
        <w:rPr>
          <w:sz w:val="24"/>
        </w:rPr>
        <w:sectPr>
          <w:pgSz w:w="11910" w:h="16840"/>
          <w:pgMar w:top="1580" w:right="760" w:bottom="980" w:left="860" w:header="0" w:footer="776" w:gutter="0"/>
          <w:cols w:space="720" w:num="1"/>
        </w:sectPr>
      </w:pPr>
      <w:r>
        <w:rPr>
          <w:sz w:val="24"/>
        </w:rPr>
        <w:t>、供应商为非监狱企业的，可不提供此项证明文件。</w:t>
      </w:r>
    </w:p>
    <w:p>
      <w:pPr>
        <w:pStyle w:val="13"/>
        <w:rPr>
          <w:sz w:val="20"/>
        </w:rPr>
      </w:pPr>
    </w:p>
    <w:p>
      <w:pPr>
        <w:pStyle w:val="13"/>
        <w:spacing w:before="9"/>
        <w:rPr>
          <w:sz w:val="21"/>
        </w:rPr>
      </w:pPr>
    </w:p>
    <w:p>
      <w:pPr>
        <w:pStyle w:val="2"/>
        <w:ind w:right="99"/>
      </w:pPr>
      <w:bookmarkStart w:id="217" w:name="残疾人福利性单位声明函"/>
      <w:bookmarkEnd w:id="217"/>
      <w:bookmarkStart w:id="218" w:name="_Toc11792"/>
      <w:r>
        <w:t>残疾人福利性单位声明函</w:t>
      </w:r>
      <w:bookmarkEnd w:id="218"/>
    </w:p>
    <w:p>
      <w:pPr>
        <w:pStyle w:val="13"/>
        <w:spacing w:before="12"/>
        <w:rPr>
          <w:b/>
          <w:sz w:val="43"/>
        </w:rPr>
      </w:pPr>
    </w:p>
    <w:p>
      <w:pPr>
        <w:pStyle w:val="13"/>
        <w:tabs>
          <w:tab w:val="left" w:pos="1422"/>
          <w:tab w:val="left" w:pos="3222"/>
        </w:tabs>
        <w:spacing w:line="364" w:lineRule="auto"/>
        <w:ind w:left="222" w:right="320" w:firstLine="600"/>
        <w:jc w:val="both"/>
      </w:pPr>
      <w:r>
        <w:t>本单位郑重声明，根据《财政部民政部中国残疾人联合会关促进残疾人就业政府采购的通知</w:t>
      </w:r>
      <w:r>
        <w:rPr>
          <w:spacing w:val="-29"/>
        </w:rPr>
        <w:t>》</w:t>
      </w:r>
      <w:r>
        <w:t>（财</w:t>
      </w:r>
      <w:r>
        <w:rPr>
          <w:spacing w:val="-15"/>
        </w:rPr>
        <w:t>库</w:t>
      </w:r>
      <w:r>
        <w:t>〔</w:t>
      </w:r>
      <w:r>
        <w:rPr>
          <w:rFonts w:ascii="Times New Roman" w:eastAsia="Times New Roman"/>
        </w:rPr>
        <w:t>2017</w:t>
      </w:r>
      <w:r>
        <w:rPr>
          <w:spacing w:val="-15"/>
        </w:rPr>
        <w:t>〕</w:t>
      </w:r>
      <w:r>
        <w:rPr>
          <w:rFonts w:ascii="Times New Roman" w:eastAsia="Times New Roman"/>
        </w:rPr>
        <w:t xml:space="preserve">141 </w:t>
      </w:r>
      <w:r>
        <w:t>号</w:t>
      </w:r>
      <w:r>
        <w:rPr>
          <w:spacing w:val="-15"/>
        </w:rPr>
        <w:t>）</w:t>
      </w:r>
      <w:r>
        <w:t>的规定</w:t>
      </w:r>
      <w:r>
        <w:rPr>
          <w:spacing w:val="-15"/>
        </w:rPr>
        <w:t>，</w:t>
      </w:r>
      <w:r>
        <w:t>本单位为符合条件的残疾人福利性单位</w:t>
      </w:r>
      <w:r>
        <w:rPr>
          <w:spacing w:val="-15"/>
        </w:rPr>
        <w:t>，</w:t>
      </w:r>
      <w:r>
        <w:t>且本单位</w:t>
      </w:r>
      <w:r>
        <w:rPr>
          <w:spacing w:val="-12"/>
        </w:rPr>
        <w:t>参</w:t>
      </w:r>
      <w:r>
        <w:t>加</w:t>
      </w:r>
      <w:r>
        <w:rPr>
          <w:u w:val="single"/>
        </w:rPr>
        <w:t xml:space="preserve"> </w:t>
      </w:r>
      <w:r>
        <w:rPr>
          <w:u w:val="single"/>
        </w:rPr>
        <w:tab/>
      </w:r>
      <w:r>
        <w:t>单位的</w:t>
      </w:r>
      <w:r>
        <w:rPr>
          <w:u w:val="single"/>
        </w:rPr>
        <w:t xml:space="preserve"> </w:t>
      </w:r>
      <w:r>
        <w:rPr>
          <w:u w:val="single"/>
        </w:rPr>
        <w:tab/>
      </w:r>
      <w:r>
        <w:t>项目采购活动提供本单位制造的货</w:t>
      </w:r>
      <w:r>
        <w:rPr>
          <w:spacing w:val="-46"/>
        </w:rPr>
        <w:t>物</w:t>
      </w:r>
      <w:r>
        <w:t>（由本单位承担工程</w:t>
      </w:r>
      <w:r>
        <w:rPr>
          <w:rFonts w:ascii="Times New Roman" w:eastAsia="Times New Roman"/>
        </w:rPr>
        <w:t>/</w:t>
      </w:r>
      <w:r>
        <w:t>提供</w:t>
      </w:r>
      <w:r>
        <w:rPr>
          <w:spacing w:val="-17"/>
        </w:rPr>
        <w:t>服</w:t>
      </w:r>
      <w:r>
        <w:t>务</w:t>
      </w:r>
      <w:r>
        <w:rPr>
          <w:spacing w:val="-34"/>
        </w:rPr>
        <w:t>），</w:t>
      </w:r>
      <w:r>
        <w:t>或者提供其他残疾人福利性单位制造的货</w:t>
      </w:r>
      <w:r>
        <w:rPr>
          <w:spacing w:val="-34"/>
        </w:rPr>
        <w:t>物</w:t>
      </w:r>
      <w:r>
        <w:t>（不包括使用非残疾人福利性单位注册商</w:t>
      </w:r>
      <w:r>
        <w:rPr>
          <w:spacing w:val="-14"/>
        </w:rPr>
        <w:t>标</w:t>
      </w:r>
      <w:r>
        <w:t>的货物）。</w:t>
      </w:r>
    </w:p>
    <w:p>
      <w:pPr>
        <w:pStyle w:val="13"/>
        <w:spacing w:line="306" w:lineRule="exact"/>
        <w:ind w:left="702"/>
      </w:pPr>
      <w:r>
        <w:t>本单位对上述声明的真实性负责。如有虚假，将依法承担相应责任。</w:t>
      </w:r>
    </w:p>
    <w:p>
      <w:pPr>
        <w:pStyle w:val="13"/>
      </w:pPr>
    </w:p>
    <w:p>
      <w:pPr>
        <w:pStyle w:val="13"/>
      </w:pPr>
    </w:p>
    <w:p>
      <w:pPr>
        <w:pStyle w:val="13"/>
      </w:pPr>
    </w:p>
    <w:p>
      <w:pPr>
        <w:pStyle w:val="13"/>
      </w:pPr>
    </w:p>
    <w:p>
      <w:pPr>
        <w:pStyle w:val="13"/>
        <w:spacing w:before="5"/>
        <w:rPr>
          <w:sz w:val="19"/>
        </w:rPr>
      </w:pPr>
    </w:p>
    <w:p>
      <w:pPr>
        <w:pStyle w:val="13"/>
        <w:ind w:left="6172"/>
      </w:pPr>
      <w:bookmarkStart w:id="219" w:name="供应商名称（盖章）："/>
      <w:bookmarkEnd w:id="219"/>
      <w:r>
        <w:t>供应商名称（盖章）：</w:t>
      </w:r>
    </w:p>
    <w:p>
      <w:pPr>
        <w:pStyle w:val="13"/>
        <w:spacing w:before="160" w:line="364" w:lineRule="auto"/>
        <w:ind w:left="6172" w:right="391" w:firstLine="2"/>
        <w:sectPr>
          <w:pgSz w:w="11910" w:h="16840"/>
          <w:pgMar w:top="1580" w:right="760" w:bottom="980" w:left="860" w:header="0" w:footer="776" w:gutter="0"/>
          <w:cols w:space="720" w:num="1"/>
        </w:sectPr>
      </w:pPr>
      <w:bookmarkStart w:id="220" w:name="法定代表人及授权委托人(签字）："/>
      <w:bookmarkEnd w:id="220"/>
      <w:r>
        <w:t xml:space="preserve">法定代表人及授权委托人(签字）： </w:t>
      </w:r>
      <w:bookmarkStart w:id="221" w:name="日期："/>
      <w:bookmarkEnd w:id="221"/>
      <w:r>
        <w:t>日期：</w:t>
      </w:r>
    </w:p>
    <w:p>
      <w:pPr>
        <w:pStyle w:val="13"/>
        <w:rPr>
          <w:sz w:val="20"/>
        </w:rPr>
      </w:pPr>
    </w:p>
    <w:p>
      <w:pPr>
        <w:pStyle w:val="4"/>
        <w:spacing w:before="214"/>
      </w:pPr>
      <w:bookmarkStart w:id="222" w:name="_Toc24231"/>
      <w:r>
        <w:t>十</w:t>
      </w:r>
      <w:r>
        <w:rPr>
          <w:rFonts w:hint="eastAsia"/>
          <w:lang w:val="en-US" w:eastAsia="zh-CN"/>
        </w:rPr>
        <w:t>四</w:t>
      </w:r>
      <w:r>
        <w:t>、技术方案</w:t>
      </w:r>
      <w:bookmarkEnd w:id="222"/>
    </w:p>
    <w:p>
      <w:pPr>
        <w:pStyle w:val="8"/>
      </w:pPr>
      <w:r>
        <w:t>（格式自拟）</w:t>
      </w:r>
    </w:p>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2"/>
        <w:rPr>
          <w:rFonts w:cs="Times New Roman"/>
          <w:szCs w:val="32"/>
          <w:lang w:val="en-US" w:bidi="ar-SA"/>
        </w:rPr>
      </w:pPr>
      <w:bookmarkStart w:id="223" w:name="_Toc7425"/>
      <w:bookmarkStart w:id="224" w:name="_Toc24653"/>
      <w:r>
        <w:rPr>
          <w:rFonts w:hint="eastAsia"/>
          <w:lang w:val="en-US"/>
        </w:rPr>
        <w:t>十</w:t>
      </w:r>
      <w:r>
        <w:rPr>
          <w:rFonts w:hint="eastAsia"/>
          <w:lang w:val="en-US" w:eastAsia="zh-CN"/>
        </w:rPr>
        <w:t>五</w:t>
      </w:r>
      <w:r>
        <w:rPr>
          <w:rFonts w:hint="eastAsia"/>
          <w:lang w:val="en-US"/>
        </w:rPr>
        <w:t>、第二次报价（格式）</w:t>
      </w:r>
      <w:bookmarkEnd w:id="223"/>
      <w:bookmarkEnd w:id="224"/>
    </w:p>
    <w:p>
      <w:pPr>
        <w:pStyle w:val="13"/>
        <w:tabs>
          <w:tab w:val="left" w:pos="6846"/>
        </w:tabs>
        <w:spacing w:before="1"/>
        <w:ind w:left="726"/>
      </w:pPr>
      <w:r>
        <w:t>项目编号：</w:t>
      </w:r>
      <w:r>
        <w:tab/>
      </w:r>
      <w:r>
        <w:t>金额单位：元</w:t>
      </w:r>
    </w:p>
    <w:p>
      <w:pPr>
        <w:pStyle w:val="13"/>
        <w:spacing w:before="11"/>
        <w:rPr>
          <w:sz w:val="6"/>
        </w:rPr>
      </w:pPr>
    </w:p>
    <w:tbl>
      <w:tblPr>
        <w:tblStyle w:val="22"/>
        <w:tblW w:w="0" w:type="auto"/>
        <w:tblInd w:w="5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668"/>
        <w:gridCol w:w="6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54" w:type="dxa"/>
          </w:tcPr>
          <w:p>
            <w:pPr>
              <w:pStyle w:val="28"/>
              <w:spacing w:before="10"/>
              <w:rPr>
                <w:sz w:val="25"/>
              </w:rPr>
            </w:pPr>
          </w:p>
          <w:p>
            <w:pPr>
              <w:pStyle w:val="28"/>
              <w:ind w:left="116" w:right="107"/>
              <w:jc w:val="center"/>
              <w:rPr>
                <w:sz w:val="24"/>
              </w:rPr>
            </w:pPr>
            <w:r>
              <w:rPr>
                <w:sz w:val="24"/>
              </w:rPr>
              <w:t>序号</w:t>
            </w:r>
          </w:p>
        </w:tc>
        <w:tc>
          <w:tcPr>
            <w:tcW w:w="1668" w:type="dxa"/>
          </w:tcPr>
          <w:p>
            <w:pPr>
              <w:pStyle w:val="28"/>
              <w:spacing w:before="10"/>
              <w:rPr>
                <w:sz w:val="25"/>
              </w:rPr>
            </w:pPr>
          </w:p>
          <w:p>
            <w:pPr>
              <w:pStyle w:val="28"/>
              <w:ind w:left="352"/>
              <w:rPr>
                <w:sz w:val="24"/>
              </w:rPr>
            </w:pPr>
            <w:r>
              <w:rPr>
                <w:sz w:val="24"/>
              </w:rPr>
              <w:t>项目名称</w:t>
            </w:r>
          </w:p>
        </w:tc>
        <w:tc>
          <w:tcPr>
            <w:tcW w:w="6362" w:type="dxa"/>
          </w:tcPr>
          <w:p>
            <w:pPr>
              <w:pStyle w:val="28"/>
              <w:spacing w:before="10"/>
              <w:rPr>
                <w:sz w:val="25"/>
              </w:rPr>
            </w:pPr>
          </w:p>
          <w:p>
            <w:pPr>
              <w:pStyle w:val="28"/>
              <w:ind w:left="2681" w:right="2670"/>
              <w:jc w:val="center"/>
              <w:rPr>
                <w:sz w:val="24"/>
              </w:rPr>
            </w:pPr>
            <w:r>
              <w:rPr>
                <w:sz w:val="24"/>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54" w:type="dxa"/>
            <w:vMerge w:val="restart"/>
          </w:tcPr>
          <w:p>
            <w:pPr>
              <w:pStyle w:val="28"/>
              <w:spacing w:before="170"/>
              <w:ind w:left="9"/>
              <w:jc w:val="center"/>
              <w:rPr>
                <w:sz w:val="24"/>
              </w:rPr>
            </w:pPr>
            <w:r>
              <w:rPr>
                <w:sz w:val="24"/>
              </w:rPr>
              <w:t>1</w:t>
            </w:r>
          </w:p>
        </w:tc>
        <w:tc>
          <w:tcPr>
            <w:tcW w:w="1668" w:type="dxa"/>
            <w:vMerge w:val="restart"/>
          </w:tcPr>
          <w:p>
            <w:pPr>
              <w:pStyle w:val="28"/>
              <w:rPr>
                <w:sz w:val="24"/>
              </w:rPr>
            </w:pPr>
          </w:p>
          <w:p>
            <w:pPr>
              <w:pStyle w:val="28"/>
              <w:spacing w:before="4"/>
              <w:rPr>
                <w:sz w:val="24"/>
              </w:rPr>
            </w:pPr>
          </w:p>
          <w:p>
            <w:pPr>
              <w:pStyle w:val="28"/>
              <w:spacing w:before="8"/>
              <w:ind w:left="28"/>
              <w:rPr>
                <w:sz w:val="24"/>
              </w:rPr>
            </w:pPr>
          </w:p>
        </w:tc>
        <w:tc>
          <w:tcPr>
            <w:tcW w:w="6362" w:type="dxa"/>
          </w:tcPr>
          <w:p>
            <w:pPr>
              <w:pStyle w:val="28"/>
              <w:spacing w:before="1"/>
              <w:rPr>
                <w:sz w:val="33"/>
              </w:rPr>
            </w:pPr>
          </w:p>
          <w:p>
            <w:pPr>
              <w:pStyle w:val="28"/>
              <w:ind w:left="33"/>
              <w:rPr>
                <w:rFonts w:ascii="黑体" w:eastAsia="黑体"/>
                <w:sz w:val="24"/>
              </w:rPr>
            </w:pPr>
            <w:r>
              <w:rPr>
                <w:rFonts w:hint="eastAsia" w:ascii="黑体" w:eastAsia="黑体"/>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7" w:hRule="atLeast"/>
        </w:trPr>
        <w:tc>
          <w:tcPr>
            <w:tcW w:w="754" w:type="dxa"/>
            <w:vMerge w:val="continue"/>
          </w:tcPr>
          <w:p>
            <w:pPr>
              <w:rPr>
                <w:sz w:val="2"/>
                <w:szCs w:val="2"/>
              </w:rPr>
            </w:pPr>
          </w:p>
        </w:tc>
        <w:tc>
          <w:tcPr>
            <w:tcW w:w="1668" w:type="dxa"/>
            <w:vMerge w:val="continue"/>
          </w:tcPr>
          <w:p>
            <w:pPr>
              <w:rPr>
                <w:sz w:val="2"/>
                <w:szCs w:val="2"/>
              </w:rPr>
            </w:pPr>
          </w:p>
        </w:tc>
        <w:tc>
          <w:tcPr>
            <w:tcW w:w="6362" w:type="dxa"/>
            <w:vAlign w:val="center"/>
          </w:tcPr>
          <w:p>
            <w:pPr>
              <w:pStyle w:val="28"/>
              <w:spacing w:before="106"/>
              <w:ind w:left="33"/>
              <w:jc w:val="both"/>
              <w:rPr>
                <w:rFonts w:ascii="黑体" w:eastAsia="黑体"/>
                <w:sz w:val="24"/>
              </w:rPr>
            </w:pPr>
            <w:r>
              <w:rPr>
                <w:rFonts w:hint="eastAsia" w:ascii="黑体" w:eastAsia="黑体"/>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754" w:type="dxa"/>
          </w:tcPr>
          <w:p>
            <w:pPr>
              <w:pStyle w:val="28"/>
              <w:spacing w:before="215"/>
              <w:ind w:left="116" w:right="107"/>
              <w:jc w:val="center"/>
              <w:rPr>
                <w:sz w:val="24"/>
              </w:rPr>
            </w:pPr>
            <w:r>
              <w:rPr>
                <w:sz w:val="24"/>
              </w:rPr>
              <w:t>备注</w:t>
            </w:r>
          </w:p>
        </w:tc>
        <w:tc>
          <w:tcPr>
            <w:tcW w:w="8030" w:type="dxa"/>
            <w:gridSpan w:val="2"/>
          </w:tcPr>
          <w:p>
            <w:pPr>
              <w:pStyle w:val="28"/>
              <w:rPr>
                <w:rFonts w:ascii="Times New Roman"/>
                <w:sz w:val="24"/>
              </w:rPr>
            </w:pPr>
          </w:p>
        </w:tc>
      </w:tr>
    </w:tbl>
    <w:p>
      <w:pPr>
        <w:pStyle w:val="13"/>
      </w:pPr>
    </w:p>
    <w:p>
      <w:pPr>
        <w:pStyle w:val="13"/>
        <w:spacing w:before="8"/>
        <w:rPr>
          <w:sz w:val="20"/>
        </w:rPr>
      </w:pPr>
    </w:p>
    <w:p>
      <w:pPr>
        <w:rPr>
          <w:spacing w:val="-19"/>
        </w:rPr>
      </w:pPr>
      <w:r>
        <w:t>注：</w:t>
      </w:r>
      <w:r>
        <w:tab/>
      </w:r>
      <w:r>
        <w:t>1、报价时，大小写不一致时以大写为准</w:t>
      </w:r>
      <w:r>
        <w:rPr>
          <w:spacing w:val="-19"/>
        </w:rPr>
        <w:t>；</w:t>
      </w:r>
    </w:p>
    <w:p>
      <w:r>
        <w:rPr>
          <w:rFonts w:hint="eastAsia"/>
          <w:spacing w:val="-19"/>
        </w:rPr>
        <w:t xml:space="preserve">       </w:t>
      </w:r>
      <w:r>
        <w:rPr>
          <w:spacing w:val="-19"/>
        </w:rPr>
        <w:t xml:space="preserve"> </w:t>
      </w:r>
      <w:r>
        <w:t>2、报价一览表格式不得自行改动。</w:t>
      </w:r>
    </w:p>
    <w:p>
      <w:pPr>
        <w:tabs>
          <w:tab w:val="left" w:pos="5140"/>
        </w:tabs>
        <w:adjustRightInd w:val="0"/>
        <w:spacing w:line="360" w:lineRule="auto"/>
        <w:ind w:firstLine="4320" w:firstLineChars="1800"/>
        <w:rPr>
          <w:snapToGrid w:val="0"/>
          <w:sz w:val="24"/>
        </w:rPr>
      </w:pPr>
    </w:p>
    <w:p>
      <w:pPr>
        <w:tabs>
          <w:tab w:val="left" w:pos="5140"/>
        </w:tabs>
        <w:adjustRightInd w:val="0"/>
        <w:spacing w:line="360" w:lineRule="auto"/>
        <w:ind w:firstLine="4320" w:firstLineChars="1800"/>
        <w:rPr>
          <w:snapToGrid w:val="0"/>
          <w:sz w:val="24"/>
        </w:rPr>
      </w:pPr>
      <w:r>
        <w:rPr>
          <w:rFonts w:hint="eastAsia"/>
          <w:snapToGrid w:val="0"/>
          <w:sz w:val="24"/>
        </w:rPr>
        <w:t>供应商：</w:t>
      </w:r>
      <w:r>
        <w:rPr>
          <w:rFonts w:hint="eastAsia"/>
          <w:snapToGrid w:val="0"/>
          <w:sz w:val="24"/>
          <w:u w:val="single"/>
        </w:rPr>
        <w:t xml:space="preserve">                          </w:t>
      </w:r>
      <w:r>
        <w:rPr>
          <w:rFonts w:hint="eastAsia"/>
          <w:snapToGrid w:val="0"/>
          <w:sz w:val="24"/>
        </w:rPr>
        <w:t>（盖单位章）</w:t>
      </w:r>
    </w:p>
    <w:p>
      <w:pPr>
        <w:tabs>
          <w:tab w:val="left" w:pos="5140"/>
        </w:tabs>
        <w:adjustRightInd w:val="0"/>
        <w:spacing w:line="360" w:lineRule="auto"/>
        <w:ind w:firstLine="4320" w:firstLineChars="1800"/>
        <w:rPr>
          <w:snapToGrid w:val="0"/>
          <w:sz w:val="24"/>
        </w:rPr>
      </w:pPr>
      <w:r>
        <w:rPr>
          <w:rFonts w:hint="eastAsia"/>
          <w:snapToGrid w:val="0"/>
          <w:sz w:val="24"/>
        </w:rPr>
        <w:t>法定代表人或其委托代理人：</w:t>
      </w:r>
      <w:r>
        <w:rPr>
          <w:rFonts w:hint="eastAsia"/>
          <w:snapToGrid w:val="0"/>
          <w:sz w:val="24"/>
          <w:u w:val="single"/>
        </w:rPr>
        <w:t xml:space="preserve">            </w:t>
      </w:r>
      <w:r>
        <w:rPr>
          <w:rFonts w:hint="eastAsia"/>
          <w:snapToGrid w:val="0"/>
          <w:sz w:val="24"/>
        </w:rPr>
        <w:t>（签字）</w:t>
      </w:r>
    </w:p>
    <w:p>
      <w:pPr>
        <w:pStyle w:val="11"/>
        <w:jc w:val="right"/>
        <w:rPr>
          <w:snapToGrid w:val="0"/>
          <w:sz w:val="24"/>
          <w:highlight w:val="none"/>
        </w:rPr>
      </w:pPr>
      <w:r>
        <w:rPr>
          <w:rFonts w:hint="eastAsia"/>
          <w:snapToGrid w:val="0"/>
          <w:sz w:val="24"/>
          <w:highlight w:val="none"/>
        </w:rPr>
        <w:t>年  月  日</w:t>
      </w:r>
    </w:p>
    <w:p>
      <w:pPr>
        <w:pStyle w:val="11"/>
        <w:autoSpaceDE/>
        <w:autoSpaceDN/>
        <w:spacing w:line="360" w:lineRule="auto"/>
        <w:rPr>
          <w:sz w:val="21"/>
          <w:szCs w:val="21"/>
          <w:highlight w:val="none"/>
        </w:rPr>
      </w:pPr>
      <w:r>
        <w:rPr>
          <w:rFonts w:hint="eastAsia"/>
          <w:sz w:val="21"/>
          <w:szCs w:val="21"/>
          <w:highlight w:val="none"/>
        </w:rPr>
        <w:t>说明：1、本表价格一栏空白，落款处供应商名称（盖章）处由供应商事先加盖公章，单独准备至少 3 份（供应商应尽量避免书写错误，并准备充足数量的本表格），不与竞争性磋商响应文件一同装订，由供应商代表随身携带至磋商现场；</w:t>
      </w:r>
    </w:p>
    <w:p>
      <w:pPr>
        <w:pStyle w:val="11"/>
        <w:autoSpaceDE/>
        <w:autoSpaceDN/>
        <w:spacing w:line="360" w:lineRule="auto"/>
        <w:rPr>
          <w:sz w:val="21"/>
          <w:szCs w:val="21"/>
          <w:highlight w:val="none"/>
        </w:rPr>
      </w:pPr>
      <w:r>
        <w:rPr>
          <w:rFonts w:hint="eastAsia"/>
          <w:sz w:val="21"/>
          <w:szCs w:val="21"/>
          <w:highlight w:val="none"/>
        </w:rPr>
        <w:t>2、本表中磋商报价在开标后，由供应商根据现场开标情况，在磋商现场手工填写作为供应商对本项目的最终报价。</w:t>
      </w:r>
    </w:p>
    <w:p>
      <w:pPr>
        <w:pStyle w:val="11"/>
        <w:autoSpaceDE/>
        <w:autoSpaceDN/>
        <w:spacing w:line="360" w:lineRule="auto"/>
        <w:rPr>
          <w:sz w:val="21"/>
          <w:szCs w:val="21"/>
          <w:highlight w:val="none"/>
        </w:rPr>
      </w:pPr>
      <w:r>
        <w:rPr>
          <w:rFonts w:hint="eastAsia"/>
          <w:sz w:val="21"/>
          <w:szCs w:val="21"/>
          <w:highlight w:val="none"/>
        </w:rPr>
        <w:t>3、未提供《二次报价函》的单位，以其初始投标报价为最终报价。</w:t>
      </w:r>
    </w:p>
    <w:p>
      <w:pPr>
        <w:pStyle w:val="11"/>
      </w:pPr>
    </w:p>
    <w:sectPr>
      <w:pgSz w:w="11910" w:h="16840"/>
      <w:pgMar w:top="1580" w:right="760" w:bottom="980" w:left="860" w:header="0" w:footer="77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12"/>
      </w:rPr>
    </w:pPr>
    <w:r>
      <w:rPr>
        <w:lang w:val="en-US" w:bidi="ar-SA"/>
      </w:rPr>
      <w:pict>
        <v:shape id="文本框 1" o:spid="_x0000_s4097" o:spt="202" type="#_x0000_t202" style="position:absolute;left:0pt;margin-left:282.85pt;margin-top:788.1pt;height:14.85pt;width:21.45pt;mso-position-horizontal-relative:page;mso-position-vertical-relative:page;z-index:-251656192;mso-width-relative:page;mso-height-relative:page;" filled="f" stroked="f" coordsize="21600,21600" o:gfxdata="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uq+VXbAAAADQEAAA8AAAAAAAAAAQAgAAAAIgAAAGRycy9kb3ducmV2LnhtbFBL&#10;AQIUABQAAAAIAIdO4kDYxEgFugEAAHEDAAAOAAAAAAAAAAEAIAAAACoBAABkcnMvZTJvRG9jLnht&#10;bFBLBQYAAAAABgAGAFkBAABWBQAAAAA=&#10;">
          <v:path/>
          <v:fill on="f" focussize="0,0"/>
          <v:stroke on="f" joinstyle="miter"/>
          <v:imagedata o:title=""/>
          <o:lock v:ext="edit"/>
          <v:textbox inset="0mm,0mm,0mm,0mm">
            <w:txbxContent>
              <w:p>
                <w:pPr>
                  <w:spacing w:before="12"/>
                  <w:ind w:left="205"/>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val="en-US" w:bidi="ar-SA"/>
      </w:rPr>
      <w:pict>
        <v:shape id="Shape 3" o:spid="_x0000_s4098" o:spt="202" type="#_x0000_t202" style="position:absolute;left:0pt;margin-left:295.2pt;margin-top:794.3pt;height:6.25pt;width:2.65pt;mso-position-horizontal-relative:page;mso-position-vertical-relative:page;mso-wrap-style:none;z-index:-251657216;mso-width-relative:page;mso-height-relative:page;" filled="f" stroked="f" coordsize="21600,21600" o:gfxdata="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JynAt2AAA&#10;AA0BAAAPAAAAAAAAAAEAIAAAACIAAABkcnMvZG93bnJldi54bWxQSwECFAAUAAAACACHTuJAydUY&#10;kKwBAABtAwAADgAAAAAAAAABACAAAAAnAQAAZHJzL2Uyb0RvYy54bWxQSwUGAAAAAAYABgBZAQAA&#10;RQUAAAAA&#10;">
          <v:path/>
          <v:fill on="f" focussize="0,0"/>
          <v:stroke on="f" joinstyle="miter"/>
          <v:imagedata o:title=""/>
          <o:lock v:ext="edit"/>
          <v:textbox inset="0mm,0mm,0mm,0mm" style="mso-fit-shape-to-text:t;">
            <w:txbxContent>
              <w:p>
                <w:pPr>
                  <w:pStyle w:val="34"/>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z w:val="18"/>
                    <w:szCs w:val="18"/>
                  </w:rPr>
                  <w:t>28</w:t>
                </w:r>
                <w:r>
                  <w:rPr>
                    <w:rFonts w:ascii="Times New Roman" w:hAnsi="Times New Roman" w:eastAsia="Times New Roman" w:cs="Times New Roman"/>
                    <w:color w:val="000000"/>
                    <w:sz w:val="18"/>
                    <w:szCs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169" w:hanging="529"/>
      </w:pPr>
      <w:rPr>
        <w:rFonts w:hint="default" w:ascii="宋体" w:hAnsi="宋体" w:eastAsia="宋体" w:cs="宋体"/>
        <w:spacing w:val="-3"/>
        <w:w w:val="100"/>
        <w:sz w:val="19"/>
        <w:szCs w:val="19"/>
        <w:lang w:val="zh-CN" w:eastAsia="zh-CN" w:bidi="zh-CN"/>
      </w:rPr>
    </w:lvl>
    <w:lvl w:ilvl="1" w:tentative="0">
      <w:start w:val="1"/>
      <w:numFmt w:val="decimal"/>
      <w:lvlText w:val="%2."/>
      <w:lvlJc w:val="left"/>
      <w:pPr>
        <w:ind w:left="986" w:hanging="213"/>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420" w:hanging="213"/>
      </w:pPr>
      <w:rPr>
        <w:rFonts w:hint="default"/>
        <w:lang w:val="zh-CN" w:eastAsia="zh-CN" w:bidi="zh-CN"/>
      </w:rPr>
    </w:lvl>
    <w:lvl w:ilvl="3" w:tentative="0">
      <w:start w:val="0"/>
      <w:numFmt w:val="bullet"/>
      <w:lvlText w:val="•"/>
      <w:lvlJc w:val="left"/>
      <w:pPr>
        <w:ind w:left="2528" w:hanging="213"/>
      </w:pPr>
      <w:rPr>
        <w:rFonts w:hint="default"/>
        <w:lang w:val="zh-CN" w:eastAsia="zh-CN" w:bidi="zh-CN"/>
      </w:rPr>
    </w:lvl>
    <w:lvl w:ilvl="4" w:tentative="0">
      <w:start w:val="0"/>
      <w:numFmt w:val="bullet"/>
      <w:lvlText w:val="•"/>
      <w:lvlJc w:val="left"/>
      <w:pPr>
        <w:ind w:left="3636" w:hanging="213"/>
      </w:pPr>
      <w:rPr>
        <w:rFonts w:hint="default"/>
        <w:lang w:val="zh-CN" w:eastAsia="zh-CN" w:bidi="zh-CN"/>
      </w:rPr>
    </w:lvl>
    <w:lvl w:ilvl="5" w:tentative="0">
      <w:start w:val="0"/>
      <w:numFmt w:val="bullet"/>
      <w:lvlText w:val="•"/>
      <w:lvlJc w:val="left"/>
      <w:pPr>
        <w:ind w:left="4744" w:hanging="213"/>
      </w:pPr>
      <w:rPr>
        <w:rFonts w:hint="default"/>
        <w:lang w:val="zh-CN" w:eastAsia="zh-CN" w:bidi="zh-CN"/>
      </w:rPr>
    </w:lvl>
    <w:lvl w:ilvl="6" w:tentative="0">
      <w:start w:val="0"/>
      <w:numFmt w:val="bullet"/>
      <w:lvlText w:val="•"/>
      <w:lvlJc w:val="left"/>
      <w:pPr>
        <w:ind w:left="5853" w:hanging="213"/>
      </w:pPr>
      <w:rPr>
        <w:rFonts w:hint="default"/>
        <w:lang w:val="zh-CN" w:eastAsia="zh-CN" w:bidi="zh-CN"/>
      </w:rPr>
    </w:lvl>
    <w:lvl w:ilvl="7" w:tentative="0">
      <w:start w:val="0"/>
      <w:numFmt w:val="bullet"/>
      <w:lvlText w:val="•"/>
      <w:lvlJc w:val="left"/>
      <w:pPr>
        <w:ind w:left="6961" w:hanging="213"/>
      </w:pPr>
      <w:rPr>
        <w:rFonts w:hint="default"/>
        <w:lang w:val="zh-CN" w:eastAsia="zh-CN" w:bidi="zh-CN"/>
      </w:rPr>
    </w:lvl>
    <w:lvl w:ilvl="8" w:tentative="0">
      <w:start w:val="0"/>
      <w:numFmt w:val="bullet"/>
      <w:lvlText w:val="•"/>
      <w:lvlJc w:val="left"/>
      <w:pPr>
        <w:ind w:left="8069" w:hanging="213"/>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30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198" w:hanging="601"/>
      </w:pPr>
      <w:rPr>
        <w:rFonts w:hint="default"/>
        <w:lang w:val="zh-CN" w:eastAsia="zh-CN" w:bidi="zh-CN"/>
      </w:rPr>
    </w:lvl>
    <w:lvl w:ilvl="2" w:tentative="0">
      <w:start w:val="0"/>
      <w:numFmt w:val="bullet"/>
      <w:lvlText w:val="•"/>
      <w:lvlJc w:val="left"/>
      <w:pPr>
        <w:ind w:left="3097" w:hanging="601"/>
      </w:pPr>
      <w:rPr>
        <w:rFonts w:hint="default"/>
        <w:lang w:val="zh-CN" w:eastAsia="zh-CN" w:bidi="zh-CN"/>
      </w:rPr>
    </w:lvl>
    <w:lvl w:ilvl="3" w:tentative="0">
      <w:start w:val="0"/>
      <w:numFmt w:val="bullet"/>
      <w:lvlText w:val="•"/>
      <w:lvlJc w:val="left"/>
      <w:pPr>
        <w:ind w:left="3995" w:hanging="601"/>
      </w:pPr>
      <w:rPr>
        <w:rFonts w:hint="default"/>
        <w:lang w:val="zh-CN" w:eastAsia="zh-CN" w:bidi="zh-CN"/>
      </w:rPr>
    </w:lvl>
    <w:lvl w:ilvl="4" w:tentative="0">
      <w:start w:val="0"/>
      <w:numFmt w:val="bullet"/>
      <w:lvlText w:val="•"/>
      <w:lvlJc w:val="left"/>
      <w:pPr>
        <w:ind w:left="4894" w:hanging="601"/>
      </w:pPr>
      <w:rPr>
        <w:rFonts w:hint="default"/>
        <w:lang w:val="zh-CN" w:eastAsia="zh-CN" w:bidi="zh-CN"/>
      </w:rPr>
    </w:lvl>
    <w:lvl w:ilvl="5" w:tentative="0">
      <w:start w:val="0"/>
      <w:numFmt w:val="bullet"/>
      <w:lvlText w:val="•"/>
      <w:lvlJc w:val="left"/>
      <w:pPr>
        <w:ind w:left="5793" w:hanging="601"/>
      </w:pPr>
      <w:rPr>
        <w:rFonts w:hint="default"/>
        <w:lang w:val="zh-CN" w:eastAsia="zh-CN" w:bidi="zh-CN"/>
      </w:rPr>
    </w:lvl>
    <w:lvl w:ilvl="6" w:tentative="0">
      <w:start w:val="0"/>
      <w:numFmt w:val="bullet"/>
      <w:lvlText w:val="•"/>
      <w:lvlJc w:val="left"/>
      <w:pPr>
        <w:ind w:left="6691" w:hanging="601"/>
      </w:pPr>
      <w:rPr>
        <w:rFonts w:hint="default"/>
        <w:lang w:val="zh-CN" w:eastAsia="zh-CN" w:bidi="zh-CN"/>
      </w:rPr>
    </w:lvl>
    <w:lvl w:ilvl="7" w:tentative="0">
      <w:start w:val="0"/>
      <w:numFmt w:val="bullet"/>
      <w:lvlText w:val="•"/>
      <w:lvlJc w:val="left"/>
      <w:pPr>
        <w:ind w:left="7590" w:hanging="601"/>
      </w:pPr>
      <w:rPr>
        <w:rFonts w:hint="default"/>
        <w:lang w:val="zh-CN" w:eastAsia="zh-CN" w:bidi="zh-CN"/>
      </w:rPr>
    </w:lvl>
    <w:lvl w:ilvl="8" w:tentative="0">
      <w:start w:val="0"/>
      <w:numFmt w:val="bullet"/>
      <w:lvlText w:val="•"/>
      <w:lvlJc w:val="left"/>
      <w:pPr>
        <w:ind w:left="8489" w:hanging="601"/>
      </w:pPr>
      <w:rPr>
        <w:rFonts w:hint="default"/>
        <w:lang w:val="zh-CN" w:eastAsia="zh-CN" w:bidi="zh-CN"/>
      </w:rPr>
    </w:lvl>
  </w:abstractNum>
  <w:abstractNum w:abstractNumId="2">
    <w:nsid w:val="B5E306ED"/>
    <w:multiLevelType w:val="multilevel"/>
    <w:tmpl w:val="B5E306ED"/>
    <w:lvl w:ilvl="0" w:tentative="0">
      <w:start w:val="1"/>
      <w:numFmt w:val="decimal"/>
      <w:lvlText w:val="%1."/>
      <w:lvlJc w:val="left"/>
      <w:pPr>
        <w:ind w:left="912" w:hanging="213"/>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856" w:hanging="213"/>
      </w:pPr>
      <w:rPr>
        <w:rFonts w:hint="default"/>
        <w:lang w:val="zh-CN" w:eastAsia="zh-CN" w:bidi="zh-CN"/>
      </w:rPr>
    </w:lvl>
    <w:lvl w:ilvl="2" w:tentative="0">
      <w:start w:val="0"/>
      <w:numFmt w:val="bullet"/>
      <w:lvlText w:val="•"/>
      <w:lvlJc w:val="left"/>
      <w:pPr>
        <w:ind w:left="2793" w:hanging="213"/>
      </w:pPr>
      <w:rPr>
        <w:rFonts w:hint="default"/>
        <w:lang w:val="zh-CN" w:eastAsia="zh-CN" w:bidi="zh-CN"/>
      </w:rPr>
    </w:lvl>
    <w:lvl w:ilvl="3" w:tentative="0">
      <w:start w:val="0"/>
      <w:numFmt w:val="bullet"/>
      <w:lvlText w:val="•"/>
      <w:lvlJc w:val="left"/>
      <w:pPr>
        <w:ind w:left="3729" w:hanging="213"/>
      </w:pPr>
      <w:rPr>
        <w:rFonts w:hint="default"/>
        <w:lang w:val="zh-CN" w:eastAsia="zh-CN" w:bidi="zh-CN"/>
      </w:rPr>
    </w:lvl>
    <w:lvl w:ilvl="4" w:tentative="0">
      <w:start w:val="0"/>
      <w:numFmt w:val="bullet"/>
      <w:lvlText w:val="•"/>
      <w:lvlJc w:val="left"/>
      <w:pPr>
        <w:ind w:left="4666" w:hanging="213"/>
      </w:pPr>
      <w:rPr>
        <w:rFonts w:hint="default"/>
        <w:lang w:val="zh-CN" w:eastAsia="zh-CN" w:bidi="zh-CN"/>
      </w:rPr>
    </w:lvl>
    <w:lvl w:ilvl="5" w:tentative="0">
      <w:start w:val="0"/>
      <w:numFmt w:val="bullet"/>
      <w:lvlText w:val="•"/>
      <w:lvlJc w:val="left"/>
      <w:pPr>
        <w:ind w:left="5603" w:hanging="213"/>
      </w:pPr>
      <w:rPr>
        <w:rFonts w:hint="default"/>
        <w:lang w:val="zh-CN" w:eastAsia="zh-CN" w:bidi="zh-CN"/>
      </w:rPr>
    </w:lvl>
    <w:lvl w:ilvl="6" w:tentative="0">
      <w:start w:val="0"/>
      <w:numFmt w:val="bullet"/>
      <w:lvlText w:val="•"/>
      <w:lvlJc w:val="left"/>
      <w:pPr>
        <w:ind w:left="6539" w:hanging="213"/>
      </w:pPr>
      <w:rPr>
        <w:rFonts w:hint="default"/>
        <w:lang w:val="zh-CN" w:eastAsia="zh-CN" w:bidi="zh-CN"/>
      </w:rPr>
    </w:lvl>
    <w:lvl w:ilvl="7" w:tentative="0">
      <w:start w:val="0"/>
      <w:numFmt w:val="bullet"/>
      <w:lvlText w:val="•"/>
      <w:lvlJc w:val="left"/>
      <w:pPr>
        <w:ind w:left="7476" w:hanging="213"/>
      </w:pPr>
      <w:rPr>
        <w:rFonts w:hint="default"/>
        <w:lang w:val="zh-CN" w:eastAsia="zh-CN" w:bidi="zh-CN"/>
      </w:rPr>
    </w:lvl>
    <w:lvl w:ilvl="8" w:tentative="0">
      <w:start w:val="0"/>
      <w:numFmt w:val="bullet"/>
      <w:lvlText w:val="•"/>
      <w:lvlJc w:val="left"/>
      <w:pPr>
        <w:ind w:left="8413" w:hanging="213"/>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220" w:hanging="420"/>
      </w:pPr>
      <w:rPr>
        <w:rFonts w:hint="default"/>
        <w:lang w:val="zh-CN" w:eastAsia="zh-CN" w:bidi="zh-CN"/>
      </w:rPr>
    </w:lvl>
    <w:lvl w:ilvl="1" w:tentative="0">
      <w:start w:val="1"/>
      <w:numFmt w:val="decimal"/>
      <w:lvlText w:val="%1.%2"/>
      <w:lvlJc w:val="left"/>
      <w:pPr>
        <w:ind w:left="220"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20"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3239" w:hanging="660"/>
      </w:pPr>
      <w:rPr>
        <w:rFonts w:hint="default"/>
        <w:lang w:val="zh-CN" w:eastAsia="zh-CN" w:bidi="zh-CN"/>
      </w:rPr>
    </w:lvl>
    <w:lvl w:ilvl="4" w:tentative="0">
      <w:start w:val="0"/>
      <w:numFmt w:val="bullet"/>
      <w:lvlText w:val="•"/>
      <w:lvlJc w:val="left"/>
      <w:pPr>
        <w:ind w:left="4246" w:hanging="660"/>
      </w:pPr>
      <w:rPr>
        <w:rFonts w:hint="default"/>
        <w:lang w:val="zh-CN" w:eastAsia="zh-CN" w:bidi="zh-CN"/>
      </w:rPr>
    </w:lvl>
    <w:lvl w:ilvl="5" w:tentative="0">
      <w:start w:val="0"/>
      <w:numFmt w:val="bullet"/>
      <w:lvlText w:val="•"/>
      <w:lvlJc w:val="left"/>
      <w:pPr>
        <w:ind w:left="5253" w:hanging="660"/>
      </w:pPr>
      <w:rPr>
        <w:rFonts w:hint="default"/>
        <w:lang w:val="zh-CN" w:eastAsia="zh-CN" w:bidi="zh-CN"/>
      </w:rPr>
    </w:lvl>
    <w:lvl w:ilvl="6" w:tentative="0">
      <w:start w:val="0"/>
      <w:numFmt w:val="bullet"/>
      <w:lvlText w:val="•"/>
      <w:lvlJc w:val="left"/>
      <w:pPr>
        <w:ind w:left="6259" w:hanging="660"/>
      </w:pPr>
      <w:rPr>
        <w:rFonts w:hint="default"/>
        <w:lang w:val="zh-CN" w:eastAsia="zh-CN" w:bidi="zh-CN"/>
      </w:rPr>
    </w:lvl>
    <w:lvl w:ilvl="7" w:tentative="0">
      <w:start w:val="0"/>
      <w:numFmt w:val="bullet"/>
      <w:lvlText w:val="•"/>
      <w:lvlJc w:val="left"/>
      <w:pPr>
        <w:ind w:left="7266" w:hanging="660"/>
      </w:pPr>
      <w:rPr>
        <w:rFonts w:hint="default"/>
        <w:lang w:val="zh-CN" w:eastAsia="zh-CN" w:bidi="zh-CN"/>
      </w:rPr>
    </w:lvl>
    <w:lvl w:ilvl="8" w:tentative="0">
      <w:start w:val="0"/>
      <w:numFmt w:val="bullet"/>
      <w:lvlText w:val="•"/>
      <w:lvlJc w:val="left"/>
      <w:pPr>
        <w:ind w:left="8273" w:hanging="660"/>
      </w:pPr>
      <w:rPr>
        <w:rFonts w:hint="default"/>
        <w:lang w:val="zh-CN" w:eastAsia="zh-CN" w:bidi="zh-CN"/>
      </w:rPr>
    </w:lvl>
  </w:abstractNum>
  <w:abstractNum w:abstractNumId="4">
    <w:nsid w:val="CF092B84"/>
    <w:multiLevelType w:val="multilevel"/>
    <w:tmpl w:val="CF092B84"/>
    <w:lvl w:ilvl="0" w:tentative="0">
      <w:start w:val="1"/>
      <w:numFmt w:val="upperLetter"/>
      <w:lvlText w:val="%1."/>
      <w:lvlJc w:val="left"/>
      <w:pPr>
        <w:ind w:left="760" w:hanging="540"/>
      </w:pPr>
      <w:rPr>
        <w:rFonts w:hint="default" w:ascii="宋体" w:hAnsi="宋体" w:eastAsia="宋体" w:cs="宋体"/>
        <w:b/>
        <w:bCs/>
        <w:spacing w:val="0"/>
        <w:w w:val="99"/>
        <w:sz w:val="36"/>
        <w:szCs w:val="36"/>
        <w:lang w:val="zh-CN" w:eastAsia="zh-CN" w:bidi="zh-CN"/>
      </w:rPr>
    </w:lvl>
    <w:lvl w:ilvl="1" w:tentative="0">
      <w:start w:val="0"/>
      <w:numFmt w:val="bullet"/>
      <w:lvlText w:val="•"/>
      <w:lvlJc w:val="left"/>
      <w:pPr>
        <w:ind w:left="1712" w:hanging="540"/>
      </w:pPr>
      <w:rPr>
        <w:rFonts w:hint="default"/>
        <w:lang w:val="zh-CN" w:eastAsia="zh-CN" w:bidi="zh-CN"/>
      </w:rPr>
    </w:lvl>
    <w:lvl w:ilvl="2" w:tentative="0">
      <w:start w:val="0"/>
      <w:numFmt w:val="bullet"/>
      <w:lvlText w:val="•"/>
      <w:lvlJc w:val="left"/>
      <w:pPr>
        <w:ind w:left="2665" w:hanging="540"/>
      </w:pPr>
      <w:rPr>
        <w:rFonts w:hint="default"/>
        <w:lang w:val="zh-CN" w:eastAsia="zh-CN" w:bidi="zh-CN"/>
      </w:rPr>
    </w:lvl>
    <w:lvl w:ilvl="3" w:tentative="0">
      <w:start w:val="0"/>
      <w:numFmt w:val="bullet"/>
      <w:lvlText w:val="•"/>
      <w:lvlJc w:val="left"/>
      <w:pPr>
        <w:ind w:left="3617" w:hanging="540"/>
      </w:pPr>
      <w:rPr>
        <w:rFonts w:hint="default"/>
        <w:lang w:val="zh-CN" w:eastAsia="zh-CN" w:bidi="zh-CN"/>
      </w:rPr>
    </w:lvl>
    <w:lvl w:ilvl="4" w:tentative="0">
      <w:start w:val="0"/>
      <w:numFmt w:val="bullet"/>
      <w:lvlText w:val="•"/>
      <w:lvlJc w:val="left"/>
      <w:pPr>
        <w:ind w:left="4570" w:hanging="540"/>
      </w:pPr>
      <w:rPr>
        <w:rFonts w:hint="default"/>
        <w:lang w:val="zh-CN" w:eastAsia="zh-CN" w:bidi="zh-CN"/>
      </w:rPr>
    </w:lvl>
    <w:lvl w:ilvl="5" w:tentative="0">
      <w:start w:val="0"/>
      <w:numFmt w:val="bullet"/>
      <w:lvlText w:val="•"/>
      <w:lvlJc w:val="left"/>
      <w:pPr>
        <w:ind w:left="5523" w:hanging="540"/>
      </w:pPr>
      <w:rPr>
        <w:rFonts w:hint="default"/>
        <w:lang w:val="zh-CN" w:eastAsia="zh-CN" w:bidi="zh-CN"/>
      </w:rPr>
    </w:lvl>
    <w:lvl w:ilvl="6" w:tentative="0">
      <w:start w:val="0"/>
      <w:numFmt w:val="bullet"/>
      <w:lvlText w:val="•"/>
      <w:lvlJc w:val="left"/>
      <w:pPr>
        <w:ind w:left="6475" w:hanging="540"/>
      </w:pPr>
      <w:rPr>
        <w:rFonts w:hint="default"/>
        <w:lang w:val="zh-CN" w:eastAsia="zh-CN" w:bidi="zh-CN"/>
      </w:rPr>
    </w:lvl>
    <w:lvl w:ilvl="7" w:tentative="0">
      <w:start w:val="0"/>
      <w:numFmt w:val="bullet"/>
      <w:lvlText w:val="•"/>
      <w:lvlJc w:val="left"/>
      <w:pPr>
        <w:ind w:left="7428" w:hanging="540"/>
      </w:pPr>
      <w:rPr>
        <w:rFonts w:hint="default"/>
        <w:lang w:val="zh-CN" w:eastAsia="zh-CN" w:bidi="zh-CN"/>
      </w:rPr>
    </w:lvl>
    <w:lvl w:ilvl="8" w:tentative="0">
      <w:start w:val="0"/>
      <w:numFmt w:val="bullet"/>
      <w:lvlText w:val="•"/>
      <w:lvlJc w:val="left"/>
      <w:pPr>
        <w:ind w:left="8381" w:hanging="540"/>
      </w:pPr>
      <w:rPr>
        <w:rFonts w:hint="default"/>
        <w:lang w:val="zh-CN" w:eastAsia="zh-CN" w:bidi="zh-CN"/>
      </w:rPr>
    </w:lvl>
  </w:abstractNum>
  <w:abstractNum w:abstractNumId="5">
    <w:nsid w:val="D2CD88C3"/>
    <w:multiLevelType w:val="singleLevel"/>
    <w:tmpl w:val="D2CD88C3"/>
    <w:lvl w:ilvl="0" w:tentative="0">
      <w:start w:val="1"/>
      <w:numFmt w:val="chineseCounting"/>
      <w:suff w:val="nothing"/>
      <w:lvlText w:val="（%1）"/>
      <w:lvlJc w:val="left"/>
      <w:rPr>
        <w:rFonts w:hint="eastAsia"/>
      </w:rPr>
    </w:lvl>
  </w:abstractNum>
  <w:abstractNum w:abstractNumId="6">
    <w:nsid w:val="D7F9FE59"/>
    <w:multiLevelType w:val="multilevel"/>
    <w:tmpl w:val="D7F9FE59"/>
    <w:lvl w:ilvl="0" w:tentative="0">
      <w:start w:val="7"/>
      <w:numFmt w:val="decimal"/>
      <w:lvlText w:val="%1"/>
      <w:lvlJc w:val="left"/>
      <w:pPr>
        <w:ind w:left="1120" w:hanging="420"/>
      </w:pPr>
      <w:rPr>
        <w:rFonts w:hint="default"/>
        <w:lang w:val="zh-CN" w:eastAsia="zh-CN" w:bidi="zh-CN"/>
      </w:rPr>
    </w:lvl>
    <w:lvl w:ilvl="1" w:tentative="0">
      <w:start w:val="1"/>
      <w:numFmt w:val="decimal"/>
      <w:lvlText w:val="%1.%2"/>
      <w:lvlJc w:val="left"/>
      <w:pPr>
        <w:ind w:left="112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953" w:hanging="420"/>
      </w:pPr>
      <w:rPr>
        <w:rFonts w:hint="default"/>
        <w:lang w:val="zh-CN" w:eastAsia="zh-CN" w:bidi="zh-CN"/>
      </w:rPr>
    </w:lvl>
    <w:lvl w:ilvl="3" w:tentative="0">
      <w:start w:val="0"/>
      <w:numFmt w:val="bullet"/>
      <w:lvlText w:val="•"/>
      <w:lvlJc w:val="left"/>
      <w:pPr>
        <w:ind w:left="3869" w:hanging="420"/>
      </w:pPr>
      <w:rPr>
        <w:rFonts w:hint="default"/>
        <w:lang w:val="zh-CN" w:eastAsia="zh-CN" w:bidi="zh-CN"/>
      </w:rPr>
    </w:lvl>
    <w:lvl w:ilvl="4" w:tentative="0">
      <w:start w:val="0"/>
      <w:numFmt w:val="bullet"/>
      <w:lvlText w:val="•"/>
      <w:lvlJc w:val="left"/>
      <w:pPr>
        <w:ind w:left="4786" w:hanging="420"/>
      </w:pPr>
      <w:rPr>
        <w:rFonts w:hint="default"/>
        <w:lang w:val="zh-CN" w:eastAsia="zh-CN" w:bidi="zh-CN"/>
      </w:rPr>
    </w:lvl>
    <w:lvl w:ilvl="5" w:tentative="0">
      <w:start w:val="0"/>
      <w:numFmt w:val="bullet"/>
      <w:lvlText w:val="•"/>
      <w:lvlJc w:val="left"/>
      <w:pPr>
        <w:ind w:left="5703" w:hanging="420"/>
      </w:pPr>
      <w:rPr>
        <w:rFonts w:hint="default"/>
        <w:lang w:val="zh-CN" w:eastAsia="zh-CN" w:bidi="zh-CN"/>
      </w:rPr>
    </w:lvl>
    <w:lvl w:ilvl="6" w:tentative="0">
      <w:start w:val="0"/>
      <w:numFmt w:val="bullet"/>
      <w:lvlText w:val="•"/>
      <w:lvlJc w:val="left"/>
      <w:pPr>
        <w:ind w:left="6619" w:hanging="420"/>
      </w:pPr>
      <w:rPr>
        <w:rFonts w:hint="default"/>
        <w:lang w:val="zh-CN" w:eastAsia="zh-CN" w:bidi="zh-CN"/>
      </w:rPr>
    </w:lvl>
    <w:lvl w:ilvl="7" w:tentative="0">
      <w:start w:val="0"/>
      <w:numFmt w:val="bullet"/>
      <w:lvlText w:val="•"/>
      <w:lvlJc w:val="left"/>
      <w:pPr>
        <w:ind w:left="7536" w:hanging="420"/>
      </w:pPr>
      <w:rPr>
        <w:rFonts w:hint="default"/>
        <w:lang w:val="zh-CN" w:eastAsia="zh-CN" w:bidi="zh-CN"/>
      </w:rPr>
    </w:lvl>
    <w:lvl w:ilvl="8" w:tentative="0">
      <w:start w:val="0"/>
      <w:numFmt w:val="bullet"/>
      <w:lvlText w:val="•"/>
      <w:lvlJc w:val="left"/>
      <w:pPr>
        <w:ind w:left="8453" w:hanging="420"/>
      </w:pPr>
      <w:rPr>
        <w:rFonts w:hint="default"/>
        <w:lang w:val="zh-CN" w:eastAsia="zh-CN" w:bidi="zh-CN"/>
      </w:rPr>
    </w:lvl>
  </w:abstractNum>
  <w:abstractNum w:abstractNumId="7">
    <w:nsid w:val="DCBA6B53"/>
    <w:multiLevelType w:val="multilevel"/>
    <w:tmpl w:val="DCBA6B53"/>
    <w:lvl w:ilvl="0" w:tentative="0">
      <w:start w:val="6"/>
      <w:numFmt w:val="decimal"/>
      <w:lvlText w:val="%1"/>
      <w:lvlJc w:val="left"/>
      <w:pPr>
        <w:ind w:left="1120" w:hanging="420"/>
      </w:pPr>
      <w:rPr>
        <w:rFonts w:hint="default"/>
        <w:lang w:val="zh-CN" w:eastAsia="zh-CN" w:bidi="zh-CN"/>
      </w:rPr>
    </w:lvl>
    <w:lvl w:ilvl="1" w:tentative="0">
      <w:start w:val="1"/>
      <w:numFmt w:val="decimal"/>
      <w:lvlText w:val="%1.%2"/>
      <w:lvlJc w:val="left"/>
      <w:pPr>
        <w:ind w:left="112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953" w:hanging="420"/>
      </w:pPr>
      <w:rPr>
        <w:rFonts w:hint="default"/>
        <w:lang w:val="zh-CN" w:eastAsia="zh-CN" w:bidi="zh-CN"/>
      </w:rPr>
    </w:lvl>
    <w:lvl w:ilvl="3" w:tentative="0">
      <w:start w:val="0"/>
      <w:numFmt w:val="bullet"/>
      <w:lvlText w:val="•"/>
      <w:lvlJc w:val="left"/>
      <w:pPr>
        <w:ind w:left="3869" w:hanging="420"/>
      </w:pPr>
      <w:rPr>
        <w:rFonts w:hint="default"/>
        <w:lang w:val="zh-CN" w:eastAsia="zh-CN" w:bidi="zh-CN"/>
      </w:rPr>
    </w:lvl>
    <w:lvl w:ilvl="4" w:tentative="0">
      <w:start w:val="0"/>
      <w:numFmt w:val="bullet"/>
      <w:lvlText w:val="•"/>
      <w:lvlJc w:val="left"/>
      <w:pPr>
        <w:ind w:left="4786" w:hanging="420"/>
      </w:pPr>
      <w:rPr>
        <w:rFonts w:hint="default"/>
        <w:lang w:val="zh-CN" w:eastAsia="zh-CN" w:bidi="zh-CN"/>
      </w:rPr>
    </w:lvl>
    <w:lvl w:ilvl="5" w:tentative="0">
      <w:start w:val="0"/>
      <w:numFmt w:val="bullet"/>
      <w:lvlText w:val="•"/>
      <w:lvlJc w:val="left"/>
      <w:pPr>
        <w:ind w:left="5703" w:hanging="420"/>
      </w:pPr>
      <w:rPr>
        <w:rFonts w:hint="default"/>
        <w:lang w:val="zh-CN" w:eastAsia="zh-CN" w:bidi="zh-CN"/>
      </w:rPr>
    </w:lvl>
    <w:lvl w:ilvl="6" w:tentative="0">
      <w:start w:val="0"/>
      <w:numFmt w:val="bullet"/>
      <w:lvlText w:val="•"/>
      <w:lvlJc w:val="left"/>
      <w:pPr>
        <w:ind w:left="6619" w:hanging="420"/>
      </w:pPr>
      <w:rPr>
        <w:rFonts w:hint="default"/>
        <w:lang w:val="zh-CN" w:eastAsia="zh-CN" w:bidi="zh-CN"/>
      </w:rPr>
    </w:lvl>
    <w:lvl w:ilvl="7" w:tentative="0">
      <w:start w:val="0"/>
      <w:numFmt w:val="bullet"/>
      <w:lvlText w:val="•"/>
      <w:lvlJc w:val="left"/>
      <w:pPr>
        <w:ind w:left="7536" w:hanging="420"/>
      </w:pPr>
      <w:rPr>
        <w:rFonts w:hint="default"/>
        <w:lang w:val="zh-CN" w:eastAsia="zh-CN" w:bidi="zh-CN"/>
      </w:rPr>
    </w:lvl>
    <w:lvl w:ilvl="8" w:tentative="0">
      <w:start w:val="0"/>
      <w:numFmt w:val="bullet"/>
      <w:lvlText w:val="•"/>
      <w:lvlJc w:val="left"/>
      <w:pPr>
        <w:ind w:left="8453" w:hanging="420"/>
      </w:pPr>
      <w:rPr>
        <w:rFonts w:hint="default"/>
        <w:lang w:val="zh-CN" w:eastAsia="zh-CN" w:bidi="zh-CN"/>
      </w:rPr>
    </w:lvl>
  </w:abstractNum>
  <w:abstractNum w:abstractNumId="8">
    <w:nsid w:val="00BD5D8A"/>
    <w:multiLevelType w:val="singleLevel"/>
    <w:tmpl w:val="00BD5D8A"/>
    <w:lvl w:ilvl="0" w:tentative="0">
      <w:start w:val="1"/>
      <w:numFmt w:val="chineseCounting"/>
      <w:suff w:val="nothing"/>
      <w:lvlText w:val="%1、"/>
      <w:lvlJc w:val="left"/>
      <w:rPr>
        <w:rFonts w:hint="eastAsia"/>
      </w:rPr>
    </w:lvl>
  </w:abstractNum>
  <w:abstractNum w:abstractNumId="9">
    <w:nsid w:val="0248C179"/>
    <w:multiLevelType w:val="multilevel"/>
    <w:tmpl w:val="0248C179"/>
    <w:lvl w:ilvl="0" w:tentative="0">
      <w:start w:val="1"/>
      <w:numFmt w:val="decimal"/>
      <w:lvlText w:val="%1."/>
      <w:lvlJc w:val="left"/>
      <w:pPr>
        <w:ind w:left="219" w:hanging="213"/>
        <w:jc w:val="right"/>
      </w:pPr>
      <w:rPr>
        <w:rFonts w:hint="default"/>
        <w:spacing w:val="-12"/>
        <w:w w:val="100"/>
        <w:lang w:val="zh-CN" w:eastAsia="zh-CN" w:bidi="zh-CN"/>
      </w:rPr>
    </w:lvl>
    <w:lvl w:ilvl="1" w:tentative="0">
      <w:start w:val="0"/>
      <w:numFmt w:val="bullet"/>
      <w:lvlText w:val="•"/>
      <w:lvlJc w:val="left"/>
      <w:pPr>
        <w:ind w:left="1226" w:hanging="213"/>
      </w:pPr>
      <w:rPr>
        <w:rFonts w:hint="default"/>
        <w:lang w:val="zh-CN" w:eastAsia="zh-CN" w:bidi="zh-CN"/>
      </w:rPr>
    </w:lvl>
    <w:lvl w:ilvl="2" w:tentative="0">
      <w:start w:val="0"/>
      <w:numFmt w:val="bullet"/>
      <w:lvlText w:val="•"/>
      <w:lvlJc w:val="left"/>
      <w:pPr>
        <w:ind w:left="2233" w:hanging="213"/>
      </w:pPr>
      <w:rPr>
        <w:rFonts w:hint="default"/>
        <w:lang w:val="zh-CN" w:eastAsia="zh-CN" w:bidi="zh-CN"/>
      </w:rPr>
    </w:lvl>
    <w:lvl w:ilvl="3" w:tentative="0">
      <w:start w:val="0"/>
      <w:numFmt w:val="bullet"/>
      <w:lvlText w:val="•"/>
      <w:lvlJc w:val="left"/>
      <w:pPr>
        <w:ind w:left="3239" w:hanging="213"/>
      </w:pPr>
      <w:rPr>
        <w:rFonts w:hint="default"/>
        <w:lang w:val="zh-CN" w:eastAsia="zh-CN" w:bidi="zh-CN"/>
      </w:rPr>
    </w:lvl>
    <w:lvl w:ilvl="4" w:tentative="0">
      <w:start w:val="0"/>
      <w:numFmt w:val="bullet"/>
      <w:lvlText w:val="•"/>
      <w:lvlJc w:val="left"/>
      <w:pPr>
        <w:ind w:left="4246" w:hanging="213"/>
      </w:pPr>
      <w:rPr>
        <w:rFonts w:hint="default"/>
        <w:lang w:val="zh-CN" w:eastAsia="zh-CN" w:bidi="zh-CN"/>
      </w:rPr>
    </w:lvl>
    <w:lvl w:ilvl="5" w:tentative="0">
      <w:start w:val="0"/>
      <w:numFmt w:val="bullet"/>
      <w:lvlText w:val="•"/>
      <w:lvlJc w:val="left"/>
      <w:pPr>
        <w:ind w:left="5253" w:hanging="213"/>
      </w:pPr>
      <w:rPr>
        <w:rFonts w:hint="default"/>
        <w:lang w:val="zh-CN" w:eastAsia="zh-CN" w:bidi="zh-CN"/>
      </w:rPr>
    </w:lvl>
    <w:lvl w:ilvl="6" w:tentative="0">
      <w:start w:val="0"/>
      <w:numFmt w:val="bullet"/>
      <w:lvlText w:val="•"/>
      <w:lvlJc w:val="left"/>
      <w:pPr>
        <w:ind w:left="6259" w:hanging="213"/>
      </w:pPr>
      <w:rPr>
        <w:rFonts w:hint="default"/>
        <w:lang w:val="zh-CN" w:eastAsia="zh-CN" w:bidi="zh-CN"/>
      </w:rPr>
    </w:lvl>
    <w:lvl w:ilvl="7" w:tentative="0">
      <w:start w:val="0"/>
      <w:numFmt w:val="bullet"/>
      <w:lvlText w:val="•"/>
      <w:lvlJc w:val="left"/>
      <w:pPr>
        <w:ind w:left="7266" w:hanging="213"/>
      </w:pPr>
      <w:rPr>
        <w:rFonts w:hint="default"/>
        <w:lang w:val="zh-CN" w:eastAsia="zh-CN" w:bidi="zh-CN"/>
      </w:rPr>
    </w:lvl>
    <w:lvl w:ilvl="8" w:tentative="0">
      <w:start w:val="0"/>
      <w:numFmt w:val="bullet"/>
      <w:lvlText w:val="•"/>
      <w:lvlJc w:val="left"/>
      <w:pPr>
        <w:ind w:left="8273" w:hanging="213"/>
      </w:pPr>
      <w:rPr>
        <w:rFonts w:hint="default"/>
        <w:lang w:val="zh-CN" w:eastAsia="zh-CN" w:bidi="zh-CN"/>
      </w:rPr>
    </w:lvl>
  </w:abstractNum>
  <w:abstractNum w:abstractNumId="10">
    <w:nsid w:val="03D62ECE"/>
    <w:multiLevelType w:val="multilevel"/>
    <w:tmpl w:val="03D62ECE"/>
    <w:lvl w:ilvl="0" w:tentative="0">
      <w:start w:val="1"/>
      <w:numFmt w:val="decimal"/>
      <w:lvlText w:val="%1."/>
      <w:lvlJc w:val="left"/>
      <w:pPr>
        <w:ind w:left="1016" w:hanging="317"/>
      </w:pPr>
      <w:rPr>
        <w:rFonts w:hint="default" w:ascii="宋体" w:hAnsi="宋体" w:eastAsia="宋体" w:cs="宋体"/>
        <w:w w:val="100"/>
        <w:sz w:val="21"/>
        <w:szCs w:val="21"/>
        <w:lang w:val="zh-CN" w:eastAsia="zh-CN" w:bidi="zh-CN"/>
      </w:rPr>
    </w:lvl>
    <w:lvl w:ilvl="1" w:tentative="0">
      <w:start w:val="0"/>
      <w:numFmt w:val="bullet"/>
      <w:lvlText w:val="•"/>
      <w:lvlJc w:val="left"/>
      <w:pPr>
        <w:ind w:left="1946" w:hanging="317"/>
      </w:pPr>
      <w:rPr>
        <w:rFonts w:hint="default"/>
        <w:lang w:val="zh-CN" w:eastAsia="zh-CN" w:bidi="zh-CN"/>
      </w:rPr>
    </w:lvl>
    <w:lvl w:ilvl="2" w:tentative="0">
      <w:start w:val="0"/>
      <w:numFmt w:val="bullet"/>
      <w:lvlText w:val="•"/>
      <w:lvlJc w:val="left"/>
      <w:pPr>
        <w:ind w:left="2873" w:hanging="317"/>
      </w:pPr>
      <w:rPr>
        <w:rFonts w:hint="default"/>
        <w:lang w:val="zh-CN" w:eastAsia="zh-CN" w:bidi="zh-CN"/>
      </w:rPr>
    </w:lvl>
    <w:lvl w:ilvl="3" w:tentative="0">
      <w:start w:val="0"/>
      <w:numFmt w:val="bullet"/>
      <w:lvlText w:val="•"/>
      <w:lvlJc w:val="left"/>
      <w:pPr>
        <w:ind w:left="3799" w:hanging="317"/>
      </w:pPr>
      <w:rPr>
        <w:rFonts w:hint="default"/>
        <w:lang w:val="zh-CN" w:eastAsia="zh-CN" w:bidi="zh-CN"/>
      </w:rPr>
    </w:lvl>
    <w:lvl w:ilvl="4" w:tentative="0">
      <w:start w:val="0"/>
      <w:numFmt w:val="bullet"/>
      <w:lvlText w:val="•"/>
      <w:lvlJc w:val="left"/>
      <w:pPr>
        <w:ind w:left="4726" w:hanging="317"/>
      </w:pPr>
      <w:rPr>
        <w:rFonts w:hint="default"/>
        <w:lang w:val="zh-CN" w:eastAsia="zh-CN" w:bidi="zh-CN"/>
      </w:rPr>
    </w:lvl>
    <w:lvl w:ilvl="5" w:tentative="0">
      <w:start w:val="0"/>
      <w:numFmt w:val="bullet"/>
      <w:lvlText w:val="•"/>
      <w:lvlJc w:val="left"/>
      <w:pPr>
        <w:ind w:left="5653" w:hanging="317"/>
      </w:pPr>
      <w:rPr>
        <w:rFonts w:hint="default"/>
        <w:lang w:val="zh-CN" w:eastAsia="zh-CN" w:bidi="zh-CN"/>
      </w:rPr>
    </w:lvl>
    <w:lvl w:ilvl="6" w:tentative="0">
      <w:start w:val="0"/>
      <w:numFmt w:val="bullet"/>
      <w:lvlText w:val="•"/>
      <w:lvlJc w:val="left"/>
      <w:pPr>
        <w:ind w:left="6579" w:hanging="317"/>
      </w:pPr>
      <w:rPr>
        <w:rFonts w:hint="default"/>
        <w:lang w:val="zh-CN" w:eastAsia="zh-CN" w:bidi="zh-CN"/>
      </w:rPr>
    </w:lvl>
    <w:lvl w:ilvl="7" w:tentative="0">
      <w:start w:val="0"/>
      <w:numFmt w:val="bullet"/>
      <w:lvlText w:val="•"/>
      <w:lvlJc w:val="left"/>
      <w:pPr>
        <w:ind w:left="7506" w:hanging="317"/>
      </w:pPr>
      <w:rPr>
        <w:rFonts w:hint="default"/>
        <w:lang w:val="zh-CN" w:eastAsia="zh-CN" w:bidi="zh-CN"/>
      </w:rPr>
    </w:lvl>
    <w:lvl w:ilvl="8" w:tentative="0">
      <w:start w:val="0"/>
      <w:numFmt w:val="bullet"/>
      <w:lvlText w:val="•"/>
      <w:lvlJc w:val="left"/>
      <w:pPr>
        <w:ind w:left="8433" w:hanging="317"/>
      </w:pPr>
      <w:rPr>
        <w:rFonts w:hint="default"/>
        <w:lang w:val="zh-CN" w:eastAsia="zh-CN" w:bidi="zh-CN"/>
      </w:rPr>
    </w:lvl>
  </w:abstractNum>
  <w:abstractNum w:abstractNumId="11">
    <w:nsid w:val="0F64BD14"/>
    <w:multiLevelType w:val="singleLevel"/>
    <w:tmpl w:val="0F64BD14"/>
    <w:lvl w:ilvl="0" w:tentative="0">
      <w:start w:val="1"/>
      <w:numFmt w:val="decimal"/>
      <w:suff w:val="nothing"/>
      <w:lvlText w:val="（%1）"/>
      <w:lvlJc w:val="left"/>
      <w:pPr>
        <w:ind w:left="480" w:firstLine="0"/>
      </w:pPr>
    </w:lvl>
  </w:abstractNum>
  <w:abstractNum w:abstractNumId="12">
    <w:nsid w:val="13EDAA40"/>
    <w:multiLevelType w:val="singleLevel"/>
    <w:tmpl w:val="13EDAA40"/>
    <w:lvl w:ilvl="0" w:tentative="0">
      <w:start w:val="4"/>
      <w:numFmt w:val="chineseCounting"/>
      <w:suff w:val="nothing"/>
      <w:lvlText w:val="%1、"/>
      <w:lvlJc w:val="left"/>
      <w:rPr>
        <w:rFonts w:hint="eastAsia"/>
      </w:rPr>
    </w:lvl>
  </w:abstractNum>
  <w:abstractNum w:abstractNumId="13">
    <w:nsid w:val="25B654F3"/>
    <w:multiLevelType w:val="multilevel"/>
    <w:tmpl w:val="25B654F3"/>
    <w:lvl w:ilvl="0" w:tentative="0">
      <w:start w:val="1"/>
      <w:numFmt w:val="decimal"/>
      <w:lvlText w:val="%1."/>
      <w:lvlJc w:val="left"/>
      <w:pPr>
        <w:ind w:left="852" w:hanging="213"/>
        <w:jc w:val="righ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802" w:hanging="213"/>
      </w:pPr>
      <w:rPr>
        <w:rFonts w:hint="default"/>
        <w:lang w:val="zh-CN" w:eastAsia="zh-CN" w:bidi="zh-CN"/>
      </w:rPr>
    </w:lvl>
    <w:lvl w:ilvl="2" w:tentative="0">
      <w:start w:val="0"/>
      <w:numFmt w:val="bullet"/>
      <w:lvlText w:val="•"/>
      <w:lvlJc w:val="left"/>
      <w:pPr>
        <w:ind w:left="2745" w:hanging="213"/>
      </w:pPr>
      <w:rPr>
        <w:rFonts w:hint="default"/>
        <w:lang w:val="zh-CN" w:eastAsia="zh-CN" w:bidi="zh-CN"/>
      </w:rPr>
    </w:lvl>
    <w:lvl w:ilvl="3" w:tentative="0">
      <w:start w:val="0"/>
      <w:numFmt w:val="bullet"/>
      <w:lvlText w:val="•"/>
      <w:lvlJc w:val="left"/>
      <w:pPr>
        <w:ind w:left="3687" w:hanging="213"/>
      </w:pPr>
      <w:rPr>
        <w:rFonts w:hint="default"/>
        <w:lang w:val="zh-CN" w:eastAsia="zh-CN" w:bidi="zh-CN"/>
      </w:rPr>
    </w:lvl>
    <w:lvl w:ilvl="4" w:tentative="0">
      <w:start w:val="0"/>
      <w:numFmt w:val="bullet"/>
      <w:lvlText w:val="•"/>
      <w:lvlJc w:val="left"/>
      <w:pPr>
        <w:ind w:left="4630" w:hanging="213"/>
      </w:pPr>
      <w:rPr>
        <w:rFonts w:hint="default"/>
        <w:lang w:val="zh-CN" w:eastAsia="zh-CN" w:bidi="zh-CN"/>
      </w:rPr>
    </w:lvl>
    <w:lvl w:ilvl="5" w:tentative="0">
      <w:start w:val="0"/>
      <w:numFmt w:val="bullet"/>
      <w:lvlText w:val="•"/>
      <w:lvlJc w:val="left"/>
      <w:pPr>
        <w:ind w:left="5573" w:hanging="213"/>
      </w:pPr>
      <w:rPr>
        <w:rFonts w:hint="default"/>
        <w:lang w:val="zh-CN" w:eastAsia="zh-CN" w:bidi="zh-CN"/>
      </w:rPr>
    </w:lvl>
    <w:lvl w:ilvl="6" w:tentative="0">
      <w:start w:val="0"/>
      <w:numFmt w:val="bullet"/>
      <w:lvlText w:val="•"/>
      <w:lvlJc w:val="left"/>
      <w:pPr>
        <w:ind w:left="6515" w:hanging="213"/>
      </w:pPr>
      <w:rPr>
        <w:rFonts w:hint="default"/>
        <w:lang w:val="zh-CN" w:eastAsia="zh-CN" w:bidi="zh-CN"/>
      </w:rPr>
    </w:lvl>
    <w:lvl w:ilvl="7" w:tentative="0">
      <w:start w:val="0"/>
      <w:numFmt w:val="bullet"/>
      <w:lvlText w:val="•"/>
      <w:lvlJc w:val="left"/>
      <w:pPr>
        <w:ind w:left="7458" w:hanging="213"/>
      </w:pPr>
      <w:rPr>
        <w:rFonts w:hint="default"/>
        <w:lang w:val="zh-CN" w:eastAsia="zh-CN" w:bidi="zh-CN"/>
      </w:rPr>
    </w:lvl>
    <w:lvl w:ilvl="8" w:tentative="0">
      <w:start w:val="0"/>
      <w:numFmt w:val="bullet"/>
      <w:lvlText w:val="•"/>
      <w:lvlJc w:val="left"/>
      <w:pPr>
        <w:ind w:left="8401" w:hanging="213"/>
      </w:pPr>
      <w:rPr>
        <w:rFonts w:hint="default"/>
        <w:lang w:val="zh-CN" w:eastAsia="zh-CN" w:bidi="zh-CN"/>
      </w:rPr>
    </w:lvl>
  </w:abstractNum>
  <w:abstractNum w:abstractNumId="14">
    <w:nsid w:val="4D4DC07F"/>
    <w:multiLevelType w:val="multilevel"/>
    <w:tmpl w:val="4D4DC07F"/>
    <w:lvl w:ilvl="0" w:tentative="0">
      <w:start w:val="3"/>
      <w:numFmt w:val="decimal"/>
      <w:lvlText w:val="%1"/>
      <w:lvlJc w:val="left"/>
      <w:pPr>
        <w:ind w:left="220" w:hanging="420"/>
      </w:pPr>
      <w:rPr>
        <w:rFonts w:hint="default"/>
        <w:lang w:val="zh-CN" w:eastAsia="zh-CN" w:bidi="zh-CN"/>
      </w:rPr>
    </w:lvl>
    <w:lvl w:ilvl="1" w:tentative="0">
      <w:start w:val="1"/>
      <w:numFmt w:val="decimal"/>
      <w:lvlText w:val="%1.%2"/>
      <w:lvlJc w:val="left"/>
      <w:pPr>
        <w:ind w:left="22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233" w:hanging="420"/>
      </w:pPr>
      <w:rPr>
        <w:rFonts w:hint="default"/>
        <w:lang w:val="zh-CN" w:eastAsia="zh-CN" w:bidi="zh-CN"/>
      </w:rPr>
    </w:lvl>
    <w:lvl w:ilvl="3" w:tentative="0">
      <w:start w:val="0"/>
      <w:numFmt w:val="bullet"/>
      <w:lvlText w:val="•"/>
      <w:lvlJc w:val="left"/>
      <w:pPr>
        <w:ind w:left="3239" w:hanging="420"/>
      </w:pPr>
      <w:rPr>
        <w:rFonts w:hint="default"/>
        <w:lang w:val="zh-CN" w:eastAsia="zh-CN" w:bidi="zh-CN"/>
      </w:rPr>
    </w:lvl>
    <w:lvl w:ilvl="4" w:tentative="0">
      <w:start w:val="0"/>
      <w:numFmt w:val="bullet"/>
      <w:lvlText w:val="•"/>
      <w:lvlJc w:val="left"/>
      <w:pPr>
        <w:ind w:left="4246" w:hanging="420"/>
      </w:pPr>
      <w:rPr>
        <w:rFonts w:hint="default"/>
        <w:lang w:val="zh-CN" w:eastAsia="zh-CN" w:bidi="zh-CN"/>
      </w:rPr>
    </w:lvl>
    <w:lvl w:ilvl="5" w:tentative="0">
      <w:start w:val="0"/>
      <w:numFmt w:val="bullet"/>
      <w:lvlText w:val="•"/>
      <w:lvlJc w:val="left"/>
      <w:pPr>
        <w:ind w:left="5253" w:hanging="420"/>
      </w:pPr>
      <w:rPr>
        <w:rFonts w:hint="default"/>
        <w:lang w:val="zh-CN" w:eastAsia="zh-CN" w:bidi="zh-CN"/>
      </w:rPr>
    </w:lvl>
    <w:lvl w:ilvl="6" w:tentative="0">
      <w:start w:val="0"/>
      <w:numFmt w:val="bullet"/>
      <w:lvlText w:val="•"/>
      <w:lvlJc w:val="left"/>
      <w:pPr>
        <w:ind w:left="6259" w:hanging="420"/>
      </w:pPr>
      <w:rPr>
        <w:rFonts w:hint="default"/>
        <w:lang w:val="zh-CN" w:eastAsia="zh-CN" w:bidi="zh-CN"/>
      </w:rPr>
    </w:lvl>
    <w:lvl w:ilvl="7" w:tentative="0">
      <w:start w:val="0"/>
      <w:numFmt w:val="bullet"/>
      <w:lvlText w:val="•"/>
      <w:lvlJc w:val="left"/>
      <w:pPr>
        <w:ind w:left="7266" w:hanging="420"/>
      </w:pPr>
      <w:rPr>
        <w:rFonts w:hint="default"/>
        <w:lang w:val="zh-CN" w:eastAsia="zh-CN" w:bidi="zh-CN"/>
      </w:rPr>
    </w:lvl>
    <w:lvl w:ilvl="8" w:tentative="0">
      <w:start w:val="0"/>
      <w:numFmt w:val="bullet"/>
      <w:lvlText w:val="•"/>
      <w:lvlJc w:val="left"/>
      <w:pPr>
        <w:ind w:left="8273" w:hanging="420"/>
      </w:pPr>
      <w:rPr>
        <w:rFonts w:hint="default"/>
        <w:lang w:val="zh-CN" w:eastAsia="zh-CN" w:bidi="zh-CN"/>
      </w:rPr>
    </w:lvl>
  </w:abstractNum>
  <w:abstractNum w:abstractNumId="15">
    <w:nsid w:val="581E5E96"/>
    <w:multiLevelType w:val="singleLevel"/>
    <w:tmpl w:val="581E5E96"/>
    <w:lvl w:ilvl="0" w:tentative="0">
      <w:start w:val="10"/>
      <w:numFmt w:val="chineseCounting"/>
      <w:suff w:val="space"/>
      <w:lvlText w:val="%1、"/>
      <w:lvlJc w:val="left"/>
      <w:rPr>
        <w:rFonts w:hint="eastAsia"/>
      </w:rPr>
    </w:lvl>
  </w:abstractNum>
  <w:abstractNum w:abstractNumId="16">
    <w:nsid w:val="59ADCABA"/>
    <w:multiLevelType w:val="multilevel"/>
    <w:tmpl w:val="59ADCABA"/>
    <w:lvl w:ilvl="0" w:tentative="0">
      <w:start w:val="1"/>
      <w:numFmt w:val="decimal"/>
      <w:lvlText w:val="%1"/>
      <w:lvlJc w:val="left"/>
      <w:pPr>
        <w:ind w:left="644" w:hanging="425"/>
      </w:pPr>
      <w:rPr>
        <w:rFonts w:hint="default" w:ascii="宋体" w:hAnsi="宋体" w:eastAsia="宋体" w:cs="宋体"/>
        <w:b/>
        <w:bCs/>
        <w:w w:val="99"/>
        <w:sz w:val="24"/>
        <w:szCs w:val="24"/>
        <w:lang w:val="zh-CN" w:eastAsia="zh-CN" w:bidi="zh-CN"/>
      </w:rPr>
    </w:lvl>
    <w:lvl w:ilvl="1" w:tentative="0">
      <w:start w:val="1"/>
      <w:numFmt w:val="decimal"/>
      <w:lvlText w:val="%1.%2"/>
      <w:lvlJc w:val="left"/>
      <w:pPr>
        <w:ind w:left="220" w:hanging="572"/>
      </w:pPr>
      <w:rPr>
        <w:rFonts w:hint="default"/>
        <w:spacing w:val="-29"/>
        <w:w w:val="100"/>
        <w:lang w:val="zh-CN" w:eastAsia="zh-CN" w:bidi="zh-CN"/>
      </w:rPr>
    </w:lvl>
    <w:lvl w:ilvl="2" w:tentative="0">
      <w:start w:val="1"/>
      <w:numFmt w:val="decimal"/>
      <w:lvlText w:val="%1.%2.%3"/>
      <w:lvlJc w:val="left"/>
      <w:pPr>
        <w:ind w:left="2020" w:hanging="572"/>
      </w:pPr>
      <w:rPr>
        <w:rFonts w:hint="default" w:ascii="宋体" w:hAnsi="宋体" w:eastAsia="宋体" w:cs="宋体"/>
        <w:w w:val="100"/>
        <w:sz w:val="24"/>
        <w:szCs w:val="24"/>
        <w:lang w:val="zh-CN" w:eastAsia="zh-CN" w:bidi="zh-CN"/>
      </w:rPr>
    </w:lvl>
    <w:lvl w:ilvl="3" w:tentative="0">
      <w:start w:val="0"/>
      <w:numFmt w:val="bullet"/>
      <w:lvlText w:val="•"/>
      <w:lvlJc w:val="left"/>
      <w:pPr>
        <w:ind w:left="1900" w:hanging="572"/>
      </w:pPr>
      <w:rPr>
        <w:rFonts w:hint="default"/>
        <w:lang w:val="zh-CN" w:eastAsia="zh-CN" w:bidi="zh-CN"/>
      </w:rPr>
    </w:lvl>
    <w:lvl w:ilvl="4" w:tentative="0">
      <w:start w:val="0"/>
      <w:numFmt w:val="bullet"/>
      <w:lvlText w:val="•"/>
      <w:lvlJc w:val="left"/>
      <w:pPr>
        <w:ind w:left="2020" w:hanging="572"/>
      </w:pPr>
      <w:rPr>
        <w:rFonts w:hint="default"/>
        <w:lang w:val="zh-CN" w:eastAsia="zh-CN" w:bidi="zh-CN"/>
      </w:rPr>
    </w:lvl>
    <w:lvl w:ilvl="5" w:tentative="0">
      <w:start w:val="0"/>
      <w:numFmt w:val="bullet"/>
      <w:lvlText w:val="•"/>
      <w:lvlJc w:val="left"/>
      <w:pPr>
        <w:ind w:left="3397" w:hanging="572"/>
      </w:pPr>
      <w:rPr>
        <w:rFonts w:hint="default"/>
        <w:lang w:val="zh-CN" w:eastAsia="zh-CN" w:bidi="zh-CN"/>
      </w:rPr>
    </w:lvl>
    <w:lvl w:ilvl="6" w:tentative="0">
      <w:start w:val="0"/>
      <w:numFmt w:val="bullet"/>
      <w:lvlText w:val="•"/>
      <w:lvlJc w:val="left"/>
      <w:pPr>
        <w:ind w:left="4775" w:hanging="572"/>
      </w:pPr>
      <w:rPr>
        <w:rFonts w:hint="default"/>
        <w:lang w:val="zh-CN" w:eastAsia="zh-CN" w:bidi="zh-CN"/>
      </w:rPr>
    </w:lvl>
    <w:lvl w:ilvl="7" w:tentative="0">
      <w:start w:val="0"/>
      <w:numFmt w:val="bullet"/>
      <w:lvlText w:val="•"/>
      <w:lvlJc w:val="left"/>
      <w:pPr>
        <w:ind w:left="6153" w:hanging="572"/>
      </w:pPr>
      <w:rPr>
        <w:rFonts w:hint="default"/>
        <w:lang w:val="zh-CN" w:eastAsia="zh-CN" w:bidi="zh-CN"/>
      </w:rPr>
    </w:lvl>
    <w:lvl w:ilvl="8" w:tentative="0">
      <w:start w:val="0"/>
      <w:numFmt w:val="bullet"/>
      <w:lvlText w:val="•"/>
      <w:lvlJc w:val="left"/>
      <w:pPr>
        <w:ind w:left="7530" w:hanging="572"/>
      </w:pPr>
      <w:rPr>
        <w:rFonts w:hint="default"/>
        <w:lang w:val="zh-CN" w:eastAsia="zh-CN" w:bidi="zh-CN"/>
      </w:rPr>
    </w:lvl>
  </w:abstractNum>
  <w:abstractNum w:abstractNumId="17">
    <w:nsid w:val="59CA10E8"/>
    <w:multiLevelType w:val="singleLevel"/>
    <w:tmpl w:val="59CA10E8"/>
    <w:lvl w:ilvl="0" w:tentative="0">
      <w:start w:val="3"/>
      <w:numFmt w:val="chineseCounting"/>
      <w:lvlText w:val="第%1部分"/>
      <w:lvlJc w:val="left"/>
      <w:rPr>
        <w:rFonts w:hint="eastAsia"/>
      </w:rPr>
    </w:lvl>
  </w:abstractNum>
  <w:abstractNum w:abstractNumId="18">
    <w:nsid w:val="60382F6E"/>
    <w:multiLevelType w:val="multilevel"/>
    <w:tmpl w:val="60382F6E"/>
    <w:lvl w:ilvl="0" w:tentative="0">
      <w:start w:val="1"/>
      <w:numFmt w:val="decimal"/>
      <w:lvlText w:val="%1"/>
      <w:lvlJc w:val="left"/>
      <w:pPr>
        <w:ind w:left="222" w:hanging="240"/>
      </w:pPr>
      <w:rPr>
        <w:rFonts w:hint="default" w:ascii="宋体" w:hAnsi="宋体" w:eastAsia="宋体" w:cs="宋体"/>
        <w:spacing w:val="-15"/>
        <w:w w:val="100"/>
        <w:sz w:val="24"/>
        <w:szCs w:val="24"/>
        <w:lang w:val="zh-CN" w:eastAsia="zh-CN" w:bidi="zh-CN"/>
      </w:rPr>
    </w:lvl>
    <w:lvl w:ilvl="1" w:tentative="0">
      <w:start w:val="0"/>
      <w:numFmt w:val="bullet"/>
      <w:lvlText w:val="•"/>
      <w:lvlJc w:val="left"/>
      <w:pPr>
        <w:ind w:left="1226" w:hanging="240"/>
      </w:pPr>
      <w:rPr>
        <w:rFonts w:hint="default"/>
        <w:lang w:val="zh-CN" w:eastAsia="zh-CN" w:bidi="zh-CN"/>
      </w:rPr>
    </w:lvl>
    <w:lvl w:ilvl="2" w:tentative="0">
      <w:start w:val="0"/>
      <w:numFmt w:val="bullet"/>
      <w:lvlText w:val="•"/>
      <w:lvlJc w:val="left"/>
      <w:pPr>
        <w:ind w:left="2233" w:hanging="240"/>
      </w:pPr>
      <w:rPr>
        <w:rFonts w:hint="default"/>
        <w:lang w:val="zh-CN" w:eastAsia="zh-CN" w:bidi="zh-CN"/>
      </w:rPr>
    </w:lvl>
    <w:lvl w:ilvl="3" w:tentative="0">
      <w:start w:val="0"/>
      <w:numFmt w:val="bullet"/>
      <w:lvlText w:val="•"/>
      <w:lvlJc w:val="left"/>
      <w:pPr>
        <w:ind w:left="3239" w:hanging="240"/>
      </w:pPr>
      <w:rPr>
        <w:rFonts w:hint="default"/>
        <w:lang w:val="zh-CN" w:eastAsia="zh-CN" w:bidi="zh-CN"/>
      </w:rPr>
    </w:lvl>
    <w:lvl w:ilvl="4" w:tentative="0">
      <w:start w:val="0"/>
      <w:numFmt w:val="bullet"/>
      <w:lvlText w:val="•"/>
      <w:lvlJc w:val="left"/>
      <w:pPr>
        <w:ind w:left="4246" w:hanging="240"/>
      </w:pPr>
      <w:rPr>
        <w:rFonts w:hint="default"/>
        <w:lang w:val="zh-CN" w:eastAsia="zh-CN" w:bidi="zh-CN"/>
      </w:rPr>
    </w:lvl>
    <w:lvl w:ilvl="5" w:tentative="0">
      <w:start w:val="0"/>
      <w:numFmt w:val="bullet"/>
      <w:lvlText w:val="•"/>
      <w:lvlJc w:val="left"/>
      <w:pPr>
        <w:ind w:left="5253" w:hanging="240"/>
      </w:pPr>
      <w:rPr>
        <w:rFonts w:hint="default"/>
        <w:lang w:val="zh-CN" w:eastAsia="zh-CN" w:bidi="zh-CN"/>
      </w:rPr>
    </w:lvl>
    <w:lvl w:ilvl="6" w:tentative="0">
      <w:start w:val="0"/>
      <w:numFmt w:val="bullet"/>
      <w:lvlText w:val="•"/>
      <w:lvlJc w:val="left"/>
      <w:pPr>
        <w:ind w:left="6259" w:hanging="240"/>
      </w:pPr>
      <w:rPr>
        <w:rFonts w:hint="default"/>
        <w:lang w:val="zh-CN" w:eastAsia="zh-CN" w:bidi="zh-CN"/>
      </w:rPr>
    </w:lvl>
    <w:lvl w:ilvl="7" w:tentative="0">
      <w:start w:val="0"/>
      <w:numFmt w:val="bullet"/>
      <w:lvlText w:val="•"/>
      <w:lvlJc w:val="left"/>
      <w:pPr>
        <w:ind w:left="7266" w:hanging="240"/>
      </w:pPr>
      <w:rPr>
        <w:rFonts w:hint="default"/>
        <w:lang w:val="zh-CN" w:eastAsia="zh-CN" w:bidi="zh-CN"/>
      </w:rPr>
    </w:lvl>
    <w:lvl w:ilvl="8" w:tentative="0">
      <w:start w:val="0"/>
      <w:numFmt w:val="bullet"/>
      <w:lvlText w:val="•"/>
      <w:lvlJc w:val="left"/>
      <w:pPr>
        <w:ind w:left="8273" w:hanging="240"/>
      </w:pPr>
      <w:rPr>
        <w:rFonts w:hint="default"/>
        <w:lang w:val="zh-CN" w:eastAsia="zh-CN" w:bidi="zh-CN"/>
      </w:rPr>
    </w:lvl>
  </w:abstractNum>
  <w:abstractNum w:abstractNumId="19">
    <w:nsid w:val="72183CF9"/>
    <w:multiLevelType w:val="multilevel"/>
    <w:tmpl w:val="72183CF9"/>
    <w:lvl w:ilvl="0" w:tentative="0">
      <w:start w:val="1"/>
      <w:numFmt w:val="decimal"/>
      <w:lvlText w:val="%1."/>
      <w:lvlJc w:val="left"/>
      <w:pPr>
        <w:ind w:left="852" w:hanging="213"/>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802" w:hanging="213"/>
      </w:pPr>
      <w:rPr>
        <w:rFonts w:hint="default"/>
        <w:lang w:val="zh-CN" w:eastAsia="zh-CN" w:bidi="zh-CN"/>
      </w:rPr>
    </w:lvl>
    <w:lvl w:ilvl="2" w:tentative="0">
      <w:start w:val="0"/>
      <w:numFmt w:val="bullet"/>
      <w:lvlText w:val="•"/>
      <w:lvlJc w:val="left"/>
      <w:pPr>
        <w:ind w:left="2745" w:hanging="213"/>
      </w:pPr>
      <w:rPr>
        <w:rFonts w:hint="default"/>
        <w:lang w:val="zh-CN" w:eastAsia="zh-CN" w:bidi="zh-CN"/>
      </w:rPr>
    </w:lvl>
    <w:lvl w:ilvl="3" w:tentative="0">
      <w:start w:val="0"/>
      <w:numFmt w:val="bullet"/>
      <w:lvlText w:val="•"/>
      <w:lvlJc w:val="left"/>
      <w:pPr>
        <w:ind w:left="3687" w:hanging="213"/>
      </w:pPr>
      <w:rPr>
        <w:rFonts w:hint="default"/>
        <w:lang w:val="zh-CN" w:eastAsia="zh-CN" w:bidi="zh-CN"/>
      </w:rPr>
    </w:lvl>
    <w:lvl w:ilvl="4" w:tentative="0">
      <w:start w:val="0"/>
      <w:numFmt w:val="bullet"/>
      <w:lvlText w:val="•"/>
      <w:lvlJc w:val="left"/>
      <w:pPr>
        <w:ind w:left="4630" w:hanging="213"/>
      </w:pPr>
      <w:rPr>
        <w:rFonts w:hint="default"/>
        <w:lang w:val="zh-CN" w:eastAsia="zh-CN" w:bidi="zh-CN"/>
      </w:rPr>
    </w:lvl>
    <w:lvl w:ilvl="5" w:tentative="0">
      <w:start w:val="0"/>
      <w:numFmt w:val="bullet"/>
      <w:lvlText w:val="•"/>
      <w:lvlJc w:val="left"/>
      <w:pPr>
        <w:ind w:left="5573" w:hanging="213"/>
      </w:pPr>
      <w:rPr>
        <w:rFonts w:hint="default"/>
        <w:lang w:val="zh-CN" w:eastAsia="zh-CN" w:bidi="zh-CN"/>
      </w:rPr>
    </w:lvl>
    <w:lvl w:ilvl="6" w:tentative="0">
      <w:start w:val="0"/>
      <w:numFmt w:val="bullet"/>
      <w:lvlText w:val="•"/>
      <w:lvlJc w:val="left"/>
      <w:pPr>
        <w:ind w:left="6515" w:hanging="213"/>
      </w:pPr>
      <w:rPr>
        <w:rFonts w:hint="default"/>
        <w:lang w:val="zh-CN" w:eastAsia="zh-CN" w:bidi="zh-CN"/>
      </w:rPr>
    </w:lvl>
    <w:lvl w:ilvl="7" w:tentative="0">
      <w:start w:val="0"/>
      <w:numFmt w:val="bullet"/>
      <w:lvlText w:val="•"/>
      <w:lvlJc w:val="left"/>
      <w:pPr>
        <w:ind w:left="7458" w:hanging="213"/>
      </w:pPr>
      <w:rPr>
        <w:rFonts w:hint="default"/>
        <w:lang w:val="zh-CN" w:eastAsia="zh-CN" w:bidi="zh-CN"/>
      </w:rPr>
    </w:lvl>
    <w:lvl w:ilvl="8" w:tentative="0">
      <w:start w:val="0"/>
      <w:numFmt w:val="bullet"/>
      <w:lvlText w:val="•"/>
      <w:lvlJc w:val="left"/>
      <w:pPr>
        <w:ind w:left="8401" w:hanging="213"/>
      </w:pPr>
      <w:rPr>
        <w:rFonts w:hint="default"/>
        <w:lang w:val="zh-CN" w:eastAsia="zh-CN" w:bidi="zh-CN"/>
      </w:rPr>
    </w:lvl>
  </w:abstractNum>
  <w:abstractNum w:abstractNumId="20">
    <w:nsid w:val="75647091"/>
    <w:multiLevelType w:val="singleLevel"/>
    <w:tmpl w:val="75647091"/>
    <w:lvl w:ilvl="0" w:tentative="0">
      <w:start w:val="7"/>
      <w:numFmt w:val="chineseCounting"/>
      <w:suff w:val="nothing"/>
      <w:lvlText w:val="%1、"/>
      <w:lvlJc w:val="left"/>
      <w:rPr>
        <w:rFonts w:hint="eastAsia"/>
      </w:rPr>
    </w:lvl>
  </w:abstractNum>
  <w:abstractNum w:abstractNumId="21">
    <w:nsid w:val="78D84EFC"/>
    <w:multiLevelType w:val="singleLevel"/>
    <w:tmpl w:val="78D84EFC"/>
    <w:lvl w:ilvl="0" w:tentative="0">
      <w:start w:val="2"/>
      <w:numFmt w:val="decimal"/>
      <w:lvlText w:val="%1."/>
      <w:lvlJc w:val="left"/>
      <w:pPr>
        <w:tabs>
          <w:tab w:val="left" w:pos="312"/>
        </w:tabs>
      </w:pPr>
    </w:lvl>
  </w:abstractNum>
  <w:num w:numId="1">
    <w:abstractNumId w:val="20"/>
  </w:num>
  <w:num w:numId="2">
    <w:abstractNumId w:val="4"/>
  </w:num>
  <w:num w:numId="3">
    <w:abstractNumId w:val="16"/>
  </w:num>
  <w:num w:numId="4">
    <w:abstractNumId w:val="17"/>
  </w:num>
  <w:num w:numId="5">
    <w:abstractNumId w:val="8"/>
  </w:num>
  <w:num w:numId="6">
    <w:abstractNumId w:val="5"/>
  </w:num>
  <w:num w:numId="7">
    <w:abstractNumId w:val="21"/>
  </w:num>
  <w:num w:numId="8">
    <w:abstractNumId w:val="11"/>
  </w:num>
  <w:num w:numId="9">
    <w:abstractNumId w:val="2"/>
  </w:num>
  <w:num w:numId="10">
    <w:abstractNumId w:val="10"/>
  </w:num>
  <w:num w:numId="11">
    <w:abstractNumId w:val="13"/>
  </w:num>
  <w:num w:numId="12">
    <w:abstractNumId w:val="19"/>
  </w:num>
  <w:num w:numId="13">
    <w:abstractNumId w:val="9"/>
  </w:num>
  <w:num w:numId="14">
    <w:abstractNumId w:val="0"/>
  </w:num>
  <w:num w:numId="15">
    <w:abstractNumId w:val="3"/>
  </w:num>
  <w:num w:numId="16">
    <w:abstractNumId w:val="14"/>
  </w:num>
  <w:num w:numId="17">
    <w:abstractNumId w:val="7"/>
  </w:num>
  <w:num w:numId="18">
    <w:abstractNumId w:val="6"/>
  </w:num>
  <w:num w:numId="19">
    <w:abstractNumId w:val="1"/>
  </w:num>
  <w:num w:numId="20">
    <w:abstractNumId w:val="12"/>
  </w:num>
  <w:num w:numId="21">
    <w:abstractNumId w:val="15"/>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Kwan">
    <w15:presenceInfo w15:providerId="None" w15:userId="AK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DdmMWNlNzIzOWRhNmNiMDkwOTc0MDcxMWY5NzcxNjMifQ=="/>
  </w:docVars>
  <w:rsids>
    <w:rsidRoot w:val="00A323BA"/>
    <w:rsid w:val="0013181B"/>
    <w:rsid w:val="00183C02"/>
    <w:rsid w:val="003A78B5"/>
    <w:rsid w:val="00491BE4"/>
    <w:rsid w:val="004D0502"/>
    <w:rsid w:val="0052568A"/>
    <w:rsid w:val="005518A8"/>
    <w:rsid w:val="00594817"/>
    <w:rsid w:val="005C2617"/>
    <w:rsid w:val="005D6C31"/>
    <w:rsid w:val="005E3FE5"/>
    <w:rsid w:val="005F7A77"/>
    <w:rsid w:val="0067054B"/>
    <w:rsid w:val="006C0E5A"/>
    <w:rsid w:val="006D3D81"/>
    <w:rsid w:val="006D5558"/>
    <w:rsid w:val="006E3EA4"/>
    <w:rsid w:val="006F4AA1"/>
    <w:rsid w:val="0070265B"/>
    <w:rsid w:val="00731FD4"/>
    <w:rsid w:val="00755770"/>
    <w:rsid w:val="007A1F14"/>
    <w:rsid w:val="007A2A6F"/>
    <w:rsid w:val="007D7B08"/>
    <w:rsid w:val="007E7CA6"/>
    <w:rsid w:val="00815675"/>
    <w:rsid w:val="00872F15"/>
    <w:rsid w:val="008A3FEC"/>
    <w:rsid w:val="008B22E0"/>
    <w:rsid w:val="009F5BBF"/>
    <w:rsid w:val="00A323BA"/>
    <w:rsid w:val="00A72599"/>
    <w:rsid w:val="00AA26AC"/>
    <w:rsid w:val="00B01845"/>
    <w:rsid w:val="00B05E6A"/>
    <w:rsid w:val="00B11EFD"/>
    <w:rsid w:val="00B32290"/>
    <w:rsid w:val="00BF4A10"/>
    <w:rsid w:val="00C531C4"/>
    <w:rsid w:val="00C579AC"/>
    <w:rsid w:val="00C8680D"/>
    <w:rsid w:val="00D46CB1"/>
    <w:rsid w:val="00DB6C5D"/>
    <w:rsid w:val="00E00673"/>
    <w:rsid w:val="00E0145E"/>
    <w:rsid w:val="00E33071"/>
    <w:rsid w:val="00EF63CB"/>
    <w:rsid w:val="00FC095E"/>
    <w:rsid w:val="0316536D"/>
    <w:rsid w:val="053D01B1"/>
    <w:rsid w:val="069B792B"/>
    <w:rsid w:val="06BF1771"/>
    <w:rsid w:val="06EC44B1"/>
    <w:rsid w:val="085A40D2"/>
    <w:rsid w:val="08C96CD9"/>
    <w:rsid w:val="09A908B8"/>
    <w:rsid w:val="09E3201C"/>
    <w:rsid w:val="0AAB684A"/>
    <w:rsid w:val="0DF93F42"/>
    <w:rsid w:val="102B61CB"/>
    <w:rsid w:val="138D67DA"/>
    <w:rsid w:val="13E17084"/>
    <w:rsid w:val="146123A5"/>
    <w:rsid w:val="1539757F"/>
    <w:rsid w:val="1565581C"/>
    <w:rsid w:val="15794927"/>
    <w:rsid w:val="169400C9"/>
    <w:rsid w:val="16DA6CE6"/>
    <w:rsid w:val="174C1B02"/>
    <w:rsid w:val="17C9260A"/>
    <w:rsid w:val="18ED6A14"/>
    <w:rsid w:val="1A933B7D"/>
    <w:rsid w:val="1C3919B9"/>
    <w:rsid w:val="1E1A1803"/>
    <w:rsid w:val="1E827391"/>
    <w:rsid w:val="1F762C1D"/>
    <w:rsid w:val="20016901"/>
    <w:rsid w:val="21256DE8"/>
    <w:rsid w:val="22945B1A"/>
    <w:rsid w:val="25DC4E14"/>
    <w:rsid w:val="280B50E5"/>
    <w:rsid w:val="28636E54"/>
    <w:rsid w:val="287B001C"/>
    <w:rsid w:val="2AB13D02"/>
    <w:rsid w:val="2AE71E5F"/>
    <w:rsid w:val="2BA32F59"/>
    <w:rsid w:val="2D3109AC"/>
    <w:rsid w:val="2DF0380D"/>
    <w:rsid w:val="2DF126AA"/>
    <w:rsid w:val="2DFB2211"/>
    <w:rsid w:val="2E0C0A0A"/>
    <w:rsid w:val="2E947E47"/>
    <w:rsid w:val="30332DD6"/>
    <w:rsid w:val="307B1AD7"/>
    <w:rsid w:val="3116608A"/>
    <w:rsid w:val="31511FB4"/>
    <w:rsid w:val="32B141B6"/>
    <w:rsid w:val="34155C30"/>
    <w:rsid w:val="345E19C2"/>
    <w:rsid w:val="35F745D6"/>
    <w:rsid w:val="36853B9B"/>
    <w:rsid w:val="38F16632"/>
    <w:rsid w:val="3B331C0C"/>
    <w:rsid w:val="3C225B1F"/>
    <w:rsid w:val="3E8B2E3E"/>
    <w:rsid w:val="3F155B60"/>
    <w:rsid w:val="3FFE4ED1"/>
    <w:rsid w:val="41792722"/>
    <w:rsid w:val="435766B4"/>
    <w:rsid w:val="4375479A"/>
    <w:rsid w:val="43BA7395"/>
    <w:rsid w:val="43C04259"/>
    <w:rsid w:val="451537DF"/>
    <w:rsid w:val="4522208A"/>
    <w:rsid w:val="4570504B"/>
    <w:rsid w:val="4613530C"/>
    <w:rsid w:val="48254D73"/>
    <w:rsid w:val="49062720"/>
    <w:rsid w:val="4A5703C8"/>
    <w:rsid w:val="4B635582"/>
    <w:rsid w:val="4BA86BDF"/>
    <w:rsid w:val="4C0C56E8"/>
    <w:rsid w:val="4C3E7614"/>
    <w:rsid w:val="4CE92E00"/>
    <w:rsid w:val="4DE60D60"/>
    <w:rsid w:val="4E33305E"/>
    <w:rsid w:val="504B0505"/>
    <w:rsid w:val="50D52027"/>
    <w:rsid w:val="511513B0"/>
    <w:rsid w:val="534B0A34"/>
    <w:rsid w:val="545A653D"/>
    <w:rsid w:val="55C407DE"/>
    <w:rsid w:val="55CD2EE3"/>
    <w:rsid w:val="56CC61A5"/>
    <w:rsid w:val="582339F0"/>
    <w:rsid w:val="5A3605DE"/>
    <w:rsid w:val="5A857A98"/>
    <w:rsid w:val="5AA862A9"/>
    <w:rsid w:val="5BD3501A"/>
    <w:rsid w:val="5C5678DA"/>
    <w:rsid w:val="5F090B3B"/>
    <w:rsid w:val="61576F78"/>
    <w:rsid w:val="61801032"/>
    <w:rsid w:val="629D4736"/>
    <w:rsid w:val="631F1C01"/>
    <w:rsid w:val="645369AF"/>
    <w:rsid w:val="66302A67"/>
    <w:rsid w:val="66B623B4"/>
    <w:rsid w:val="67B850C4"/>
    <w:rsid w:val="68F44227"/>
    <w:rsid w:val="6A2B2CDF"/>
    <w:rsid w:val="6B392996"/>
    <w:rsid w:val="6BCB1948"/>
    <w:rsid w:val="6F1940AE"/>
    <w:rsid w:val="70E05445"/>
    <w:rsid w:val="71B40E3A"/>
    <w:rsid w:val="729458F6"/>
    <w:rsid w:val="72F7675D"/>
    <w:rsid w:val="73283C31"/>
    <w:rsid w:val="737132FC"/>
    <w:rsid w:val="760A14EE"/>
    <w:rsid w:val="78337A0A"/>
    <w:rsid w:val="792D3980"/>
    <w:rsid w:val="79752E15"/>
    <w:rsid w:val="79ED32AF"/>
    <w:rsid w:val="79F32938"/>
    <w:rsid w:val="79FA3F70"/>
    <w:rsid w:val="7A36456D"/>
    <w:rsid w:val="7A983676"/>
    <w:rsid w:val="7AF31506"/>
    <w:rsid w:val="7CA103C5"/>
    <w:rsid w:val="7CAA0065"/>
    <w:rsid w:val="7E69336A"/>
    <w:rsid w:val="7FF24036"/>
    <w:rsid w:val="7FFD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right="102"/>
      <w:jc w:val="center"/>
      <w:outlineLvl w:val="0"/>
    </w:pPr>
    <w:rPr>
      <w:b/>
      <w:bCs/>
      <w:sz w:val="44"/>
      <w:szCs w:val="44"/>
    </w:rPr>
  </w:style>
  <w:style w:type="paragraph" w:styleId="2">
    <w:name w:val="heading 2"/>
    <w:basedOn w:val="1"/>
    <w:next w:val="1"/>
    <w:qFormat/>
    <w:uiPriority w:val="1"/>
    <w:pPr>
      <w:spacing w:before="50"/>
      <w:jc w:val="center"/>
      <w:outlineLvl w:val="1"/>
    </w:pPr>
    <w:rPr>
      <w:b/>
      <w:bCs/>
      <w:sz w:val="36"/>
      <w:szCs w:val="36"/>
    </w:rPr>
  </w:style>
  <w:style w:type="paragraph" w:styleId="4">
    <w:name w:val="heading 3"/>
    <w:basedOn w:val="1"/>
    <w:next w:val="1"/>
    <w:qFormat/>
    <w:uiPriority w:val="1"/>
    <w:pPr>
      <w:spacing w:before="55"/>
      <w:ind w:right="100"/>
      <w:jc w:val="center"/>
      <w:outlineLvl w:val="2"/>
    </w:pPr>
    <w:rPr>
      <w:b/>
      <w:bCs/>
      <w:sz w:val="32"/>
      <w:szCs w:val="32"/>
    </w:rPr>
  </w:style>
  <w:style w:type="paragraph" w:styleId="5">
    <w:name w:val="heading 4"/>
    <w:basedOn w:val="1"/>
    <w:next w:val="1"/>
    <w:qFormat/>
    <w:uiPriority w:val="1"/>
    <w:pPr>
      <w:spacing w:before="102"/>
      <w:ind w:right="100"/>
      <w:jc w:val="center"/>
      <w:outlineLvl w:val="3"/>
    </w:pPr>
    <w:rPr>
      <w:rFonts w:ascii="黑体" w:hAnsi="黑体" w:eastAsia="黑体" w:cs="黑体"/>
      <w:sz w:val="32"/>
      <w:szCs w:val="32"/>
    </w:rPr>
  </w:style>
  <w:style w:type="paragraph" w:styleId="6">
    <w:name w:val="heading 5"/>
    <w:basedOn w:val="1"/>
    <w:next w:val="1"/>
    <w:qFormat/>
    <w:uiPriority w:val="1"/>
    <w:pPr>
      <w:spacing w:before="56"/>
      <w:ind w:right="102"/>
      <w:jc w:val="center"/>
      <w:outlineLvl w:val="4"/>
    </w:pPr>
    <w:rPr>
      <w:b/>
      <w:bCs/>
      <w:sz w:val="31"/>
      <w:szCs w:val="31"/>
    </w:rPr>
  </w:style>
  <w:style w:type="paragraph" w:styleId="7">
    <w:name w:val="heading 6"/>
    <w:basedOn w:val="1"/>
    <w:next w:val="1"/>
    <w:qFormat/>
    <w:uiPriority w:val="1"/>
    <w:pPr>
      <w:ind w:left="1424"/>
      <w:outlineLvl w:val="5"/>
    </w:pPr>
    <w:rPr>
      <w:b/>
      <w:bCs/>
      <w:sz w:val="30"/>
      <w:szCs w:val="30"/>
    </w:rPr>
  </w:style>
  <w:style w:type="paragraph" w:styleId="8">
    <w:name w:val="heading 7"/>
    <w:basedOn w:val="1"/>
    <w:next w:val="1"/>
    <w:qFormat/>
    <w:uiPriority w:val="1"/>
    <w:pPr>
      <w:spacing w:before="226"/>
      <w:ind w:right="100"/>
      <w:jc w:val="center"/>
      <w:outlineLvl w:val="6"/>
    </w:pPr>
    <w:rPr>
      <w:sz w:val="30"/>
      <w:szCs w:val="30"/>
    </w:rPr>
  </w:style>
  <w:style w:type="paragraph" w:styleId="9">
    <w:name w:val="heading 8"/>
    <w:basedOn w:val="1"/>
    <w:next w:val="1"/>
    <w:qFormat/>
    <w:uiPriority w:val="1"/>
    <w:pPr>
      <w:spacing w:before="42"/>
      <w:outlineLvl w:val="7"/>
    </w:pPr>
    <w:rPr>
      <w:b/>
      <w:bCs/>
      <w:sz w:val="28"/>
      <w:szCs w:val="28"/>
    </w:rPr>
  </w:style>
  <w:style w:type="paragraph" w:styleId="10">
    <w:name w:val="heading 9"/>
    <w:basedOn w:val="1"/>
    <w:next w:val="1"/>
    <w:qFormat/>
    <w:uiPriority w:val="1"/>
    <w:pPr>
      <w:ind w:left="222"/>
      <w:outlineLvl w:val="8"/>
    </w:pPr>
    <w:rPr>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99"/>
    <w:pPr>
      <w:ind w:firstLine="420"/>
    </w:pPr>
    <w:rPr>
      <w:szCs w:val="20"/>
    </w:rPr>
  </w:style>
  <w:style w:type="paragraph" w:styleId="12">
    <w:name w:val="caption"/>
    <w:basedOn w:val="1"/>
    <w:next w:val="1"/>
    <w:qFormat/>
    <w:uiPriority w:val="0"/>
    <w:pPr>
      <w:spacing w:before="152" w:after="160"/>
      <w:jc w:val="both"/>
    </w:pPr>
    <w:rPr>
      <w:rFonts w:ascii="Arial" w:hAnsi="Arial" w:eastAsia="黑体" w:cs="Arial"/>
      <w:kern w:val="2"/>
      <w:sz w:val="20"/>
      <w:szCs w:val="20"/>
    </w:rPr>
  </w:style>
  <w:style w:type="paragraph" w:styleId="13">
    <w:name w:val="Body Text"/>
    <w:basedOn w:val="1"/>
    <w:qFormat/>
    <w:uiPriority w:val="1"/>
    <w:rPr>
      <w:sz w:val="24"/>
      <w:szCs w:val="24"/>
    </w:rPr>
  </w:style>
  <w:style w:type="paragraph" w:styleId="14">
    <w:name w:val="toc 3"/>
    <w:basedOn w:val="1"/>
    <w:next w:val="1"/>
    <w:qFormat/>
    <w:uiPriority w:val="0"/>
    <w:pPr>
      <w:ind w:left="840" w:leftChars="400"/>
    </w:pPr>
  </w:style>
  <w:style w:type="paragraph" w:styleId="15">
    <w:name w:val="Balloon Text"/>
    <w:basedOn w:val="1"/>
    <w:link w:val="38"/>
    <w:qFormat/>
    <w:uiPriority w:val="0"/>
    <w:rPr>
      <w:sz w:val="18"/>
      <w:szCs w:val="18"/>
    </w:rPr>
  </w:style>
  <w:style w:type="paragraph" w:styleId="16">
    <w:name w:val="footer"/>
    <w:basedOn w:val="1"/>
    <w:qFormat/>
    <w:uiPriority w:val="0"/>
    <w:pPr>
      <w:tabs>
        <w:tab w:val="center" w:pos="4153"/>
        <w:tab w:val="right" w:pos="8306"/>
      </w:tabs>
      <w:snapToGrid w:val="0"/>
    </w:pPr>
    <w:rPr>
      <w:sz w:val="18"/>
    </w:rPr>
  </w:style>
  <w:style w:type="paragraph" w:styleId="17">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1"/>
    <w:pPr>
      <w:spacing w:before="287"/>
      <w:ind w:right="95"/>
      <w:jc w:val="center"/>
    </w:pPr>
    <w:rPr>
      <w:sz w:val="28"/>
      <w:szCs w:val="28"/>
    </w:rPr>
  </w:style>
  <w:style w:type="paragraph" w:styleId="19">
    <w:name w:val="toc 2"/>
    <w:basedOn w:val="1"/>
    <w:next w:val="1"/>
    <w:qFormat/>
    <w:uiPriority w:val="0"/>
    <w:pPr>
      <w:ind w:left="420" w:leftChars="200"/>
    </w:pPr>
  </w:style>
  <w:style w:type="paragraph" w:styleId="20">
    <w:name w:val="Body Text 2"/>
    <w:basedOn w:val="1"/>
    <w:qFormat/>
    <w:uiPriority w:val="0"/>
    <w:pPr>
      <w:spacing w:line="480" w:lineRule="auto"/>
    </w:pPr>
    <w:rPr>
      <w:rFonts w:ascii="Times New Roman" w:hAnsi="Times New Roman"/>
      <w:szCs w:val="20"/>
    </w:rPr>
  </w:style>
  <w:style w:type="paragraph" w:styleId="21">
    <w:name w:val="Normal (Web)"/>
    <w:basedOn w:val="1"/>
    <w:qFormat/>
    <w:uiPriority w:val="99"/>
    <w:pPr>
      <w:widowControl/>
    </w:pPr>
    <w:rPr>
      <w:sz w:val="24"/>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qFormat/>
    <w:uiPriority w:val="99"/>
    <w:rPr>
      <w:rFonts w:eastAsia="仿宋_GB2312"/>
      <w:color w:val="000000"/>
      <w:sz w:val="24"/>
      <w:u w:val="none"/>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styleId="27">
    <w:name w:val="List Paragraph"/>
    <w:basedOn w:val="1"/>
    <w:qFormat/>
    <w:uiPriority w:val="1"/>
    <w:pPr>
      <w:ind w:left="220" w:firstLine="480"/>
    </w:pPr>
  </w:style>
  <w:style w:type="paragraph" w:customStyle="1" w:styleId="28">
    <w:name w:val="Table Paragraph"/>
    <w:basedOn w:val="1"/>
    <w:qFormat/>
    <w:uiPriority w:val="1"/>
  </w:style>
  <w:style w:type="paragraph" w:customStyle="1" w:styleId="29">
    <w:name w:val="Heading #1|1"/>
    <w:basedOn w:val="1"/>
    <w:qFormat/>
    <w:uiPriority w:val="0"/>
    <w:pPr>
      <w:spacing w:after="80"/>
      <w:outlineLvl w:val="0"/>
    </w:pPr>
    <w:rPr>
      <w:sz w:val="42"/>
      <w:szCs w:val="42"/>
    </w:rPr>
  </w:style>
  <w:style w:type="paragraph" w:customStyle="1" w:styleId="30">
    <w:name w:val="Body text|1"/>
    <w:basedOn w:val="1"/>
    <w:qFormat/>
    <w:uiPriority w:val="0"/>
    <w:pPr>
      <w:spacing w:after="140" w:line="451" w:lineRule="auto"/>
      <w:ind w:firstLine="400"/>
    </w:pPr>
    <w:rPr>
      <w:sz w:val="26"/>
      <w:szCs w:val="26"/>
      <w:lang w:val="zh-TW" w:eastAsia="zh-TW" w:bidi="zh-TW"/>
    </w:rPr>
  </w:style>
  <w:style w:type="paragraph" w:customStyle="1" w:styleId="31">
    <w:name w:val="Heading #2|1"/>
    <w:basedOn w:val="1"/>
    <w:qFormat/>
    <w:uiPriority w:val="0"/>
    <w:pPr>
      <w:outlineLvl w:val="1"/>
    </w:pPr>
    <w:rPr>
      <w:sz w:val="36"/>
      <w:szCs w:val="36"/>
      <w:lang w:val="zh-TW" w:eastAsia="zh-TW" w:bidi="zh-TW"/>
    </w:rPr>
  </w:style>
  <w:style w:type="paragraph" w:customStyle="1" w:styleId="32">
    <w:name w:val="Body text|3"/>
    <w:basedOn w:val="1"/>
    <w:qFormat/>
    <w:uiPriority w:val="0"/>
    <w:pPr>
      <w:spacing w:line="360" w:lineRule="auto"/>
      <w:ind w:firstLine="620"/>
    </w:pPr>
    <w:rPr>
      <w:sz w:val="32"/>
      <w:szCs w:val="32"/>
      <w:lang w:val="zh-TW" w:eastAsia="zh-TW" w:bidi="zh-TW"/>
    </w:rPr>
  </w:style>
  <w:style w:type="paragraph" w:customStyle="1" w:styleId="33">
    <w:name w:val="Body text|2"/>
    <w:basedOn w:val="1"/>
    <w:qFormat/>
    <w:uiPriority w:val="0"/>
    <w:pPr>
      <w:spacing w:line="415" w:lineRule="auto"/>
      <w:ind w:firstLine="580"/>
    </w:pPr>
    <w:rPr>
      <w:sz w:val="28"/>
      <w:szCs w:val="28"/>
    </w:rPr>
  </w:style>
  <w:style w:type="paragraph" w:customStyle="1" w:styleId="34">
    <w:name w:val="Header or footer|2"/>
    <w:basedOn w:val="1"/>
    <w:qFormat/>
    <w:uiPriority w:val="0"/>
    <w:rPr>
      <w:sz w:val="20"/>
      <w:szCs w:val="20"/>
      <w:lang w:val="zh-TW" w:eastAsia="zh-TW" w:bidi="zh-TW"/>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7">
    <w:name w:val="WPSOffice手动目录 1"/>
    <w:qFormat/>
    <w:uiPriority w:val="0"/>
    <w:rPr>
      <w:rFonts w:ascii="Times New Roman" w:hAnsi="Times New Roman" w:eastAsia="宋体" w:cs="Times New Roman"/>
      <w:lang w:val="en-US" w:eastAsia="zh-CN" w:bidi="ar-SA"/>
    </w:rPr>
  </w:style>
  <w:style w:type="character" w:customStyle="1" w:styleId="38">
    <w:name w:val="批注框文本 Char"/>
    <w:basedOn w:val="24"/>
    <w:link w:val="15"/>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22456</Words>
  <Characters>23304</Characters>
  <Lines>151</Lines>
  <Paragraphs>42</Paragraphs>
  <TotalTime>56</TotalTime>
  <ScaleCrop>false</ScaleCrop>
  <LinksUpToDate>false</LinksUpToDate>
  <CharactersWithSpaces>24123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2021-07-29T08:40:00Z</dcterms:created>
  <dc:creator>LST</dc:creator>
  <cp:lastModifiedBy>WPS_1589353315</cp:lastModifiedBy>
  <dcterms:modified xsi:type="dcterms:W3CDTF">2023-04-26T02:45:21Z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Acrobat PDFMaker 18 Word 版</vt:lpwstr>
  </property>
  <property fmtid="{D5CDD505-2E9C-101B-9397-08002B2CF9AE}" pid="4" name="LastSaved">
    <vt:filetime>2021-06-04T00:00:00Z</vt:filetime>
  </property>
  <property fmtid="{D5CDD505-2E9C-101B-9397-08002B2CF9AE}" pid="5" name="KSOProductBuildVer">
    <vt:lpwstr>2052-11.1.0.14036</vt:lpwstr>
  </property>
  <property fmtid="{D5CDD505-2E9C-101B-9397-08002B2CF9AE}" pid="6" name="ICV">
    <vt:lpwstr>65CC503A5E2D4A10886B188125B5BCC7</vt:lpwstr>
  </property>
</Properties>
</file>